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BEFD94">
      <w:pPr>
        <w:pStyle w:val="8"/>
        <w:spacing w:line="271" w:lineRule="auto"/>
        <w:rPr>
          <w:rFonts w:hint="default"/>
          <w:color w:val="auto"/>
          <w:highlight w:val="none"/>
          <w:lang w:val="en-US" w:eastAsia="zh-CN"/>
        </w:rPr>
      </w:pPr>
    </w:p>
    <w:p w14:paraId="2663F8B3">
      <w:pPr>
        <w:pStyle w:val="8"/>
        <w:spacing w:line="272" w:lineRule="auto"/>
        <w:rPr>
          <w:color w:val="auto"/>
          <w:highlight w:val="none"/>
          <w:lang w:eastAsia="zh-CN"/>
        </w:rPr>
      </w:pPr>
    </w:p>
    <w:p w14:paraId="5CF49D01">
      <w:pPr>
        <w:pStyle w:val="8"/>
        <w:spacing w:line="272" w:lineRule="auto"/>
        <w:rPr>
          <w:color w:val="auto"/>
          <w:highlight w:val="none"/>
          <w:lang w:eastAsia="zh-CN"/>
        </w:rPr>
      </w:pPr>
    </w:p>
    <w:p w14:paraId="6D0AB278">
      <w:pPr>
        <w:pStyle w:val="9"/>
        <w:ind w:left="0" w:firstLine="0" w:firstLineChars="0"/>
        <w:jc w:val="center"/>
        <w:rPr>
          <w:rFonts w:hint="eastAsia" w:asciiTheme="minorEastAsia" w:hAnsiTheme="minorEastAsia" w:eastAsiaTheme="minorEastAsia"/>
          <w:color w:val="auto"/>
          <w:sz w:val="52"/>
          <w:szCs w:val="52"/>
          <w:highlight w:val="none"/>
          <w:lang w:eastAsia="zh-CN"/>
        </w:rPr>
      </w:pPr>
      <w:r>
        <w:rPr>
          <w:rFonts w:hint="eastAsia" w:asciiTheme="minorEastAsia" w:hAnsiTheme="minorEastAsia" w:eastAsiaTheme="minorEastAsia"/>
          <w:color w:val="auto"/>
          <w:sz w:val="52"/>
          <w:szCs w:val="52"/>
          <w:highlight w:val="none"/>
          <w:lang w:eastAsia="zh-CN"/>
        </w:rPr>
        <w:t>三门经济开发区科创中心装修提升工程</w:t>
      </w:r>
    </w:p>
    <w:p w14:paraId="3441D67B">
      <w:pPr>
        <w:pStyle w:val="8"/>
        <w:spacing w:line="323" w:lineRule="auto"/>
        <w:rPr>
          <w:color w:val="auto"/>
          <w:highlight w:val="none"/>
          <w:lang w:eastAsia="zh-CN"/>
        </w:rPr>
      </w:pPr>
    </w:p>
    <w:p w14:paraId="316794DE">
      <w:pPr>
        <w:pStyle w:val="8"/>
        <w:spacing w:line="323" w:lineRule="auto"/>
        <w:rPr>
          <w:color w:val="auto"/>
          <w:highlight w:val="none"/>
          <w:lang w:eastAsia="zh-CN"/>
        </w:rPr>
      </w:pPr>
    </w:p>
    <w:p w14:paraId="15B0B069">
      <w:pPr>
        <w:spacing w:before="91" w:line="219" w:lineRule="auto"/>
        <w:jc w:val="center"/>
        <w:rPr>
          <w:rFonts w:ascii="宋体" w:hAnsi="宋体" w:eastAsia="宋体" w:cs="宋体"/>
          <w:color w:val="auto"/>
          <w:sz w:val="28"/>
          <w:szCs w:val="28"/>
          <w:highlight w:val="none"/>
          <w:lang w:eastAsia="zh-CN"/>
        </w:rPr>
      </w:pPr>
      <w:r>
        <w:rPr>
          <w:rFonts w:ascii="宋体" w:hAnsi="宋体" w:eastAsia="宋体" w:cs="宋体"/>
          <w:color w:val="auto"/>
          <w:spacing w:val="-3"/>
          <w:sz w:val="28"/>
          <w:szCs w:val="28"/>
          <w:highlight w:val="none"/>
          <w:lang w:eastAsia="zh-CN"/>
        </w:rPr>
        <w:t>（招标编号</w:t>
      </w:r>
      <w:r>
        <w:rPr>
          <w:rFonts w:ascii="Times New Roman" w:hAnsi="Times New Roman" w:eastAsia="Times New Roman" w:cs="Times New Roman"/>
          <w:color w:val="auto"/>
          <w:spacing w:val="-3"/>
          <w:sz w:val="28"/>
          <w:szCs w:val="28"/>
          <w:highlight w:val="none"/>
          <w:lang w:eastAsia="zh-CN"/>
        </w:rPr>
        <w:t>/</w:t>
      </w:r>
      <w:r>
        <w:rPr>
          <w:rFonts w:ascii="宋体" w:hAnsi="宋体" w:eastAsia="宋体" w:cs="宋体"/>
          <w:color w:val="auto"/>
          <w:spacing w:val="-3"/>
          <w:sz w:val="28"/>
          <w:szCs w:val="28"/>
          <w:highlight w:val="none"/>
          <w:lang w:eastAsia="zh-CN"/>
        </w:rPr>
        <w:t>备案登记号</w:t>
      </w:r>
      <w:r>
        <w:rPr>
          <w:rFonts w:ascii="宋体" w:hAnsi="宋体" w:eastAsia="宋体" w:cs="宋体"/>
          <w:color w:val="auto"/>
          <w:spacing w:val="-1"/>
          <w:sz w:val="28"/>
          <w:szCs w:val="28"/>
          <w:highlight w:val="none"/>
          <w:lang w:eastAsia="zh-CN"/>
        </w:rPr>
        <w:t>：</w:t>
      </w:r>
      <w:r>
        <w:rPr>
          <w:rFonts w:hint="eastAsia" w:eastAsia="宋体"/>
          <w:color w:val="auto"/>
          <w:spacing w:val="-1"/>
          <w:sz w:val="28"/>
          <w:szCs w:val="28"/>
          <w:highlight w:val="none"/>
          <w:lang w:eastAsia="zh-CN"/>
        </w:rPr>
        <w:t>三招建备2025-</w:t>
      </w:r>
      <w:r>
        <w:rPr>
          <w:rFonts w:hint="eastAsia" w:eastAsia="宋体"/>
          <w:color w:val="auto"/>
          <w:spacing w:val="-1"/>
          <w:sz w:val="28"/>
          <w:szCs w:val="28"/>
          <w:highlight w:val="none"/>
          <w:lang w:val="en-US" w:eastAsia="zh-CN"/>
        </w:rPr>
        <w:t xml:space="preserve"> 078</w:t>
      </w:r>
      <w:r>
        <w:rPr>
          <w:rFonts w:hint="eastAsia" w:eastAsia="宋体"/>
          <w:color w:val="auto"/>
          <w:spacing w:val="-1"/>
          <w:sz w:val="28"/>
          <w:szCs w:val="28"/>
          <w:highlight w:val="none"/>
          <w:lang w:eastAsia="zh-CN"/>
        </w:rPr>
        <w:t>号</w:t>
      </w:r>
      <w:r>
        <w:rPr>
          <w:rFonts w:ascii="宋体" w:hAnsi="宋体" w:eastAsia="宋体" w:cs="宋体"/>
          <w:color w:val="auto"/>
          <w:spacing w:val="-1"/>
          <w:sz w:val="28"/>
          <w:szCs w:val="28"/>
          <w:highlight w:val="none"/>
          <w:lang w:eastAsia="zh-CN"/>
        </w:rPr>
        <w:t>）</w:t>
      </w:r>
    </w:p>
    <w:p w14:paraId="04BA6259">
      <w:pPr>
        <w:pStyle w:val="8"/>
        <w:rPr>
          <w:color w:val="auto"/>
          <w:highlight w:val="none"/>
          <w:lang w:eastAsia="zh-CN"/>
        </w:rPr>
      </w:pPr>
    </w:p>
    <w:p w14:paraId="25431116">
      <w:pPr>
        <w:pStyle w:val="8"/>
        <w:rPr>
          <w:color w:val="auto"/>
          <w:highlight w:val="none"/>
          <w:lang w:eastAsia="zh-CN"/>
        </w:rPr>
      </w:pPr>
    </w:p>
    <w:p w14:paraId="0B6FCA97">
      <w:pPr>
        <w:pStyle w:val="8"/>
        <w:rPr>
          <w:color w:val="auto"/>
          <w:highlight w:val="none"/>
          <w:lang w:eastAsia="zh-CN"/>
        </w:rPr>
      </w:pPr>
    </w:p>
    <w:p w14:paraId="7C04FC43">
      <w:pPr>
        <w:pStyle w:val="8"/>
        <w:rPr>
          <w:color w:val="auto"/>
          <w:highlight w:val="none"/>
          <w:lang w:eastAsia="zh-CN"/>
        </w:rPr>
      </w:pPr>
    </w:p>
    <w:p w14:paraId="02A26BAF">
      <w:pPr>
        <w:pStyle w:val="8"/>
        <w:rPr>
          <w:color w:val="auto"/>
          <w:highlight w:val="none"/>
          <w:lang w:eastAsia="zh-CN"/>
        </w:rPr>
      </w:pPr>
    </w:p>
    <w:p w14:paraId="3958E7FF">
      <w:pPr>
        <w:pStyle w:val="8"/>
        <w:rPr>
          <w:color w:val="auto"/>
          <w:highlight w:val="none"/>
          <w:lang w:eastAsia="zh-CN"/>
        </w:rPr>
      </w:pPr>
    </w:p>
    <w:p w14:paraId="6777B2C5">
      <w:pPr>
        <w:pStyle w:val="8"/>
        <w:rPr>
          <w:color w:val="auto"/>
          <w:highlight w:val="none"/>
          <w:lang w:eastAsia="zh-CN"/>
        </w:rPr>
      </w:pPr>
    </w:p>
    <w:p w14:paraId="5F150D2D">
      <w:pPr>
        <w:pStyle w:val="8"/>
        <w:spacing w:line="241" w:lineRule="auto"/>
        <w:rPr>
          <w:color w:val="auto"/>
          <w:highlight w:val="none"/>
          <w:lang w:eastAsia="zh-CN"/>
        </w:rPr>
      </w:pPr>
    </w:p>
    <w:p w14:paraId="295F8DA9">
      <w:pPr>
        <w:spacing w:before="139" w:line="222" w:lineRule="auto"/>
        <w:ind w:left="3306"/>
        <w:rPr>
          <w:rFonts w:ascii="宋体" w:hAnsi="宋体" w:eastAsia="宋体" w:cs="宋体"/>
          <w:color w:val="auto"/>
          <w:sz w:val="43"/>
          <w:szCs w:val="43"/>
          <w:highlight w:val="none"/>
          <w:lang w:eastAsia="zh-CN"/>
        </w:rPr>
      </w:pPr>
      <w:r>
        <w:rPr>
          <w:rFonts w:ascii="宋体" w:hAnsi="宋体" w:eastAsia="宋体" w:cs="宋体"/>
          <w:color w:val="auto"/>
          <w:spacing w:val="5"/>
          <w:sz w:val="43"/>
          <w:szCs w:val="43"/>
          <w:highlight w:val="none"/>
          <w:lang w:eastAsia="zh-CN"/>
        </w:rPr>
        <w:t>招标文件</w:t>
      </w:r>
    </w:p>
    <w:p w14:paraId="5B8342B3">
      <w:pPr>
        <w:pStyle w:val="8"/>
        <w:spacing w:line="241" w:lineRule="auto"/>
        <w:rPr>
          <w:color w:val="auto"/>
          <w:highlight w:val="none"/>
          <w:lang w:eastAsia="zh-CN"/>
        </w:rPr>
      </w:pPr>
    </w:p>
    <w:p w14:paraId="37AE56BC">
      <w:pPr>
        <w:tabs>
          <w:tab w:val="left" w:pos="8127"/>
        </w:tabs>
        <w:spacing w:before="139" w:line="223" w:lineRule="auto"/>
        <w:ind w:left="1774"/>
        <w:rPr>
          <w:rFonts w:ascii="宋体" w:hAnsi="宋体" w:eastAsia="宋体" w:cs="宋体"/>
          <w:color w:val="auto"/>
          <w:sz w:val="43"/>
          <w:szCs w:val="43"/>
          <w:highlight w:val="none"/>
          <w:lang w:eastAsia="zh-CN"/>
        </w:rPr>
      </w:pPr>
      <w:r>
        <w:rPr>
          <w:rFonts w:ascii="宋体" w:hAnsi="宋体" w:eastAsia="宋体" w:cs="宋体"/>
          <w:color w:val="auto"/>
          <w:spacing w:val="6"/>
          <w:sz w:val="43"/>
          <w:szCs w:val="43"/>
          <w:highlight w:val="none"/>
          <w:lang w:eastAsia="zh-CN"/>
        </w:rPr>
        <w:t>(</w:t>
      </w:r>
      <w:r>
        <w:rPr>
          <w:rFonts w:hint="eastAsia" w:ascii="宋体" w:hAnsi="宋体" w:eastAsia="宋体" w:cs="宋体"/>
          <w:color w:val="auto"/>
          <w:spacing w:val="6"/>
          <w:sz w:val="43"/>
          <w:szCs w:val="43"/>
          <w:highlight w:val="none"/>
          <w:lang w:eastAsia="zh-CN"/>
        </w:rPr>
        <w:t>☑</w:t>
      </w:r>
      <w:r>
        <w:rPr>
          <w:rFonts w:ascii="宋体" w:hAnsi="宋体" w:eastAsia="宋体" w:cs="宋体"/>
          <w:color w:val="auto"/>
          <w:spacing w:val="6"/>
          <w:sz w:val="43"/>
          <w:szCs w:val="43"/>
          <w:highlight w:val="none"/>
          <w:lang w:eastAsia="zh-CN"/>
        </w:rPr>
        <w:t>公开招标□邀请招标）</w:t>
      </w:r>
      <w:r>
        <w:rPr>
          <w:rFonts w:hint="eastAsia" w:ascii="宋体" w:hAnsi="宋体" w:eastAsia="宋体" w:cs="宋体"/>
          <w:color w:val="auto"/>
          <w:spacing w:val="6"/>
          <w:sz w:val="43"/>
          <w:szCs w:val="43"/>
          <w:highlight w:val="none"/>
          <w:lang w:eastAsia="zh-CN"/>
        </w:rPr>
        <w:tab/>
      </w:r>
    </w:p>
    <w:p w14:paraId="6090D96F">
      <w:pPr>
        <w:pStyle w:val="8"/>
        <w:spacing w:line="252" w:lineRule="auto"/>
        <w:rPr>
          <w:color w:val="auto"/>
          <w:highlight w:val="none"/>
          <w:lang w:eastAsia="zh-CN"/>
        </w:rPr>
      </w:pPr>
    </w:p>
    <w:p w14:paraId="024F334E">
      <w:pPr>
        <w:pStyle w:val="8"/>
        <w:spacing w:line="252" w:lineRule="auto"/>
        <w:rPr>
          <w:color w:val="auto"/>
          <w:highlight w:val="none"/>
          <w:lang w:eastAsia="zh-CN"/>
        </w:rPr>
      </w:pPr>
    </w:p>
    <w:p w14:paraId="236B6A7A">
      <w:pPr>
        <w:pStyle w:val="8"/>
        <w:spacing w:line="252" w:lineRule="auto"/>
        <w:rPr>
          <w:color w:val="auto"/>
          <w:highlight w:val="none"/>
          <w:lang w:eastAsia="zh-CN"/>
        </w:rPr>
      </w:pPr>
    </w:p>
    <w:p w14:paraId="0AF833CE">
      <w:pPr>
        <w:pStyle w:val="8"/>
        <w:spacing w:line="252" w:lineRule="auto"/>
        <w:rPr>
          <w:color w:val="auto"/>
          <w:highlight w:val="none"/>
          <w:lang w:eastAsia="zh-CN"/>
        </w:rPr>
      </w:pPr>
    </w:p>
    <w:p w14:paraId="4626D2C6">
      <w:pPr>
        <w:pStyle w:val="8"/>
        <w:spacing w:line="252" w:lineRule="auto"/>
        <w:rPr>
          <w:color w:val="auto"/>
          <w:highlight w:val="none"/>
          <w:lang w:eastAsia="zh-CN"/>
        </w:rPr>
      </w:pPr>
    </w:p>
    <w:p w14:paraId="630F178B">
      <w:pPr>
        <w:pStyle w:val="8"/>
        <w:spacing w:line="252" w:lineRule="auto"/>
        <w:rPr>
          <w:color w:val="auto"/>
          <w:highlight w:val="none"/>
          <w:lang w:eastAsia="zh-CN"/>
        </w:rPr>
      </w:pPr>
    </w:p>
    <w:p w14:paraId="7420A8C4">
      <w:pPr>
        <w:pStyle w:val="8"/>
        <w:spacing w:line="252" w:lineRule="auto"/>
        <w:rPr>
          <w:color w:val="auto"/>
          <w:highlight w:val="none"/>
          <w:lang w:eastAsia="zh-CN"/>
        </w:rPr>
      </w:pPr>
    </w:p>
    <w:p w14:paraId="4E9E91F5">
      <w:pPr>
        <w:pStyle w:val="8"/>
        <w:spacing w:line="253" w:lineRule="auto"/>
        <w:rPr>
          <w:color w:val="auto"/>
          <w:highlight w:val="none"/>
          <w:lang w:eastAsia="zh-CN"/>
        </w:rPr>
      </w:pPr>
    </w:p>
    <w:p w14:paraId="3A166B15">
      <w:pPr>
        <w:pStyle w:val="8"/>
        <w:spacing w:line="253" w:lineRule="auto"/>
        <w:rPr>
          <w:color w:val="auto"/>
          <w:highlight w:val="none"/>
          <w:lang w:eastAsia="zh-CN"/>
        </w:rPr>
      </w:pPr>
    </w:p>
    <w:p w14:paraId="03208710">
      <w:pPr>
        <w:pStyle w:val="8"/>
        <w:spacing w:line="253" w:lineRule="auto"/>
        <w:rPr>
          <w:color w:val="auto"/>
          <w:highlight w:val="none"/>
          <w:lang w:eastAsia="zh-CN"/>
        </w:rPr>
      </w:pPr>
    </w:p>
    <w:p w14:paraId="755A7665">
      <w:pPr>
        <w:pStyle w:val="8"/>
        <w:spacing w:line="253" w:lineRule="auto"/>
        <w:rPr>
          <w:color w:val="auto"/>
          <w:highlight w:val="none"/>
          <w:lang w:eastAsia="zh-CN"/>
        </w:rPr>
      </w:pPr>
    </w:p>
    <w:p w14:paraId="22D3CE59">
      <w:pPr>
        <w:pStyle w:val="8"/>
        <w:spacing w:line="253" w:lineRule="auto"/>
        <w:rPr>
          <w:color w:val="auto"/>
          <w:highlight w:val="none"/>
          <w:lang w:eastAsia="zh-CN"/>
        </w:rPr>
      </w:pPr>
    </w:p>
    <w:p w14:paraId="5FC307DE">
      <w:pPr>
        <w:pStyle w:val="8"/>
        <w:spacing w:line="253" w:lineRule="auto"/>
        <w:rPr>
          <w:color w:val="auto"/>
          <w:highlight w:val="none"/>
          <w:lang w:eastAsia="zh-CN"/>
        </w:rPr>
      </w:pPr>
    </w:p>
    <w:p w14:paraId="688DF23F">
      <w:pPr>
        <w:pStyle w:val="8"/>
        <w:spacing w:line="253" w:lineRule="auto"/>
        <w:rPr>
          <w:color w:val="auto"/>
          <w:highlight w:val="none"/>
          <w:lang w:eastAsia="zh-CN"/>
        </w:rPr>
      </w:pPr>
    </w:p>
    <w:p w14:paraId="30FDE0D1">
      <w:pPr>
        <w:pStyle w:val="8"/>
        <w:spacing w:line="253" w:lineRule="auto"/>
        <w:rPr>
          <w:color w:val="auto"/>
          <w:highlight w:val="none"/>
          <w:lang w:eastAsia="zh-CN"/>
        </w:rPr>
      </w:pPr>
    </w:p>
    <w:p w14:paraId="2B18604A">
      <w:pPr>
        <w:pStyle w:val="8"/>
        <w:keepNext w:val="0"/>
        <w:keepLines w:val="0"/>
        <w:pageBreakBefore w:val="0"/>
        <w:widowControl/>
        <w:kinsoku w:val="0"/>
        <w:wordWrap/>
        <w:overflowPunct/>
        <w:topLinePunct w:val="0"/>
        <w:autoSpaceDE w:val="0"/>
        <w:autoSpaceDN w:val="0"/>
        <w:bidi w:val="0"/>
        <w:adjustRightInd w:val="0"/>
        <w:snapToGrid w:val="0"/>
        <w:spacing w:line="360" w:lineRule="auto"/>
        <w:ind w:firstLine="1920" w:firstLineChars="600"/>
        <w:textAlignment w:val="auto"/>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招</w:t>
      </w:r>
      <w:r>
        <w:rPr>
          <w:rFonts w:hint="eastAsia" w:ascii="宋体" w:hAnsi="宋体" w:eastAsia="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lang w:eastAsia="zh-CN"/>
        </w:rPr>
        <w:t>标</w:t>
      </w:r>
      <w:r>
        <w:rPr>
          <w:rFonts w:hint="eastAsia" w:ascii="宋体" w:hAnsi="宋体" w:eastAsia="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lang w:eastAsia="zh-CN"/>
        </w:rPr>
        <w:t>人：三门经济投资开发有限公司</w:t>
      </w:r>
    </w:p>
    <w:p w14:paraId="4CE48C5B">
      <w:pPr>
        <w:pStyle w:val="8"/>
        <w:keepNext w:val="0"/>
        <w:keepLines w:val="0"/>
        <w:pageBreakBefore w:val="0"/>
        <w:widowControl/>
        <w:kinsoku w:val="0"/>
        <w:wordWrap/>
        <w:overflowPunct/>
        <w:topLinePunct w:val="0"/>
        <w:autoSpaceDE w:val="0"/>
        <w:autoSpaceDN w:val="0"/>
        <w:bidi w:val="0"/>
        <w:adjustRightInd w:val="0"/>
        <w:snapToGrid w:val="0"/>
        <w:spacing w:line="360" w:lineRule="auto"/>
        <w:ind w:firstLine="1920" w:firstLineChars="600"/>
        <w:textAlignment w:val="auto"/>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招标代理机构：欧邦工程管理集团有限公司</w:t>
      </w:r>
    </w:p>
    <w:p w14:paraId="5219D0D4">
      <w:pPr>
        <w:pStyle w:val="8"/>
        <w:keepNext w:val="0"/>
        <w:keepLines w:val="0"/>
        <w:pageBreakBefore w:val="0"/>
        <w:widowControl/>
        <w:kinsoku w:val="0"/>
        <w:wordWrap/>
        <w:overflowPunct/>
        <w:topLinePunct w:val="0"/>
        <w:autoSpaceDE w:val="0"/>
        <w:autoSpaceDN w:val="0"/>
        <w:bidi w:val="0"/>
        <w:adjustRightInd w:val="0"/>
        <w:snapToGrid w:val="0"/>
        <w:spacing w:line="360" w:lineRule="auto"/>
        <w:ind w:firstLine="1920" w:firstLineChars="600"/>
        <w:textAlignment w:val="auto"/>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行业主管部门：三门县住房和城乡建设局</w:t>
      </w:r>
    </w:p>
    <w:p w14:paraId="2E8197AB">
      <w:pPr>
        <w:pStyle w:val="8"/>
        <w:tabs>
          <w:tab w:val="left" w:pos="3611"/>
          <w:tab w:val="left" w:pos="4626"/>
          <w:tab w:val="left" w:pos="5642"/>
        </w:tabs>
        <w:kinsoku w:val="0"/>
        <w:spacing w:before="14" w:line="360" w:lineRule="auto"/>
        <w:ind w:left="2877" w:right="175" w:firstLine="301" w:firstLineChars="100"/>
        <w:rPr>
          <w:rFonts w:hint="default"/>
          <w:color w:val="auto"/>
          <w:sz w:val="28"/>
          <w:szCs w:val="28"/>
          <w:highlight w:val="none"/>
          <w:lang w:val="en-US"/>
        </w:rPr>
        <w:sectPr>
          <w:footerReference r:id="rId3" w:type="default"/>
          <w:pgSz w:w="11906" w:h="16838"/>
          <w:pgMar w:top="1446" w:right="1434" w:bottom="1298" w:left="1434" w:header="720" w:footer="720" w:gutter="0"/>
          <w:pgNumType w:fmt="decimal"/>
          <w:cols w:space="0" w:num="1"/>
          <w:docGrid w:linePitch="0" w:charSpace="0"/>
        </w:sectPr>
      </w:pPr>
      <w:r>
        <w:rPr>
          <w:rFonts w:hint="eastAsia" w:ascii="宋体" w:hAnsi="宋体" w:eastAsia="宋体"/>
          <w:b/>
          <w:bCs/>
          <w:color w:val="auto"/>
          <w:sz w:val="30"/>
          <w:szCs w:val="30"/>
          <w:highlight w:val="none"/>
          <w:lang w:eastAsia="zh-CN"/>
        </w:rPr>
        <w:t>二〇二</w:t>
      </w:r>
      <w:r>
        <w:rPr>
          <w:rFonts w:hint="eastAsia" w:ascii="宋体" w:hAnsi="宋体" w:eastAsia="宋体"/>
          <w:b/>
          <w:bCs/>
          <w:color w:val="auto"/>
          <w:sz w:val="30"/>
          <w:szCs w:val="30"/>
          <w:highlight w:val="none"/>
          <w:lang w:val="en-US" w:eastAsia="zh-CN"/>
        </w:rPr>
        <w:t>五</w:t>
      </w:r>
      <w:r>
        <w:rPr>
          <w:rFonts w:hint="eastAsia" w:ascii="宋体" w:hAnsi="宋体"/>
          <w:b/>
          <w:bCs/>
          <w:color w:val="auto"/>
          <w:sz w:val="30"/>
          <w:szCs w:val="30"/>
          <w:highlight w:val="none"/>
        </w:rPr>
        <w:t>年</w:t>
      </w:r>
      <w:r>
        <w:rPr>
          <w:rFonts w:hint="eastAsia" w:ascii="宋体" w:hAnsi="宋体" w:eastAsia="宋体"/>
          <w:b/>
          <w:bCs/>
          <w:color w:val="auto"/>
          <w:sz w:val="30"/>
          <w:szCs w:val="30"/>
          <w:highlight w:val="none"/>
          <w:lang w:eastAsia="zh-CN"/>
        </w:rPr>
        <w:t>六</w:t>
      </w:r>
      <w:r>
        <w:rPr>
          <w:rFonts w:hint="eastAsia" w:ascii="宋体" w:hAnsi="宋体"/>
          <w:b/>
          <w:bCs/>
          <w:color w:val="auto"/>
          <w:sz w:val="30"/>
          <w:szCs w:val="30"/>
          <w:highlight w:val="none"/>
          <w:lang w:val="en-US" w:eastAsia="zh-CN"/>
        </w:rPr>
        <w:t>月</w:t>
      </w:r>
    </w:p>
    <w:p w14:paraId="73A83CE5">
      <w:pPr>
        <w:spacing w:line="640" w:lineRule="exact"/>
        <w:jc w:val="center"/>
        <w:rPr>
          <w:rFonts w:hint="eastAsia" w:ascii="宋体" w:hAnsi="宋体" w:cs="宋体"/>
          <w:bCs/>
          <w:color w:val="auto"/>
          <w:sz w:val="44"/>
          <w:szCs w:val="20"/>
          <w:highlight w:val="none"/>
        </w:rPr>
      </w:pPr>
    </w:p>
    <w:p w14:paraId="0366BD38">
      <w:pPr>
        <w:spacing w:line="640" w:lineRule="exact"/>
        <w:jc w:val="center"/>
        <w:rPr>
          <w:rFonts w:ascii="宋体" w:hAnsi="宋体" w:cs="宋体"/>
          <w:color w:val="auto"/>
          <w:sz w:val="32"/>
          <w:szCs w:val="32"/>
          <w:highlight w:val="none"/>
        </w:rPr>
      </w:pPr>
      <w:r>
        <w:rPr>
          <w:rFonts w:hint="eastAsia" w:ascii="宋体" w:hAnsi="宋体" w:cs="宋体"/>
          <w:bCs/>
          <w:color w:val="auto"/>
          <w:sz w:val="44"/>
          <w:szCs w:val="20"/>
          <w:highlight w:val="none"/>
        </w:rPr>
        <w:t>三   门   县</w:t>
      </w:r>
    </w:p>
    <w:p w14:paraId="132ED835">
      <w:pPr>
        <w:spacing w:line="1100" w:lineRule="exact"/>
        <w:jc w:val="center"/>
        <w:rPr>
          <w:rFonts w:ascii="宋体" w:hAnsi="宋体" w:cs="宋体"/>
          <w:bCs/>
          <w:color w:val="auto"/>
          <w:spacing w:val="120"/>
          <w:sz w:val="44"/>
          <w:szCs w:val="20"/>
          <w:highlight w:val="none"/>
        </w:rPr>
      </w:pPr>
      <w:r>
        <w:rPr>
          <w:rFonts w:hint="eastAsia" w:ascii="宋体" w:hAnsi="宋体" w:cs="宋体"/>
          <w:bCs/>
          <w:color w:val="auto"/>
          <w:spacing w:val="120"/>
          <w:sz w:val="44"/>
          <w:szCs w:val="20"/>
          <w:highlight w:val="none"/>
        </w:rPr>
        <w:t>建设工程招标文件</w:t>
      </w:r>
    </w:p>
    <w:p w14:paraId="5D07CFBF">
      <w:pPr>
        <w:spacing w:beforeLines="100" w:line="440" w:lineRule="exact"/>
        <w:jc w:val="center"/>
        <w:rPr>
          <w:rFonts w:hint="eastAsia" w:ascii="宋体" w:hAnsi="宋体" w:cs="宋体" w:eastAsiaTheme="minorEastAsia"/>
          <w:bCs/>
          <w:color w:val="auto"/>
          <w:sz w:val="32"/>
          <w:szCs w:val="20"/>
          <w:highlight w:val="none"/>
          <w:lang w:eastAsia="zh-CN"/>
        </w:rPr>
      </w:pPr>
      <w:r>
        <w:rPr>
          <w:rFonts w:hint="eastAsia" w:ascii="宋体" w:hAnsi="宋体" w:cs="宋体"/>
          <w:bCs/>
          <w:color w:val="auto"/>
          <w:sz w:val="32"/>
          <w:szCs w:val="20"/>
          <w:highlight w:val="none"/>
        </w:rPr>
        <w:t>备案登记号：</w:t>
      </w:r>
      <w:r>
        <w:rPr>
          <w:rFonts w:hint="eastAsia" w:ascii="宋体" w:hAnsi="宋体" w:cs="宋体"/>
          <w:bCs/>
          <w:color w:val="auto"/>
          <w:sz w:val="32"/>
          <w:szCs w:val="20"/>
          <w:highlight w:val="none"/>
          <w:lang w:eastAsia="zh-CN"/>
        </w:rPr>
        <w:t>三招建备2025-</w:t>
      </w:r>
      <w:r>
        <w:rPr>
          <w:rFonts w:hint="eastAsia" w:ascii="宋体" w:hAnsi="宋体" w:cs="宋体"/>
          <w:bCs/>
          <w:color w:val="auto"/>
          <w:sz w:val="32"/>
          <w:szCs w:val="20"/>
          <w:highlight w:val="none"/>
          <w:lang w:val="en-US" w:eastAsia="zh-CN"/>
        </w:rPr>
        <w:t>078</w:t>
      </w:r>
      <w:r>
        <w:rPr>
          <w:rFonts w:hint="eastAsia" w:ascii="宋体" w:hAnsi="宋体" w:cs="宋体"/>
          <w:bCs/>
          <w:color w:val="auto"/>
          <w:sz w:val="32"/>
          <w:szCs w:val="20"/>
          <w:highlight w:val="none"/>
          <w:lang w:eastAsia="zh-CN"/>
        </w:rPr>
        <w:t>号</w:t>
      </w:r>
    </w:p>
    <w:p w14:paraId="4DB434F9">
      <w:pPr>
        <w:spacing w:line="640" w:lineRule="exact"/>
        <w:ind w:left="210" w:firstLine="564" w:firstLineChars="269"/>
        <w:rPr>
          <w:rFonts w:ascii="宋体" w:hAnsi="宋体" w:cs="宋体"/>
          <w:bCs/>
          <w:color w:val="auto"/>
          <w:highlight w:val="none"/>
        </w:rPr>
      </w:pPr>
    </w:p>
    <w:p w14:paraId="2E3F96C1">
      <w:pPr>
        <w:pStyle w:val="8"/>
        <w:keepNext w:val="0"/>
        <w:keepLines w:val="0"/>
        <w:pageBreakBefore w:val="0"/>
        <w:widowControl/>
        <w:kinsoku w:val="0"/>
        <w:wordWrap/>
        <w:overflowPunct/>
        <w:topLinePunct w:val="0"/>
        <w:autoSpaceDE w:val="0"/>
        <w:autoSpaceDN w:val="0"/>
        <w:bidi w:val="0"/>
        <w:adjustRightInd w:val="0"/>
        <w:snapToGrid w:val="0"/>
        <w:spacing w:line="360" w:lineRule="auto"/>
        <w:ind w:firstLine="960" w:firstLineChars="300"/>
        <w:textAlignment w:val="auto"/>
        <w:rPr>
          <w:rFonts w:hint="eastAsia" w:ascii="宋体" w:hAnsi="宋体" w:cs="宋体"/>
          <w:bCs/>
          <w:color w:val="auto"/>
          <w:sz w:val="32"/>
          <w:szCs w:val="20"/>
          <w:highlight w:val="none"/>
          <w:lang w:eastAsia="zh-CN"/>
        </w:rPr>
      </w:pPr>
      <w:r>
        <w:rPr>
          <w:rFonts w:hint="eastAsia" w:ascii="宋体" w:hAnsi="宋体" w:cs="宋体"/>
          <w:bCs/>
          <w:color w:val="auto"/>
          <w:sz w:val="32"/>
          <w:szCs w:val="20"/>
          <w:highlight w:val="none"/>
        </w:rPr>
        <w:t>项目名称：</w:t>
      </w:r>
      <w:r>
        <w:rPr>
          <w:rFonts w:hint="eastAsia" w:ascii="宋体" w:hAnsi="宋体" w:cs="宋体"/>
          <w:bCs/>
          <w:color w:val="auto"/>
          <w:sz w:val="32"/>
          <w:szCs w:val="20"/>
          <w:highlight w:val="none"/>
          <w:lang w:eastAsia="zh-CN"/>
        </w:rPr>
        <w:t>三门经济开发区科创中心装修提升工程</w:t>
      </w:r>
    </w:p>
    <w:p w14:paraId="73A5F6B6">
      <w:pPr>
        <w:spacing w:line="640" w:lineRule="exact"/>
        <w:rPr>
          <w:rFonts w:ascii="宋体" w:hAnsi="宋体" w:cs="宋体"/>
          <w:bCs/>
          <w:color w:val="auto"/>
          <w:sz w:val="32"/>
          <w:szCs w:val="20"/>
          <w:highlight w:val="none"/>
        </w:rPr>
      </w:pPr>
    </w:p>
    <w:p w14:paraId="3E325DC6">
      <w:pPr>
        <w:pStyle w:val="8"/>
        <w:keepNext w:val="0"/>
        <w:keepLines w:val="0"/>
        <w:pageBreakBefore w:val="0"/>
        <w:widowControl/>
        <w:kinsoku w:val="0"/>
        <w:wordWrap/>
        <w:overflowPunct/>
        <w:topLinePunct w:val="0"/>
        <w:autoSpaceDE w:val="0"/>
        <w:autoSpaceDN w:val="0"/>
        <w:bidi w:val="0"/>
        <w:adjustRightInd w:val="0"/>
        <w:snapToGrid w:val="0"/>
        <w:spacing w:line="360" w:lineRule="auto"/>
        <w:ind w:firstLine="960" w:firstLineChars="300"/>
        <w:textAlignment w:val="auto"/>
        <w:rPr>
          <w:rFonts w:hint="eastAsia" w:ascii="宋体" w:hAnsi="宋体" w:eastAsia="宋体" w:cs="宋体"/>
          <w:color w:val="auto"/>
          <w:sz w:val="32"/>
          <w:szCs w:val="32"/>
          <w:highlight w:val="none"/>
          <w:lang w:eastAsia="zh-CN"/>
        </w:rPr>
      </w:pPr>
      <w:r>
        <w:rPr>
          <w:rFonts w:hint="eastAsia" w:ascii="宋体" w:hAnsi="宋体" w:cs="宋体"/>
          <w:bCs/>
          <w:color w:val="auto"/>
          <w:sz w:val="32"/>
          <w:szCs w:val="20"/>
          <w:highlight w:val="none"/>
        </w:rPr>
        <w:t>招 标 人：</w:t>
      </w:r>
      <w:r>
        <w:rPr>
          <w:rFonts w:hint="eastAsia" w:ascii="宋体" w:hAnsi="宋体" w:eastAsia="宋体" w:cs="宋体"/>
          <w:color w:val="auto"/>
          <w:sz w:val="32"/>
          <w:szCs w:val="32"/>
          <w:highlight w:val="none"/>
          <w:lang w:eastAsia="zh-CN"/>
        </w:rPr>
        <w:t>三门经济投资开发有限公司</w:t>
      </w:r>
    </w:p>
    <w:p w14:paraId="0E068332">
      <w:pPr>
        <w:spacing w:line="640" w:lineRule="exact"/>
        <w:ind w:left="210" w:firstLine="860" w:firstLineChars="269"/>
        <w:rPr>
          <w:rFonts w:hint="eastAsia" w:ascii="宋体" w:hAnsi="宋体" w:eastAsia="宋体" w:cs="宋体"/>
          <w:bCs/>
          <w:color w:val="auto"/>
          <w:sz w:val="32"/>
          <w:szCs w:val="20"/>
          <w:highlight w:val="none"/>
          <w:lang w:eastAsia="zh-CN"/>
        </w:rPr>
      </w:pPr>
      <w:r>
        <w:rPr>
          <w:rFonts w:hint="eastAsia" w:ascii="宋体" w:hAnsi="宋体" w:cs="宋体"/>
          <w:bCs/>
          <w:color w:val="auto"/>
          <w:sz w:val="32"/>
          <w:szCs w:val="20"/>
          <w:highlight w:val="none"/>
        </w:rPr>
        <w:t>联 系 人：</w:t>
      </w:r>
      <w:r>
        <w:rPr>
          <w:rFonts w:hint="eastAsia" w:ascii="宋体" w:hAnsi="宋体" w:cs="宋体"/>
          <w:bCs/>
          <w:color w:val="auto"/>
          <w:sz w:val="32"/>
          <w:szCs w:val="20"/>
          <w:highlight w:val="none"/>
          <w:lang w:eastAsia="zh-CN"/>
        </w:rPr>
        <w:t>万里</w:t>
      </w:r>
    </w:p>
    <w:p w14:paraId="53F799E1">
      <w:pPr>
        <w:spacing w:line="640" w:lineRule="exact"/>
        <w:ind w:left="210" w:firstLine="860" w:firstLineChars="269"/>
        <w:rPr>
          <w:rFonts w:hint="eastAsia" w:ascii="宋体" w:hAnsi="宋体" w:eastAsia="宋体" w:cs="宋体"/>
          <w:bCs/>
          <w:color w:val="auto"/>
          <w:sz w:val="32"/>
          <w:szCs w:val="20"/>
          <w:highlight w:val="none"/>
          <w:lang w:eastAsia="zh-CN"/>
        </w:rPr>
      </w:pPr>
      <w:r>
        <w:rPr>
          <w:rFonts w:hint="eastAsia" w:ascii="宋体" w:hAnsi="宋体" w:cs="宋体"/>
          <w:bCs/>
          <w:color w:val="auto"/>
          <w:sz w:val="32"/>
          <w:szCs w:val="20"/>
          <w:highlight w:val="none"/>
        </w:rPr>
        <w:t>联系电话：</w:t>
      </w:r>
      <w:r>
        <w:rPr>
          <w:rFonts w:hint="eastAsia" w:ascii="宋体" w:hAnsi="宋体" w:cs="宋体"/>
          <w:bCs/>
          <w:color w:val="auto"/>
          <w:sz w:val="32"/>
          <w:szCs w:val="20"/>
          <w:highlight w:val="none"/>
          <w:lang w:eastAsia="zh-CN"/>
        </w:rPr>
        <w:t>13626619051</w:t>
      </w:r>
    </w:p>
    <w:p w14:paraId="38A9B0F1">
      <w:pPr>
        <w:spacing w:line="640" w:lineRule="exact"/>
        <w:ind w:left="210" w:firstLine="860" w:firstLineChars="269"/>
        <w:rPr>
          <w:rFonts w:ascii="宋体" w:hAnsi="宋体" w:cs="宋体"/>
          <w:bCs/>
          <w:color w:val="auto"/>
          <w:sz w:val="32"/>
          <w:szCs w:val="20"/>
          <w:highlight w:val="none"/>
        </w:rPr>
      </w:pPr>
    </w:p>
    <w:p w14:paraId="57E761F0">
      <w:pPr>
        <w:pStyle w:val="21"/>
        <w:rPr>
          <w:color w:val="auto"/>
          <w:highlight w:val="none"/>
        </w:rPr>
      </w:pPr>
    </w:p>
    <w:p w14:paraId="00CD707C">
      <w:pPr>
        <w:spacing w:line="640" w:lineRule="exact"/>
        <w:ind w:left="210" w:firstLine="860" w:firstLineChars="269"/>
        <w:rPr>
          <w:rFonts w:ascii="宋体" w:hAnsi="宋体" w:cs="宋体"/>
          <w:bCs/>
          <w:color w:val="auto"/>
          <w:sz w:val="32"/>
          <w:szCs w:val="20"/>
          <w:highlight w:val="none"/>
        </w:rPr>
      </w:pPr>
      <w:r>
        <w:rPr>
          <w:rFonts w:hint="eastAsia" w:ascii="宋体" w:hAnsi="宋体" w:cs="宋体"/>
          <w:bCs/>
          <w:color w:val="auto"/>
          <w:sz w:val="32"/>
          <w:szCs w:val="20"/>
          <w:highlight w:val="none"/>
        </w:rPr>
        <w:t>招标代理：</w:t>
      </w:r>
      <w:r>
        <w:rPr>
          <w:rFonts w:hint="eastAsia" w:ascii="宋体" w:hAnsi="宋体" w:cs="宋体"/>
          <w:bCs/>
          <w:color w:val="auto"/>
          <w:sz w:val="32"/>
          <w:szCs w:val="20"/>
          <w:highlight w:val="none"/>
          <w:lang w:eastAsia="zh-CN"/>
        </w:rPr>
        <w:t>欧邦工程管理集团有限公司</w:t>
      </w:r>
      <w:r>
        <w:rPr>
          <w:rFonts w:hint="eastAsia" w:ascii="宋体" w:hAnsi="宋体" w:cs="宋体"/>
          <w:bCs/>
          <w:color w:val="auto"/>
          <w:sz w:val="32"/>
          <w:szCs w:val="20"/>
          <w:highlight w:val="none"/>
        </w:rPr>
        <w:t>（盖章）</w:t>
      </w:r>
    </w:p>
    <w:p w14:paraId="1426127F">
      <w:pPr>
        <w:spacing w:line="640" w:lineRule="exact"/>
        <w:ind w:left="210" w:firstLine="860" w:firstLineChars="269"/>
        <w:rPr>
          <w:rFonts w:hint="eastAsia" w:ascii="宋体" w:hAnsi="宋体" w:eastAsia="宋体" w:cs="宋体"/>
          <w:bCs/>
          <w:color w:val="auto"/>
          <w:sz w:val="32"/>
          <w:szCs w:val="20"/>
          <w:highlight w:val="none"/>
          <w:lang w:eastAsia="zh-CN"/>
        </w:rPr>
      </w:pPr>
      <w:r>
        <w:rPr>
          <w:rFonts w:hint="eastAsia" w:ascii="宋体" w:hAnsi="宋体" w:cs="宋体"/>
          <w:bCs/>
          <w:color w:val="auto"/>
          <w:sz w:val="32"/>
          <w:szCs w:val="20"/>
          <w:highlight w:val="none"/>
        </w:rPr>
        <w:t>联 系 人：</w:t>
      </w:r>
      <w:r>
        <w:rPr>
          <w:rFonts w:hint="eastAsia" w:ascii="宋体" w:hAnsi="宋体" w:cs="宋体"/>
          <w:bCs/>
          <w:color w:val="auto"/>
          <w:sz w:val="32"/>
          <w:szCs w:val="20"/>
          <w:highlight w:val="none"/>
          <w:lang w:eastAsia="zh-CN"/>
        </w:rPr>
        <w:t>倪勇</w:t>
      </w:r>
    </w:p>
    <w:p w14:paraId="7F35828C">
      <w:pPr>
        <w:spacing w:line="640" w:lineRule="exact"/>
        <w:ind w:left="210" w:firstLine="860" w:firstLineChars="269"/>
        <w:rPr>
          <w:rFonts w:hint="eastAsia" w:ascii="宋体" w:hAnsi="宋体" w:eastAsia="宋体" w:cs="宋体"/>
          <w:bCs/>
          <w:color w:val="auto"/>
          <w:sz w:val="32"/>
          <w:szCs w:val="20"/>
          <w:highlight w:val="none"/>
          <w:lang w:eastAsia="zh-CN"/>
        </w:rPr>
      </w:pPr>
      <w:r>
        <w:rPr>
          <w:rFonts w:hint="eastAsia" w:ascii="宋体" w:hAnsi="宋体" w:cs="宋体"/>
          <w:bCs/>
          <w:color w:val="auto"/>
          <w:sz w:val="32"/>
          <w:szCs w:val="20"/>
          <w:highlight w:val="none"/>
        </w:rPr>
        <w:t>联系电话：</w:t>
      </w:r>
      <w:r>
        <w:rPr>
          <w:rFonts w:hint="eastAsia" w:ascii="宋体" w:hAnsi="宋体" w:cs="宋体"/>
          <w:bCs/>
          <w:color w:val="auto"/>
          <w:sz w:val="32"/>
          <w:szCs w:val="20"/>
          <w:highlight w:val="none"/>
          <w:lang w:eastAsia="zh-CN"/>
        </w:rPr>
        <w:t>0576-83321522</w:t>
      </w:r>
    </w:p>
    <w:p w14:paraId="7B2A56C1">
      <w:pPr>
        <w:pStyle w:val="15"/>
        <w:rPr>
          <w:color w:val="auto"/>
          <w:highlight w:val="none"/>
        </w:rPr>
      </w:pPr>
    </w:p>
    <w:p w14:paraId="32F0B7DA">
      <w:pPr>
        <w:rPr>
          <w:color w:val="auto"/>
          <w:highlight w:val="none"/>
        </w:rPr>
      </w:pPr>
    </w:p>
    <w:p w14:paraId="5DC646D0">
      <w:pPr>
        <w:pStyle w:val="10"/>
        <w:rPr>
          <w:color w:val="auto"/>
          <w:highlight w:val="none"/>
        </w:rPr>
      </w:pPr>
    </w:p>
    <w:p w14:paraId="384A77CC">
      <w:pPr>
        <w:spacing w:line="640" w:lineRule="exact"/>
        <w:ind w:left="210" w:firstLine="860" w:firstLineChars="269"/>
        <w:rPr>
          <w:rFonts w:ascii="宋体" w:hAnsi="宋体" w:cs="宋体"/>
          <w:bCs/>
          <w:color w:val="auto"/>
          <w:highlight w:val="none"/>
        </w:rPr>
      </w:pPr>
      <w:r>
        <w:rPr>
          <w:rFonts w:hint="eastAsia" w:ascii="宋体" w:hAnsi="宋体" w:cs="宋体"/>
          <w:bCs/>
          <w:color w:val="auto"/>
          <w:sz w:val="32"/>
          <w:szCs w:val="20"/>
          <w:highlight w:val="none"/>
        </w:rPr>
        <w:t>行业主管部门：三门县住房和城乡建设局（盖章）</w:t>
      </w:r>
    </w:p>
    <w:p w14:paraId="0FF493C3">
      <w:pPr>
        <w:spacing w:line="640" w:lineRule="exact"/>
        <w:rPr>
          <w:rFonts w:ascii="宋体" w:hAnsi="宋体" w:cs="宋体"/>
          <w:bCs/>
          <w:color w:val="auto"/>
          <w:highlight w:val="none"/>
        </w:rPr>
      </w:pPr>
    </w:p>
    <w:p w14:paraId="272746BF">
      <w:pPr>
        <w:pStyle w:val="8"/>
        <w:spacing w:line="286" w:lineRule="auto"/>
        <w:jc w:val="center"/>
        <w:rPr>
          <w:color w:val="auto"/>
          <w:highlight w:val="none"/>
          <w:lang w:eastAsia="zh-CN"/>
        </w:rPr>
      </w:pPr>
      <w:r>
        <w:rPr>
          <w:rFonts w:hint="eastAsia" w:eastAsia="宋体"/>
          <w:color w:val="auto"/>
          <w:sz w:val="28"/>
          <w:szCs w:val="28"/>
          <w:highlight w:val="none"/>
          <w:lang w:eastAsia="zh-CN"/>
        </w:rPr>
        <w:t>二〇二</w:t>
      </w:r>
      <w:r>
        <w:rPr>
          <w:rFonts w:hint="eastAsia" w:eastAsia="宋体"/>
          <w:color w:val="auto"/>
          <w:sz w:val="28"/>
          <w:szCs w:val="28"/>
          <w:highlight w:val="none"/>
          <w:lang w:val="en-US" w:eastAsia="zh-CN"/>
        </w:rPr>
        <w:t>五年六</w:t>
      </w:r>
      <w:r>
        <w:rPr>
          <w:rFonts w:hint="eastAsia"/>
          <w:color w:val="auto"/>
          <w:sz w:val="28"/>
          <w:szCs w:val="28"/>
          <w:highlight w:val="none"/>
        </w:rPr>
        <w:t>月</w:t>
      </w:r>
    </w:p>
    <w:p w14:paraId="336D1129">
      <w:pPr>
        <w:pStyle w:val="8"/>
        <w:spacing w:line="287" w:lineRule="auto"/>
        <w:rPr>
          <w:color w:val="auto"/>
          <w:highlight w:val="none"/>
          <w:lang w:eastAsia="zh-CN"/>
        </w:rPr>
      </w:pPr>
    </w:p>
    <w:p w14:paraId="1EF0BFBA">
      <w:pPr>
        <w:pStyle w:val="8"/>
        <w:spacing w:line="287" w:lineRule="auto"/>
        <w:rPr>
          <w:color w:val="auto"/>
          <w:highlight w:val="none"/>
          <w:lang w:eastAsia="zh-CN"/>
        </w:rPr>
      </w:pPr>
    </w:p>
    <w:p w14:paraId="36A06D08">
      <w:pPr>
        <w:rPr>
          <w:rFonts w:ascii="宋体" w:hAnsi="宋体" w:eastAsia="宋体" w:cs="宋体"/>
          <w:b/>
          <w:bCs/>
          <w:color w:val="auto"/>
          <w:spacing w:val="-37"/>
          <w:sz w:val="43"/>
          <w:szCs w:val="43"/>
          <w:highlight w:val="none"/>
          <w:lang w:eastAsia="zh-CN"/>
        </w:rPr>
      </w:pPr>
      <w:r>
        <w:rPr>
          <w:rFonts w:ascii="宋体" w:hAnsi="宋体" w:eastAsia="宋体" w:cs="宋体"/>
          <w:b/>
          <w:bCs/>
          <w:color w:val="auto"/>
          <w:spacing w:val="-37"/>
          <w:sz w:val="43"/>
          <w:szCs w:val="43"/>
          <w:highlight w:val="none"/>
          <w:lang w:eastAsia="zh-CN"/>
        </w:rPr>
        <w:br w:type="page"/>
      </w:r>
    </w:p>
    <w:p w14:paraId="0B4F8D83">
      <w:pPr>
        <w:spacing w:before="140" w:line="216" w:lineRule="auto"/>
        <w:ind w:left="3933"/>
        <w:outlineLvl w:val="0"/>
        <w:rPr>
          <w:rFonts w:ascii="宋体" w:hAnsi="宋体" w:eastAsia="宋体" w:cs="宋体"/>
          <w:color w:val="auto"/>
          <w:sz w:val="43"/>
          <w:szCs w:val="43"/>
          <w:highlight w:val="none"/>
          <w:lang w:eastAsia="zh-CN"/>
        </w:rPr>
      </w:pPr>
      <w:r>
        <w:rPr>
          <w:rFonts w:ascii="宋体" w:hAnsi="宋体" w:eastAsia="宋体" w:cs="宋体"/>
          <w:b/>
          <w:bCs/>
          <w:color w:val="auto"/>
          <w:spacing w:val="-37"/>
          <w:sz w:val="43"/>
          <w:szCs w:val="43"/>
          <w:highlight w:val="none"/>
          <w:lang w:eastAsia="zh-CN"/>
        </w:rPr>
        <w:t>目录</w:t>
      </w:r>
    </w:p>
    <w:p w14:paraId="038E1836">
      <w:pPr>
        <w:pStyle w:val="8"/>
        <w:spacing w:line="258" w:lineRule="auto"/>
        <w:rPr>
          <w:color w:val="auto"/>
          <w:highlight w:val="none"/>
          <w:lang w:eastAsia="zh-CN"/>
        </w:rPr>
      </w:pPr>
    </w:p>
    <w:p w14:paraId="2974BF77">
      <w:pPr>
        <w:pStyle w:val="8"/>
        <w:spacing w:line="258" w:lineRule="auto"/>
        <w:rPr>
          <w:color w:val="auto"/>
          <w:highlight w:val="none"/>
          <w:lang w:eastAsia="zh-CN"/>
        </w:rPr>
      </w:pPr>
    </w:p>
    <w:p w14:paraId="5A3E068D">
      <w:pPr>
        <w:pStyle w:val="8"/>
        <w:spacing w:line="258" w:lineRule="auto"/>
        <w:rPr>
          <w:color w:val="auto"/>
          <w:highlight w:val="none"/>
          <w:lang w:eastAsia="zh-CN"/>
        </w:rPr>
      </w:pPr>
    </w:p>
    <w:sdt>
      <w:sdtPr>
        <w:rPr>
          <w:rFonts w:ascii="宋体" w:hAnsi="宋体" w:eastAsia="宋体" w:cs="宋体"/>
          <w:color w:val="auto"/>
          <w:sz w:val="24"/>
          <w:szCs w:val="24"/>
          <w:highlight w:val="none"/>
        </w:rPr>
        <w:id w:val="174652672"/>
        <w:docPartObj>
          <w:docPartGallery w:val="Table of Contents"/>
          <w:docPartUnique/>
        </w:docPartObj>
      </w:sdtPr>
      <w:sdtEndPr>
        <w:rPr>
          <w:rFonts w:ascii="Times New Roman" w:hAnsi="Times New Roman" w:eastAsia="Times New Roman" w:cs="Times New Roman"/>
          <w:color w:val="auto"/>
          <w:sz w:val="24"/>
          <w:szCs w:val="24"/>
          <w:highlight w:val="none"/>
        </w:rPr>
      </w:sdtEndPr>
      <w:sdtContent>
        <w:p w14:paraId="35C82387">
          <w:pPr>
            <w:tabs>
              <w:tab w:val="right" w:leader="dot" w:pos="8822"/>
            </w:tabs>
            <w:spacing w:before="78" w:line="184" w:lineRule="auto"/>
            <w:rPr>
              <w:rFonts w:ascii="Times New Roman" w:hAnsi="Times New Roman" w:eastAsia="Times New Roman" w:cs="Times New Roman"/>
              <w:color w:val="auto"/>
              <w:sz w:val="24"/>
              <w:szCs w:val="24"/>
              <w:highlight w:val="none"/>
              <w:lang w:eastAsia="zh-CN"/>
            </w:rPr>
          </w:pPr>
          <w:bookmarkStart w:id="0" w:name="bookmark1"/>
          <w:bookmarkEnd w:id="0"/>
          <w:r>
            <w:rPr>
              <w:color w:val="auto"/>
              <w:highlight w:val="none"/>
            </w:rPr>
            <w:fldChar w:fldCharType="begin"/>
          </w:r>
          <w:r>
            <w:rPr>
              <w:color w:val="auto"/>
              <w:highlight w:val="none"/>
            </w:rPr>
            <w:instrText xml:space="preserve"> HYPERLINK \l "bookmark2" </w:instrText>
          </w:r>
          <w:r>
            <w:rPr>
              <w:color w:val="auto"/>
              <w:highlight w:val="none"/>
            </w:rPr>
            <w:fldChar w:fldCharType="separate"/>
          </w:r>
          <w:r>
            <w:rPr>
              <w:rFonts w:ascii="宋体" w:hAnsi="宋体" w:eastAsia="宋体" w:cs="宋体"/>
              <w:color w:val="auto"/>
              <w:spacing w:val="-3"/>
              <w:sz w:val="24"/>
              <w:szCs w:val="24"/>
              <w:highlight w:val="none"/>
              <w:lang w:eastAsia="zh-CN"/>
            </w:rPr>
            <w:t>第一章招标公告</w:t>
          </w:r>
          <w:r>
            <w:rPr>
              <w:rFonts w:ascii="宋体" w:hAnsi="宋体" w:eastAsia="宋体" w:cs="宋体"/>
              <w:color w:val="auto"/>
              <w:sz w:val="24"/>
              <w:szCs w:val="24"/>
              <w:highlight w:val="none"/>
              <w:lang w:eastAsia="zh-CN"/>
            </w:rPr>
            <w:tab/>
          </w:r>
          <w:r>
            <w:rPr>
              <w:rFonts w:ascii="Times New Roman" w:hAnsi="Times New Roman" w:eastAsia="Times New Roman" w:cs="Times New Roman"/>
              <w:i/>
              <w:iCs/>
              <w:color w:val="auto"/>
              <w:spacing w:val="-9"/>
              <w:sz w:val="24"/>
              <w:szCs w:val="24"/>
              <w:highlight w:val="none"/>
              <w:lang w:eastAsia="zh-CN"/>
            </w:rPr>
            <w:t>1</w:t>
          </w:r>
          <w:r>
            <w:rPr>
              <w:rFonts w:ascii="Times New Roman" w:hAnsi="Times New Roman" w:eastAsia="Times New Roman" w:cs="Times New Roman"/>
              <w:i/>
              <w:iCs/>
              <w:color w:val="auto"/>
              <w:spacing w:val="-7"/>
              <w:sz w:val="24"/>
              <w:szCs w:val="24"/>
              <w:highlight w:val="none"/>
              <w:lang w:eastAsia="zh-CN"/>
            </w:rPr>
            <w:t>4</w:t>
          </w:r>
          <w:r>
            <w:rPr>
              <w:rFonts w:ascii="Times New Roman" w:hAnsi="Times New Roman" w:eastAsia="Times New Roman" w:cs="Times New Roman"/>
              <w:i/>
              <w:iCs/>
              <w:color w:val="auto"/>
              <w:spacing w:val="-7"/>
              <w:sz w:val="24"/>
              <w:szCs w:val="24"/>
              <w:highlight w:val="none"/>
              <w:lang w:eastAsia="zh-CN"/>
            </w:rPr>
            <w:fldChar w:fldCharType="end"/>
          </w:r>
        </w:p>
        <w:p w14:paraId="3961BFA0">
          <w:pPr>
            <w:tabs>
              <w:tab w:val="right" w:leader="dot" w:pos="8822"/>
            </w:tabs>
            <w:spacing w:before="212" w:line="218" w:lineRule="auto"/>
            <w:rPr>
              <w:rFonts w:ascii="Times New Roman" w:hAnsi="Times New Roman" w:eastAsia="Times New Roman" w:cs="Times New Roman"/>
              <w:color w:val="auto"/>
              <w:sz w:val="24"/>
              <w:szCs w:val="24"/>
              <w:highlight w:val="none"/>
              <w:lang w:eastAsia="zh-CN"/>
            </w:rPr>
          </w:pPr>
          <w:r>
            <w:rPr>
              <w:color w:val="auto"/>
              <w:highlight w:val="none"/>
            </w:rPr>
            <w:fldChar w:fldCharType="begin"/>
          </w:r>
          <w:r>
            <w:rPr>
              <w:color w:val="auto"/>
              <w:highlight w:val="none"/>
            </w:rPr>
            <w:instrText xml:space="preserve"> HYPERLINK \l "bookmark4" </w:instrText>
          </w:r>
          <w:r>
            <w:rPr>
              <w:color w:val="auto"/>
              <w:highlight w:val="none"/>
            </w:rPr>
            <w:fldChar w:fldCharType="separate"/>
          </w:r>
          <w:r>
            <w:rPr>
              <w:rFonts w:ascii="宋体" w:hAnsi="宋体" w:eastAsia="宋体" w:cs="宋体"/>
              <w:color w:val="auto"/>
              <w:spacing w:val="-3"/>
              <w:sz w:val="24"/>
              <w:szCs w:val="24"/>
              <w:highlight w:val="none"/>
              <w:lang w:eastAsia="zh-CN"/>
            </w:rPr>
            <w:t>第二章投标人须知</w:t>
          </w:r>
          <w:r>
            <w:rPr>
              <w:rFonts w:ascii="宋体" w:hAnsi="宋体" w:eastAsia="宋体" w:cs="宋体"/>
              <w:color w:val="auto"/>
              <w:sz w:val="24"/>
              <w:szCs w:val="24"/>
              <w:highlight w:val="none"/>
              <w:lang w:eastAsia="zh-CN"/>
            </w:rPr>
            <w:tab/>
          </w:r>
          <w:r>
            <w:rPr>
              <w:rFonts w:ascii="Times New Roman" w:hAnsi="Times New Roman" w:eastAsia="Times New Roman" w:cs="Times New Roman"/>
              <w:i/>
              <w:iCs/>
              <w:color w:val="auto"/>
              <w:spacing w:val="-2"/>
              <w:sz w:val="24"/>
              <w:szCs w:val="24"/>
              <w:highlight w:val="none"/>
              <w:lang w:eastAsia="zh-CN"/>
            </w:rPr>
            <w:t>21</w:t>
          </w:r>
          <w:r>
            <w:rPr>
              <w:rFonts w:ascii="Times New Roman" w:hAnsi="Times New Roman" w:eastAsia="Times New Roman" w:cs="Times New Roman"/>
              <w:i/>
              <w:iCs/>
              <w:color w:val="auto"/>
              <w:spacing w:val="-2"/>
              <w:sz w:val="24"/>
              <w:szCs w:val="24"/>
              <w:highlight w:val="none"/>
              <w:lang w:eastAsia="zh-CN"/>
            </w:rPr>
            <w:fldChar w:fldCharType="end"/>
          </w:r>
        </w:p>
        <w:p w14:paraId="602652EC">
          <w:pPr>
            <w:tabs>
              <w:tab w:val="right" w:leader="dot" w:pos="8825"/>
            </w:tabs>
            <w:spacing w:before="167" w:line="218" w:lineRule="auto"/>
            <w:rPr>
              <w:rFonts w:ascii="Times New Roman" w:hAnsi="Times New Roman" w:eastAsia="Times New Roman" w:cs="Times New Roman"/>
              <w:color w:val="auto"/>
              <w:sz w:val="24"/>
              <w:szCs w:val="24"/>
              <w:highlight w:val="none"/>
              <w:lang w:eastAsia="zh-CN"/>
            </w:rPr>
          </w:pPr>
          <w:bookmarkStart w:id="1" w:name="bookmark5"/>
          <w:bookmarkEnd w:id="1"/>
          <w:r>
            <w:rPr>
              <w:color w:val="auto"/>
              <w:highlight w:val="none"/>
            </w:rPr>
            <w:fldChar w:fldCharType="begin"/>
          </w:r>
          <w:r>
            <w:rPr>
              <w:color w:val="auto"/>
              <w:highlight w:val="none"/>
              <w:lang w:eastAsia="zh-CN"/>
            </w:rPr>
            <w:instrText xml:space="preserve">HYPERLINK \l "bookmark5"</w:instrText>
          </w:r>
          <w:r>
            <w:rPr>
              <w:color w:val="auto"/>
              <w:highlight w:val="none"/>
            </w:rPr>
            <w:fldChar w:fldCharType="separate"/>
          </w:r>
          <w:r>
            <w:rPr>
              <w:rFonts w:ascii="宋体" w:hAnsi="宋体" w:eastAsia="宋体" w:cs="宋体"/>
              <w:color w:val="auto"/>
              <w:spacing w:val="-2"/>
              <w:sz w:val="24"/>
              <w:szCs w:val="24"/>
              <w:highlight w:val="none"/>
              <w:lang w:eastAsia="zh-CN"/>
            </w:rPr>
            <w:t>第三章评标定标办法</w:t>
          </w:r>
          <w:r>
            <w:rPr>
              <w:rFonts w:ascii="宋体" w:hAnsi="宋体" w:eastAsia="宋体" w:cs="宋体"/>
              <w:color w:val="auto"/>
              <w:sz w:val="24"/>
              <w:szCs w:val="24"/>
              <w:highlight w:val="none"/>
              <w:lang w:eastAsia="zh-CN"/>
            </w:rPr>
            <w:tab/>
          </w:r>
          <w:r>
            <w:rPr>
              <w:rFonts w:ascii="Times New Roman" w:hAnsi="Times New Roman" w:eastAsia="Times New Roman" w:cs="Times New Roman"/>
              <w:i/>
              <w:iCs/>
              <w:color w:val="auto"/>
              <w:spacing w:val="-5"/>
              <w:sz w:val="24"/>
              <w:szCs w:val="24"/>
              <w:highlight w:val="none"/>
              <w:lang w:eastAsia="zh-CN"/>
            </w:rPr>
            <w:t>5</w:t>
          </w:r>
          <w:r>
            <w:rPr>
              <w:rFonts w:ascii="Times New Roman" w:hAnsi="Times New Roman" w:eastAsia="Times New Roman" w:cs="Times New Roman"/>
              <w:color w:val="auto"/>
              <w:spacing w:val="-5"/>
              <w:sz w:val="24"/>
              <w:szCs w:val="24"/>
              <w:highlight w:val="none"/>
              <w:lang w:eastAsia="zh-CN"/>
            </w:rPr>
            <w:t>3</w:t>
          </w:r>
          <w:r>
            <w:rPr>
              <w:color w:val="auto"/>
              <w:highlight w:val="none"/>
            </w:rPr>
            <w:fldChar w:fldCharType="end"/>
          </w:r>
        </w:p>
        <w:p w14:paraId="5D15E09D">
          <w:pPr>
            <w:tabs>
              <w:tab w:val="right" w:leader="dot" w:pos="8825"/>
            </w:tabs>
            <w:spacing w:before="167" w:line="184" w:lineRule="auto"/>
            <w:rPr>
              <w:rFonts w:ascii="Times New Roman" w:hAnsi="Times New Roman" w:eastAsia="Times New Roman" w:cs="Times New Roman"/>
              <w:color w:val="auto"/>
              <w:sz w:val="24"/>
              <w:szCs w:val="24"/>
              <w:highlight w:val="none"/>
              <w:lang w:eastAsia="zh-CN"/>
            </w:rPr>
          </w:pPr>
          <w:bookmarkStart w:id="2" w:name="bookmark6"/>
          <w:bookmarkEnd w:id="2"/>
          <w:r>
            <w:rPr>
              <w:color w:val="auto"/>
              <w:highlight w:val="none"/>
            </w:rPr>
            <w:fldChar w:fldCharType="begin"/>
          </w:r>
          <w:r>
            <w:rPr>
              <w:color w:val="auto"/>
              <w:highlight w:val="none"/>
              <w:lang w:eastAsia="zh-CN"/>
            </w:rPr>
            <w:instrText xml:space="preserve">HYPERLINK \l "bookmark7"</w:instrText>
          </w:r>
          <w:r>
            <w:rPr>
              <w:color w:val="auto"/>
              <w:highlight w:val="none"/>
            </w:rPr>
            <w:fldChar w:fldCharType="separate"/>
          </w:r>
          <w:r>
            <w:rPr>
              <w:rFonts w:ascii="宋体" w:hAnsi="宋体" w:eastAsia="宋体" w:cs="宋体"/>
              <w:color w:val="auto"/>
              <w:spacing w:val="-2"/>
              <w:sz w:val="24"/>
              <w:szCs w:val="24"/>
              <w:highlight w:val="none"/>
              <w:lang w:eastAsia="zh-CN"/>
            </w:rPr>
            <w:t>第四章合同条款及格式</w:t>
          </w:r>
          <w:r>
            <w:rPr>
              <w:rFonts w:ascii="宋体" w:hAnsi="宋体" w:eastAsia="宋体" w:cs="宋体"/>
              <w:color w:val="auto"/>
              <w:sz w:val="24"/>
              <w:szCs w:val="24"/>
              <w:highlight w:val="none"/>
              <w:lang w:eastAsia="zh-CN"/>
            </w:rPr>
            <w:tab/>
          </w:r>
          <w:r>
            <w:rPr>
              <w:rFonts w:ascii="Times New Roman" w:hAnsi="Times New Roman" w:eastAsia="Times New Roman" w:cs="Times New Roman"/>
              <w:i/>
              <w:iCs/>
              <w:color w:val="auto"/>
              <w:spacing w:val="-2"/>
              <w:w w:val="90"/>
              <w:sz w:val="24"/>
              <w:szCs w:val="24"/>
              <w:highlight w:val="none"/>
              <w:lang w:eastAsia="zh-CN"/>
            </w:rPr>
            <w:t>7</w:t>
          </w:r>
          <w:r>
            <w:rPr>
              <w:color w:val="auto"/>
              <w:highlight w:val="none"/>
            </w:rPr>
            <w:fldChar w:fldCharType="end"/>
          </w:r>
          <w:r>
            <w:rPr>
              <w:rFonts w:ascii="Times New Roman" w:hAnsi="Times New Roman" w:eastAsia="Times New Roman" w:cs="Times New Roman"/>
              <w:color w:val="auto"/>
              <w:spacing w:val="-2"/>
              <w:w w:val="90"/>
              <w:sz w:val="24"/>
              <w:szCs w:val="24"/>
              <w:highlight w:val="none"/>
              <w:lang w:eastAsia="zh-CN"/>
            </w:rPr>
            <w:t>0</w:t>
          </w:r>
        </w:p>
        <w:p w14:paraId="01637A9A">
          <w:pPr>
            <w:tabs>
              <w:tab w:val="right" w:leader="dot" w:pos="8822"/>
            </w:tabs>
            <w:spacing w:before="212" w:line="184" w:lineRule="auto"/>
            <w:rPr>
              <w:rFonts w:ascii="Times New Roman" w:hAnsi="Times New Roman" w:eastAsia="Times New Roman" w:cs="Times New Roman"/>
              <w:color w:val="auto"/>
              <w:sz w:val="24"/>
              <w:szCs w:val="24"/>
              <w:highlight w:val="none"/>
              <w:lang w:eastAsia="zh-CN"/>
            </w:rPr>
          </w:pPr>
          <w:bookmarkStart w:id="3" w:name="bookmark8"/>
          <w:bookmarkEnd w:id="3"/>
          <w:r>
            <w:rPr>
              <w:color w:val="auto"/>
              <w:highlight w:val="none"/>
            </w:rPr>
            <w:fldChar w:fldCharType="begin"/>
          </w:r>
          <w:r>
            <w:rPr>
              <w:color w:val="auto"/>
              <w:highlight w:val="none"/>
              <w:lang w:eastAsia="zh-CN"/>
            </w:rPr>
            <w:instrText xml:space="preserve">HYPERLINK \l "bookmark9"</w:instrText>
          </w:r>
          <w:r>
            <w:rPr>
              <w:color w:val="auto"/>
              <w:highlight w:val="none"/>
            </w:rPr>
            <w:fldChar w:fldCharType="separate"/>
          </w:r>
          <w:r>
            <w:rPr>
              <w:rFonts w:ascii="宋体" w:hAnsi="宋体" w:eastAsia="宋体" w:cs="宋体"/>
              <w:color w:val="auto"/>
              <w:spacing w:val="-1"/>
              <w:sz w:val="24"/>
              <w:szCs w:val="24"/>
              <w:highlight w:val="none"/>
              <w:lang w:eastAsia="zh-CN"/>
            </w:rPr>
            <w:t>第五章 工程量清单编制</w:t>
          </w:r>
          <w:r>
            <w:rPr>
              <w:rFonts w:ascii="宋体" w:hAnsi="宋体" w:eastAsia="宋体" w:cs="宋体"/>
              <w:color w:val="auto"/>
              <w:sz w:val="24"/>
              <w:szCs w:val="24"/>
              <w:highlight w:val="none"/>
              <w:lang w:eastAsia="zh-CN"/>
            </w:rPr>
            <w:tab/>
          </w:r>
          <w:r>
            <w:rPr>
              <w:rFonts w:ascii="Times New Roman" w:hAnsi="Times New Roman" w:eastAsia="Times New Roman" w:cs="Times New Roman"/>
              <w:i/>
              <w:iCs/>
              <w:color w:val="auto"/>
              <w:spacing w:val="-5"/>
              <w:sz w:val="24"/>
              <w:szCs w:val="24"/>
              <w:highlight w:val="none"/>
              <w:lang w:eastAsia="zh-CN"/>
            </w:rPr>
            <w:t>81</w:t>
          </w:r>
          <w:r>
            <w:rPr>
              <w:color w:val="auto"/>
              <w:highlight w:val="none"/>
            </w:rPr>
            <w:fldChar w:fldCharType="end"/>
          </w:r>
        </w:p>
        <w:p w14:paraId="501B6873">
          <w:pPr>
            <w:tabs>
              <w:tab w:val="right" w:leader="dot" w:pos="8822"/>
            </w:tabs>
            <w:spacing w:before="212" w:line="218" w:lineRule="auto"/>
            <w:rPr>
              <w:rFonts w:ascii="Times New Roman" w:hAnsi="Times New Roman" w:eastAsia="Times New Roman" w:cs="Times New Roman"/>
              <w:color w:val="auto"/>
              <w:sz w:val="24"/>
              <w:szCs w:val="24"/>
              <w:highlight w:val="none"/>
              <w:lang w:eastAsia="zh-CN"/>
            </w:rPr>
          </w:pPr>
          <w:bookmarkStart w:id="4" w:name="bookmark10"/>
          <w:bookmarkEnd w:id="4"/>
          <w:r>
            <w:rPr>
              <w:color w:val="auto"/>
              <w:highlight w:val="none"/>
            </w:rPr>
            <w:fldChar w:fldCharType="begin"/>
          </w:r>
          <w:r>
            <w:rPr>
              <w:color w:val="auto"/>
              <w:highlight w:val="none"/>
              <w:lang w:eastAsia="zh-CN"/>
            </w:rPr>
            <w:instrText xml:space="preserve">HYPERLINK \l "bookmark11"</w:instrText>
          </w:r>
          <w:r>
            <w:rPr>
              <w:color w:val="auto"/>
              <w:highlight w:val="none"/>
            </w:rPr>
            <w:fldChar w:fldCharType="separate"/>
          </w:r>
          <w:r>
            <w:rPr>
              <w:rFonts w:ascii="宋体" w:hAnsi="宋体" w:eastAsia="宋体" w:cs="宋体"/>
              <w:color w:val="auto"/>
              <w:spacing w:val="-9"/>
              <w:sz w:val="24"/>
              <w:szCs w:val="24"/>
              <w:highlight w:val="none"/>
              <w:lang w:eastAsia="zh-CN"/>
            </w:rPr>
            <w:t>第六章图纸</w:t>
          </w:r>
          <w:r>
            <w:rPr>
              <w:rFonts w:ascii="宋体" w:hAnsi="宋体" w:eastAsia="宋体" w:cs="宋体"/>
              <w:color w:val="auto"/>
              <w:sz w:val="24"/>
              <w:szCs w:val="24"/>
              <w:highlight w:val="none"/>
              <w:lang w:eastAsia="zh-CN"/>
            </w:rPr>
            <w:tab/>
          </w:r>
          <w:r>
            <w:rPr>
              <w:rFonts w:ascii="Times New Roman" w:hAnsi="Times New Roman" w:eastAsia="Times New Roman" w:cs="Times New Roman"/>
              <w:color w:val="auto"/>
              <w:spacing w:val="-8"/>
              <w:sz w:val="24"/>
              <w:szCs w:val="24"/>
              <w:highlight w:val="none"/>
              <w:lang w:eastAsia="zh-CN"/>
            </w:rPr>
            <w:t>82</w:t>
          </w:r>
          <w:r>
            <w:rPr>
              <w:color w:val="auto"/>
              <w:highlight w:val="none"/>
            </w:rPr>
            <w:fldChar w:fldCharType="end"/>
          </w:r>
        </w:p>
        <w:p w14:paraId="76F90EFB">
          <w:pPr>
            <w:tabs>
              <w:tab w:val="right" w:leader="dot" w:pos="8825"/>
            </w:tabs>
            <w:spacing w:before="168" w:line="218" w:lineRule="auto"/>
            <w:rPr>
              <w:rFonts w:ascii="Times New Roman" w:hAnsi="Times New Roman" w:eastAsia="Times New Roman" w:cs="Times New Roman"/>
              <w:color w:val="auto"/>
              <w:sz w:val="24"/>
              <w:szCs w:val="24"/>
              <w:highlight w:val="none"/>
              <w:lang w:eastAsia="zh-CN"/>
            </w:rPr>
          </w:pPr>
          <w:bookmarkStart w:id="5" w:name="bookmark12"/>
          <w:bookmarkEnd w:id="5"/>
          <w:r>
            <w:rPr>
              <w:color w:val="auto"/>
              <w:highlight w:val="none"/>
            </w:rPr>
            <w:fldChar w:fldCharType="begin"/>
          </w:r>
          <w:r>
            <w:rPr>
              <w:color w:val="auto"/>
              <w:highlight w:val="none"/>
              <w:lang w:eastAsia="zh-CN"/>
            </w:rPr>
            <w:instrText xml:space="preserve">HYPERLINK \l "bookmark12"</w:instrText>
          </w:r>
          <w:r>
            <w:rPr>
              <w:color w:val="auto"/>
              <w:highlight w:val="none"/>
            </w:rPr>
            <w:fldChar w:fldCharType="separate"/>
          </w:r>
          <w:r>
            <w:rPr>
              <w:rFonts w:ascii="宋体" w:hAnsi="宋体" w:eastAsia="宋体" w:cs="宋体"/>
              <w:color w:val="auto"/>
              <w:spacing w:val="-1"/>
              <w:sz w:val="24"/>
              <w:szCs w:val="24"/>
              <w:highlight w:val="none"/>
              <w:lang w:eastAsia="zh-CN"/>
            </w:rPr>
            <w:t>第七章 技术标准和要求</w:t>
          </w:r>
          <w:r>
            <w:rPr>
              <w:rFonts w:ascii="宋体" w:hAnsi="宋体" w:eastAsia="宋体" w:cs="宋体"/>
              <w:color w:val="auto"/>
              <w:sz w:val="24"/>
              <w:szCs w:val="24"/>
              <w:highlight w:val="none"/>
              <w:lang w:eastAsia="zh-CN"/>
            </w:rPr>
            <w:tab/>
          </w:r>
          <w:r>
            <w:rPr>
              <w:rFonts w:ascii="Times New Roman" w:hAnsi="Times New Roman" w:eastAsia="Times New Roman" w:cs="Times New Roman"/>
              <w:i/>
              <w:iCs/>
              <w:color w:val="auto"/>
              <w:spacing w:val="-7"/>
              <w:w w:val="94"/>
              <w:sz w:val="24"/>
              <w:szCs w:val="24"/>
              <w:highlight w:val="none"/>
              <w:lang w:eastAsia="zh-CN"/>
            </w:rPr>
            <w:t>7</w:t>
          </w:r>
          <w:r>
            <w:rPr>
              <w:rFonts w:ascii="Times New Roman" w:hAnsi="Times New Roman" w:eastAsia="Times New Roman" w:cs="Times New Roman"/>
              <w:color w:val="auto"/>
              <w:spacing w:val="-7"/>
              <w:w w:val="94"/>
              <w:sz w:val="24"/>
              <w:szCs w:val="24"/>
              <w:highlight w:val="none"/>
              <w:lang w:eastAsia="zh-CN"/>
            </w:rPr>
            <w:t>8</w:t>
          </w:r>
          <w:r>
            <w:rPr>
              <w:color w:val="auto"/>
              <w:highlight w:val="none"/>
            </w:rPr>
            <w:fldChar w:fldCharType="end"/>
          </w:r>
        </w:p>
        <w:p w14:paraId="499D1CAC">
          <w:pPr>
            <w:tabs>
              <w:tab w:val="right" w:leader="dot" w:pos="8827"/>
            </w:tabs>
            <w:spacing w:before="168" w:line="218" w:lineRule="auto"/>
            <w:rPr>
              <w:rFonts w:ascii="Times New Roman" w:hAnsi="Times New Roman" w:eastAsia="Times New Roman" w:cs="Times New Roman"/>
              <w:color w:val="auto"/>
              <w:sz w:val="24"/>
              <w:szCs w:val="24"/>
              <w:highlight w:val="none"/>
              <w:lang w:eastAsia="zh-CN"/>
            </w:rPr>
          </w:pPr>
          <w:bookmarkStart w:id="6" w:name="bookmark13"/>
          <w:bookmarkEnd w:id="6"/>
          <w:r>
            <w:rPr>
              <w:color w:val="auto"/>
              <w:highlight w:val="none"/>
            </w:rPr>
            <w:fldChar w:fldCharType="begin"/>
          </w:r>
          <w:r>
            <w:rPr>
              <w:color w:val="auto"/>
              <w:highlight w:val="none"/>
              <w:lang w:eastAsia="zh-CN"/>
            </w:rPr>
            <w:instrText xml:space="preserve">HYPERLINK \l "bookmark14"</w:instrText>
          </w:r>
          <w:r>
            <w:rPr>
              <w:color w:val="auto"/>
              <w:highlight w:val="none"/>
            </w:rPr>
            <w:fldChar w:fldCharType="separate"/>
          </w:r>
          <w:r>
            <w:rPr>
              <w:rFonts w:ascii="宋体" w:hAnsi="宋体" w:eastAsia="宋体" w:cs="宋体"/>
              <w:color w:val="auto"/>
              <w:spacing w:val="-1"/>
              <w:sz w:val="24"/>
              <w:szCs w:val="24"/>
              <w:highlight w:val="none"/>
              <w:lang w:eastAsia="zh-CN"/>
            </w:rPr>
            <w:t>第八章 投标文件格式</w:t>
          </w:r>
          <w:r>
            <w:rPr>
              <w:rFonts w:ascii="宋体" w:hAnsi="宋体" w:eastAsia="宋体" w:cs="宋体"/>
              <w:color w:val="auto"/>
              <w:sz w:val="24"/>
              <w:szCs w:val="24"/>
              <w:highlight w:val="none"/>
              <w:lang w:eastAsia="zh-CN"/>
            </w:rPr>
            <w:tab/>
          </w:r>
          <w:r>
            <w:rPr>
              <w:rFonts w:ascii="Times New Roman" w:hAnsi="Times New Roman" w:eastAsia="Times New Roman" w:cs="Times New Roman"/>
              <w:i/>
              <w:iCs/>
              <w:color w:val="auto"/>
              <w:spacing w:val="-13"/>
              <w:sz w:val="24"/>
              <w:szCs w:val="24"/>
              <w:highlight w:val="none"/>
              <w:lang w:eastAsia="zh-CN"/>
            </w:rPr>
            <w:t>8</w:t>
          </w:r>
          <w:r>
            <w:rPr>
              <w:rFonts w:ascii="Times New Roman" w:hAnsi="Times New Roman" w:eastAsia="Times New Roman" w:cs="Times New Roman"/>
              <w:i/>
              <w:iCs/>
              <w:color w:val="auto"/>
              <w:spacing w:val="5"/>
              <w:sz w:val="24"/>
              <w:szCs w:val="24"/>
              <w:highlight w:val="none"/>
              <w:lang w:eastAsia="zh-CN"/>
            </w:rPr>
            <w:t>7</w:t>
          </w:r>
          <w:r>
            <w:rPr>
              <w:color w:val="auto"/>
              <w:highlight w:val="none"/>
            </w:rPr>
            <w:fldChar w:fldCharType="end"/>
          </w:r>
        </w:p>
      </w:sdtContent>
    </w:sdt>
    <w:p w14:paraId="1058090B">
      <w:pPr>
        <w:spacing w:line="218" w:lineRule="auto"/>
        <w:rPr>
          <w:rFonts w:ascii="Times New Roman" w:hAnsi="Times New Roman" w:eastAsia="Times New Roman" w:cs="Times New Roman"/>
          <w:color w:val="auto"/>
          <w:sz w:val="24"/>
          <w:szCs w:val="24"/>
          <w:highlight w:val="none"/>
          <w:lang w:eastAsia="zh-CN"/>
        </w:rPr>
        <w:sectPr>
          <w:footerReference r:id="rId4" w:type="default"/>
          <w:pgSz w:w="11907" w:h="16840"/>
          <w:pgMar w:top="1431" w:right="1366" w:bottom="1288" w:left="1372" w:header="0" w:footer="1102" w:gutter="0"/>
          <w:pgNumType w:fmt="decimal"/>
          <w:cols w:space="720" w:num="1"/>
          <w:docGrid w:linePitch="0" w:charSpace="0"/>
        </w:sectPr>
      </w:pPr>
    </w:p>
    <w:p w14:paraId="4B96D384">
      <w:pPr>
        <w:widowControl/>
        <w:spacing w:line="440" w:lineRule="exact"/>
        <w:jc w:val="center"/>
        <w:rPr>
          <w:color w:val="auto"/>
          <w:sz w:val="28"/>
          <w:szCs w:val="28"/>
          <w:highlight w:val="none"/>
        </w:rPr>
      </w:pPr>
      <w:r>
        <w:rPr>
          <w:rFonts w:hint="eastAsia"/>
          <w:color w:val="auto"/>
          <w:sz w:val="28"/>
          <w:szCs w:val="28"/>
          <w:highlight w:val="none"/>
        </w:rPr>
        <w:t>三门县公共资源交易不见面开标大厅试运行投标人须知</w:t>
      </w:r>
    </w:p>
    <w:p w14:paraId="364AC7F3">
      <w:pPr>
        <w:numPr>
          <w:ilvl w:val="0"/>
          <w:numId w:val="2"/>
        </w:numPr>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三门县公共资源交易不见面开标大厅（以下简称：不见面开标系统）登录方式：插入CA锁并登录交易系统—业务办理—开评标—进入不见面开标系统。</w:t>
      </w:r>
    </w:p>
    <w:p w14:paraId="53A8FE1D">
      <w:pPr>
        <w:numPr>
          <w:ilvl w:val="0"/>
          <w:numId w:val="2"/>
        </w:numPr>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不见面开标系统对投标人终端要求：详见《三门县不见面开标大厅投标人操作手册》。</w:t>
      </w:r>
    </w:p>
    <w:p w14:paraId="6EBB57C7">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特别提示：IE浏览器需安装插件，请按提示自行安装相关插件并按要求进行相关插件的设置。</w:t>
      </w:r>
    </w:p>
    <w:p w14:paraId="119098F5">
      <w:pPr>
        <w:numPr>
          <w:ilvl w:val="0"/>
          <w:numId w:val="2"/>
        </w:numPr>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不见面开标系统需在“三门县工程建设电子交易平台”注册，未注册的请参照《三门县公共资源电子交易平台企业网上注册登记操作示意卡》自行网上注册并核验通过，见三门县公共资源交易网“下载中心”。</w:t>
      </w:r>
    </w:p>
    <w:p w14:paraId="2BE00B1B">
      <w:pPr>
        <w:numPr>
          <w:ilvl w:val="0"/>
          <w:numId w:val="2"/>
        </w:numPr>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不见面开标系统需使用数字证书（CA）操作，未取得数字证书（CA）的，请前往“三门县公共资源交易专用数字证书用户自助申报系统”自助办理（网址：http://www.tseal.cn/tcloud/smxztb。</w:t>
      </w:r>
    </w:p>
    <w:p w14:paraId="0050A24F">
      <w:pPr>
        <w:numPr>
          <w:ilvl w:val="0"/>
          <w:numId w:val="2"/>
        </w:numPr>
        <w:spacing w:line="360" w:lineRule="auto"/>
        <w:ind w:left="0" w:leftChars="0" w:firstLine="412" w:firstLineChars="200"/>
        <w:rPr>
          <w:rFonts w:hint="eastAsia" w:ascii="宋体" w:hAnsi="宋体" w:eastAsia="宋体" w:cs="宋体"/>
          <w:color w:val="auto"/>
          <w:highlight w:val="none"/>
        </w:rPr>
      </w:pPr>
      <w:r>
        <w:rPr>
          <w:rFonts w:hint="eastAsia" w:ascii="宋体" w:hAnsi="宋体" w:eastAsia="宋体" w:cs="宋体"/>
          <w:color w:val="auto"/>
          <w:spacing w:val="-2"/>
          <w:highlight w:val="none"/>
        </w:rPr>
        <w:t>不见面开标项目投标文件均用专用招投标工具软件编制，软件下载地址见网站下载中心，</w:t>
      </w:r>
      <w:r>
        <w:rPr>
          <w:rFonts w:hint="eastAsia" w:ascii="宋体" w:hAnsi="宋体" w:eastAsia="宋体" w:cs="宋体"/>
          <w:color w:val="auto"/>
          <w:highlight w:val="none"/>
        </w:rPr>
        <w:t>投标工具锁申请地址：</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"http://commkey.pminfo.cn/RegisterRockey/Login/Login.aspx" </w:instrText>
      </w:r>
      <w:r>
        <w:rPr>
          <w:rFonts w:hint="eastAsia" w:ascii="宋体" w:hAnsi="宋体" w:eastAsia="宋体" w:cs="宋体"/>
          <w:color w:val="auto"/>
          <w:highlight w:val="none"/>
        </w:rPr>
        <w:fldChar w:fldCharType="separate"/>
      </w:r>
      <w:r>
        <w:rPr>
          <w:rStyle w:val="20"/>
          <w:rFonts w:hint="eastAsia" w:ascii="宋体" w:hAnsi="宋体" w:eastAsia="宋体" w:cs="宋体"/>
          <w:color w:val="auto"/>
          <w:highlight w:val="none"/>
        </w:rPr>
        <w:t>http://commkey.pminfo.cn/R</w:t>
      </w:r>
      <w:bookmarkStart w:id="7" w:name="_Hlt44403250"/>
      <w:bookmarkStart w:id="8" w:name="_Hlt44403249"/>
      <w:r>
        <w:rPr>
          <w:rStyle w:val="20"/>
          <w:rFonts w:hint="eastAsia" w:ascii="宋体" w:hAnsi="宋体" w:eastAsia="宋体" w:cs="宋体"/>
          <w:color w:val="auto"/>
          <w:highlight w:val="none"/>
        </w:rPr>
        <w:t>e</w:t>
      </w:r>
      <w:bookmarkEnd w:id="7"/>
      <w:bookmarkEnd w:id="8"/>
      <w:r>
        <w:rPr>
          <w:rStyle w:val="20"/>
          <w:rFonts w:hint="eastAsia" w:ascii="宋体" w:hAnsi="宋体" w:eastAsia="宋体" w:cs="宋体"/>
          <w:color w:val="auto"/>
          <w:highlight w:val="none"/>
        </w:rPr>
        <w:t>gisterRockey/Login/Login.aspx</w:t>
      </w:r>
      <w:r>
        <w:rPr>
          <w:rStyle w:val="20"/>
          <w:rFonts w:hint="eastAsia" w:ascii="宋体" w:hAnsi="宋体" w:eastAsia="宋体" w:cs="宋体"/>
          <w:color w:val="auto"/>
          <w:highlight w:val="none"/>
        </w:rPr>
        <w:fldChar w:fldCharType="end"/>
      </w:r>
      <w:r>
        <w:rPr>
          <w:rFonts w:hint="eastAsia" w:ascii="宋体" w:hAnsi="宋体" w:eastAsia="宋体" w:cs="宋体"/>
          <w:color w:val="auto"/>
          <w:spacing w:val="-2"/>
          <w:highlight w:val="none"/>
        </w:rPr>
        <w:t>。</w:t>
      </w:r>
    </w:p>
    <w:p w14:paraId="0F1E6136">
      <w:pPr>
        <w:numPr>
          <w:ilvl w:val="0"/>
          <w:numId w:val="2"/>
        </w:numPr>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开标当日，投标人不必抵达开标现场，仅需在任意地点通过三门县公共资源交易不见面开标大厅参加开标会议，并根据需要使用开标系统与现场招标人进行互动交流、澄清、质疑等活动。未在投标文件递交截止时间之前进行在线签到或未能在开标会议区内全程参与交互的，视为放弃交互和放弃对开评标全过程提疑的权利，投标人将无法进行解密、唱标、评审结果查看等操作，并承担由此导致的一切后果。</w:t>
      </w:r>
    </w:p>
    <w:p w14:paraId="01492C46">
      <w:pPr>
        <w:numPr>
          <w:ilvl w:val="0"/>
          <w:numId w:val="2"/>
        </w:numPr>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递交截止时间后，主持人将在系统内发出投标文件解密的指令，投标人在各自地点按规定时间自行实施远程解密（投标人远程解密方法详见操作手册），投标人解密需在招标代理设置的规定时间之内完成。因投标人网络与电源不稳定、未按操作手册要求配置软硬件、解密锁发生故障或用错、故意不在要求时限内完成解密等自身原因，导致投标文件在规定时间内未能解密、解密失败或解密超时，视为投标人放弃投标；因招标人原因或网上招投标平台发生故障等，导致无法按时完成投标文件解密或开、评标工作无法进行的，可根据实际情况相应延迟解密时间或调整开、评标时间。</w:t>
      </w:r>
    </w:p>
    <w:p w14:paraId="59B3959C">
      <w:pPr>
        <w:numPr>
          <w:ilvl w:val="0"/>
          <w:numId w:val="2"/>
        </w:numPr>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开评标全过程中，各投标人参与远程交互的授权委托人或法人代表应始终为同一个人，中途不得更换，在解密、唱标、提疑、传送文件等特殊情况下需要交互时，投标人一端参与交互的人员将均被视为是投标人的授权委托人或法人代表，投标人不得以不承认交互人员的资格或身份等为借口抵赖推脱，投标人自行承担随意更换人员所导致的一切后果。</w:t>
      </w:r>
    </w:p>
    <w:p w14:paraId="684C4318">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重要事项说明：</w:t>
      </w:r>
    </w:p>
    <w:p w14:paraId="485E1FF0">
      <w:pPr>
        <w:keepNext w:val="0"/>
        <w:keepLines w:val="0"/>
        <w:pageBreakBefore w:val="0"/>
        <w:widowControl w:val="0"/>
        <w:numPr>
          <w:ilvl w:val="0"/>
          <w:numId w:val="3"/>
        </w:numPr>
        <w:kinsoku/>
        <w:wordWrap/>
        <w:overflowPunct/>
        <w:topLinePunct w:val="0"/>
        <w:autoSpaceDE w:val="0"/>
        <w:autoSpaceDN w:val="0"/>
        <w:bidi w:val="0"/>
        <w:adjustRightInd w:val="0"/>
        <w:snapToGrid/>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开标项目的时间均以国家授时中心发布的时间为准。</w:t>
      </w:r>
    </w:p>
    <w:p w14:paraId="2777BA76">
      <w:pPr>
        <w:keepNext w:val="0"/>
        <w:keepLines w:val="0"/>
        <w:pageBreakBefore w:val="0"/>
        <w:widowControl w:val="0"/>
        <w:numPr>
          <w:ilvl w:val="0"/>
          <w:numId w:val="3"/>
        </w:numPr>
        <w:kinsoku/>
        <w:wordWrap/>
        <w:overflowPunct/>
        <w:topLinePunct w:val="0"/>
        <w:autoSpaceDE w:val="0"/>
        <w:autoSpaceDN w:val="0"/>
        <w:bidi w:val="0"/>
        <w:adjustRightInd w:val="0"/>
        <w:snapToGrid/>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投标文件递交截止时间前，各投标人的授权委托人或法人代表应提前进入不见面交易系统进行在线签到，</w:t>
      </w:r>
      <w:r>
        <w:rPr>
          <w:rFonts w:hint="eastAsia" w:ascii="宋体" w:hAnsi="宋体" w:eastAsia="宋体" w:cs="宋体"/>
          <w:b/>
          <w:color w:val="auto"/>
          <w:highlight w:val="none"/>
        </w:rPr>
        <w:t>未完成签到的，将无法解密投标文件，并视为放弃投标</w:t>
      </w:r>
      <w:r>
        <w:rPr>
          <w:rFonts w:hint="eastAsia" w:ascii="宋体" w:hAnsi="宋体" w:eastAsia="宋体" w:cs="宋体"/>
          <w:color w:val="auto"/>
          <w:highlight w:val="none"/>
        </w:rPr>
        <w:t>。</w:t>
      </w:r>
    </w:p>
    <w:p w14:paraId="06F33DA3">
      <w:pPr>
        <w:keepNext w:val="0"/>
        <w:keepLines w:val="0"/>
        <w:pageBreakBefore w:val="0"/>
        <w:widowControl w:val="0"/>
        <w:numPr>
          <w:ilvl w:val="0"/>
          <w:numId w:val="3"/>
        </w:numPr>
        <w:kinsoku/>
        <w:wordWrap/>
        <w:overflowPunct/>
        <w:topLinePunct w:val="0"/>
        <w:autoSpaceDE w:val="0"/>
        <w:autoSpaceDN w:val="0"/>
        <w:bidi w:val="0"/>
        <w:adjustRightInd w:val="0"/>
        <w:snapToGrid/>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投标人未在规定时间内解密、解密失败或解密超时，视为放弃投标。</w:t>
      </w:r>
    </w:p>
    <w:p w14:paraId="6D562F6C">
      <w:pPr>
        <w:keepNext w:val="0"/>
        <w:keepLines w:val="0"/>
        <w:pageBreakBefore w:val="0"/>
        <w:widowControl w:val="0"/>
        <w:numPr>
          <w:ilvl w:val="0"/>
          <w:numId w:val="3"/>
        </w:numPr>
        <w:kinsoku/>
        <w:wordWrap/>
        <w:overflowPunct/>
        <w:topLinePunct w:val="0"/>
        <w:autoSpaceDE w:val="0"/>
        <w:autoSpaceDN w:val="0"/>
        <w:bidi w:val="0"/>
        <w:adjustRightInd w:val="0"/>
        <w:snapToGrid/>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若投标人已申请多把CA锁，请注意使用差别，确保制作上传加密投标文件和开标解密时使用的CA锁是一致的，否则造成解密失败的，由投标人负责。</w:t>
      </w:r>
    </w:p>
    <w:p w14:paraId="27918A9B">
      <w:pPr>
        <w:keepNext w:val="0"/>
        <w:keepLines w:val="0"/>
        <w:pageBreakBefore w:val="0"/>
        <w:widowControl w:val="0"/>
        <w:numPr>
          <w:ilvl w:val="0"/>
          <w:numId w:val="3"/>
        </w:numPr>
        <w:kinsoku/>
        <w:wordWrap/>
        <w:overflowPunct/>
        <w:topLinePunct w:val="0"/>
        <w:autoSpaceDE w:val="0"/>
        <w:autoSpaceDN w:val="0"/>
        <w:bidi w:val="0"/>
        <w:adjustRightInd w:val="0"/>
        <w:snapToGrid/>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如有疑问，请咨询品茗公司技术服务电话，技术服务电话：章宏涛  13968512856。QQ“三门交易平台交流群”（群号：146117595），进行业务咨询。此群也将作为不见面开标的备用远程交互群。</w:t>
      </w:r>
    </w:p>
    <w:p w14:paraId="08A685CA">
      <w:pPr>
        <w:spacing w:line="218" w:lineRule="auto"/>
        <w:rPr>
          <w:rFonts w:ascii="Times New Roman" w:hAnsi="Times New Roman" w:eastAsia="Times New Roman" w:cs="Times New Roman"/>
          <w:color w:val="auto"/>
          <w:sz w:val="24"/>
          <w:szCs w:val="24"/>
          <w:highlight w:val="none"/>
          <w:lang w:eastAsia="zh-CN"/>
        </w:rPr>
        <w:sectPr>
          <w:pgSz w:w="11907" w:h="16840"/>
          <w:pgMar w:top="1431" w:right="1538" w:bottom="1288" w:left="1540" w:header="0" w:footer="1102" w:gutter="0"/>
          <w:pgNumType w:fmt="decimal"/>
          <w:cols w:space="720" w:num="1"/>
          <w:docGrid w:linePitch="0" w:charSpace="0"/>
        </w:sectPr>
      </w:pPr>
    </w:p>
    <w:p w14:paraId="0B0961BB">
      <w:pPr>
        <w:spacing w:before="139" w:line="225" w:lineRule="auto"/>
        <w:ind w:left="2645"/>
        <w:rPr>
          <w:rFonts w:ascii="黑体" w:hAnsi="黑体" w:eastAsia="黑体" w:cs="黑体"/>
          <w:color w:val="auto"/>
          <w:spacing w:val="3"/>
          <w:sz w:val="43"/>
          <w:szCs w:val="43"/>
          <w:highlight w:val="none"/>
          <w:lang w:eastAsia="zh-CN"/>
        </w:rPr>
      </w:pPr>
      <w:bookmarkStart w:id="9" w:name="bookmark2"/>
      <w:bookmarkEnd w:id="9"/>
      <w:r>
        <w:rPr>
          <w:rFonts w:hint="eastAsia" w:ascii="黑体" w:hAnsi="黑体" w:eastAsia="黑体" w:cs="黑体"/>
          <w:color w:val="auto"/>
          <w:spacing w:val="3"/>
          <w:sz w:val="43"/>
          <w:szCs w:val="43"/>
          <w:highlight w:val="none"/>
          <w:lang w:eastAsia="zh-CN"/>
        </w:rPr>
        <w:t>☑</w:t>
      </w:r>
      <w:r>
        <w:rPr>
          <w:rFonts w:ascii="黑体" w:hAnsi="黑体" w:eastAsia="黑体" w:cs="黑体"/>
          <w:color w:val="auto"/>
          <w:spacing w:val="3"/>
          <w:sz w:val="43"/>
          <w:szCs w:val="43"/>
          <w:highlight w:val="none"/>
          <w:lang w:eastAsia="zh-CN"/>
        </w:rPr>
        <w:t>第一章招标公告</w:t>
      </w:r>
    </w:p>
    <w:p w14:paraId="3593C710">
      <w:pPr>
        <w:spacing w:before="139" w:line="225" w:lineRule="auto"/>
        <w:jc w:val="center"/>
        <w:rPr>
          <w:rFonts w:hint="eastAsia" w:ascii="宋体" w:hAnsi="宋体" w:eastAsia="宋体" w:cs="宋体"/>
          <w:color w:val="auto"/>
          <w:sz w:val="28"/>
          <w:szCs w:val="28"/>
          <w:highlight w:val="none"/>
          <w:u w:val="single"/>
          <w:lang w:eastAsia="zh-CN"/>
        </w:rPr>
      </w:pPr>
      <w:r>
        <w:rPr>
          <w:rFonts w:hint="eastAsia" w:ascii="宋体" w:hAnsi="宋体" w:eastAsia="宋体" w:cs="宋体"/>
          <w:color w:val="auto"/>
          <w:sz w:val="28"/>
          <w:szCs w:val="28"/>
          <w:highlight w:val="none"/>
          <w:u w:val="single"/>
          <w:lang w:eastAsia="zh-CN"/>
        </w:rPr>
        <w:t>三门经济开发区科创中心装修提升工程</w:t>
      </w:r>
    </w:p>
    <w:p w14:paraId="654F640A">
      <w:pPr>
        <w:spacing w:before="139" w:line="225" w:lineRule="auto"/>
        <w:jc w:val="center"/>
        <w:rPr>
          <w:rFonts w:ascii="宋体" w:hAnsi="宋体" w:eastAsia="宋体" w:cs="宋体"/>
          <w:b/>
          <w:bCs/>
          <w:color w:val="auto"/>
          <w:spacing w:val="-18"/>
          <w:sz w:val="28"/>
          <w:szCs w:val="28"/>
          <w:highlight w:val="none"/>
          <w:lang w:eastAsia="zh-CN"/>
        </w:rPr>
      </w:pPr>
      <w:r>
        <w:rPr>
          <w:rFonts w:ascii="宋体" w:hAnsi="宋体" w:eastAsia="宋体" w:cs="宋体"/>
          <w:b/>
          <w:bCs/>
          <w:color w:val="auto"/>
          <w:spacing w:val="-18"/>
          <w:sz w:val="28"/>
          <w:szCs w:val="28"/>
          <w:highlight w:val="none"/>
          <w:lang w:eastAsia="zh-CN"/>
        </w:rPr>
        <w:t>招标公告</w:t>
      </w:r>
    </w:p>
    <w:p w14:paraId="486DBF08">
      <w:pPr>
        <w:spacing w:before="101" w:line="224" w:lineRule="auto"/>
        <w:ind w:left="34"/>
        <w:rPr>
          <w:rFonts w:ascii="宋体" w:hAnsi="宋体" w:eastAsia="宋体" w:cs="宋体"/>
          <w:color w:val="auto"/>
          <w:sz w:val="31"/>
          <w:szCs w:val="31"/>
          <w:highlight w:val="none"/>
          <w:lang w:eastAsia="zh-CN"/>
        </w:rPr>
      </w:pPr>
      <w:r>
        <w:rPr>
          <w:rFonts w:ascii="宋体" w:hAnsi="宋体" w:eastAsia="宋体" w:cs="宋体"/>
          <w:b/>
          <w:bCs/>
          <w:color w:val="auto"/>
          <w:spacing w:val="-1"/>
          <w:sz w:val="31"/>
          <w:szCs w:val="31"/>
          <w:highlight w:val="none"/>
          <w:lang w:eastAsia="zh-CN"/>
        </w:rPr>
        <w:t>1.招标条件</w:t>
      </w:r>
    </w:p>
    <w:p w14:paraId="112C7170">
      <w:pPr>
        <w:spacing w:line="440" w:lineRule="exact"/>
        <w:ind w:firstLine="480" w:firstLineChars="200"/>
        <w:rPr>
          <w:rFonts w:ascii="宋体" w:hAnsi="宋体" w:eastAsia="宋体" w:cs="宋体"/>
          <w:color w:val="auto"/>
          <w:sz w:val="24"/>
          <w:szCs w:val="24"/>
          <w:highlight w:val="none"/>
          <w:lang w:eastAsia="zh-CN"/>
        </w:rPr>
      </w:pPr>
      <w:r>
        <w:rPr>
          <w:rFonts w:hint="eastAsia" w:ascii="宋体" w:hAnsi="宋体" w:cs="宋体"/>
          <w:color w:val="auto"/>
          <w:sz w:val="24"/>
          <w:szCs w:val="24"/>
          <w:highlight w:val="none"/>
          <w:u w:val="single"/>
          <w:lang w:eastAsia="zh-CN"/>
        </w:rPr>
        <w:t>三门经济开发区科创中心装修提升工程</w:t>
      </w:r>
      <w:r>
        <w:rPr>
          <w:rFonts w:hint="eastAsia" w:ascii="宋体" w:hAnsi="宋体" w:cs="宋体"/>
          <w:color w:val="auto"/>
          <w:sz w:val="24"/>
          <w:szCs w:val="24"/>
          <w:highlight w:val="none"/>
          <w:u w:val="none"/>
          <w:lang w:eastAsia="zh-CN"/>
        </w:rPr>
        <w:t>已由</w:t>
      </w:r>
      <w:r>
        <w:rPr>
          <w:rFonts w:hint="eastAsia" w:ascii="宋体" w:hAnsi="宋体" w:cs="宋体"/>
          <w:color w:val="auto"/>
          <w:sz w:val="24"/>
          <w:szCs w:val="24"/>
          <w:highlight w:val="none"/>
          <w:u w:val="single"/>
          <w:lang w:eastAsia="zh-CN"/>
        </w:rPr>
        <w:t>三门县发展和改革局</w:t>
      </w:r>
      <w:r>
        <w:rPr>
          <w:rFonts w:hint="eastAsia" w:ascii="宋体" w:hAnsi="宋体" w:cs="宋体"/>
          <w:color w:val="auto"/>
          <w:sz w:val="24"/>
          <w:szCs w:val="24"/>
          <w:highlight w:val="none"/>
          <w:u w:val="none"/>
          <w:lang w:eastAsia="zh-CN"/>
        </w:rPr>
        <w:t>以</w:t>
      </w:r>
      <w:r>
        <w:rPr>
          <w:rFonts w:hint="eastAsia" w:ascii="宋体" w:hAnsi="宋体" w:cs="宋体"/>
          <w:color w:val="auto"/>
          <w:sz w:val="24"/>
          <w:szCs w:val="24"/>
          <w:highlight w:val="none"/>
          <w:u w:val="single"/>
          <w:lang w:val="en-US" w:eastAsia="zh-CN"/>
        </w:rPr>
        <w:t>浙江省企业投资项目备案（赋码）2504-331022-04-01-498426</w:t>
      </w:r>
      <w:r>
        <w:rPr>
          <w:rFonts w:hint="eastAsia" w:ascii="宋体" w:hAnsi="宋体" w:eastAsia="宋体" w:cs="宋体"/>
          <w:color w:val="auto"/>
          <w:spacing w:val="-5"/>
          <w:sz w:val="24"/>
          <w:szCs w:val="24"/>
          <w:highlight w:val="none"/>
          <w:lang w:eastAsia="zh-CN"/>
        </w:rPr>
        <w:t>批准建设，</w:t>
      </w:r>
      <w:r>
        <w:rPr>
          <w:rFonts w:ascii="宋体" w:hAnsi="宋体" w:eastAsia="宋体" w:cs="宋体"/>
          <w:color w:val="auto"/>
          <w:spacing w:val="-5"/>
          <w:sz w:val="24"/>
          <w:szCs w:val="24"/>
          <w:highlight w:val="none"/>
          <w:lang w:eastAsia="zh-CN"/>
        </w:rPr>
        <w:t>建设资金来自</w:t>
      </w:r>
      <w:r>
        <w:rPr>
          <w:rFonts w:hint="eastAsia" w:ascii="宋体" w:hAnsi="宋体" w:eastAsia="宋体" w:cs="宋体"/>
          <w:color w:val="auto"/>
          <w:spacing w:val="-5"/>
          <w:sz w:val="24"/>
          <w:szCs w:val="24"/>
          <w:highlight w:val="none"/>
          <w:u w:val="single"/>
          <w:lang w:val="en-US" w:eastAsia="zh-CN"/>
        </w:rPr>
        <w:t>自筹</w:t>
      </w:r>
      <w:r>
        <w:rPr>
          <w:rFonts w:ascii="宋体" w:hAnsi="宋体" w:eastAsia="宋体" w:cs="宋体"/>
          <w:color w:val="auto"/>
          <w:spacing w:val="-30"/>
          <w:sz w:val="24"/>
          <w:szCs w:val="24"/>
          <w:highlight w:val="none"/>
          <w:lang w:eastAsia="zh-CN"/>
        </w:rPr>
        <w:t>，</w:t>
      </w:r>
      <w:r>
        <w:rPr>
          <w:rFonts w:ascii="宋体" w:hAnsi="宋体" w:eastAsia="宋体" w:cs="宋体"/>
          <w:color w:val="auto"/>
          <w:spacing w:val="-5"/>
          <w:sz w:val="24"/>
          <w:szCs w:val="24"/>
          <w:highlight w:val="none"/>
          <w:lang w:eastAsia="zh-CN"/>
        </w:rPr>
        <w:t>出资比例为</w:t>
      </w:r>
      <w:r>
        <w:rPr>
          <w:rFonts w:hint="eastAsia" w:ascii="宋体" w:hAnsi="宋体" w:eastAsia="宋体" w:cs="宋体"/>
          <w:color w:val="auto"/>
          <w:spacing w:val="-5"/>
          <w:sz w:val="24"/>
          <w:szCs w:val="24"/>
          <w:highlight w:val="none"/>
          <w:u w:val="single"/>
          <w:lang w:val="en-US" w:eastAsia="zh-CN"/>
        </w:rPr>
        <w:t>100%</w:t>
      </w:r>
      <w:r>
        <w:rPr>
          <w:rFonts w:ascii="宋体" w:hAnsi="宋体" w:eastAsia="宋体" w:cs="宋体"/>
          <w:color w:val="auto"/>
          <w:spacing w:val="-13"/>
          <w:sz w:val="24"/>
          <w:szCs w:val="24"/>
          <w:highlight w:val="none"/>
          <w:lang w:eastAsia="zh-CN"/>
        </w:rPr>
        <w:t>，</w:t>
      </w:r>
      <w:r>
        <w:rPr>
          <w:rFonts w:ascii="宋体" w:hAnsi="宋体" w:eastAsia="宋体" w:cs="宋体"/>
          <w:color w:val="auto"/>
          <w:spacing w:val="-4"/>
          <w:sz w:val="24"/>
          <w:szCs w:val="24"/>
          <w:highlight w:val="none"/>
          <w:lang w:eastAsia="zh-CN"/>
        </w:rPr>
        <w:t>项目业主为</w:t>
      </w:r>
      <w:r>
        <w:rPr>
          <w:rFonts w:hint="eastAsia" w:ascii="宋体" w:hAnsi="宋体" w:cs="宋体"/>
          <w:color w:val="auto"/>
          <w:sz w:val="24"/>
          <w:szCs w:val="24"/>
          <w:highlight w:val="none"/>
          <w:u w:val="single"/>
          <w:lang w:eastAsia="zh-CN"/>
        </w:rPr>
        <w:t>三门经济投资开发有限公司</w:t>
      </w:r>
      <w:r>
        <w:rPr>
          <w:rFonts w:hint="eastAsia"/>
          <w:color w:val="auto"/>
          <w:spacing w:val="-6"/>
          <w:sz w:val="24"/>
          <w:szCs w:val="24"/>
          <w:highlight w:val="none"/>
        </w:rPr>
        <w:t>，招标人为</w:t>
      </w:r>
      <w:r>
        <w:rPr>
          <w:rFonts w:hint="eastAsia" w:ascii="宋体" w:hAnsi="宋体" w:cs="宋体"/>
          <w:color w:val="auto"/>
          <w:sz w:val="24"/>
          <w:szCs w:val="24"/>
          <w:highlight w:val="none"/>
          <w:u w:val="single"/>
          <w:lang w:eastAsia="zh-CN"/>
        </w:rPr>
        <w:t>三门经济投资开发有限公司</w:t>
      </w:r>
      <w:r>
        <w:rPr>
          <w:rFonts w:hint="eastAsia"/>
          <w:color w:val="auto"/>
          <w:spacing w:val="-6"/>
          <w:sz w:val="24"/>
          <w:szCs w:val="24"/>
          <w:highlight w:val="none"/>
        </w:rPr>
        <w:t>，委托代理机构为</w:t>
      </w:r>
      <w:r>
        <w:rPr>
          <w:color w:val="auto"/>
          <w:spacing w:val="-6"/>
          <w:sz w:val="24"/>
          <w:szCs w:val="24"/>
          <w:highlight w:val="none"/>
          <w:u w:val="single"/>
        </w:rPr>
        <w:t xml:space="preserve"> </w:t>
      </w:r>
      <w:r>
        <w:rPr>
          <w:rFonts w:hint="eastAsia" w:ascii="宋体" w:hAnsi="宋体" w:cs="宋体"/>
          <w:color w:val="auto"/>
          <w:sz w:val="24"/>
          <w:szCs w:val="24"/>
          <w:highlight w:val="none"/>
          <w:u w:val="single"/>
          <w:lang w:eastAsia="zh-CN"/>
        </w:rPr>
        <w:t>欧邦工程管理集团有限公司</w:t>
      </w:r>
      <w:r>
        <w:rPr>
          <w:rFonts w:hint="eastAsia"/>
          <w:color w:val="auto"/>
          <w:spacing w:val="-4"/>
          <w:sz w:val="24"/>
          <w:szCs w:val="24"/>
          <w:highlight w:val="none"/>
        </w:rPr>
        <w:t>。项目已具备招标</w:t>
      </w:r>
      <w:r>
        <w:rPr>
          <w:color w:val="auto"/>
          <w:spacing w:val="-95"/>
          <w:sz w:val="24"/>
          <w:szCs w:val="24"/>
          <w:highlight w:val="none"/>
        </w:rPr>
        <w:t xml:space="preserve"> </w:t>
      </w:r>
      <w:r>
        <w:rPr>
          <w:rFonts w:hint="eastAsia"/>
          <w:color w:val="auto"/>
          <w:sz w:val="24"/>
          <w:szCs w:val="24"/>
          <w:highlight w:val="none"/>
        </w:rPr>
        <w:t>条件，现对该项目的</w:t>
      </w:r>
      <w:r>
        <w:rPr>
          <w:rFonts w:hint="eastAsia"/>
          <w:color w:val="auto"/>
          <w:spacing w:val="-1"/>
          <w:sz w:val="24"/>
          <w:szCs w:val="24"/>
          <w:highlight w:val="none"/>
          <w:u w:val="single"/>
          <w:lang w:eastAsia="zh-CN"/>
        </w:rPr>
        <w:t>三门经济开发区科创中心装修提升工程</w:t>
      </w:r>
      <w:r>
        <w:rPr>
          <w:rFonts w:hint="eastAsia"/>
          <w:color w:val="auto"/>
          <w:sz w:val="24"/>
          <w:szCs w:val="24"/>
          <w:highlight w:val="none"/>
          <w:u w:val="single"/>
        </w:rPr>
        <w:t xml:space="preserve"> </w:t>
      </w:r>
      <w:r>
        <w:rPr>
          <w:rFonts w:hint="eastAsia"/>
          <w:color w:val="auto"/>
          <w:sz w:val="24"/>
          <w:szCs w:val="24"/>
          <w:highlight w:val="none"/>
        </w:rPr>
        <w:t>的施工进行公开招标</w:t>
      </w:r>
      <w:r>
        <w:rPr>
          <w:rFonts w:ascii="宋体" w:hAnsi="宋体" w:eastAsia="宋体" w:cs="宋体"/>
          <w:color w:val="auto"/>
          <w:spacing w:val="-1"/>
          <w:sz w:val="24"/>
          <w:szCs w:val="24"/>
          <w:highlight w:val="none"/>
          <w:lang w:eastAsia="zh-CN"/>
        </w:rPr>
        <w:t>。</w:t>
      </w:r>
    </w:p>
    <w:p w14:paraId="128ADA5C">
      <w:pPr>
        <w:keepNext w:val="0"/>
        <w:keepLines w:val="0"/>
        <w:pageBreakBefore w:val="0"/>
        <w:wordWrap/>
        <w:overflowPunct/>
        <w:topLinePunct w:val="0"/>
        <w:bidi w:val="0"/>
        <w:spacing w:before="1" w:line="360" w:lineRule="auto"/>
        <w:ind w:left="14"/>
        <w:rPr>
          <w:rFonts w:ascii="宋体" w:hAnsi="宋体" w:eastAsia="宋体" w:cs="宋体"/>
          <w:color w:val="auto"/>
          <w:sz w:val="31"/>
          <w:szCs w:val="31"/>
          <w:highlight w:val="none"/>
          <w:lang w:eastAsia="zh-CN"/>
        </w:rPr>
      </w:pPr>
      <w:r>
        <w:rPr>
          <w:rFonts w:ascii="宋体" w:hAnsi="宋体" w:eastAsia="宋体" w:cs="宋体"/>
          <w:b/>
          <w:bCs/>
          <w:color w:val="auto"/>
          <w:spacing w:val="5"/>
          <w:sz w:val="31"/>
          <w:szCs w:val="31"/>
          <w:highlight w:val="none"/>
          <w:lang w:eastAsia="zh-CN"/>
        </w:rPr>
        <w:t>2.项目概况与招标范围</w:t>
      </w:r>
    </w:p>
    <w:p w14:paraId="637088C1">
      <w:pPr>
        <w:keepNext w:val="0"/>
        <w:keepLines w:val="0"/>
        <w:pageBreakBefore w:val="0"/>
        <w:tabs>
          <w:tab w:val="left" w:pos="835"/>
        </w:tabs>
        <w:wordWrap/>
        <w:overflowPunct/>
        <w:topLinePunct w:val="0"/>
        <w:bidi w:val="0"/>
        <w:spacing w:before="116" w:line="360" w:lineRule="auto"/>
        <w:ind w:firstLine="480" w:firstLineChars="200"/>
        <w:jc w:val="both"/>
        <w:rPr>
          <w:rFonts w:hint="eastAsia" w:ascii="宋体" w:hAnsi="宋体" w:cs="宋体"/>
          <w:color w:val="auto"/>
          <w:sz w:val="24"/>
          <w:szCs w:val="24"/>
          <w:highlight w:val="none"/>
          <w:u w:val="none"/>
          <w:lang w:val="en-US" w:eastAsia="zh-CN"/>
        </w:rPr>
      </w:pPr>
      <w:r>
        <w:rPr>
          <w:rFonts w:hint="eastAsia" w:ascii="宋体" w:hAnsi="宋体" w:cs="宋体"/>
          <w:color w:val="auto"/>
          <w:sz w:val="24"/>
          <w:szCs w:val="24"/>
          <w:highlight w:val="none"/>
          <w:u w:val="none"/>
          <w:lang w:eastAsia="zh-CN"/>
        </w:rPr>
        <w:t>2.1项目概况：本项目投资估算</w:t>
      </w:r>
      <w:r>
        <w:rPr>
          <w:rFonts w:hint="eastAsia" w:ascii="宋体" w:hAnsi="宋体" w:cs="宋体"/>
          <w:color w:val="auto"/>
          <w:sz w:val="24"/>
          <w:szCs w:val="24"/>
          <w:highlight w:val="none"/>
          <w:u w:val="single"/>
          <w:lang w:val="en-US" w:eastAsia="zh-CN"/>
        </w:rPr>
        <w:t>1920万</w:t>
      </w:r>
      <w:r>
        <w:rPr>
          <w:rFonts w:hint="eastAsia" w:ascii="宋体" w:hAnsi="宋体" w:cs="宋体"/>
          <w:color w:val="auto"/>
          <w:sz w:val="24"/>
          <w:szCs w:val="24"/>
          <w:highlight w:val="none"/>
          <w:u w:val="single"/>
          <w:lang w:eastAsia="zh-CN"/>
        </w:rPr>
        <w:t>元</w:t>
      </w:r>
      <w:r>
        <w:rPr>
          <w:rFonts w:hint="eastAsia" w:ascii="宋体" w:hAnsi="宋体" w:cs="宋体"/>
          <w:color w:val="auto"/>
          <w:sz w:val="24"/>
          <w:szCs w:val="24"/>
          <w:highlight w:val="none"/>
          <w:u w:val="none"/>
          <w:lang w:eastAsia="zh-CN"/>
        </w:rPr>
        <w:t>，工程概算</w:t>
      </w:r>
      <w:r>
        <w:rPr>
          <w:rFonts w:hint="eastAsia" w:ascii="宋体" w:hAnsi="宋体" w:cs="宋体"/>
          <w:color w:val="auto"/>
          <w:sz w:val="24"/>
          <w:szCs w:val="24"/>
          <w:highlight w:val="none"/>
          <w:u w:val="single"/>
          <w:lang w:val="en-US" w:eastAsia="zh-CN"/>
        </w:rPr>
        <w:t xml:space="preserve">  / </w:t>
      </w:r>
      <w:r>
        <w:rPr>
          <w:rFonts w:hint="eastAsia" w:ascii="宋体" w:hAnsi="宋体" w:cs="宋体"/>
          <w:color w:val="auto"/>
          <w:sz w:val="24"/>
          <w:szCs w:val="24"/>
          <w:highlight w:val="none"/>
          <w:u w:val="single"/>
          <w:lang w:eastAsia="zh-CN"/>
        </w:rPr>
        <w:t>万元</w:t>
      </w:r>
      <w:r>
        <w:rPr>
          <w:rFonts w:hint="eastAsia" w:ascii="宋体" w:hAnsi="宋体" w:cs="宋体"/>
          <w:color w:val="auto"/>
          <w:sz w:val="24"/>
          <w:szCs w:val="24"/>
          <w:highlight w:val="none"/>
          <w:u w:val="none"/>
          <w:lang w:eastAsia="zh-CN"/>
        </w:rPr>
        <w:t>，其中建安工程造</w:t>
      </w:r>
      <w:r>
        <w:rPr>
          <w:rFonts w:hint="eastAsia" w:ascii="宋体" w:hAnsi="宋体" w:cs="宋体"/>
          <w:color w:val="auto"/>
          <w:sz w:val="24"/>
          <w:szCs w:val="24"/>
          <w:highlight w:val="none"/>
          <w:u w:val="none"/>
          <w:lang w:eastAsia="zh-CN"/>
        </w:rPr>
        <w:t>价</w:t>
      </w:r>
      <w:r>
        <w:rPr>
          <w:rFonts w:hint="eastAsia" w:ascii="宋体" w:hAnsi="宋体" w:cs="宋体"/>
          <w:color w:val="auto"/>
          <w:sz w:val="24"/>
          <w:szCs w:val="24"/>
          <w:highlight w:val="none"/>
          <w:u w:val="none"/>
          <w:lang w:val="en-US" w:eastAsia="zh-CN"/>
        </w:rPr>
        <w:t xml:space="preserve"> </w:t>
      </w:r>
      <w:r>
        <w:rPr>
          <w:rFonts w:hint="eastAsia" w:ascii="宋体" w:hAnsi="宋体" w:cs="宋体"/>
          <w:color w:val="auto"/>
          <w:sz w:val="24"/>
          <w:szCs w:val="24"/>
          <w:highlight w:val="none"/>
          <w:u w:val="single"/>
          <w:lang w:val="en-US" w:eastAsia="zh-CN"/>
        </w:rPr>
        <w:t>17327893</w:t>
      </w:r>
      <w:r>
        <w:rPr>
          <w:rFonts w:hint="eastAsia" w:ascii="宋体" w:hAnsi="宋体" w:cs="宋体"/>
          <w:color w:val="auto"/>
          <w:sz w:val="24"/>
          <w:szCs w:val="24"/>
          <w:highlight w:val="none"/>
          <w:u w:val="single"/>
          <w:lang w:eastAsia="zh-CN"/>
        </w:rPr>
        <w:t>元</w:t>
      </w:r>
      <w:r>
        <w:rPr>
          <w:rFonts w:hint="eastAsia" w:ascii="宋体" w:hAnsi="宋体" w:cs="宋体"/>
          <w:color w:val="auto"/>
          <w:sz w:val="24"/>
          <w:szCs w:val="24"/>
          <w:highlight w:val="none"/>
          <w:u w:val="none"/>
          <w:lang w:eastAsia="zh-CN"/>
        </w:rPr>
        <w:t>，</w:t>
      </w:r>
      <w:r>
        <w:rPr>
          <w:rFonts w:hint="eastAsia" w:ascii="宋体" w:hAnsi="宋体" w:cs="宋体"/>
          <w:color w:val="auto"/>
          <w:sz w:val="24"/>
          <w:szCs w:val="24"/>
          <w:highlight w:val="none"/>
          <w:u w:val="none"/>
          <w:lang w:eastAsia="zh-CN"/>
        </w:rPr>
        <w:t>建设规模：</w:t>
      </w:r>
      <w:r>
        <w:rPr>
          <w:rFonts w:hint="eastAsia" w:ascii="宋体" w:hAnsi="宋体" w:cs="宋体"/>
          <w:color w:val="auto"/>
          <w:sz w:val="24"/>
          <w:szCs w:val="24"/>
          <w:highlight w:val="none"/>
          <w:u w:val="none"/>
          <w:lang w:val="en-US" w:eastAsia="zh-CN"/>
        </w:rPr>
        <w:t>三门经济开发区科创中心装修提升</w:t>
      </w:r>
      <w:r>
        <w:rPr>
          <w:rFonts w:hint="eastAsia" w:ascii="宋体" w:hAnsi="宋体" w:cs="宋体"/>
          <w:color w:val="auto"/>
          <w:sz w:val="24"/>
          <w:szCs w:val="24"/>
          <w:highlight w:val="none"/>
          <w:u w:val="none"/>
          <w:lang w:val="en-US" w:eastAsia="zh-CN"/>
        </w:rPr>
        <w:t>工程面积5867.37平方米 ，地上三层，建筑面积5461.57平方米，地下一层，建筑面积405.8平方米，</w:t>
      </w:r>
      <w:r>
        <w:rPr>
          <w:rFonts w:hint="eastAsia" w:ascii="宋体" w:hAnsi="宋体"/>
          <w:color w:val="auto"/>
          <w:sz w:val="24"/>
          <w:highlight w:val="none"/>
          <w:lang w:val="en-US" w:eastAsia="zh-CN"/>
        </w:rPr>
        <w:t>一、二层部分原室外空间改造为室内空间，共增加建筑面积约692㎡，拆除建筑面积约</w:t>
      </w:r>
      <w:bookmarkStart w:id="217" w:name="_GoBack"/>
      <w:bookmarkEnd w:id="217"/>
      <w:r>
        <w:rPr>
          <w:rFonts w:hint="eastAsia" w:ascii="宋体" w:hAnsi="宋体"/>
          <w:color w:val="auto"/>
          <w:sz w:val="24"/>
          <w:highlight w:val="none"/>
          <w:lang w:val="en-US" w:eastAsia="zh-CN"/>
        </w:rPr>
        <w:t>40㎡</w:t>
      </w:r>
      <w:r>
        <w:rPr>
          <w:rFonts w:hint="eastAsia" w:ascii="宋体" w:hAnsi="宋体"/>
          <w:color w:val="auto"/>
          <w:sz w:val="24"/>
          <w:highlight w:val="none"/>
        </w:rPr>
        <w:t>。</w:t>
      </w:r>
      <w:r>
        <w:rPr>
          <w:rFonts w:hint="eastAsia" w:ascii="宋体" w:hAnsi="宋体"/>
          <w:color w:val="auto"/>
          <w:sz w:val="24"/>
          <w:highlight w:val="none"/>
          <w:lang w:val="en-US" w:eastAsia="zh-CN"/>
        </w:rPr>
        <w:t>建设地点：三门历史名人雕塑公园西侧区域，广场路（滨海大道-环湖东路段）南侧，北接广场路，南邻新湖支河，西起公园运动场围墙，东至领导楼围墙。</w:t>
      </w:r>
    </w:p>
    <w:p w14:paraId="13F780B8">
      <w:pPr>
        <w:keepNext w:val="0"/>
        <w:keepLines w:val="0"/>
        <w:pageBreakBefore w:val="0"/>
        <w:wordWrap/>
        <w:overflowPunct/>
        <w:topLinePunct w:val="0"/>
        <w:bidi w:val="0"/>
        <w:spacing w:before="115" w:line="360" w:lineRule="auto"/>
        <w:ind w:left="28" w:right="77" w:firstLine="462"/>
        <w:rPr>
          <w:rFonts w:ascii="宋体" w:hAnsi="宋体" w:eastAsia="宋体" w:cs="宋体"/>
          <w:color w:val="auto"/>
          <w:spacing w:val="-2"/>
          <w:sz w:val="24"/>
          <w:szCs w:val="24"/>
          <w:highlight w:val="none"/>
          <w:lang w:eastAsia="zh-CN"/>
        </w:rPr>
      </w:pPr>
      <w:r>
        <w:rPr>
          <w:rFonts w:ascii="宋体" w:hAnsi="宋体" w:eastAsia="宋体" w:cs="宋体"/>
          <w:color w:val="auto"/>
          <w:spacing w:val="1"/>
          <w:sz w:val="24"/>
          <w:szCs w:val="24"/>
          <w:highlight w:val="none"/>
          <w:lang w:eastAsia="zh-CN"/>
        </w:rPr>
        <w:t>2.2招标范围：</w:t>
      </w:r>
      <w:r>
        <w:rPr>
          <w:rFonts w:hint="eastAsia" w:ascii="宋体" w:hAnsi="宋体" w:eastAsia="宋体" w:cs="宋体"/>
          <w:color w:val="auto"/>
          <w:spacing w:val="1"/>
          <w:sz w:val="24"/>
          <w:szCs w:val="24"/>
          <w:highlight w:val="none"/>
          <w:lang w:eastAsia="zh-CN"/>
        </w:rPr>
        <w:t>招标人提供的施工图纸范围内及预算审核书中所包括建筑改造，结构加固，机电改造，消防改造，室内装修，景观绿化等工程内容。具体详见施工图纸及工程量清单</w:t>
      </w:r>
      <w:r>
        <w:rPr>
          <w:rFonts w:ascii="宋体" w:hAnsi="宋体" w:eastAsia="宋体" w:cs="宋体"/>
          <w:color w:val="auto"/>
          <w:spacing w:val="1"/>
          <w:sz w:val="24"/>
          <w:szCs w:val="24"/>
          <w:highlight w:val="none"/>
          <w:lang w:eastAsia="zh-CN"/>
        </w:rPr>
        <w:t>。</w:t>
      </w:r>
      <w:r>
        <w:rPr>
          <w:rFonts w:ascii="宋体" w:hAnsi="宋体" w:eastAsia="宋体" w:cs="宋体"/>
          <w:color w:val="auto"/>
          <w:spacing w:val="-2"/>
          <w:sz w:val="24"/>
          <w:szCs w:val="24"/>
          <w:highlight w:val="none"/>
          <w:lang w:eastAsia="zh-CN"/>
        </w:rPr>
        <w:t>本次招标建安工程造</w:t>
      </w:r>
      <w:r>
        <w:rPr>
          <w:rFonts w:ascii="宋体" w:hAnsi="宋体" w:eastAsia="宋体" w:cs="宋体"/>
          <w:color w:val="auto"/>
          <w:spacing w:val="-2"/>
          <w:sz w:val="24"/>
          <w:szCs w:val="24"/>
          <w:highlight w:val="none"/>
          <w:lang w:eastAsia="zh-CN"/>
        </w:rPr>
        <w:t>价</w:t>
      </w:r>
      <w:r>
        <w:rPr>
          <w:rFonts w:hint="eastAsia" w:ascii="宋体" w:hAnsi="宋体" w:eastAsia="宋体" w:cs="宋体"/>
          <w:color w:val="auto"/>
          <w:spacing w:val="-2"/>
          <w:sz w:val="24"/>
          <w:szCs w:val="24"/>
          <w:highlight w:val="none"/>
          <w:u w:val="single"/>
          <w:lang w:val="en-US" w:eastAsia="zh-CN"/>
        </w:rPr>
        <w:t>17327893</w:t>
      </w:r>
      <w:r>
        <w:rPr>
          <w:rFonts w:hint="eastAsia" w:ascii="宋体" w:hAnsi="宋体"/>
          <w:color w:val="auto"/>
          <w:sz w:val="24"/>
          <w:szCs w:val="24"/>
          <w:highlight w:val="none"/>
          <w:u w:val="single"/>
        </w:rPr>
        <w:t>元</w:t>
      </w:r>
      <w:r>
        <w:rPr>
          <w:rFonts w:hint="eastAsia" w:ascii="宋体" w:hAnsi="宋体"/>
          <w:color w:val="auto"/>
          <w:sz w:val="24"/>
          <w:szCs w:val="24"/>
          <w:highlight w:val="none"/>
        </w:rPr>
        <w:t>。</w:t>
      </w:r>
    </w:p>
    <w:p w14:paraId="5F2B4224">
      <w:pPr>
        <w:keepNext w:val="0"/>
        <w:keepLines w:val="0"/>
        <w:pageBreakBefore w:val="0"/>
        <w:wordWrap/>
        <w:overflowPunct/>
        <w:topLinePunct w:val="0"/>
        <w:bidi w:val="0"/>
        <w:spacing w:before="37" w:line="360" w:lineRule="auto"/>
        <w:ind w:right="440"/>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2.3施工总工期：</w:t>
      </w:r>
      <w:r>
        <w:rPr>
          <w:rFonts w:hint="eastAsia" w:ascii="宋体" w:hAnsi="宋体" w:cs="宋体"/>
          <w:color w:val="auto"/>
          <w:sz w:val="24"/>
          <w:szCs w:val="24"/>
          <w:highlight w:val="none"/>
        </w:rPr>
        <w:t>不超过</w:t>
      </w:r>
      <w:r>
        <w:rPr>
          <w:rFonts w:hint="eastAsia" w:ascii="宋体" w:hAnsi="宋体" w:cs="宋体"/>
          <w:color w:val="auto"/>
          <w:sz w:val="24"/>
          <w:szCs w:val="24"/>
          <w:highlight w:val="none"/>
          <w:u w:val="single"/>
          <w:lang w:val="en-US" w:eastAsia="zh-CN"/>
        </w:rPr>
        <w:t>100</w:t>
      </w:r>
      <w:r>
        <w:rPr>
          <w:rFonts w:hint="eastAsia" w:ascii="宋体" w:hAnsi="宋体" w:cs="宋体"/>
          <w:color w:val="auto"/>
          <w:sz w:val="24"/>
          <w:szCs w:val="24"/>
          <w:highlight w:val="none"/>
        </w:rPr>
        <w:t>日历天</w:t>
      </w:r>
      <w:r>
        <w:rPr>
          <w:rFonts w:hint="eastAsia" w:ascii="宋体" w:hAnsi="宋体" w:cs="宋体"/>
          <w:color w:val="auto"/>
          <w:sz w:val="24"/>
          <w:szCs w:val="24"/>
          <w:highlight w:val="none"/>
        </w:rPr>
        <w:t>（</w:t>
      </w:r>
      <w:r>
        <w:rPr>
          <w:rFonts w:hint="eastAsia" w:ascii="宋体" w:hAnsi="宋体" w:cs="宋体"/>
          <w:color w:val="auto"/>
          <w:sz w:val="24"/>
          <w:szCs w:val="24"/>
          <w:highlight w:val="none"/>
        </w:rPr>
        <w:t>投标人在投标文件中必须明确工期天数）</w:t>
      </w:r>
      <w:r>
        <w:rPr>
          <w:rFonts w:hint="eastAsia" w:ascii="宋体" w:hAnsi="宋体"/>
          <w:color w:val="auto"/>
          <w:sz w:val="24"/>
          <w:szCs w:val="24"/>
          <w:highlight w:val="none"/>
        </w:rPr>
        <w:t>。</w:t>
      </w:r>
    </w:p>
    <w:p w14:paraId="71C87B1C">
      <w:pPr>
        <w:keepNext w:val="0"/>
        <w:keepLines w:val="0"/>
        <w:pageBreakBefore w:val="0"/>
        <w:wordWrap/>
        <w:overflowPunct/>
        <w:topLinePunct w:val="0"/>
        <w:bidi w:val="0"/>
        <w:spacing w:before="36" w:line="360" w:lineRule="auto"/>
        <w:ind w:left="490"/>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2.4 是否属于政府采购工程□是</w:t>
      </w:r>
      <w:r>
        <w:rPr>
          <w:rFonts w:hint="eastAsia" w:ascii="宋体" w:hAnsi="宋体" w:eastAsia="宋体" w:cs="宋体"/>
          <w:color w:val="auto"/>
          <w:spacing w:val="-5"/>
          <w:sz w:val="24"/>
          <w:szCs w:val="24"/>
          <w:highlight w:val="none"/>
          <w:lang w:eastAsia="zh-CN"/>
        </w:rPr>
        <w:t>☑</w:t>
      </w:r>
      <w:r>
        <w:rPr>
          <w:rFonts w:ascii="宋体" w:hAnsi="宋体" w:eastAsia="宋体" w:cs="宋体"/>
          <w:color w:val="auto"/>
          <w:spacing w:val="-5"/>
          <w:sz w:val="24"/>
          <w:szCs w:val="24"/>
          <w:highlight w:val="none"/>
          <w:lang w:eastAsia="zh-CN"/>
        </w:rPr>
        <w:t>否</w:t>
      </w:r>
    </w:p>
    <w:p w14:paraId="66AA540B">
      <w:pPr>
        <w:keepNext w:val="0"/>
        <w:keepLines w:val="0"/>
        <w:pageBreakBefore w:val="0"/>
        <w:wordWrap/>
        <w:overflowPunct/>
        <w:topLinePunct w:val="0"/>
        <w:bidi w:val="0"/>
        <w:spacing w:before="167" w:line="360" w:lineRule="auto"/>
        <w:ind w:left="511" w:right="5081" w:hanging="21"/>
        <w:rPr>
          <w:rFonts w:ascii="宋体" w:hAnsi="宋体" w:eastAsia="宋体" w:cs="宋体"/>
          <w:color w:val="auto"/>
          <w:spacing w:val="-1"/>
          <w:sz w:val="24"/>
          <w:szCs w:val="24"/>
          <w:highlight w:val="none"/>
          <w:lang w:eastAsia="zh-CN"/>
        </w:rPr>
      </w:pPr>
      <w:r>
        <w:rPr>
          <w:rFonts w:ascii="宋体" w:hAnsi="宋体" w:eastAsia="宋体" w:cs="宋体"/>
          <w:color w:val="auto"/>
          <w:spacing w:val="-1"/>
          <w:sz w:val="24"/>
          <w:szCs w:val="24"/>
          <w:highlight w:val="none"/>
          <w:lang w:eastAsia="zh-CN"/>
        </w:rPr>
        <w:t>2.5 是否专门面向中小企业留</w:t>
      </w:r>
    </w:p>
    <w:p w14:paraId="734975C6">
      <w:pPr>
        <w:keepNext w:val="0"/>
        <w:keepLines w:val="0"/>
        <w:pageBreakBefore w:val="0"/>
        <w:wordWrap/>
        <w:overflowPunct/>
        <w:topLinePunct w:val="0"/>
        <w:bidi w:val="0"/>
        <w:spacing w:before="167" w:line="360" w:lineRule="auto"/>
        <w:ind w:left="511" w:right="5081" w:hanging="21"/>
        <w:rPr>
          <w:rFonts w:ascii="宋体" w:hAnsi="宋体" w:eastAsia="宋体" w:cs="宋体"/>
          <w:color w:val="auto"/>
          <w:sz w:val="24"/>
          <w:szCs w:val="24"/>
          <w:highlight w:val="none"/>
          <w:lang w:eastAsia="zh-CN"/>
        </w:rPr>
      </w:pPr>
      <w:r>
        <w:rPr>
          <w:rFonts w:ascii="宋体" w:hAnsi="宋体" w:eastAsia="宋体" w:cs="宋体"/>
          <w:color w:val="auto"/>
          <w:spacing w:val="-17"/>
          <w:sz w:val="24"/>
          <w:szCs w:val="24"/>
          <w:highlight w:val="none"/>
          <w:lang w:eastAsia="zh-CN"/>
        </w:rPr>
        <w:t>□是</w:t>
      </w:r>
    </w:p>
    <w:p w14:paraId="0FD9DEE0">
      <w:pPr>
        <w:keepNext w:val="0"/>
        <w:keepLines w:val="0"/>
        <w:widowControl/>
        <w:suppressLineNumbers w:val="0"/>
        <w:ind w:firstLine="472" w:firstLineChars="200"/>
        <w:jc w:val="left"/>
        <w:rPr>
          <w:color w:val="auto"/>
          <w:highlight w:val="none"/>
        </w:rPr>
      </w:pPr>
      <w:r>
        <w:rPr>
          <w:rFonts w:hint="eastAsia" w:ascii="宋体" w:hAnsi="宋体" w:eastAsia="宋体" w:cs="宋体"/>
          <w:color w:val="auto"/>
          <w:spacing w:val="-2"/>
          <w:sz w:val="24"/>
          <w:szCs w:val="24"/>
          <w:highlight w:val="none"/>
          <w:lang w:eastAsia="zh-CN"/>
        </w:rPr>
        <w:t>☑</w:t>
      </w:r>
      <w:r>
        <w:rPr>
          <w:rFonts w:ascii="宋体" w:hAnsi="宋体" w:eastAsia="宋体" w:cs="宋体"/>
          <w:color w:val="auto"/>
          <w:spacing w:val="-2"/>
          <w:sz w:val="24"/>
          <w:szCs w:val="24"/>
          <w:highlight w:val="none"/>
          <w:lang w:eastAsia="zh-CN"/>
        </w:rPr>
        <w:t xml:space="preserve">否 </w:t>
      </w:r>
      <w:r>
        <w:rPr>
          <w:rFonts w:hint="eastAsia" w:ascii="宋体" w:hAnsi="宋体" w:eastAsia="宋体" w:cs="宋体"/>
          <w:color w:val="auto"/>
          <w:kern w:val="0"/>
          <w:sz w:val="24"/>
          <w:szCs w:val="24"/>
          <w:highlight w:val="none"/>
          <w:lang w:val="en-US" w:eastAsia="zh-CN" w:bidi="ar"/>
        </w:rPr>
        <w:t xml:space="preserve">（本项目不属于政府采购项目，不适用浙江省财政厅等6部门《关于政府采 </w:t>
      </w:r>
    </w:p>
    <w:p w14:paraId="3063B2CE">
      <w:pPr>
        <w:keepNext w:val="0"/>
        <w:keepLines w:val="0"/>
        <w:widowControl/>
        <w:suppressLineNumbers w:val="0"/>
        <w:jc w:val="left"/>
        <w:rPr>
          <w:rFonts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bidi="ar"/>
        </w:rPr>
        <w:t>购工程落实支持中小企业发展政策的通知》等文件，故不面向中小企业）</w:t>
      </w:r>
    </w:p>
    <w:p w14:paraId="77BE9201">
      <w:pPr>
        <w:keepNext w:val="0"/>
        <w:keepLines w:val="0"/>
        <w:pageBreakBefore w:val="0"/>
        <w:wordWrap/>
        <w:overflowPunct/>
        <w:topLinePunct w:val="0"/>
        <w:bidi w:val="0"/>
        <w:spacing w:before="2" w:line="360" w:lineRule="auto"/>
        <w:ind w:left="17"/>
        <w:rPr>
          <w:rFonts w:ascii="宋体" w:hAnsi="宋体" w:eastAsia="宋体" w:cs="宋体"/>
          <w:color w:val="auto"/>
          <w:sz w:val="31"/>
          <w:szCs w:val="31"/>
          <w:highlight w:val="none"/>
          <w:lang w:eastAsia="zh-CN"/>
        </w:rPr>
      </w:pPr>
      <w:r>
        <w:rPr>
          <w:rFonts w:ascii="宋体" w:hAnsi="宋体" w:eastAsia="宋体" w:cs="宋体"/>
          <w:b/>
          <w:bCs/>
          <w:color w:val="auto"/>
          <w:spacing w:val="4"/>
          <w:sz w:val="31"/>
          <w:szCs w:val="31"/>
          <w:highlight w:val="none"/>
          <w:lang w:eastAsia="zh-CN"/>
        </w:rPr>
        <w:t>3.投标人资格要求</w:t>
      </w:r>
    </w:p>
    <w:p w14:paraId="6D7F3EE8">
      <w:pPr>
        <w:keepNext w:val="0"/>
        <w:keepLines w:val="0"/>
        <w:pageBreakBefore w:val="0"/>
        <w:wordWrap/>
        <w:overflowPunct/>
        <w:topLinePunct w:val="0"/>
        <w:bidi w:val="0"/>
        <w:spacing w:before="114" w:line="360" w:lineRule="auto"/>
        <w:ind w:left="499"/>
        <w:rPr>
          <w:rFonts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（一）投标人：</w:t>
      </w:r>
    </w:p>
    <w:p w14:paraId="76BA123D">
      <w:pPr>
        <w:keepNext w:val="0"/>
        <w:keepLines w:val="0"/>
        <w:pageBreakBefore w:val="0"/>
        <w:wordWrap/>
        <w:overflowPunct/>
        <w:topLinePunct w:val="0"/>
        <w:bidi w:val="0"/>
        <w:spacing w:before="167" w:line="360" w:lineRule="auto"/>
        <w:ind w:right="11" w:firstLine="512"/>
        <w:rPr>
          <w:rFonts w:hint="default" w:ascii="宋体" w:hAnsi="宋体" w:eastAsia="宋体" w:cs="宋体"/>
          <w:color w:val="auto"/>
          <w:sz w:val="25"/>
          <w:szCs w:val="25"/>
          <w:highlight w:val="none"/>
          <w:lang w:val="en-US" w:eastAsia="zh-CN"/>
        </w:rPr>
      </w:pPr>
      <w:r>
        <w:rPr>
          <w:rFonts w:hint="eastAsia" w:ascii="宋体" w:hAnsi="宋体" w:eastAsia="宋体" w:cs="宋体"/>
          <w:color w:val="auto"/>
          <w:spacing w:val="-3"/>
          <w:sz w:val="24"/>
          <w:szCs w:val="24"/>
          <w:highlight w:val="none"/>
          <w:lang w:eastAsia="zh-CN"/>
        </w:rPr>
        <w:t>☑</w:t>
      </w:r>
      <w:r>
        <w:rPr>
          <w:rFonts w:ascii="宋体" w:hAnsi="宋体" w:eastAsia="宋体" w:cs="宋体"/>
          <w:color w:val="auto"/>
          <w:spacing w:val="-3"/>
          <w:sz w:val="24"/>
          <w:szCs w:val="24"/>
          <w:highlight w:val="none"/>
          <w:lang w:eastAsia="zh-CN"/>
        </w:rPr>
        <w:t>3.1具备</w:t>
      </w:r>
      <w:r>
        <w:rPr>
          <w:rFonts w:hint="eastAsia" w:ascii="宋体" w:hAnsi="宋体" w:eastAsia="宋体" w:cs="宋体"/>
          <w:b w:val="0"/>
          <w:bCs w:val="0"/>
          <w:i w:val="0"/>
          <w:iCs w:val="0"/>
          <w:color w:val="auto"/>
          <w:spacing w:val="16"/>
          <w:sz w:val="24"/>
          <w:szCs w:val="24"/>
          <w:highlight w:val="none"/>
          <w:u w:val="single"/>
          <w:lang w:eastAsia="zh-CN"/>
        </w:rPr>
        <w:t>建筑施工总承包三级及以上和特种工程专业（结构补强）</w:t>
      </w:r>
      <w:r>
        <w:rPr>
          <w:rFonts w:hint="eastAsia" w:ascii="宋体" w:hAnsi="宋体" w:eastAsia="宋体" w:cs="宋体"/>
          <w:b w:val="0"/>
          <w:bCs w:val="0"/>
          <w:i w:val="0"/>
          <w:iCs w:val="0"/>
          <w:color w:val="auto"/>
          <w:spacing w:val="16"/>
          <w:sz w:val="24"/>
          <w:szCs w:val="24"/>
          <w:highlight w:val="none"/>
          <w:u w:val="single"/>
          <w:lang w:eastAsia="zh-CN"/>
        </w:rPr>
        <w:t>承包</w:t>
      </w:r>
      <w:r>
        <w:rPr>
          <w:rFonts w:ascii="宋体" w:hAnsi="宋体" w:eastAsia="宋体" w:cs="宋体"/>
          <w:color w:val="auto"/>
          <w:spacing w:val="-3"/>
          <w:sz w:val="24"/>
          <w:szCs w:val="24"/>
          <w:highlight w:val="none"/>
          <w:lang w:eastAsia="zh-CN"/>
        </w:rPr>
        <w:t>资质</w:t>
      </w:r>
      <w:r>
        <w:rPr>
          <w:rFonts w:ascii="宋体" w:hAnsi="宋体" w:eastAsia="宋体" w:cs="宋体"/>
          <w:color w:val="auto"/>
          <w:spacing w:val="16"/>
          <w:sz w:val="24"/>
          <w:szCs w:val="24"/>
          <w:highlight w:val="none"/>
          <w:lang w:eastAsia="zh-CN"/>
        </w:rPr>
        <w:t>；</w:t>
      </w:r>
      <w:r>
        <w:rPr>
          <w:rFonts w:ascii="宋体" w:hAnsi="宋体" w:eastAsia="宋体" w:cs="宋体"/>
          <w:b w:val="0"/>
          <w:bCs w:val="0"/>
          <w:i w:val="0"/>
          <w:iCs w:val="0"/>
          <w:color w:val="auto"/>
          <w:spacing w:val="16"/>
          <w:sz w:val="25"/>
          <w:szCs w:val="25"/>
          <w:highlight w:val="none"/>
          <w:u w:val="single"/>
          <w:lang w:eastAsia="zh-CN"/>
        </w:rPr>
        <w:t>（</w:t>
      </w:r>
      <w:r>
        <w:rPr>
          <w:rFonts w:ascii="宋体" w:hAnsi="宋体" w:eastAsia="宋体" w:cs="宋体"/>
          <w:b w:val="0"/>
          <w:bCs w:val="0"/>
          <w:i w:val="0"/>
          <w:iCs w:val="0"/>
          <w:color w:val="auto"/>
          <w:spacing w:val="-3"/>
          <w:sz w:val="25"/>
          <w:szCs w:val="25"/>
          <w:highlight w:val="none"/>
          <w:u w:val="single"/>
          <w:lang w:eastAsia="zh-CN"/>
        </w:rPr>
        <w:t>对应资质应在“浙江省建筑市</w:t>
      </w:r>
      <w:r>
        <w:rPr>
          <w:rFonts w:ascii="宋体" w:hAnsi="宋体" w:eastAsia="宋体" w:cs="宋体"/>
          <w:b w:val="0"/>
          <w:bCs w:val="0"/>
          <w:i w:val="0"/>
          <w:iCs w:val="0"/>
          <w:color w:val="auto"/>
          <w:spacing w:val="-4"/>
          <w:sz w:val="25"/>
          <w:szCs w:val="25"/>
          <w:highlight w:val="none"/>
          <w:u w:val="single"/>
          <w:lang w:eastAsia="zh-CN"/>
        </w:rPr>
        <w:t>场监管公共服务系</w:t>
      </w:r>
      <w:r>
        <w:rPr>
          <w:rFonts w:ascii="宋体" w:hAnsi="宋体" w:eastAsia="宋体" w:cs="宋体"/>
          <w:b w:val="0"/>
          <w:bCs w:val="0"/>
          <w:i w:val="0"/>
          <w:iCs w:val="0"/>
          <w:color w:val="auto"/>
          <w:spacing w:val="-7"/>
          <w:sz w:val="25"/>
          <w:szCs w:val="25"/>
          <w:highlight w:val="none"/>
          <w:u w:val="single"/>
          <w:lang w:eastAsia="zh-CN"/>
        </w:rPr>
        <w:t>统”上资质动态核查结果处于“合格”状态）</w:t>
      </w:r>
      <w:r>
        <w:rPr>
          <w:rFonts w:hint="eastAsia" w:ascii="宋体" w:hAnsi="宋体" w:eastAsia="宋体" w:cs="宋体"/>
          <w:b w:val="0"/>
          <w:bCs w:val="0"/>
          <w:i w:val="0"/>
          <w:iCs w:val="0"/>
          <w:color w:val="auto"/>
          <w:spacing w:val="-7"/>
          <w:sz w:val="25"/>
          <w:szCs w:val="25"/>
          <w:highlight w:val="none"/>
          <w:u w:val="single"/>
          <w:lang w:val="en-US" w:eastAsia="zh-CN"/>
        </w:rPr>
        <w:t>；</w:t>
      </w:r>
    </w:p>
    <w:p w14:paraId="1B606449">
      <w:pPr>
        <w:keepNext w:val="0"/>
        <w:keepLines w:val="0"/>
        <w:pageBreakBefore w:val="0"/>
        <w:wordWrap/>
        <w:overflowPunct/>
        <w:topLinePunct w:val="0"/>
        <w:bidi w:val="0"/>
        <w:spacing w:before="35" w:line="360" w:lineRule="auto"/>
        <w:ind w:left="8" w:right="77" w:firstLine="503"/>
        <w:jc w:val="both"/>
        <w:rPr>
          <w:rFonts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w:t>
      </w:r>
      <w:r>
        <w:rPr>
          <w:rFonts w:ascii="宋体" w:hAnsi="宋体" w:eastAsia="宋体" w:cs="宋体"/>
          <w:color w:val="auto"/>
          <w:spacing w:val="1"/>
          <w:sz w:val="24"/>
          <w:szCs w:val="24"/>
          <w:highlight w:val="none"/>
          <w:lang w:eastAsia="zh-CN"/>
        </w:rPr>
        <w:t>3.2具备有效的企业安全生产许可证，企业主要负责人（法定代表人、企业经</w:t>
      </w:r>
      <w:r>
        <w:rPr>
          <w:rFonts w:ascii="宋体" w:hAnsi="宋体" w:eastAsia="宋体" w:cs="宋体"/>
          <w:color w:val="auto"/>
          <w:spacing w:val="5"/>
          <w:sz w:val="24"/>
          <w:szCs w:val="24"/>
          <w:highlight w:val="none"/>
          <w:lang w:eastAsia="zh-CN"/>
        </w:rPr>
        <w:t>理、企业分管安全生产的副经理、企业技术负责人）具有对应有效的安全生产考核</w:t>
      </w:r>
      <w:r>
        <w:rPr>
          <w:rFonts w:ascii="宋体" w:hAnsi="宋体" w:eastAsia="宋体" w:cs="宋体"/>
          <w:color w:val="auto"/>
          <w:spacing w:val="-3"/>
          <w:sz w:val="24"/>
          <w:szCs w:val="24"/>
          <w:highlight w:val="none"/>
          <w:lang w:eastAsia="zh-CN"/>
        </w:rPr>
        <w:t>合格证书；</w:t>
      </w:r>
    </w:p>
    <w:p w14:paraId="48AE97ED">
      <w:pPr>
        <w:pStyle w:val="8"/>
        <w:keepNext w:val="0"/>
        <w:keepLines w:val="0"/>
        <w:pageBreakBefore w:val="0"/>
        <w:widowControl w:val="0"/>
        <w:tabs>
          <w:tab w:val="left" w:pos="1343"/>
          <w:tab w:val="left" w:pos="2697"/>
          <w:tab w:val="left" w:pos="3264"/>
          <w:tab w:val="left" w:pos="5370"/>
          <w:tab w:val="left" w:pos="6005"/>
          <w:tab w:val="left" w:pos="7085"/>
          <w:tab w:val="left" w:pos="7498"/>
        </w:tabs>
        <w:kinsoku/>
        <w:wordWrap/>
        <w:overflowPunct/>
        <w:topLinePunct w:val="0"/>
        <w:bidi w:val="0"/>
        <w:adjustRightInd/>
        <w:snapToGrid/>
        <w:spacing w:line="360" w:lineRule="auto"/>
        <w:ind w:left="0" w:firstLine="472" w:firstLineChars="200"/>
        <w:jc w:val="both"/>
        <w:rPr>
          <w:rFonts w:hint="eastAsia" w:ascii="宋体" w:hAnsi="宋体" w:eastAsia="宋体" w:cs="宋体"/>
          <w:i/>
          <w:iCs/>
          <w:color w:val="auto"/>
          <w:sz w:val="24"/>
          <w:szCs w:val="24"/>
          <w:highlight w:val="none"/>
          <w:lang w:eastAsia="zh-CN"/>
        </w:rPr>
      </w:pPr>
      <w:r>
        <w:rPr>
          <w:rFonts w:ascii="宋体" w:hAnsi="宋体" w:eastAsia="宋体" w:cs="宋体"/>
          <w:color w:val="auto"/>
          <w:spacing w:val="-2"/>
          <w:sz w:val="24"/>
          <w:szCs w:val="24"/>
          <w:highlight w:val="none"/>
          <w:lang w:eastAsia="zh-CN"/>
        </w:rPr>
        <w:t>□</w:t>
      </w:r>
      <w:r>
        <w:rPr>
          <w:rFonts w:hint="eastAsia" w:ascii="宋体" w:hAnsi="宋体" w:eastAsia="宋体" w:cs="宋体"/>
          <w:color w:val="auto"/>
          <w:sz w:val="24"/>
          <w:szCs w:val="24"/>
          <w:highlight w:val="none"/>
          <w:lang w:eastAsia="zh-CN"/>
        </w:rPr>
        <w:t>3.3自</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日以来</w:t>
      </w:r>
      <w:r>
        <w:rPr>
          <w:rFonts w:hint="eastAsia" w:ascii="宋体" w:hAnsi="宋体" w:eastAsia="宋体" w:cs="宋体"/>
          <w:i/>
          <w:iCs/>
          <w:color w:val="auto"/>
          <w:sz w:val="24"/>
          <w:szCs w:val="24"/>
          <w:highlight w:val="none"/>
          <w:lang w:eastAsia="zh-CN"/>
        </w:rPr>
        <w:t>□承接过/□完成过</w:t>
      </w:r>
      <w:r>
        <w:rPr>
          <w:rFonts w:hint="eastAsia" w:ascii="宋体" w:hAnsi="宋体" w:eastAsia="宋体" w:cs="宋体"/>
          <w:i/>
          <w:iCs/>
          <w:color w:val="auto"/>
          <w:sz w:val="24"/>
          <w:szCs w:val="24"/>
          <w:highlight w:val="none"/>
          <w:u w:val="single"/>
          <w:lang w:eastAsia="zh-CN"/>
        </w:rPr>
        <w:tab/>
      </w:r>
      <w:r>
        <w:rPr>
          <w:rFonts w:hint="eastAsia" w:ascii="宋体" w:hAnsi="宋体" w:eastAsia="宋体" w:cs="宋体"/>
          <w:i/>
          <w:iCs/>
          <w:color w:val="auto"/>
          <w:sz w:val="24"/>
          <w:szCs w:val="24"/>
          <w:highlight w:val="none"/>
          <w:u w:val="single"/>
          <w:lang w:eastAsia="zh-CN"/>
        </w:rPr>
        <w:t xml:space="preserve"> </w:t>
      </w:r>
      <w:r>
        <w:rPr>
          <w:rFonts w:hint="eastAsia" w:ascii="宋体" w:hAnsi="宋体" w:eastAsia="宋体" w:cs="宋体"/>
          <w:i/>
          <w:iCs/>
          <w:color w:val="auto"/>
          <w:sz w:val="24"/>
          <w:szCs w:val="24"/>
          <w:highlight w:val="none"/>
          <w:u w:val="single"/>
          <w:lang w:val="en-US" w:eastAsia="zh-CN"/>
        </w:rPr>
        <w:t>/</w:t>
      </w:r>
      <w:r>
        <w:rPr>
          <w:rFonts w:hint="eastAsia" w:ascii="宋体" w:hAnsi="宋体" w:eastAsia="宋体" w:cs="宋体"/>
          <w:i/>
          <w:iCs/>
          <w:color w:val="auto"/>
          <w:sz w:val="24"/>
          <w:szCs w:val="24"/>
          <w:highlight w:val="none"/>
          <w:u w:val="single"/>
          <w:lang w:eastAsia="zh-CN"/>
        </w:rPr>
        <w:t xml:space="preserve">     </w:t>
      </w:r>
      <w:r>
        <w:rPr>
          <w:rFonts w:hint="eastAsia" w:ascii="宋体" w:hAnsi="宋体" w:eastAsia="宋体" w:cs="宋体"/>
          <w:i/>
          <w:iCs/>
          <w:color w:val="auto"/>
          <w:sz w:val="24"/>
          <w:szCs w:val="24"/>
          <w:highlight w:val="none"/>
          <w:lang w:eastAsia="zh-CN"/>
        </w:rPr>
        <w:t>业绩；</w:t>
      </w:r>
    </w:p>
    <w:p w14:paraId="2AE0CDC5">
      <w:pPr>
        <w:keepNext w:val="0"/>
        <w:keepLines w:val="0"/>
        <w:pageBreakBefore w:val="0"/>
        <w:widowControl w:val="0"/>
        <w:tabs>
          <w:tab w:val="left" w:pos="1343"/>
          <w:tab w:val="left" w:pos="2697"/>
          <w:tab w:val="left" w:pos="3264"/>
          <w:tab w:val="left" w:pos="4896"/>
          <w:tab w:val="left" w:pos="6005"/>
          <w:tab w:val="left" w:pos="7085"/>
          <w:tab w:val="left" w:pos="7498"/>
        </w:tabs>
        <w:wordWrap/>
        <w:overflowPunct/>
        <w:topLinePunct w:val="0"/>
        <w:autoSpaceDE w:val="0"/>
        <w:autoSpaceDN w:val="0"/>
        <w:bidi w:val="0"/>
        <w:adjustRightInd/>
        <w:spacing w:line="360" w:lineRule="auto"/>
        <w:ind w:left="0" w:firstLine="480" w:firstLineChars="200"/>
        <w:jc w:val="both"/>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3.4本次招标</w:t>
      </w:r>
      <w:r>
        <w:rPr>
          <w:rFonts w:hint="eastAsia" w:ascii="宋体" w:hAnsi="宋体" w:eastAsia="宋体" w:cs="宋体"/>
          <w:color w:val="auto"/>
          <w:sz w:val="24"/>
          <w:szCs w:val="24"/>
          <w:highlight w:val="none"/>
          <w:lang w:val="en-US" w:eastAsia="zh-CN" w:bidi="ar-SA"/>
        </w:rPr>
        <w:t>☑接</w:t>
      </w:r>
      <w:r>
        <w:rPr>
          <w:rFonts w:hint="eastAsia" w:ascii="宋体" w:hAnsi="宋体" w:eastAsia="宋体" w:cs="宋体"/>
          <w:color w:val="auto"/>
          <w:sz w:val="24"/>
          <w:szCs w:val="24"/>
          <w:highlight w:val="none"/>
          <w:lang w:val="en-US" w:eastAsia="zh-CN" w:bidi="ar-SA"/>
        </w:rPr>
        <w:t>受/□不接受联合体投标；</w:t>
      </w:r>
    </w:p>
    <w:p w14:paraId="1DF2FD59">
      <w:pPr>
        <w:keepNext w:val="0"/>
        <w:keepLines w:val="0"/>
        <w:pageBreakBefore w:val="0"/>
        <w:widowControl w:val="0"/>
        <w:tabs>
          <w:tab w:val="left" w:pos="1343"/>
          <w:tab w:val="left" w:pos="2697"/>
          <w:tab w:val="left" w:pos="3264"/>
          <w:tab w:val="left" w:pos="4896"/>
          <w:tab w:val="left" w:pos="6005"/>
          <w:tab w:val="left" w:pos="7085"/>
          <w:tab w:val="left" w:pos="7498"/>
        </w:tabs>
        <w:wordWrap/>
        <w:overflowPunct/>
        <w:topLinePunct w:val="0"/>
        <w:autoSpaceDE w:val="0"/>
        <w:autoSpaceDN w:val="0"/>
        <w:bidi w:val="0"/>
        <w:adjustRightInd w:val="0"/>
        <w:spacing w:line="360" w:lineRule="auto"/>
        <w:ind w:left="520"/>
        <w:jc w:val="both"/>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联合体投标的应满足下列要求：</w:t>
      </w:r>
      <w:r>
        <w:rPr>
          <w:rFonts w:hint="eastAsia" w:ascii="宋体" w:hAnsi="宋体" w:eastAsia="宋体" w:cs="宋体"/>
          <w:color w:val="auto"/>
          <w:sz w:val="24"/>
          <w:szCs w:val="24"/>
          <w:highlight w:val="none"/>
          <w:u w:val="single"/>
          <w:lang w:val="en-US" w:eastAsia="zh-CN" w:bidi="ar-SA"/>
        </w:rPr>
        <w:t xml:space="preserve">          /            </w:t>
      </w:r>
      <w:r>
        <w:rPr>
          <w:rFonts w:hint="eastAsia" w:ascii="宋体" w:hAnsi="宋体" w:eastAsia="宋体" w:cs="宋体"/>
          <w:color w:val="auto"/>
          <w:sz w:val="24"/>
          <w:szCs w:val="24"/>
          <w:highlight w:val="none"/>
          <w:lang w:val="en-US" w:eastAsia="zh-CN" w:bidi="ar-SA"/>
        </w:rPr>
        <w:t xml:space="preserve"> ；</w:t>
      </w:r>
    </w:p>
    <w:p w14:paraId="29BAD8F4">
      <w:pPr>
        <w:keepNext w:val="0"/>
        <w:keepLines w:val="0"/>
        <w:pageBreakBefore w:val="0"/>
        <w:widowControl w:val="0"/>
        <w:tabs>
          <w:tab w:val="left" w:pos="1343"/>
          <w:tab w:val="left" w:pos="2697"/>
          <w:tab w:val="left" w:pos="3264"/>
          <w:tab w:val="left" w:pos="4896"/>
          <w:tab w:val="left" w:pos="6005"/>
          <w:tab w:val="left" w:pos="7085"/>
          <w:tab w:val="left" w:pos="7498"/>
        </w:tabs>
        <w:wordWrap/>
        <w:overflowPunct/>
        <w:topLinePunct w:val="0"/>
        <w:autoSpaceDE w:val="0"/>
        <w:autoSpaceDN w:val="0"/>
        <w:bidi w:val="0"/>
        <w:adjustRightInd/>
        <w:spacing w:line="360" w:lineRule="auto"/>
        <w:ind w:left="0" w:firstLine="480" w:firstLineChars="200"/>
        <w:jc w:val="both"/>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□3.5</w:t>
      </w:r>
      <w:r>
        <w:rPr>
          <w:rFonts w:hint="eastAsia" w:ascii="宋体" w:hAnsi="宋体" w:eastAsia="宋体" w:cs="宋体"/>
          <w:color w:val="auto"/>
          <w:sz w:val="24"/>
          <w:szCs w:val="24"/>
          <w:highlight w:val="none"/>
          <w:u w:val="single"/>
          <w:lang w:val="en-US" w:eastAsia="zh-CN" w:bidi="ar-SA"/>
        </w:rPr>
        <w:t xml:space="preserve">  </w:t>
      </w:r>
      <w:r>
        <w:rPr>
          <w:rFonts w:hint="eastAsia" w:ascii="宋体" w:hAnsi="宋体" w:eastAsia="宋体" w:cs="宋体"/>
          <w:i/>
          <w:iCs/>
          <w:color w:val="auto"/>
          <w:sz w:val="24"/>
          <w:szCs w:val="24"/>
          <w:highlight w:val="none"/>
          <w:u w:val="single"/>
          <w:lang w:val="en-US" w:eastAsia="zh-CN" w:bidi="ar-SA"/>
        </w:rPr>
        <w:t>（招标人需要增加的、符合法律法规的其他要求）</w:t>
      </w:r>
      <w:r>
        <w:rPr>
          <w:rFonts w:hint="eastAsia" w:ascii="宋体" w:hAnsi="宋体" w:eastAsia="宋体" w:cs="宋体"/>
          <w:color w:val="auto"/>
          <w:sz w:val="24"/>
          <w:szCs w:val="24"/>
          <w:highlight w:val="none"/>
          <w:lang w:val="en-US" w:eastAsia="zh-CN" w:bidi="ar-SA"/>
        </w:rPr>
        <w:t>；</w:t>
      </w:r>
    </w:p>
    <w:p w14:paraId="17C90735">
      <w:pPr>
        <w:keepNext w:val="0"/>
        <w:keepLines w:val="0"/>
        <w:pageBreakBefore w:val="0"/>
        <w:widowControl w:val="0"/>
        <w:tabs>
          <w:tab w:val="left" w:pos="1343"/>
          <w:tab w:val="left" w:pos="2697"/>
          <w:tab w:val="left" w:pos="3264"/>
          <w:tab w:val="left" w:pos="4896"/>
          <w:tab w:val="left" w:pos="6005"/>
          <w:tab w:val="left" w:pos="7085"/>
          <w:tab w:val="left" w:pos="7498"/>
        </w:tabs>
        <w:wordWrap/>
        <w:overflowPunct/>
        <w:topLinePunct w:val="0"/>
        <w:autoSpaceDE w:val="0"/>
        <w:autoSpaceDN w:val="0"/>
        <w:bidi w:val="0"/>
        <w:adjustRightInd/>
        <w:spacing w:line="360" w:lineRule="auto"/>
        <w:ind w:left="0" w:firstLine="480" w:firstLineChars="200"/>
        <w:jc w:val="both"/>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□3.6面向中小企业招标的，投标人（或联合体中的中小企业）须为中小企业，并提供《中小企业声明函》。</w:t>
      </w:r>
    </w:p>
    <w:p w14:paraId="2230CAEA">
      <w:pPr>
        <w:keepNext w:val="0"/>
        <w:keepLines w:val="0"/>
        <w:pageBreakBefore w:val="0"/>
        <w:wordWrap/>
        <w:overflowPunct/>
        <w:topLinePunct w:val="0"/>
        <w:bidi w:val="0"/>
        <w:spacing w:before="34" w:line="360" w:lineRule="auto"/>
        <w:ind w:left="422"/>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（二）拟派项目负责人：</w:t>
      </w:r>
    </w:p>
    <w:p w14:paraId="7625AA55">
      <w:pPr>
        <w:keepNext w:val="0"/>
        <w:keepLines w:val="0"/>
        <w:pageBreakBefore w:val="0"/>
        <w:wordWrap/>
        <w:overflowPunct/>
        <w:topLinePunct w:val="0"/>
        <w:bidi w:val="0"/>
        <w:spacing w:before="166" w:line="360" w:lineRule="auto"/>
        <w:ind w:right="138" w:firstLine="485"/>
        <w:rPr>
          <w:rFonts w:ascii="宋体" w:hAnsi="宋体" w:eastAsia="宋体" w:cs="宋体"/>
          <w:i w:val="0"/>
          <w:iCs w:val="0"/>
          <w:color w:val="auto"/>
          <w:sz w:val="24"/>
          <w:szCs w:val="24"/>
          <w:highlight w:val="none"/>
          <w:lang w:eastAsia="zh-CN"/>
        </w:rPr>
      </w:pPr>
      <w:r>
        <w:rPr>
          <w:rFonts w:ascii="宋体" w:hAnsi="宋体" w:eastAsia="宋体" w:cs="宋体"/>
          <w:i w:val="0"/>
          <w:iCs w:val="0"/>
          <w:color w:val="auto"/>
          <w:spacing w:val="-3"/>
          <w:sz w:val="24"/>
          <w:szCs w:val="24"/>
          <w:highlight w:val="none"/>
          <w:lang w:eastAsia="zh-CN"/>
        </w:rPr>
        <w:t>3.7拟派项目负责人具有</w:t>
      </w:r>
      <w:r>
        <w:rPr>
          <w:rFonts w:ascii="宋体" w:hAnsi="宋体" w:eastAsia="宋体" w:cs="宋体"/>
          <w:i w:val="0"/>
          <w:iCs w:val="0"/>
          <w:color w:val="auto"/>
          <w:spacing w:val="-3"/>
          <w:sz w:val="25"/>
          <w:szCs w:val="25"/>
          <w:highlight w:val="none"/>
          <w:lang w:eastAsia="zh-CN"/>
        </w:rPr>
        <w:t>注册在投标人单位的</w:t>
      </w:r>
      <w:r>
        <w:rPr>
          <w:rFonts w:ascii="宋体" w:hAnsi="宋体" w:eastAsia="宋体" w:cs="宋体"/>
          <w:i w:val="0"/>
          <w:iCs w:val="0"/>
          <w:color w:val="auto"/>
          <w:spacing w:val="-3"/>
          <w:sz w:val="25"/>
          <w:szCs w:val="25"/>
          <w:highlight w:val="none"/>
          <w:u w:val="single"/>
          <w:lang w:eastAsia="zh-CN"/>
        </w:rPr>
        <w:t>（</w:t>
      </w:r>
      <w:r>
        <w:rPr>
          <w:rFonts w:hint="eastAsia" w:eastAsia="宋体"/>
          <w:i w:val="0"/>
          <w:iCs w:val="0"/>
          <w:color w:val="auto"/>
          <w:sz w:val="24"/>
          <w:szCs w:val="24"/>
          <w:highlight w:val="none"/>
          <w:u w:val="single"/>
          <w:lang w:eastAsia="zh-CN"/>
        </w:rPr>
        <w:t>建筑工程专业二级</w:t>
      </w:r>
      <w:r>
        <w:rPr>
          <w:rFonts w:hint="eastAsia"/>
          <w:i w:val="0"/>
          <w:iCs w:val="0"/>
          <w:color w:val="auto"/>
          <w:sz w:val="24"/>
          <w:szCs w:val="24"/>
          <w:highlight w:val="none"/>
          <w:u w:val="single"/>
        </w:rPr>
        <w:t>及以上</w:t>
      </w:r>
      <w:r>
        <w:rPr>
          <w:rFonts w:ascii="宋体" w:hAnsi="宋体" w:eastAsia="宋体" w:cs="宋体"/>
          <w:i w:val="0"/>
          <w:iCs w:val="0"/>
          <w:color w:val="auto"/>
          <w:spacing w:val="-3"/>
          <w:sz w:val="25"/>
          <w:szCs w:val="25"/>
          <w:highlight w:val="none"/>
          <w:u w:val="single"/>
          <w:lang w:eastAsia="zh-CN"/>
        </w:rPr>
        <w:t>）级</w:t>
      </w:r>
      <w:r>
        <w:rPr>
          <w:rFonts w:ascii="宋体" w:hAnsi="宋体" w:eastAsia="宋体" w:cs="宋体"/>
          <w:i w:val="0"/>
          <w:iCs w:val="0"/>
          <w:color w:val="auto"/>
          <w:spacing w:val="-3"/>
          <w:sz w:val="25"/>
          <w:szCs w:val="25"/>
          <w:highlight w:val="none"/>
          <w:lang w:eastAsia="zh-CN"/>
        </w:rPr>
        <w:t>建</w:t>
      </w:r>
      <w:r>
        <w:rPr>
          <w:rFonts w:ascii="宋体" w:hAnsi="宋体" w:eastAsia="宋体" w:cs="宋体"/>
          <w:i w:val="0"/>
          <w:iCs w:val="0"/>
          <w:color w:val="auto"/>
          <w:spacing w:val="-4"/>
          <w:sz w:val="25"/>
          <w:szCs w:val="25"/>
          <w:highlight w:val="none"/>
          <w:lang w:eastAsia="zh-CN"/>
        </w:rPr>
        <w:t>造师执业资格</w:t>
      </w:r>
      <w:r>
        <w:rPr>
          <w:rFonts w:ascii="宋体" w:hAnsi="宋体" w:eastAsia="宋体" w:cs="宋体"/>
          <w:i w:val="0"/>
          <w:iCs w:val="0"/>
          <w:color w:val="auto"/>
          <w:spacing w:val="-3"/>
          <w:sz w:val="25"/>
          <w:szCs w:val="25"/>
          <w:highlight w:val="none"/>
          <w:lang w:eastAsia="zh-CN"/>
        </w:rPr>
        <w:t>(</w:t>
      </w:r>
      <w:r>
        <w:rPr>
          <w:rFonts w:ascii="宋体" w:hAnsi="宋体" w:eastAsia="宋体" w:cs="宋体"/>
          <w:i w:val="0"/>
          <w:iCs w:val="0"/>
          <w:color w:val="auto"/>
          <w:spacing w:val="-3"/>
          <w:sz w:val="24"/>
          <w:szCs w:val="24"/>
          <w:highlight w:val="none"/>
          <w:lang w:eastAsia="zh-CN"/>
        </w:rPr>
        <w:t>□</w:t>
      </w:r>
      <w:r>
        <w:rPr>
          <w:rFonts w:ascii="宋体" w:hAnsi="宋体" w:eastAsia="宋体" w:cs="宋体"/>
          <w:i w:val="0"/>
          <w:iCs w:val="0"/>
          <w:color w:val="auto"/>
          <w:spacing w:val="-3"/>
          <w:sz w:val="25"/>
          <w:szCs w:val="25"/>
          <w:highlight w:val="none"/>
          <w:lang w:eastAsia="zh-CN"/>
        </w:rPr>
        <w:t>职称</w:t>
      </w:r>
      <w:r>
        <w:rPr>
          <w:rFonts w:ascii="宋体" w:hAnsi="宋体" w:eastAsia="宋体" w:cs="宋体"/>
          <w:i w:val="0"/>
          <w:iCs w:val="0"/>
          <w:color w:val="auto"/>
          <w:spacing w:val="-29"/>
          <w:sz w:val="25"/>
          <w:szCs w:val="25"/>
          <w:highlight w:val="none"/>
          <w:lang w:eastAsia="zh-CN"/>
        </w:rPr>
        <w:t>：</w:t>
      </w:r>
      <w:r>
        <w:rPr>
          <w:rFonts w:hint="eastAsia" w:ascii="宋体" w:hAnsi="宋体" w:cs="宋体"/>
          <w:i/>
          <w:iCs/>
          <w:color w:val="auto"/>
          <w:highlight w:val="none"/>
          <w:u w:val="single"/>
        </w:rPr>
        <w:t xml:space="preserve">    </w:t>
      </w:r>
      <w:r>
        <w:rPr>
          <w:rFonts w:hint="eastAsia" w:ascii="宋体" w:hAnsi="宋体" w:cs="宋体"/>
          <w:i/>
          <w:iCs/>
          <w:color w:val="auto"/>
          <w:highlight w:val="none"/>
          <w:u w:val="single"/>
          <w:lang w:val="en-US" w:eastAsia="zh-CN"/>
        </w:rPr>
        <w:t>/</w:t>
      </w:r>
      <w:r>
        <w:rPr>
          <w:rFonts w:hint="eastAsia" w:ascii="宋体" w:hAnsi="宋体" w:cs="宋体"/>
          <w:i/>
          <w:iCs/>
          <w:color w:val="auto"/>
          <w:highlight w:val="none"/>
          <w:u w:val="single"/>
        </w:rPr>
        <w:t xml:space="preserve">      </w:t>
      </w:r>
      <w:r>
        <w:rPr>
          <w:rFonts w:ascii="宋体" w:hAnsi="宋体" w:eastAsia="宋体" w:cs="宋体"/>
          <w:i w:val="0"/>
          <w:iCs w:val="0"/>
          <w:color w:val="auto"/>
          <w:spacing w:val="-29"/>
          <w:sz w:val="25"/>
          <w:szCs w:val="25"/>
          <w:highlight w:val="none"/>
          <w:lang w:eastAsia="zh-CN"/>
        </w:rPr>
        <w:t>），</w:t>
      </w:r>
      <w:r>
        <w:rPr>
          <w:rFonts w:hint="eastAsia" w:ascii="宋体" w:hAnsi="宋体" w:eastAsia="宋体" w:cs="宋体"/>
          <w:i w:val="0"/>
          <w:iCs w:val="0"/>
          <w:color w:val="auto"/>
          <w:spacing w:val="-3"/>
          <w:sz w:val="24"/>
          <w:szCs w:val="24"/>
          <w:highlight w:val="none"/>
          <w:lang w:eastAsia="zh-CN"/>
        </w:rPr>
        <w:t>☑</w:t>
      </w:r>
      <w:r>
        <w:rPr>
          <w:rFonts w:ascii="宋体" w:hAnsi="宋体" w:eastAsia="宋体" w:cs="宋体"/>
          <w:i w:val="0"/>
          <w:iCs w:val="0"/>
          <w:color w:val="auto"/>
          <w:spacing w:val="-3"/>
          <w:sz w:val="25"/>
          <w:szCs w:val="25"/>
          <w:highlight w:val="none"/>
          <w:lang w:eastAsia="zh-CN"/>
        </w:rPr>
        <w:t>同时具有对应有效的安全生产考核合格证书。</w:t>
      </w:r>
      <w:r>
        <w:rPr>
          <w:rFonts w:ascii="宋体" w:hAnsi="宋体" w:eastAsia="宋体" w:cs="宋体"/>
          <w:i w:val="0"/>
          <w:iCs w:val="0"/>
          <w:color w:val="auto"/>
          <w:spacing w:val="-3"/>
          <w:sz w:val="24"/>
          <w:szCs w:val="24"/>
          <w:highlight w:val="none"/>
          <w:lang w:eastAsia="zh-CN"/>
        </w:rPr>
        <w:t>如在投</w:t>
      </w:r>
      <w:r>
        <w:rPr>
          <w:rFonts w:ascii="宋体" w:hAnsi="宋体" w:eastAsia="宋体" w:cs="宋体"/>
          <w:i w:val="0"/>
          <w:iCs w:val="0"/>
          <w:color w:val="auto"/>
          <w:sz w:val="24"/>
          <w:szCs w:val="24"/>
          <w:highlight w:val="none"/>
          <w:lang w:eastAsia="zh-CN"/>
        </w:rPr>
        <w:t>标截止日存在在其他任何在建合同工程（在建合同工程的开</w:t>
      </w:r>
      <w:r>
        <w:rPr>
          <w:rFonts w:ascii="宋体" w:hAnsi="宋体" w:eastAsia="宋体" w:cs="宋体"/>
          <w:i w:val="0"/>
          <w:iCs w:val="0"/>
          <w:color w:val="auto"/>
          <w:spacing w:val="-1"/>
          <w:sz w:val="24"/>
          <w:szCs w:val="24"/>
          <w:highlight w:val="none"/>
          <w:lang w:eastAsia="zh-CN"/>
        </w:rPr>
        <w:t>始时间为合同工程中标</w:t>
      </w:r>
      <w:r>
        <w:rPr>
          <w:rFonts w:ascii="宋体" w:hAnsi="宋体" w:eastAsia="宋体" w:cs="宋体"/>
          <w:i w:val="0"/>
          <w:iCs w:val="0"/>
          <w:color w:val="auto"/>
          <w:sz w:val="24"/>
          <w:szCs w:val="24"/>
          <w:highlight w:val="none"/>
          <w:lang w:eastAsia="zh-CN"/>
        </w:rPr>
        <w:t>通知书发出日期，或者不通过招标方式的则以合同签订日期</w:t>
      </w:r>
      <w:r>
        <w:rPr>
          <w:rFonts w:ascii="宋体" w:hAnsi="宋体" w:eastAsia="宋体" w:cs="宋体"/>
          <w:i w:val="0"/>
          <w:iCs w:val="0"/>
          <w:color w:val="auto"/>
          <w:spacing w:val="-1"/>
          <w:sz w:val="24"/>
          <w:szCs w:val="24"/>
          <w:highlight w:val="none"/>
          <w:lang w:eastAsia="zh-CN"/>
        </w:rPr>
        <w:t>为开始时间，结束时间</w:t>
      </w:r>
      <w:r>
        <w:rPr>
          <w:rFonts w:ascii="宋体" w:hAnsi="宋体" w:eastAsia="宋体" w:cs="宋体"/>
          <w:i w:val="0"/>
          <w:iCs w:val="0"/>
          <w:color w:val="auto"/>
          <w:sz w:val="24"/>
          <w:szCs w:val="24"/>
          <w:highlight w:val="none"/>
          <w:lang w:eastAsia="zh-CN"/>
        </w:rPr>
        <w:t>为该合同工程验收合格或合同解除日期）担任项目负责人（</w:t>
      </w:r>
      <w:r>
        <w:rPr>
          <w:rFonts w:ascii="宋体" w:hAnsi="宋体" w:eastAsia="宋体" w:cs="宋体"/>
          <w:i w:val="0"/>
          <w:iCs w:val="0"/>
          <w:color w:val="auto"/>
          <w:spacing w:val="-1"/>
          <w:sz w:val="24"/>
          <w:szCs w:val="24"/>
          <w:highlight w:val="none"/>
          <w:lang w:eastAsia="zh-CN"/>
        </w:rPr>
        <w:t>包括工程总承包项目中</w:t>
      </w:r>
      <w:r>
        <w:rPr>
          <w:rFonts w:ascii="宋体" w:hAnsi="宋体" w:eastAsia="宋体" w:cs="宋体"/>
          <w:i w:val="0"/>
          <w:iCs w:val="0"/>
          <w:color w:val="auto"/>
          <w:sz w:val="24"/>
          <w:szCs w:val="24"/>
          <w:highlight w:val="none"/>
          <w:lang w:eastAsia="zh-CN"/>
        </w:rPr>
        <w:t>的施工负责人）的，不得以拟派项目负责人</w:t>
      </w:r>
      <w:r>
        <w:rPr>
          <w:rFonts w:ascii="宋体" w:hAnsi="宋体" w:eastAsia="宋体" w:cs="宋体"/>
          <w:i w:val="0"/>
          <w:iCs w:val="0"/>
          <w:color w:val="auto"/>
          <w:spacing w:val="-1"/>
          <w:sz w:val="24"/>
          <w:szCs w:val="24"/>
          <w:highlight w:val="none"/>
          <w:lang w:eastAsia="zh-CN"/>
        </w:rPr>
        <w:t>的身份参加本次投标；</w:t>
      </w:r>
    </w:p>
    <w:p w14:paraId="322432B2">
      <w:pPr>
        <w:pStyle w:val="8"/>
        <w:keepNext w:val="0"/>
        <w:keepLines w:val="0"/>
        <w:pageBreakBefore w:val="0"/>
        <w:tabs>
          <w:tab w:val="left" w:pos="1343"/>
          <w:tab w:val="left" w:pos="2697"/>
          <w:tab w:val="left" w:pos="3264"/>
          <w:tab w:val="left" w:pos="5370"/>
          <w:tab w:val="left" w:pos="6005"/>
          <w:tab w:val="left" w:pos="7085"/>
          <w:tab w:val="left" w:pos="7498"/>
        </w:tabs>
        <w:wordWrap/>
        <w:overflowPunct/>
        <w:topLinePunct w:val="0"/>
        <w:bidi w:val="0"/>
        <w:adjustRightInd/>
        <w:spacing w:line="360" w:lineRule="auto"/>
        <w:ind w:left="0" w:firstLine="480" w:firstLineChars="200"/>
        <w:jc w:val="both"/>
        <w:rPr>
          <w:rFonts w:hint="eastAsia" w:ascii="宋体" w:hAnsi="宋体" w:cs="宋体"/>
          <w:i w:val="0"/>
          <w:iCs w:val="0"/>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rPr>
        <w:t>拟派项目负责人</w:t>
      </w:r>
      <w:r>
        <w:rPr>
          <w:rFonts w:hint="eastAsia" w:ascii="宋体" w:hAnsi="宋体" w:cs="宋体"/>
          <w:i w:val="0"/>
          <w:iCs w:val="0"/>
          <w:color w:val="auto"/>
          <w:sz w:val="24"/>
          <w:szCs w:val="24"/>
          <w:highlight w:val="none"/>
        </w:rPr>
        <w:t>自</w:t>
      </w:r>
      <w:r>
        <w:rPr>
          <w:rFonts w:hint="eastAsia" w:ascii="宋体" w:hAnsi="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w:t>
      </w:r>
      <w:r>
        <w:rPr>
          <w:rFonts w:hint="eastAsia" w:ascii="宋体" w:hAnsi="宋体" w:cs="宋体"/>
          <w:i w:val="0"/>
          <w:iCs w:val="0"/>
          <w:color w:val="auto"/>
          <w:sz w:val="24"/>
          <w:szCs w:val="24"/>
          <w:highlight w:val="none"/>
          <w:u w:val="single"/>
        </w:rPr>
        <w:t xml:space="preserve">  </w:t>
      </w:r>
      <w:r>
        <w:rPr>
          <w:rFonts w:hint="eastAsia" w:ascii="宋体" w:hAnsi="宋体" w:cs="宋体"/>
          <w:i w:val="0"/>
          <w:iCs w:val="0"/>
          <w:color w:val="auto"/>
          <w:sz w:val="24"/>
          <w:szCs w:val="24"/>
          <w:highlight w:val="none"/>
        </w:rPr>
        <w:t>年</w:t>
      </w:r>
      <w:r>
        <w:rPr>
          <w:rFonts w:hint="eastAsia" w:ascii="宋体" w:hAnsi="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w:t>
      </w:r>
      <w:r>
        <w:rPr>
          <w:rFonts w:hint="eastAsia" w:ascii="宋体" w:hAnsi="宋体" w:cs="宋体"/>
          <w:i w:val="0"/>
          <w:iCs w:val="0"/>
          <w:color w:val="auto"/>
          <w:sz w:val="24"/>
          <w:szCs w:val="24"/>
          <w:highlight w:val="none"/>
          <w:u w:val="single"/>
        </w:rPr>
        <w:t xml:space="preserve">  </w:t>
      </w:r>
      <w:r>
        <w:rPr>
          <w:rFonts w:hint="eastAsia" w:ascii="宋体" w:hAnsi="宋体" w:cs="宋体"/>
          <w:i w:val="0"/>
          <w:iCs w:val="0"/>
          <w:color w:val="auto"/>
          <w:sz w:val="24"/>
          <w:szCs w:val="24"/>
          <w:highlight w:val="none"/>
        </w:rPr>
        <w:t>月</w:t>
      </w:r>
      <w:r>
        <w:rPr>
          <w:rFonts w:hint="eastAsia" w:ascii="宋体" w:hAnsi="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w:t>
      </w:r>
      <w:r>
        <w:rPr>
          <w:rFonts w:hint="eastAsia" w:ascii="宋体" w:hAnsi="宋体" w:cs="宋体"/>
          <w:i w:val="0"/>
          <w:iCs w:val="0"/>
          <w:color w:val="auto"/>
          <w:sz w:val="24"/>
          <w:szCs w:val="24"/>
          <w:highlight w:val="none"/>
          <w:u w:val="single"/>
        </w:rPr>
        <w:t xml:space="preserve"> </w:t>
      </w:r>
      <w:r>
        <w:rPr>
          <w:rFonts w:hint="eastAsia" w:ascii="宋体" w:hAnsi="宋体" w:cs="宋体"/>
          <w:i w:val="0"/>
          <w:iCs w:val="0"/>
          <w:color w:val="auto"/>
          <w:sz w:val="24"/>
          <w:szCs w:val="24"/>
          <w:highlight w:val="none"/>
        </w:rPr>
        <w:t>日以来</w:t>
      </w:r>
      <w:r>
        <w:rPr>
          <w:rFonts w:hint="eastAsia" w:ascii="宋体" w:hAnsi="宋体" w:eastAsia="宋体" w:cs="宋体"/>
          <w:i w:val="0"/>
          <w:iCs w:val="0"/>
          <w:color w:val="auto"/>
          <w:sz w:val="24"/>
          <w:szCs w:val="24"/>
          <w:highlight w:val="none"/>
          <w:lang w:eastAsia="zh-CN"/>
        </w:rPr>
        <w:t>□</w:t>
      </w:r>
      <w:r>
        <w:rPr>
          <w:rFonts w:hint="eastAsia" w:ascii="宋体" w:hAnsi="宋体" w:cs="宋体"/>
          <w:i w:val="0"/>
          <w:iCs w:val="0"/>
          <w:color w:val="auto"/>
          <w:sz w:val="24"/>
          <w:szCs w:val="24"/>
          <w:highlight w:val="none"/>
        </w:rPr>
        <w:t>承接过/</w:t>
      </w:r>
      <w:r>
        <w:rPr>
          <w:rFonts w:hint="eastAsia" w:ascii="宋体" w:hAnsi="宋体" w:eastAsia="宋体" w:cs="宋体"/>
          <w:i w:val="0"/>
          <w:iCs w:val="0"/>
          <w:color w:val="auto"/>
          <w:sz w:val="24"/>
          <w:szCs w:val="24"/>
          <w:highlight w:val="none"/>
          <w:lang w:eastAsia="zh-CN"/>
        </w:rPr>
        <w:t>□</w:t>
      </w:r>
      <w:r>
        <w:rPr>
          <w:rFonts w:hint="eastAsia" w:ascii="宋体" w:hAnsi="宋体" w:cs="宋体"/>
          <w:i w:val="0"/>
          <w:iCs w:val="0"/>
          <w:color w:val="auto"/>
          <w:sz w:val="24"/>
          <w:szCs w:val="24"/>
          <w:highlight w:val="none"/>
        </w:rPr>
        <w:t>完成过</w:t>
      </w:r>
      <w:r>
        <w:rPr>
          <w:rFonts w:hint="eastAsia" w:ascii="宋体" w:hAnsi="宋体" w:cs="宋体"/>
          <w:i w:val="0"/>
          <w:iCs w:val="0"/>
          <w:color w:val="auto"/>
          <w:sz w:val="24"/>
          <w:szCs w:val="24"/>
          <w:highlight w:val="none"/>
          <w:u w:val="single"/>
        </w:rPr>
        <w:tab/>
      </w:r>
      <w:r>
        <w:rPr>
          <w:rFonts w:hint="eastAsia" w:ascii="宋体" w:hAnsi="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w:t>
      </w:r>
      <w:r>
        <w:rPr>
          <w:rFonts w:hint="eastAsia" w:ascii="宋体" w:hAnsi="宋体" w:cs="宋体"/>
          <w:i w:val="0"/>
          <w:iCs w:val="0"/>
          <w:color w:val="auto"/>
          <w:sz w:val="24"/>
          <w:szCs w:val="24"/>
          <w:highlight w:val="none"/>
          <w:u w:val="single"/>
        </w:rPr>
        <w:t xml:space="preserve"> </w:t>
      </w:r>
      <w:r>
        <w:rPr>
          <w:rFonts w:hint="eastAsia" w:ascii="宋体" w:hAnsi="宋体" w:cs="宋体"/>
          <w:i w:val="0"/>
          <w:iCs w:val="0"/>
          <w:color w:val="auto"/>
          <w:sz w:val="24"/>
          <w:szCs w:val="24"/>
          <w:highlight w:val="none"/>
        </w:rPr>
        <w:t>业绩；</w:t>
      </w:r>
    </w:p>
    <w:p w14:paraId="4AE4F8E8">
      <w:pPr>
        <w:pStyle w:val="8"/>
        <w:keepNext w:val="0"/>
        <w:keepLines w:val="0"/>
        <w:pageBreakBefore w:val="0"/>
        <w:tabs>
          <w:tab w:val="left" w:pos="1343"/>
          <w:tab w:val="left" w:pos="2697"/>
          <w:tab w:val="left" w:pos="3264"/>
          <w:tab w:val="left" w:pos="4896"/>
          <w:tab w:val="left" w:pos="6005"/>
          <w:tab w:val="left" w:pos="7085"/>
          <w:tab w:val="left" w:pos="7498"/>
        </w:tabs>
        <w:wordWrap/>
        <w:overflowPunct/>
        <w:topLinePunct w:val="0"/>
        <w:bidi w:val="0"/>
        <w:adjustRightInd/>
        <w:spacing w:line="360" w:lineRule="auto"/>
        <w:ind w:left="0" w:firstLine="480" w:firstLineChars="200"/>
        <w:jc w:val="both"/>
        <w:rPr>
          <w:rFonts w:hint="eastAsia" w:ascii="宋体" w:hAnsi="宋体" w:cs="宋体"/>
          <w:i w:val="0"/>
          <w:iCs w:val="0"/>
          <w:color w:val="auto"/>
          <w:sz w:val="24"/>
          <w:szCs w:val="24"/>
          <w:highlight w:val="none"/>
        </w:rPr>
      </w:pPr>
      <w:r>
        <w:rPr>
          <w:rFonts w:hint="eastAsia" w:ascii="宋体" w:hAnsi="宋体" w:cs="宋体"/>
          <w:i w:val="0"/>
          <w:iCs w:val="0"/>
          <w:color w:val="auto"/>
          <w:sz w:val="24"/>
          <w:szCs w:val="24"/>
          <w:highlight w:val="none"/>
        </w:rPr>
        <w:sym w:font="Wingdings 2" w:char="F0A3"/>
      </w:r>
      <w:r>
        <w:rPr>
          <w:rFonts w:hint="eastAsia" w:ascii="宋体" w:hAnsi="宋体" w:cs="宋体"/>
          <w:i w:val="0"/>
          <w:iCs w:val="0"/>
          <w:color w:val="auto"/>
          <w:sz w:val="24"/>
          <w:szCs w:val="24"/>
          <w:highlight w:val="none"/>
        </w:rPr>
        <w:t>3.8</w:t>
      </w:r>
      <w:r>
        <w:rPr>
          <w:rFonts w:hint="eastAsia" w:ascii="宋体" w:hAnsi="宋体" w:cs="宋体"/>
          <w:i w:val="0"/>
          <w:iCs w:val="0"/>
          <w:color w:val="auto"/>
          <w:sz w:val="24"/>
          <w:szCs w:val="24"/>
          <w:highlight w:val="none"/>
          <w:u w:val="single"/>
        </w:rPr>
        <w:t xml:space="preserve"> （招标人需要增加的、符合法律法规的其他要求）</w:t>
      </w:r>
      <w:r>
        <w:rPr>
          <w:rFonts w:hint="eastAsia" w:ascii="宋体" w:hAnsi="宋体" w:cs="宋体"/>
          <w:i w:val="0"/>
          <w:iCs w:val="0"/>
          <w:color w:val="auto"/>
          <w:sz w:val="24"/>
          <w:szCs w:val="24"/>
          <w:highlight w:val="none"/>
        </w:rPr>
        <w:t>。</w:t>
      </w:r>
    </w:p>
    <w:p w14:paraId="392B1E0A">
      <w:pPr>
        <w:keepNext w:val="0"/>
        <w:keepLines w:val="0"/>
        <w:pageBreakBefore w:val="0"/>
        <w:wordWrap/>
        <w:overflowPunct/>
        <w:topLinePunct w:val="0"/>
        <w:bidi w:val="0"/>
        <w:spacing w:before="123" w:line="360" w:lineRule="auto"/>
        <w:ind w:left="571"/>
        <w:rPr>
          <w:rFonts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（三）其他：</w:t>
      </w:r>
    </w:p>
    <w:p w14:paraId="49E1060A">
      <w:pPr>
        <w:keepNext w:val="0"/>
        <w:keepLines w:val="0"/>
        <w:pageBreakBefore w:val="0"/>
        <w:wordWrap/>
        <w:overflowPunct/>
        <w:topLinePunct w:val="0"/>
        <w:bidi w:val="0"/>
        <w:spacing w:before="167" w:line="360" w:lineRule="auto"/>
        <w:ind w:firstLine="441"/>
        <w:rPr>
          <w:rFonts w:ascii="宋体" w:hAnsi="宋体" w:eastAsia="宋体" w:cs="宋体"/>
          <w:color w:val="auto"/>
          <w:sz w:val="24"/>
          <w:szCs w:val="24"/>
          <w:highlight w:val="none"/>
          <w:lang w:eastAsia="zh-CN"/>
        </w:rPr>
      </w:pPr>
      <w:r>
        <w:rPr>
          <w:rFonts w:hint="eastAsia" w:ascii="宋体" w:hAnsi="宋体" w:eastAsia="宋体" w:cs="宋体"/>
          <w:color w:val="auto"/>
          <w:spacing w:val="4"/>
          <w:sz w:val="20"/>
          <w:szCs w:val="20"/>
          <w:highlight w:val="none"/>
          <w:lang w:eastAsia="zh-CN"/>
        </w:rPr>
        <w:t>□</w:t>
      </w:r>
      <w:r>
        <w:rPr>
          <w:rFonts w:ascii="宋体" w:hAnsi="宋体" w:eastAsia="宋体" w:cs="宋体"/>
          <w:color w:val="auto"/>
          <w:spacing w:val="4"/>
          <w:sz w:val="24"/>
          <w:szCs w:val="24"/>
          <w:highlight w:val="none"/>
          <w:lang w:eastAsia="zh-CN"/>
        </w:rPr>
        <w:t>3.9拟派施工现场专职安全生产管理人员，具有对应有效的安全生产考核合格</w:t>
      </w:r>
      <w:r>
        <w:rPr>
          <w:rFonts w:ascii="宋体" w:hAnsi="宋体" w:eastAsia="宋体" w:cs="宋体"/>
          <w:color w:val="auto"/>
          <w:spacing w:val="-1"/>
          <w:sz w:val="24"/>
          <w:szCs w:val="24"/>
          <w:highlight w:val="none"/>
          <w:lang w:eastAsia="zh-CN"/>
        </w:rPr>
        <w:t>证书，人数符合住房和城乡建设部相关规定要求；</w:t>
      </w:r>
    </w:p>
    <w:p w14:paraId="0C3D0C11">
      <w:pPr>
        <w:keepNext w:val="0"/>
        <w:keepLines w:val="0"/>
        <w:pageBreakBefore w:val="0"/>
        <w:wordWrap/>
        <w:overflowPunct/>
        <w:topLinePunct w:val="0"/>
        <w:bidi w:val="0"/>
        <w:spacing w:before="37" w:line="360" w:lineRule="auto"/>
        <w:ind w:firstLine="484"/>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3.10投标人及其拟派项目负责人未被列入建筑市场严重失信名单（以全国建筑市场监管公共服务平台黑名单记录、失信联合惩戒记录和浙江省建筑市场监管公共</w:t>
      </w:r>
      <w:r>
        <w:rPr>
          <w:rFonts w:ascii="宋体" w:hAnsi="宋体" w:eastAsia="宋体" w:cs="宋体"/>
          <w:color w:val="auto"/>
          <w:spacing w:val="-1"/>
          <w:sz w:val="24"/>
          <w:szCs w:val="24"/>
          <w:highlight w:val="none"/>
          <w:lang w:eastAsia="zh-CN"/>
        </w:rPr>
        <w:t>服务系统严重失信名单的信息为准</w:t>
      </w:r>
      <w:r>
        <w:rPr>
          <w:rFonts w:ascii="宋体" w:hAnsi="宋体" w:eastAsia="宋体" w:cs="宋体"/>
          <w:color w:val="auto"/>
          <w:spacing w:val="2"/>
          <w:sz w:val="24"/>
          <w:szCs w:val="24"/>
          <w:highlight w:val="none"/>
          <w:lang w:eastAsia="zh-CN"/>
        </w:rPr>
        <w:t>）；</w:t>
      </w:r>
    </w:p>
    <w:p w14:paraId="0B0662BA">
      <w:pPr>
        <w:keepNext w:val="0"/>
        <w:keepLines w:val="0"/>
        <w:pageBreakBefore w:val="0"/>
        <w:wordWrap/>
        <w:overflowPunct/>
        <w:topLinePunct w:val="0"/>
        <w:bidi w:val="0"/>
        <w:spacing w:before="35" w:line="360" w:lineRule="auto"/>
        <w:ind w:left="1" w:firstLine="483"/>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3.11投标人及其拟派项目负责人自</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2022</w:t>
      </w:r>
      <w:r>
        <w:rPr>
          <w:rFonts w:hint="eastAsia" w:hAnsi="宋体" w:cs="宋体"/>
          <w:color w:val="auto"/>
          <w:sz w:val="24"/>
          <w:highlight w:val="none"/>
          <w:u w:val="single"/>
        </w:rPr>
        <w:t xml:space="preserve"> </w:t>
      </w:r>
      <w:r>
        <w:rPr>
          <w:rFonts w:hint="eastAsia" w:hAnsi="宋体" w:cs="宋体"/>
          <w:color w:val="auto"/>
          <w:sz w:val="24"/>
          <w:highlight w:val="none"/>
        </w:rPr>
        <w:t>年</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01</w:t>
      </w:r>
      <w:r>
        <w:rPr>
          <w:rFonts w:hint="eastAsia" w:hAnsi="宋体" w:cs="宋体"/>
          <w:color w:val="auto"/>
          <w:sz w:val="24"/>
          <w:highlight w:val="none"/>
          <w:u w:val="single"/>
        </w:rPr>
        <w:t xml:space="preserve">  </w:t>
      </w:r>
      <w:r>
        <w:rPr>
          <w:rFonts w:hint="eastAsia" w:hAnsi="宋体" w:cs="宋体"/>
          <w:color w:val="auto"/>
          <w:sz w:val="24"/>
          <w:highlight w:val="none"/>
        </w:rPr>
        <w:t>月</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01</w:t>
      </w:r>
      <w:r>
        <w:rPr>
          <w:rFonts w:hint="eastAsia" w:hAnsi="宋体" w:cs="宋体"/>
          <w:color w:val="auto"/>
          <w:sz w:val="24"/>
          <w:highlight w:val="none"/>
          <w:u w:val="single"/>
        </w:rPr>
        <w:t xml:space="preserve">  </w:t>
      </w:r>
      <w:r>
        <w:rPr>
          <w:rFonts w:hint="eastAsia" w:hAnsi="宋体" w:cs="宋体"/>
          <w:color w:val="auto"/>
          <w:sz w:val="24"/>
          <w:highlight w:val="none"/>
        </w:rPr>
        <w:t>日</w:t>
      </w:r>
      <w:r>
        <w:rPr>
          <w:rFonts w:ascii="宋体" w:hAnsi="宋体" w:eastAsia="宋体" w:cs="宋体"/>
          <w:color w:val="auto"/>
          <w:spacing w:val="-1"/>
          <w:sz w:val="24"/>
          <w:szCs w:val="24"/>
          <w:highlight w:val="none"/>
          <w:lang w:eastAsia="zh-CN"/>
        </w:rPr>
        <w:t>起至</w:t>
      </w:r>
      <w:r>
        <w:rPr>
          <w:rFonts w:ascii="宋体" w:hAnsi="宋体" w:eastAsia="宋体" w:cs="宋体"/>
          <w:color w:val="auto"/>
          <w:spacing w:val="-2"/>
          <w:sz w:val="24"/>
          <w:szCs w:val="24"/>
          <w:highlight w:val="none"/>
          <w:lang w:eastAsia="zh-CN"/>
        </w:rPr>
        <w:t>投标截止日止无行贿犯</w:t>
      </w:r>
      <w:r>
        <w:rPr>
          <w:rFonts w:ascii="宋体" w:hAnsi="宋体" w:eastAsia="宋体" w:cs="宋体"/>
          <w:color w:val="auto"/>
          <w:spacing w:val="-3"/>
          <w:sz w:val="24"/>
          <w:szCs w:val="24"/>
          <w:highlight w:val="none"/>
          <w:lang w:eastAsia="zh-CN"/>
        </w:rPr>
        <w:t>罪记录；</w:t>
      </w:r>
    </w:p>
    <w:p w14:paraId="3BE1B86B">
      <w:pPr>
        <w:keepNext w:val="0"/>
        <w:keepLines w:val="0"/>
        <w:pageBreakBefore w:val="0"/>
        <w:wordWrap/>
        <w:overflowPunct/>
        <w:topLinePunct w:val="0"/>
        <w:bidi w:val="0"/>
        <w:spacing w:before="33" w:line="360" w:lineRule="auto"/>
        <w:ind w:left="485"/>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3.12投标人及其拟派项目负责人投标截止日未被列入失信被执行人名单；</w:t>
      </w:r>
    </w:p>
    <w:p w14:paraId="1F34BC8E">
      <w:pPr>
        <w:keepNext w:val="0"/>
        <w:keepLines w:val="0"/>
        <w:pageBreakBefore w:val="0"/>
        <w:wordWrap/>
        <w:overflowPunct/>
        <w:topLinePunct w:val="0"/>
        <w:bidi w:val="0"/>
        <w:spacing w:before="168" w:line="360" w:lineRule="auto"/>
        <w:ind w:left="3" w:firstLine="481"/>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3.13投标人及其拟派项目负责人未被市场监督管理机关在全国企业信用信息公</w:t>
      </w:r>
      <w:r>
        <w:rPr>
          <w:rFonts w:ascii="宋体" w:hAnsi="宋体" w:eastAsia="宋体" w:cs="宋体"/>
          <w:color w:val="auto"/>
          <w:spacing w:val="-1"/>
          <w:sz w:val="24"/>
          <w:szCs w:val="24"/>
          <w:highlight w:val="none"/>
          <w:lang w:eastAsia="zh-CN"/>
        </w:rPr>
        <w:t>示系统中列入严重违法失信企业名单；</w:t>
      </w:r>
    </w:p>
    <w:p w14:paraId="288CD684">
      <w:pPr>
        <w:keepNext w:val="0"/>
        <w:keepLines w:val="0"/>
        <w:pageBreakBefore w:val="0"/>
        <w:wordWrap/>
        <w:overflowPunct/>
        <w:topLinePunct w:val="0"/>
        <w:bidi w:val="0"/>
        <w:spacing w:before="32" w:line="360" w:lineRule="auto"/>
        <w:ind w:left="8" w:firstLine="477"/>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3.14投标人及其拟派项目负责人未被人力资源社会保障行政部门列入失信联合</w:t>
      </w:r>
      <w:r>
        <w:rPr>
          <w:rFonts w:ascii="宋体" w:hAnsi="宋体" w:eastAsia="宋体" w:cs="宋体"/>
          <w:color w:val="auto"/>
          <w:spacing w:val="-1"/>
          <w:sz w:val="24"/>
          <w:szCs w:val="24"/>
          <w:highlight w:val="none"/>
          <w:lang w:eastAsia="zh-CN"/>
        </w:rPr>
        <w:t>惩戒名单（有效期内）并共享至信用信息共享平台；</w:t>
      </w:r>
    </w:p>
    <w:p w14:paraId="57D40A4A">
      <w:pPr>
        <w:keepNext w:val="0"/>
        <w:keepLines w:val="0"/>
        <w:pageBreakBefore w:val="0"/>
        <w:wordWrap/>
        <w:overflowPunct/>
        <w:topLinePunct w:val="0"/>
        <w:bidi w:val="0"/>
        <w:spacing w:before="35" w:line="360" w:lineRule="auto"/>
        <w:ind w:left="504" w:right="1464" w:hanging="19"/>
        <w:rPr>
          <w:rFonts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3.15省外企业应按规定办理“省外建设工程企业进浙备案”手续；</w:t>
      </w:r>
      <w:r>
        <w:rPr>
          <w:rFonts w:ascii="宋体" w:hAnsi="宋体" w:eastAsia="宋体" w:cs="宋体"/>
          <w:color w:val="auto"/>
          <w:spacing w:val="-7"/>
          <w:sz w:val="24"/>
          <w:szCs w:val="24"/>
          <w:highlight w:val="none"/>
          <w:lang w:eastAsia="zh-CN"/>
        </w:rPr>
        <w:t>□3.16</w:t>
      </w:r>
      <w:r>
        <w:rPr>
          <w:rFonts w:ascii="宋体" w:hAnsi="宋体" w:eastAsia="宋体" w:cs="宋体"/>
          <w:i/>
          <w:iCs/>
          <w:color w:val="auto"/>
          <w:spacing w:val="-7"/>
          <w:sz w:val="25"/>
          <w:szCs w:val="25"/>
          <w:highlight w:val="none"/>
          <w:u w:val="single"/>
          <w:lang w:eastAsia="zh-CN"/>
        </w:rPr>
        <w:t>（招标人需要增加的、符合法律法规的其他要求）</w:t>
      </w:r>
      <w:r>
        <w:rPr>
          <w:rFonts w:ascii="宋体" w:hAnsi="宋体" w:eastAsia="宋体" w:cs="宋体"/>
          <w:color w:val="auto"/>
          <w:spacing w:val="-7"/>
          <w:sz w:val="24"/>
          <w:szCs w:val="24"/>
          <w:highlight w:val="none"/>
          <w:lang w:eastAsia="zh-CN"/>
        </w:rPr>
        <w:t>。</w:t>
      </w:r>
    </w:p>
    <w:p w14:paraId="4C494D7A">
      <w:pPr>
        <w:keepNext w:val="0"/>
        <w:keepLines w:val="0"/>
        <w:pageBreakBefore w:val="0"/>
        <w:wordWrap/>
        <w:overflowPunct/>
        <w:topLinePunct w:val="0"/>
        <w:bidi w:val="0"/>
        <w:spacing w:before="1" w:line="360" w:lineRule="auto"/>
        <w:ind w:left="2"/>
        <w:rPr>
          <w:rFonts w:ascii="宋体" w:hAnsi="宋体" w:eastAsia="宋体" w:cs="宋体"/>
          <w:color w:val="auto"/>
          <w:sz w:val="31"/>
          <w:szCs w:val="31"/>
          <w:highlight w:val="none"/>
          <w:lang w:eastAsia="zh-CN"/>
        </w:rPr>
      </w:pPr>
      <w:r>
        <w:rPr>
          <w:rFonts w:ascii="宋体" w:hAnsi="宋体" w:eastAsia="宋体" w:cs="宋体"/>
          <w:b/>
          <w:bCs/>
          <w:color w:val="auto"/>
          <w:spacing w:val="4"/>
          <w:sz w:val="31"/>
          <w:szCs w:val="31"/>
          <w:highlight w:val="none"/>
          <w:lang w:eastAsia="zh-CN"/>
        </w:rPr>
        <w:t>4.招投标方式</w:t>
      </w:r>
    </w:p>
    <w:p w14:paraId="1BBB0D5E">
      <w:pPr>
        <w:keepNext w:val="0"/>
        <w:keepLines w:val="0"/>
        <w:pageBreakBefore w:val="0"/>
        <w:wordWrap/>
        <w:overflowPunct/>
        <w:topLinePunct w:val="0"/>
        <w:bidi w:val="0"/>
        <w:spacing w:before="78" w:line="360" w:lineRule="auto"/>
        <w:ind w:left="488"/>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4.1公开招标。</w:t>
      </w:r>
    </w:p>
    <w:p w14:paraId="37F18104">
      <w:pPr>
        <w:keepNext w:val="0"/>
        <w:keepLines w:val="0"/>
        <w:pageBreakBefore w:val="0"/>
        <w:wordWrap/>
        <w:overflowPunct/>
        <w:topLinePunct w:val="0"/>
        <w:bidi w:val="0"/>
        <w:spacing w:before="138" w:line="360" w:lineRule="auto"/>
        <w:ind w:left="488"/>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4.2</w:t>
      </w:r>
      <w:r>
        <w:rPr>
          <w:rFonts w:ascii="微软雅黑" w:hAnsi="微软雅黑" w:eastAsia="微软雅黑" w:cs="微软雅黑"/>
          <w:color w:val="auto"/>
          <w:spacing w:val="5"/>
          <w:sz w:val="24"/>
          <w:szCs w:val="24"/>
          <w:highlight w:val="none"/>
          <w:lang w:eastAsia="zh-CN"/>
        </w:rPr>
        <w:t>□</w:t>
      </w:r>
      <w:r>
        <w:rPr>
          <w:rFonts w:ascii="宋体" w:hAnsi="宋体" w:eastAsia="宋体" w:cs="宋体"/>
          <w:color w:val="auto"/>
          <w:spacing w:val="5"/>
          <w:sz w:val="24"/>
          <w:szCs w:val="24"/>
          <w:highlight w:val="none"/>
          <w:lang w:eastAsia="zh-CN"/>
        </w:rPr>
        <w:t>采用评定分离，</w:t>
      </w:r>
      <w:r>
        <w:rPr>
          <w:rFonts w:hint="eastAsia" w:ascii="微软雅黑" w:hAnsi="微软雅黑" w:eastAsia="微软雅黑" w:cs="微软雅黑"/>
          <w:color w:val="auto"/>
          <w:spacing w:val="5"/>
          <w:sz w:val="24"/>
          <w:szCs w:val="24"/>
          <w:highlight w:val="none"/>
          <w:lang w:eastAsia="zh-CN"/>
        </w:rPr>
        <w:t>☑</w:t>
      </w:r>
      <w:r>
        <w:rPr>
          <w:rFonts w:ascii="宋体" w:hAnsi="宋体" w:eastAsia="宋体" w:cs="宋体"/>
          <w:color w:val="auto"/>
          <w:spacing w:val="5"/>
          <w:sz w:val="24"/>
          <w:szCs w:val="24"/>
          <w:highlight w:val="none"/>
          <w:lang w:eastAsia="zh-CN"/>
        </w:rPr>
        <w:t>不采用评定分离。</w:t>
      </w:r>
    </w:p>
    <w:p w14:paraId="5387337A">
      <w:pPr>
        <w:keepNext w:val="0"/>
        <w:keepLines w:val="0"/>
        <w:pageBreakBefore w:val="0"/>
        <w:wordWrap/>
        <w:overflowPunct/>
        <w:topLinePunct w:val="0"/>
        <w:bidi w:val="0"/>
        <w:spacing w:before="84" w:line="360" w:lineRule="auto"/>
        <w:ind w:left="19"/>
        <w:rPr>
          <w:rFonts w:ascii="宋体" w:hAnsi="宋体" w:eastAsia="宋体" w:cs="宋体"/>
          <w:color w:val="auto"/>
          <w:sz w:val="31"/>
          <w:szCs w:val="31"/>
          <w:highlight w:val="none"/>
          <w:lang w:eastAsia="zh-CN"/>
        </w:rPr>
      </w:pPr>
      <w:r>
        <w:rPr>
          <w:rFonts w:ascii="宋体" w:hAnsi="宋体" w:eastAsia="宋体" w:cs="宋体"/>
          <w:b/>
          <w:bCs/>
          <w:color w:val="auto"/>
          <w:spacing w:val="4"/>
          <w:sz w:val="31"/>
          <w:szCs w:val="31"/>
          <w:highlight w:val="none"/>
          <w:lang w:eastAsia="zh-CN"/>
        </w:rPr>
        <w:t>5.招标文件的获取</w:t>
      </w:r>
    </w:p>
    <w:p w14:paraId="592EA72E">
      <w:pPr>
        <w:keepNext w:val="0"/>
        <w:keepLines w:val="0"/>
        <w:pageBreakBefore w:val="0"/>
        <w:wordWrap/>
        <w:overflowPunct/>
        <w:topLinePunct w:val="0"/>
        <w:bidi w:val="0"/>
        <w:spacing w:before="113" w:line="360" w:lineRule="auto"/>
        <w:ind w:left="12" w:right="65" w:firstLine="481"/>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5.1本项目招标文件（含图纸）和补充（答疑、澄清）、修改文件以网</w:t>
      </w:r>
      <w:r>
        <w:rPr>
          <w:rFonts w:ascii="宋体" w:hAnsi="宋体" w:eastAsia="宋体" w:cs="宋体"/>
          <w:color w:val="auto"/>
          <w:spacing w:val="1"/>
          <w:sz w:val="24"/>
          <w:szCs w:val="24"/>
          <w:highlight w:val="none"/>
          <w:lang w:eastAsia="zh-CN"/>
        </w:rPr>
        <w:t>上下载方</w:t>
      </w:r>
      <w:r>
        <w:rPr>
          <w:rFonts w:ascii="宋体" w:hAnsi="宋体" w:eastAsia="宋体" w:cs="宋体"/>
          <w:color w:val="auto"/>
          <w:spacing w:val="-1"/>
          <w:sz w:val="24"/>
          <w:szCs w:val="24"/>
          <w:highlight w:val="none"/>
          <w:lang w:eastAsia="zh-CN"/>
        </w:rPr>
        <w:t>式发放</w:t>
      </w:r>
      <w:r>
        <w:rPr>
          <w:rFonts w:ascii="宋体" w:hAnsi="宋体" w:eastAsia="宋体" w:cs="宋体"/>
          <w:color w:val="auto"/>
          <w:spacing w:val="-1"/>
          <w:sz w:val="24"/>
          <w:szCs w:val="24"/>
          <w:highlight w:val="none"/>
          <w:u w:val="single"/>
          <w:lang w:eastAsia="zh-CN"/>
        </w:rPr>
        <w:t xml:space="preserve"> </w:t>
      </w:r>
      <w:r>
        <w:rPr>
          <w:rFonts w:hint="eastAsia" w:ascii="宋体" w:hAnsi="宋体" w:eastAsia="宋体" w:cs="宋体"/>
          <w:color w:val="auto"/>
          <w:spacing w:val="-1"/>
          <w:sz w:val="24"/>
          <w:szCs w:val="24"/>
          <w:highlight w:val="none"/>
          <w:u w:val="single"/>
          <w:lang w:eastAsia="zh-CN"/>
        </w:rPr>
        <w:t>http://www.sanmen.gov.cn/col/col1229610743/index.html</w:t>
      </w:r>
      <w:r>
        <w:rPr>
          <w:rFonts w:ascii="宋体" w:hAnsi="宋体" w:eastAsia="宋体" w:cs="宋体"/>
          <w:color w:val="auto"/>
          <w:spacing w:val="-1"/>
          <w:sz w:val="24"/>
          <w:szCs w:val="24"/>
          <w:highlight w:val="none"/>
          <w:lang w:eastAsia="zh-CN"/>
        </w:rPr>
        <w:t>。</w:t>
      </w:r>
    </w:p>
    <w:p w14:paraId="451EF9D7">
      <w:pPr>
        <w:keepNext w:val="0"/>
        <w:keepLines w:val="0"/>
        <w:pageBreakBefore w:val="0"/>
        <w:wordWrap/>
        <w:overflowPunct/>
        <w:topLinePunct w:val="0"/>
        <w:bidi w:val="0"/>
        <w:spacing w:before="36" w:line="360" w:lineRule="auto"/>
        <w:ind w:firstLine="494"/>
        <w:rPr>
          <w:rFonts w:ascii="宋体" w:hAnsi="宋体" w:eastAsia="宋体" w:cs="宋体"/>
          <w:color w:val="auto"/>
          <w:sz w:val="24"/>
          <w:szCs w:val="24"/>
          <w:highlight w:val="none"/>
          <w:lang w:eastAsia="zh-CN"/>
        </w:rPr>
      </w:pPr>
      <w:r>
        <w:rPr>
          <w:rFonts w:ascii="宋体" w:hAnsi="宋体" w:eastAsia="宋体" w:cs="宋体"/>
          <w:color w:val="auto"/>
          <w:spacing w:val="7"/>
          <w:sz w:val="24"/>
          <w:szCs w:val="24"/>
          <w:highlight w:val="none"/>
          <w:lang w:eastAsia="zh-CN"/>
        </w:rPr>
        <w:t>5.2招标文件下载网址：潜在投标人登录</w:t>
      </w:r>
      <w:r>
        <w:rPr>
          <w:rFonts w:hint="eastAsia" w:ascii="宋体" w:hAnsi="宋体" w:eastAsia="宋体" w:cs="宋体"/>
          <w:color w:val="auto"/>
          <w:sz w:val="24"/>
          <w:szCs w:val="24"/>
          <w:highlight w:val="none"/>
          <w:u w:val="single"/>
          <w:lang w:eastAsia="zh-CN"/>
        </w:rPr>
        <w:t>http://www.sanmen.gov.cn/col/col1229610743/index.html</w:t>
      </w:r>
      <w:r>
        <w:rPr>
          <w:rFonts w:ascii="宋体" w:hAnsi="宋体" w:eastAsia="宋体" w:cs="宋体"/>
          <w:color w:val="auto"/>
          <w:spacing w:val="-3"/>
          <w:sz w:val="24"/>
          <w:szCs w:val="24"/>
          <w:highlight w:val="none"/>
          <w:lang w:eastAsia="zh-CN"/>
        </w:rPr>
        <w:t>自行下载招标文件。</w:t>
      </w:r>
    </w:p>
    <w:p w14:paraId="4130ED27">
      <w:pPr>
        <w:keepNext w:val="0"/>
        <w:keepLines w:val="0"/>
        <w:pageBreakBefore w:val="0"/>
        <w:wordWrap/>
        <w:overflowPunct/>
        <w:topLinePunct w:val="0"/>
        <w:bidi w:val="0"/>
        <w:spacing w:before="31" w:line="360" w:lineRule="auto"/>
        <w:ind w:left="494"/>
        <w:rPr>
          <w:rFonts w:ascii="宋体" w:hAnsi="宋体" w:eastAsia="宋体" w:cs="宋体"/>
          <w:color w:val="auto"/>
          <w:sz w:val="24"/>
          <w:szCs w:val="24"/>
          <w:highlight w:val="none"/>
          <w:lang w:eastAsia="zh-CN"/>
        </w:rPr>
      </w:pPr>
      <w:r>
        <w:rPr>
          <w:rFonts w:ascii="宋体" w:hAnsi="宋体" w:eastAsia="宋体" w:cs="宋体"/>
          <w:color w:val="auto"/>
          <w:spacing w:val="-6"/>
          <w:sz w:val="24"/>
          <w:szCs w:val="24"/>
          <w:highlight w:val="none"/>
          <w:lang w:eastAsia="zh-CN"/>
        </w:rPr>
        <w:t>5.3招标文件网上下载时间</w:t>
      </w:r>
      <w:r>
        <w:rPr>
          <w:rFonts w:ascii="宋体" w:hAnsi="宋体" w:eastAsia="宋体" w:cs="宋体"/>
          <w:color w:val="auto"/>
          <w:sz w:val="24"/>
          <w:szCs w:val="24"/>
          <w:highlight w:val="none"/>
          <w:lang w:eastAsia="zh-CN"/>
        </w:rPr>
        <w:t>：</w:t>
      </w:r>
      <w:r>
        <w:rPr>
          <w:rFonts w:ascii="宋体" w:hAnsi="宋体" w:eastAsia="宋体" w:cs="宋体"/>
          <w:i/>
          <w:iCs/>
          <w:color w:val="auto"/>
          <w:sz w:val="25"/>
          <w:szCs w:val="25"/>
          <w:highlight w:val="none"/>
          <w:lang w:eastAsia="zh-CN"/>
        </w:rPr>
        <w:t>（</w:t>
      </w:r>
      <w:r>
        <w:rPr>
          <w:rFonts w:ascii="宋体" w:hAnsi="宋体" w:eastAsia="宋体" w:cs="宋体"/>
          <w:i/>
          <w:iCs/>
          <w:color w:val="auto"/>
          <w:spacing w:val="-6"/>
          <w:sz w:val="25"/>
          <w:szCs w:val="25"/>
          <w:highlight w:val="none"/>
          <w:u w:val="single"/>
          <w:lang w:eastAsia="zh-CN"/>
        </w:rPr>
        <w:t>公告发布之日起至投标文件递交</w:t>
      </w:r>
      <w:r>
        <w:rPr>
          <w:rFonts w:ascii="宋体" w:hAnsi="宋体" w:eastAsia="宋体" w:cs="宋体"/>
          <w:i/>
          <w:iCs/>
          <w:color w:val="auto"/>
          <w:spacing w:val="-7"/>
          <w:sz w:val="25"/>
          <w:szCs w:val="25"/>
          <w:highlight w:val="none"/>
          <w:u w:val="single"/>
          <w:lang w:eastAsia="zh-CN"/>
        </w:rPr>
        <w:t>截止时</w:t>
      </w:r>
      <w:r>
        <w:rPr>
          <w:rFonts w:ascii="宋体" w:hAnsi="宋体" w:eastAsia="宋体" w:cs="宋体"/>
          <w:i/>
          <w:iCs/>
          <w:color w:val="auto"/>
          <w:spacing w:val="-7"/>
          <w:sz w:val="25"/>
          <w:szCs w:val="25"/>
          <w:highlight w:val="none"/>
          <w:lang w:eastAsia="zh-CN"/>
        </w:rPr>
        <w:t>间）</w:t>
      </w:r>
      <w:r>
        <w:rPr>
          <w:rFonts w:ascii="宋体" w:hAnsi="宋体" w:eastAsia="宋体" w:cs="宋体"/>
          <w:color w:val="auto"/>
          <w:spacing w:val="-7"/>
          <w:sz w:val="24"/>
          <w:szCs w:val="24"/>
          <w:highlight w:val="none"/>
          <w:lang w:eastAsia="zh-CN"/>
        </w:rPr>
        <w:t>。</w:t>
      </w:r>
    </w:p>
    <w:p w14:paraId="61BCB1C1">
      <w:pPr>
        <w:keepNext w:val="0"/>
        <w:keepLines w:val="0"/>
        <w:pageBreakBefore w:val="0"/>
        <w:wordWrap/>
        <w:overflowPunct/>
        <w:topLinePunct w:val="0"/>
        <w:bidi w:val="0"/>
        <w:spacing w:before="128" w:line="360" w:lineRule="auto"/>
        <w:ind w:left="15"/>
        <w:rPr>
          <w:rFonts w:ascii="宋体" w:hAnsi="宋体" w:eastAsia="宋体" w:cs="宋体"/>
          <w:color w:val="auto"/>
          <w:sz w:val="31"/>
          <w:szCs w:val="31"/>
          <w:highlight w:val="none"/>
        </w:rPr>
      </w:pPr>
      <w:r>
        <w:rPr>
          <w:rFonts w:ascii="宋体" w:hAnsi="宋体" w:eastAsia="宋体" w:cs="宋体"/>
          <w:b/>
          <w:bCs/>
          <w:color w:val="auto"/>
          <w:spacing w:val="4"/>
          <w:sz w:val="31"/>
          <w:szCs w:val="31"/>
          <w:highlight w:val="none"/>
        </w:rPr>
        <w:t>6.投标文件的递交</w:t>
      </w:r>
    </w:p>
    <w:p w14:paraId="2BF54F83">
      <w:pPr>
        <w:pStyle w:val="8"/>
        <w:keepNext w:val="0"/>
        <w:keepLines w:val="0"/>
        <w:pageBreakBefore w:val="0"/>
        <w:tabs>
          <w:tab w:val="left" w:pos="8381"/>
        </w:tabs>
        <w:wordWrap/>
        <w:overflowPunct/>
        <w:topLinePunct w:val="0"/>
        <w:bidi w:val="0"/>
        <w:adjustRightInd/>
        <w:spacing w:line="360" w:lineRule="auto"/>
        <w:ind w:left="0"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6.1投标文件递交的截止时间（投标截止时间，下同）为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2025</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日</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9</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时</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00</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分</w:t>
      </w:r>
      <w:r>
        <w:rPr>
          <w:rFonts w:hint="eastAsia" w:ascii="宋体" w:hAnsi="宋体" w:cs="宋体"/>
          <w:color w:val="auto"/>
          <w:spacing w:val="-1"/>
          <w:sz w:val="24"/>
          <w:szCs w:val="24"/>
          <w:highlight w:val="none"/>
        </w:rPr>
        <w:t>，</w:t>
      </w:r>
      <w:r>
        <w:rPr>
          <w:rFonts w:hint="eastAsia" w:ascii="宋体" w:hAnsi="宋体" w:cs="宋体"/>
          <w:color w:val="auto"/>
          <w:sz w:val="24"/>
          <w:szCs w:val="24"/>
          <w:highlight w:val="none"/>
        </w:rPr>
        <w:t>电子招标投标交易平台</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u w:val="single"/>
        </w:rPr>
        <w:t>http://www.sanmen.gov.cn/col/col1229610743/index.html</w:t>
      </w:r>
      <w:r>
        <w:rPr>
          <w:rFonts w:ascii="宋体" w:hAnsi="宋体"/>
          <w:color w:val="auto"/>
          <w:sz w:val="24"/>
          <w:szCs w:val="24"/>
          <w:highlight w:val="none"/>
          <w:u w:val="single"/>
        </w:rPr>
        <w:t xml:space="preserve"> </w:t>
      </w:r>
      <w:r>
        <w:rPr>
          <w:rFonts w:hint="eastAsia" w:ascii="宋体" w:hAnsi="宋体" w:cs="宋体"/>
          <w:color w:val="auto"/>
          <w:sz w:val="24"/>
          <w:szCs w:val="24"/>
          <w:highlight w:val="none"/>
        </w:rPr>
        <w:t>。</w:t>
      </w:r>
    </w:p>
    <w:p w14:paraId="6BC48546">
      <w:pPr>
        <w:pStyle w:val="8"/>
        <w:keepNext w:val="0"/>
        <w:keepLines w:val="0"/>
        <w:pageBreakBefore w:val="0"/>
        <w:widowControl w:val="0"/>
        <w:tabs>
          <w:tab w:val="left" w:pos="7226"/>
          <w:tab w:val="left" w:pos="7770"/>
        </w:tabs>
        <w:kinsoku w:val="0"/>
        <w:wordWrap/>
        <w:overflowPunct/>
        <w:topLinePunct w:val="0"/>
        <w:autoSpaceDE/>
        <w:autoSpaceDN/>
        <w:bidi w:val="0"/>
        <w:adjustRightInd/>
        <w:snapToGrid/>
        <w:spacing w:after="0" w:line="360" w:lineRule="auto"/>
        <w:ind w:left="174" w:leftChars="83" w:firstLine="240" w:firstLineChars="100"/>
        <w:rPr>
          <w:rFonts w:hint="eastAsia" w:ascii="宋体" w:hAnsi="宋体" w:eastAsia="宋体" w:cs="宋体"/>
          <w:color w:val="auto"/>
          <w:spacing w:val="0"/>
          <w:w w:val="100"/>
          <w:kern w:val="21"/>
          <w:sz w:val="24"/>
          <w:szCs w:val="24"/>
          <w:highlight w:val="none"/>
          <w:lang w:val="en-US" w:eastAsia="zh-CN"/>
        </w:rPr>
      </w:pPr>
      <w:r>
        <w:rPr>
          <w:rFonts w:hint="eastAsia" w:ascii="宋体" w:hAnsi="宋体" w:eastAsia="宋体" w:cs="宋体"/>
          <w:color w:val="auto"/>
          <w:spacing w:val="0"/>
          <w:w w:val="100"/>
          <w:kern w:val="21"/>
          <w:sz w:val="24"/>
          <w:szCs w:val="24"/>
          <w:highlight w:val="none"/>
          <w:lang w:val="en-US" w:eastAsia="zh-CN"/>
        </w:rPr>
        <w:t>6.2工程保函（非电子保函系统）其原件递交时间及地点：</w:t>
      </w:r>
    </w:p>
    <w:p w14:paraId="4C7986EE">
      <w:pPr>
        <w:pStyle w:val="8"/>
        <w:keepNext w:val="0"/>
        <w:keepLines w:val="0"/>
        <w:pageBreakBefore w:val="0"/>
        <w:widowControl w:val="0"/>
        <w:tabs>
          <w:tab w:val="left" w:pos="7226"/>
          <w:tab w:val="left" w:pos="7770"/>
        </w:tabs>
        <w:kinsoku w:val="0"/>
        <w:wordWrap/>
        <w:overflowPunct/>
        <w:topLinePunct w:val="0"/>
        <w:autoSpaceDE/>
        <w:autoSpaceDN/>
        <w:bidi w:val="0"/>
        <w:adjustRightInd/>
        <w:snapToGrid/>
        <w:spacing w:after="0" w:line="360" w:lineRule="auto"/>
        <w:ind w:left="174" w:leftChars="83" w:firstLine="230" w:firstLineChars="100"/>
        <w:rPr>
          <w:rFonts w:hint="eastAsia" w:ascii="宋体" w:hAnsi="宋体" w:cs="宋体"/>
          <w:color w:val="auto"/>
          <w:sz w:val="24"/>
          <w:szCs w:val="24"/>
          <w:highlight w:val="none"/>
        </w:rPr>
      </w:pPr>
      <w:r>
        <w:rPr>
          <w:rFonts w:hint="eastAsia" w:ascii="宋体" w:hAnsi="宋体" w:eastAsia="宋体" w:cs="宋体"/>
          <w:color w:val="auto"/>
          <w:spacing w:val="-5"/>
          <w:sz w:val="24"/>
          <w:szCs w:val="24"/>
          <w:highlight w:val="none"/>
        </w:rPr>
        <w:t>时间：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2025</w:t>
      </w:r>
      <w:r>
        <w:rPr>
          <w:rFonts w:hint="eastAsia" w:ascii="宋体" w:hAnsi="宋体" w:cs="宋体"/>
          <w:color w:val="auto"/>
          <w:sz w:val="24"/>
          <w:szCs w:val="24"/>
          <w:highlight w:val="non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日</w:t>
      </w:r>
      <w:r>
        <w:rPr>
          <w:rFonts w:hint="eastAsia" w:ascii="宋体" w:hAnsi="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8  </w:t>
      </w:r>
      <w:r>
        <w:rPr>
          <w:rFonts w:hint="eastAsia" w:ascii="宋体" w:hAnsi="宋体" w:cs="宋体"/>
          <w:color w:val="auto"/>
          <w:sz w:val="24"/>
          <w:szCs w:val="24"/>
          <w:highlight w:val="none"/>
        </w:rPr>
        <w:t>时</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00</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分</w:t>
      </w:r>
      <w:r>
        <w:rPr>
          <w:rFonts w:hint="eastAsia" w:ascii="宋体" w:hAnsi="宋体" w:cs="宋体"/>
          <w:color w:val="auto"/>
          <w:sz w:val="24"/>
          <w:szCs w:val="24"/>
          <w:highlight w:val="none"/>
          <w:lang w:val="en-US" w:eastAsia="zh-CN"/>
        </w:rPr>
        <w:t>至</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9</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时</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00</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分</w:t>
      </w:r>
    </w:p>
    <w:p w14:paraId="23AA09BB">
      <w:pPr>
        <w:pStyle w:val="8"/>
        <w:keepNext w:val="0"/>
        <w:keepLines w:val="0"/>
        <w:pageBreakBefore w:val="0"/>
        <w:widowControl w:val="0"/>
        <w:tabs>
          <w:tab w:val="left" w:pos="7226"/>
          <w:tab w:val="left" w:pos="7770"/>
        </w:tabs>
        <w:kinsoku w:val="0"/>
        <w:wordWrap/>
        <w:overflowPunct/>
        <w:topLinePunct w:val="0"/>
        <w:autoSpaceDE/>
        <w:autoSpaceDN/>
        <w:bidi w:val="0"/>
        <w:adjustRightInd/>
        <w:snapToGrid/>
        <w:spacing w:after="0" w:line="360" w:lineRule="auto"/>
        <w:ind w:left="174" w:leftChars="83"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地点：三门县公共资源交易中心交易大厅（一）或（二）</w:t>
      </w:r>
    </w:p>
    <w:p w14:paraId="40DC9C65">
      <w:pPr>
        <w:rPr>
          <w:rFonts w:ascii="宋体" w:hAnsi="宋体" w:eastAsia="宋体" w:cs="宋体"/>
          <w:b/>
          <w:bCs/>
          <w:color w:val="auto"/>
          <w:spacing w:val="2"/>
          <w:sz w:val="31"/>
          <w:szCs w:val="31"/>
          <w:highlight w:val="none"/>
          <w:lang w:eastAsia="zh-CN"/>
        </w:rPr>
      </w:pPr>
      <w:r>
        <w:rPr>
          <w:rFonts w:ascii="宋体" w:hAnsi="宋体" w:eastAsia="宋体" w:cs="宋体"/>
          <w:b/>
          <w:bCs/>
          <w:color w:val="auto"/>
          <w:spacing w:val="2"/>
          <w:sz w:val="31"/>
          <w:szCs w:val="31"/>
          <w:highlight w:val="none"/>
          <w:lang w:eastAsia="zh-CN"/>
        </w:rPr>
        <w:br w:type="page"/>
      </w:r>
    </w:p>
    <w:p w14:paraId="2181D44B">
      <w:pPr>
        <w:spacing w:before="2" w:line="225" w:lineRule="auto"/>
        <w:ind w:left="20"/>
        <w:rPr>
          <w:rFonts w:ascii="宋体" w:hAnsi="宋体" w:eastAsia="宋体" w:cs="宋体"/>
          <w:color w:val="auto"/>
          <w:sz w:val="31"/>
          <w:szCs w:val="31"/>
          <w:highlight w:val="none"/>
          <w:lang w:eastAsia="zh-CN"/>
        </w:rPr>
      </w:pPr>
      <w:r>
        <w:rPr>
          <w:rFonts w:ascii="宋体" w:hAnsi="宋体" w:eastAsia="宋体" w:cs="宋体"/>
          <w:b/>
          <w:bCs/>
          <w:color w:val="auto"/>
          <w:spacing w:val="2"/>
          <w:sz w:val="31"/>
          <w:szCs w:val="31"/>
          <w:highlight w:val="none"/>
          <w:lang w:eastAsia="zh-CN"/>
        </w:rPr>
        <w:t>7.联系方式</w:t>
      </w:r>
    </w:p>
    <w:p w14:paraId="59905823">
      <w:pPr>
        <w:pStyle w:val="8"/>
        <w:keepNext/>
        <w:keepLines/>
        <w:tabs>
          <w:tab w:val="left" w:pos="4228"/>
          <w:tab w:val="left" w:pos="7975"/>
        </w:tabs>
        <w:kinsoku w:val="0"/>
        <w:spacing w:line="360" w:lineRule="auto"/>
        <w:ind w:left="0" w:firstLine="480" w:firstLineChars="200"/>
        <w:jc w:val="both"/>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rPr>
        <w:t>招 标</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三门经济投资开发有限公司</w:t>
      </w:r>
    </w:p>
    <w:p w14:paraId="0EEF2860">
      <w:pPr>
        <w:pStyle w:val="8"/>
        <w:keepNext/>
        <w:keepLines/>
        <w:tabs>
          <w:tab w:val="left" w:pos="4228"/>
          <w:tab w:val="left" w:pos="7975"/>
        </w:tabs>
        <w:kinsoku w:val="0"/>
        <w:spacing w:line="360" w:lineRule="auto"/>
        <w:ind w:left="0" w:firstLine="480" w:firstLineChars="200"/>
        <w:jc w:val="both"/>
        <w:rPr>
          <w:rFonts w:hint="eastAsia" w:ascii="宋体" w:hAnsi="宋体" w:eastAsia="宋体" w:cs="宋体"/>
          <w:color w:val="auto"/>
          <w:sz w:val="24"/>
          <w:szCs w:val="24"/>
          <w:highlight w:val="none"/>
          <w:u w:val="single"/>
          <w:lang w:val="en-US" w:eastAsia="zh-CN"/>
        </w:rPr>
      </w:pPr>
      <w:r>
        <w:rPr>
          <w:rFonts w:hint="eastAsia" w:ascii="宋体" w:hAnsi="宋体" w:cs="宋体"/>
          <w:color w:val="auto"/>
          <w:sz w:val="24"/>
          <w:szCs w:val="24"/>
          <w:highlight w:val="none"/>
        </w:rPr>
        <w:t>地    址：</w:t>
      </w:r>
      <w:r>
        <w:rPr>
          <w:rFonts w:hint="eastAsia" w:ascii="宋体" w:hAnsi="宋体" w:eastAsia="宋体" w:cs="宋体"/>
          <w:color w:val="auto"/>
          <w:kern w:val="0"/>
          <w:sz w:val="24"/>
          <w:szCs w:val="24"/>
          <w:highlight w:val="none"/>
          <w:lang w:eastAsia="zh-CN"/>
        </w:rPr>
        <w:t>三门县滨海新城三门湾大道29号</w:t>
      </w:r>
    </w:p>
    <w:p w14:paraId="4D48FA16">
      <w:pPr>
        <w:pStyle w:val="8"/>
        <w:keepNext/>
        <w:keepLines/>
        <w:tabs>
          <w:tab w:val="left" w:pos="4228"/>
          <w:tab w:val="left" w:pos="7975"/>
        </w:tabs>
        <w:kinsoku w:val="0"/>
        <w:spacing w:line="360" w:lineRule="auto"/>
        <w:ind w:left="0" w:firstLine="480" w:firstLineChars="200"/>
        <w:jc w:val="both"/>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联 系</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万里</w:t>
      </w:r>
    </w:p>
    <w:p w14:paraId="0882BD6D">
      <w:pPr>
        <w:pStyle w:val="8"/>
        <w:keepNext/>
        <w:keepLines/>
        <w:tabs>
          <w:tab w:val="left" w:pos="4228"/>
          <w:tab w:val="left" w:pos="7975"/>
        </w:tabs>
        <w:kinsoku w:val="0"/>
        <w:spacing w:line="360" w:lineRule="auto"/>
        <w:ind w:left="0" w:firstLine="480" w:firstLineChars="200"/>
        <w:jc w:val="both"/>
        <w:rPr>
          <w:rFonts w:hint="eastAsia" w:ascii="宋体" w:hAnsi="宋体" w:eastAsia="宋体" w:cs="宋体"/>
          <w:color w:val="auto"/>
          <w:sz w:val="24"/>
          <w:szCs w:val="24"/>
          <w:highlight w:val="none"/>
          <w:u w:val="single"/>
          <w:lang w:eastAsia="zh-CN"/>
        </w:rPr>
      </w:pPr>
      <w:r>
        <w:rPr>
          <w:rFonts w:hint="eastAsia" w:ascii="宋体" w:hAnsi="宋体" w:cs="宋体"/>
          <w:color w:val="auto"/>
          <w:sz w:val="24"/>
          <w:szCs w:val="24"/>
          <w:highlight w:val="none"/>
        </w:rPr>
        <w:t xml:space="preserve">电  </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rPr>
        <w:t xml:space="preserve"> 话：</w:t>
      </w:r>
      <w:r>
        <w:rPr>
          <w:rFonts w:hint="eastAsia" w:ascii="宋体" w:hAnsi="宋体" w:cs="宋体"/>
          <w:color w:val="auto"/>
          <w:sz w:val="24"/>
          <w:szCs w:val="24"/>
          <w:highlight w:val="none"/>
          <w:lang w:eastAsia="zh-CN"/>
        </w:rPr>
        <w:t>13626619051</w:t>
      </w:r>
    </w:p>
    <w:p w14:paraId="25EE06AB">
      <w:pPr>
        <w:pStyle w:val="8"/>
        <w:keepNext/>
        <w:keepLines/>
        <w:tabs>
          <w:tab w:val="left" w:pos="4228"/>
          <w:tab w:val="left" w:pos="7975"/>
        </w:tabs>
        <w:kinsoku w:val="0"/>
        <w:spacing w:line="360" w:lineRule="auto"/>
        <w:ind w:left="0" w:right="905" w:firstLine="5520" w:firstLineChars="2300"/>
        <w:jc w:val="both"/>
        <w:rPr>
          <w:rFonts w:ascii="宋体" w:hAnsi="宋体" w:cs="宋体"/>
          <w:color w:val="auto"/>
          <w:sz w:val="24"/>
          <w:szCs w:val="24"/>
          <w:highlight w:val="none"/>
        </w:rPr>
      </w:pPr>
    </w:p>
    <w:p w14:paraId="709938CD">
      <w:pPr>
        <w:pStyle w:val="8"/>
        <w:keepNext/>
        <w:keepLines/>
        <w:tabs>
          <w:tab w:val="left" w:pos="4228"/>
          <w:tab w:val="left" w:pos="7975"/>
        </w:tabs>
        <w:kinsoku w:val="0"/>
        <w:spacing w:line="360" w:lineRule="auto"/>
        <w:ind w:left="0" w:firstLine="480" w:firstLineChars="200"/>
        <w:jc w:val="both"/>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招标代理机构：</w:t>
      </w:r>
      <w:r>
        <w:rPr>
          <w:rFonts w:hint="eastAsia" w:ascii="宋体" w:hAnsi="宋体" w:cs="宋体"/>
          <w:color w:val="auto"/>
          <w:sz w:val="24"/>
          <w:szCs w:val="24"/>
          <w:highlight w:val="none"/>
          <w:lang w:eastAsia="zh-CN"/>
        </w:rPr>
        <w:t>欧邦工程管理集团有限公司</w:t>
      </w:r>
    </w:p>
    <w:p w14:paraId="17788C6A">
      <w:pPr>
        <w:pStyle w:val="8"/>
        <w:keepNext/>
        <w:keepLines/>
        <w:tabs>
          <w:tab w:val="left" w:pos="4228"/>
          <w:tab w:val="left" w:pos="7975"/>
        </w:tabs>
        <w:kinsoku w:val="0"/>
        <w:spacing w:line="360" w:lineRule="auto"/>
        <w:ind w:left="0" w:firstLine="480" w:firstLineChars="200"/>
        <w:jc w:val="both"/>
        <w:rPr>
          <w:rFonts w:hint="eastAsia" w:eastAsia="宋体"/>
          <w:color w:val="auto"/>
          <w:sz w:val="24"/>
          <w:szCs w:val="24"/>
          <w:highlight w:val="none"/>
          <w:lang w:val="en-US" w:eastAsia="zh-CN"/>
        </w:rPr>
      </w:pPr>
      <w:r>
        <w:rPr>
          <w:rFonts w:hint="eastAsia" w:ascii="宋体" w:hAnsi="宋体" w:cs="宋体"/>
          <w:color w:val="auto"/>
          <w:sz w:val="24"/>
          <w:szCs w:val="24"/>
          <w:highlight w:val="none"/>
        </w:rPr>
        <w:t xml:space="preserve">地   </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rPr>
        <w:t xml:space="preserve">  址：</w:t>
      </w:r>
      <w:r>
        <w:rPr>
          <w:rFonts w:hint="eastAsia" w:eastAsia="宋体"/>
          <w:color w:val="auto"/>
          <w:sz w:val="24"/>
          <w:szCs w:val="24"/>
          <w:highlight w:val="none"/>
          <w:lang w:eastAsia="zh-CN"/>
        </w:rPr>
        <w:t>三门县湫水大道25号（二楼）</w:t>
      </w:r>
    </w:p>
    <w:p w14:paraId="3CE08272">
      <w:pPr>
        <w:pStyle w:val="8"/>
        <w:keepNext/>
        <w:keepLines/>
        <w:tabs>
          <w:tab w:val="left" w:pos="4228"/>
          <w:tab w:val="left" w:pos="7975"/>
        </w:tabs>
        <w:kinsoku w:val="0"/>
        <w:spacing w:line="360" w:lineRule="auto"/>
        <w:ind w:left="0" w:firstLine="480" w:firstLineChars="200"/>
        <w:jc w:val="both"/>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 xml:space="preserve">联 </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rPr>
        <w:t>系</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倪勇</w:t>
      </w:r>
    </w:p>
    <w:p w14:paraId="6F5DBF5B">
      <w:pPr>
        <w:pStyle w:val="8"/>
        <w:keepNext/>
        <w:keepLines/>
        <w:tabs>
          <w:tab w:val="left" w:pos="4228"/>
          <w:tab w:val="left" w:pos="7975"/>
        </w:tabs>
        <w:kinsoku w:val="0"/>
        <w:spacing w:line="360" w:lineRule="auto"/>
        <w:ind w:left="0" w:firstLine="480" w:firstLineChars="200"/>
        <w:jc w:val="both"/>
        <w:rPr>
          <w:rFonts w:hint="eastAsia" w:ascii="宋体" w:hAnsi="宋体" w:eastAsia="宋体" w:cs="宋体"/>
          <w:color w:val="auto"/>
          <w:w w:val="28"/>
          <w:sz w:val="24"/>
          <w:szCs w:val="24"/>
          <w:highlight w:val="none"/>
          <w:u w:val="single"/>
          <w:lang w:eastAsia="zh-CN"/>
        </w:rPr>
      </w:pPr>
      <w:r>
        <w:rPr>
          <w:rFonts w:hint="eastAsia" w:ascii="宋体" w:hAnsi="宋体" w:cs="宋体"/>
          <w:color w:val="auto"/>
          <w:sz w:val="24"/>
          <w:szCs w:val="24"/>
          <w:highlight w:val="none"/>
        </w:rPr>
        <w:t xml:space="preserve">电    </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rPr>
        <w:t xml:space="preserve"> 话：</w:t>
      </w:r>
      <w:r>
        <w:rPr>
          <w:rFonts w:hint="eastAsia" w:ascii="宋体" w:hAnsi="宋体" w:cs="宋体"/>
          <w:color w:val="auto"/>
          <w:sz w:val="24"/>
          <w:szCs w:val="24"/>
          <w:highlight w:val="none"/>
          <w:lang w:eastAsia="zh-CN"/>
        </w:rPr>
        <w:t>0576-83321522</w:t>
      </w:r>
    </w:p>
    <w:p w14:paraId="18AD3291">
      <w:pPr>
        <w:keepNext/>
        <w:keepLines/>
        <w:widowControl/>
        <w:autoSpaceDE/>
        <w:autoSpaceDN/>
        <w:adjustRightInd/>
        <w:spacing w:line="360" w:lineRule="auto"/>
        <w:jc w:val="right"/>
        <w:rPr>
          <w:rFonts w:hint="eastAsia" w:ascii="宋体" w:hAnsi="宋体" w:cs="宋体"/>
          <w:color w:val="auto"/>
          <w:sz w:val="24"/>
          <w:szCs w:val="24"/>
          <w:highlight w:val="none"/>
          <w:lang w:eastAsia="zh-CN"/>
        </w:rPr>
      </w:pPr>
    </w:p>
    <w:p w14:paraId="7A448980">
      <w:pPr>
        <w:keepNext/>
        <w:keepLines/>
        <w:widowControl/>
        <w:autoSpaceDE/>
        <w:autoSpaceDN/>
        <w:adjustRightInd/>
        <w:spacing w:line="360" w:lineRule="auto"/>
        <w:jc w:val="righ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三门经济投资开发有限公司</w:t>
      </w:r>
    </w:p>
    <w:p w14:paraId="557B7A08">
      <w:pPr>
        <w:keepNext/>
        <w:keepLines/>
        <w:widowControl/>
        <w:autoSpaceDE/>
        <w:autoSpaceDN/>
        <w:adjustRightInd/>
        <w:spacing w:line="360" w:lineRule="auto"/>
        <w:jc w:val="righ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欧邦工程管理集团有限公司</w:t>
      </w:r>
    </w:p>
    <w:p w14:paraId="0AE527BE">
      <w:pPr>
        <w:keepNext/>
        <w:keepLines/>
        <w:widowControl/>
        <w:autoSpaceDE/>
        <w:autoSpaceDN/>
        <w:adjustRightInd/>
        <w:spacing w:line="360" w:lineRule="auto"/>
        <w:jc w:val="right"/>
        <w:rPr>
          <w:rFonts w:ascii="宋体" w:hAnsi="宋体" w:cs="宋体"/>
          <w:color w:val="auto"/>
          <w:sz w:val="24"/>
          <w:szCs w:val="24"/>
          <w:highlight w:val="none"/>
        </w:rPr>
      </w:pPr>
      <w:r>
        <w:rPr>
          <w:rFonts w:hint="eastAsia" w:ascii="宋体" w:hAnsi="宋体" w:cs="宋体"/>
          <w:color w:val="auto"/>
          <w:sz w:val="24"/>
          <w:szCs w:val="24"/>
          <w:highlight w:val="none"/>
        </w:rPr>
        <w:t>三门县住房和城乡建设局</w:t>
      </w:r>
    </w:p>
    <w:p w14:paraId="2A88B5A7">
      <w:pPr>
        <w:spacing w:line="219" w:lineRule="auto"/>
        <w:jc w:val="right"/>
        <w:rPr>
          <w:rFonts w:ascii="宋体" w:hAnsi="宋体" w:eastAsia="宋体" w:cs="宋体"/>
          <w:color w:val="auto"/>
          <w:sz w:val="24"/>
          <w:szCs w:val="24"/>
          <w:highlight w:val="none"/>
          <w:lang w:eastAsia="zh-CN"/>
        </w:rPr>
        <w:sectPr>
          <w:footerReference r:id="rId5" w:type="default"/>
          <w:pgSz w:w="11907" w:h="16840"/>
          <w:pgMar w:top="1431" w:right="1466" w:bottom="1288" w:left="1530" w:header="0" w:footer="1102" w:gutter="0"/>
          <w:pgNumType w:fmt="decimal"/>
          <w:cols w:space="720" w:num="1"/>
          <w:docGrid w:linePitch="0" w:charSpace="0"/>
        </w:sectPr>
      </w:pPr>
      <w:r>
        <w:rPr>
          <w:rFonts w:hint="eastAsia" w:ascii="宋体" w:hAnsi="宋体" w:cs="宋体"/>
          <w:color w:val="auto"/>
          <w:sz w:val="24"/>
          <w:szCs w:val="24"/>
          <w:highlight w:val="none"/>
          <w:lang w:val="en-US" w:eastAsia="zh-CN"/>
        </w:rPr>
        <w:t>2025</w:t>
      </w:r>
      <w:r>
        <w:rPr>
          <w:rFonts w:hint="eastAsia" w:ascii="宋体" w:hAnsi="宋体" w:cs="宋体"/>
          <w:color w:val="auto"/>
          <w:sz w:val="24"/>
          <w:szCs w:val="24"/>
          <w:highlight w:val="none"/>
        </w:rPr>
        <w:t>年</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日</w:t>
      </w:r>
    </w:p>
    <w:p w14:paraId="329809DE">
      <w:pPr>
        <w:spacing w:before="88" w:line="225" w:lineRule="auto"/>
        <w:ind w:left="2636"/>
        <w:outlineLvl w:val="0"/>
        <w:rPr>
          <w:rFonts w:ascii="黑体" w:hAnsi="黑体" w:eastAsia="黑体" w:cs="黑体"/>
          <w:color w:val="auto"/>
          <w:sz w:val="43"/>
          <w:szCs w:val="43"/>
          <w:highlight w:val="none"/>
          <w:lang w:eastAsia="zh-CN"/>
        </w:rPr>
      </w:pPr>
      <w:bookmarkStart w:id="10" w:name="bookmark4"/>
      <w:bookmarkEnd w:id="10"/>
      <w:r>
        <w:rPr>
          <w:rFonts w:ascii="黑体" w:hAnsi="黑体" w:eastAsia="黑体" w:cs="黑体"/>
          <w:color w:val="auto"/>
          <w:spacing w:val="5"/>
          <w:sz w:val="43"/>
          <w:szCs w:val="43"/>
          <w:highlight w:val="none"/>
          <w:lang w:eastAsia="zh-CN"/>
        </w:rPr>
        <w:t>第二章投标人须知</w:t>
      </w:r>
    </w:p>
    <w:p w14:paraId="206495E0">
      <w:pPr>
        <w:spacing w:before="164" w:line="223" w:lineRule="auto"/>
        <w:ind w:left="3160"/>
        <w:rPr>
          <w:rFonts w:ascii="宋体" w:hAnsi="宋体" w:eastAsia="宋体" w:cs="宋体"/>
          <w:color w:val="auto"/>
          <w:sz w:val="31"/>
          <w:szCs w:val="31"/>
          <w:highlight w:val="none"/>
        </w:rPr>
      </w:pPr>
      <w:r>
        <w:rPr>
          <w:rFonts w:ascii="宋体" w:hAnsi="宋体" w:eastAsia="宋体" w:cs="宋体"/>
          <w:b/>
          <w:bCs/>
          <w:color w:val="auto"/>
          <w:spacing w:val="6"/>
          <w:sz w:val="31"/>
          <w:szCs w:val="31"/>
          <w:highlight w:val="none"/>
        </w:rPr>
        <w:t>投标人须知前附表</w:t>
      </w:r>
    </w:p>
    <w:p w14:paraId="743C4D23">
      <w:pPr>
        <w:spacing w:line="93" w:lineRule="exact"/>
        <w:rPr>
          <w:color w:val="auto"/>
          <w:highlight w:val="none"/>
        </w:rPr>
      </w:pPr>
    </w:p>
    <w:tbl>
      <w:tblPr>
        <w:tblStyle w:val="22"/>
        <w:tblW w:w="9614" w:type="dxa"/>
        <w:tblInd w:w="-64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0"/>
        <w:gridCol w:w="1305"/>
        <w:gridCol w:w="7229"/>
      </w:tblGrid>
      <w:tr w14:paraId="4C87F5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080" w:type="dxa"/>
          </w:tcPr>
          <w:p w14:paraId="78BBC460">
            <w:pPr>
              <w:pStyle w:val="23"/>
              <w:spacing w:before="179" w:line="219" w:lineRule="auto"/>
              <w:ind w:left="117"/>
              <w:rPr>
                <w:color w:val="auto"/>
                <w:sz w:val="24"/>
                <w:szCs w:val="24"/>
                <w:highlight w:val="none"/>
              </w:rPr>
            </w:pPr>
            <w:r>
              <w:rPr>
                <w:b/>
                <w:bCs/>
                <w:color w:val="auto"/>
                <w:spacing w:val="-6"/>
                <w:sz w:val="24"/>
                <w:szCs w:val="24"/>
                <w:highlight w:val="none"/>
              </w:rPr>
              <w:t>条款号</w:t>
            </w:r>
          </w:p>
        </w:tc>
        <w:tc>
          <w:tcPr>
            <w:tcW w:w="1305" w:type="dxa"/>
          </w:tcPr>
          <w:p w14:paraId="2627F86E">
            <w:pPr>
              <w:pStyle w:val="23"/>
              <w:spacing w:before="179" w:line="219" w:lineRule="auto"/>
              <w:rPr>
                <w:color w:val="auto"/>
                <w:sz w:val="24"/>
                <w:szCs w:val="24"/>
                <w:highlight w:val="none"/>
              </w:rPr>
            </w:pPr>
            <w:r>
              <w:rPr>
                <w:b/>
                <w:bCs/>
                <w:color w:val="auto"/>
                <w:spacing w:val="-5"/>
                <w:sz w:val="24"/>
                <w:szCs w:val="24"/>
                <w:highlight w:val="none"/>
              </w:rPr>
              <w:t>条款名称</w:t>
            </w:r>
          </w:p>
        </w:tc>
        <w:tc>
          <w:tcPr>
            <w:tcW w:w="7229" w:type="dxa"/>
          </w:tcPr>
          <w:p w14:paraId="3357CB92">
            <w:pPr>
              <w:pStyle w:val="23"/>
              <w:spacing w:before="179" w:line="219" w:lineRule="auto"/>
              <w:ind w:left="2601"/>
              <w:rPr>
                <w:color w:val="auto"/>
                <w:sz w:val="24"/>
                <w:szCs w:val="24"/>
                <w:highlight w:val="none"/>
              </w:rPr>
            </w:pPr>
            <w:r>
              <w:rPr>
                <w:b/>
                <w:bCs/>
                <w:color w:val="auto"/>
                <w:spacing w:val="-5"/>
                <w:sz w:val="24"/>
                <w:szCs w:val="24"/>
                <w:highlight w:val="none"/>
              </w:rPr>
              <w:t>编列内容</w:t>
            </w:r>
          </w:p>
        </w:tc>
      </w:tr>
      <w:tr w14:paraId="2DB888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2" w:hRule="atLeast"/>
        </w:trPr>
        <w:tc>
          <w:tcPr>
            <w:tcW w:w="1080" w:type="dxa"/>
            <w:vAlign w:val="center"/>
          </w:tcPr>
          <w:p w14:paraId="3F089A48">
            <w:pPr>
              <w:spacing w:line="319" w:lineRule="auto"/>
              <w:jc w:val="center"/>
              <w:rPr>
                <w:color w:val="auto"/>
                <w:highlight w:val="none"/>
              </w:rPr>
            </w:pPr>
          </w:p>
          <w:p w14:paraId="1F175F5B">
            <w:pPr>
              <w:spacing w:line="320" w:lineRule="auto"/>
              <w:jc w:val="center"/>
              <w:rPr>
                <w:color w:val="auto"/>
                <w:highlight w:val="none"/>
              </w:rPr>
            </w:pPr>
          </w:p>
          <w:p w14:paraId="10FA45A3">
            <w:pPr>
              <w:spacing w:before="69"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1.1.2</w:t>
            </w:r>
          </w:p>
        </w:tc>
        <w:tc>
          <w:tcPr>
            <w:tcW w:w="1305" w:type="dxa"/>
            <w:vAlign w:val="center"/>
          </w:tcPr>
          <w:p w14:paraId="4D1BE894">
            <w:pPr>
              <w:pStyle w:val="27"/>
              <w:kinsoku w:val="0"/>
              <w:spacing w:line="440" w:lineRule="exact"/>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招标人</w:t>
            </w:r>
          </w:p>
        </w:tc>
        <w:tc>
          <w:tcPr>
            <w:tcW w:w="7229" w:type="dxa"/>
            <w:vAlign w:val="top"/>
          </w:tcPr>
          <w:p w14:paraId="77FEC790">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名称：三门经济投资开发有限公司</w:t>
            </w:r>
          </w:p>
          <w:p w14:paraId="05AD4C3C">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地址：三门县滨海新城三门湾大道29号</w:t>
            </w:r>
          </w:p>
          <w:p w14:paraId="3C843D3C">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联系人：万里</w:t>
            </w:r>
          </w:p>
          <w:p w14:paraId="366AEEE7">
            <w:pPr>
              <w:pStyle w:val="27"/>
              <w:kinsoku w:val="0"/>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联系电话：13626619051</w:t>
            </w:r>
          </w:p>
        </w:tc>
      </w:tr>
      <w:tr w14:paraId="2BE54A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5" w:hRule="atLeast"/>
        </w:trPr>
        <w:tc>
          <w:tcPr>
            <w:tcW w:w="1080" w:type="dxa"/>
            <w:vAlign w:val="center"/>
          </w:tcPr>
          <w:p w14:paraId="2A0A771C">
            <w:pPr>
              <w:spacing w:before="69"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1.1.3</w:t>
            </w:r>
          </w:p>
        </w:tc>
        <w:tc>
          <w:tcPr>
            <w:tcW w:w="1305" w:type="dxa"/>
            <w:vAlign w:val="center"/>
          </w:tcPr>
          <w:p w14:paraId="6894C6FF">
            <w:pPr>
              <w:pStyle w:val="27"/>
              <w:kinsoku w:val="0"/>
              <w:spacing w:line="440" w:lineRule="exact"/>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招标代理机构</w:t>
            </w:r>
          </w:p>
        </w:tc>
        <w:tc>
          <w:tcPr>
            <w:tcW w:w="7229" w:type="dxa"/>
            <w:vAlign w:val="top"/>
          </w:tcPr>
          <w:p w14:paraId="0107E4FE">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名称：欧邦工程管理集团有限公司</w:t>
            </w:r>
          </w:p>
          <w:p w14:paraId="1D2E7C98">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地址：三门县湫水大道25号（二楼）</w:t>
            </w:r>
          </w:p>
          <w:p w14:paraId="3EB69AF4">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联系人：倪勇</w:t>
            </w:r>
          </w:p>
          <w:p w14:paraId="49DC15DE">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联系电话：0576-83321522</w:t>
            </w:r>
          </w:p>
        </w:tc>
      </w:tr>
      <w:tr w14:paraId="4AB1A0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080" w:type="dxa"/>
            <w:vAlign w:val="center"/>
          </w:tcPr>
          <w:p w14:paraId="7BAC7AF0">
            <w:pPr>
              <w:spacing w:before="217"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1.1.4</w:t>
            </w:r>
          </w:p>
        </w:tc>
        <w:tc>
          <w:tcPr>
            <w:tcW w:w="1305" w:type="dxa"/>
            <w:vAlign w:val="center"/>
          </w:tcPr>
          <w:p w14:paraId="48FB3367">
            <w:pPr>
              <w:pStyle w:val="23"/>
              <w:spacing w:before="177" w:line="219" w:lineRule="auto"/>
              <w:jc w:val="center"/>
              <w:rPr>
                <w:color w:val="auto"/>
                <w:sz w:val="24"/>
                <w:szCs w:val="24"/>
                <w:highlight w:val="none"/>
              </w:rPr>
            </w:pPr>
            <w:r>
              <w:rPr>
                <w:color w:val="auto"/>
                <w:spacing w:val="-4"/>
                <w:sz w:val="24"/>
                <w:szCs w:val="24"/>
                <w:highlight w:val="none"/>
              </w:rPr>
              <w:t>工程名称</w:t>
            </w:r>
          </w:p>
        </w:tc>
        <w:tc>
          <w:tcPr>
            <w:tcW w:w="7229" w:type="dxa"/>
            <w:vAlign w:val="center"/>
          </w:tcPr>
          <w:p w14:paraId="021CFEDA">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三门经济开发区科创中心装修提升工程</w:t>
            </w:r>
          </w:p>
        </w:tc>
      </w:tr>
      <w:tr w14:paraId="0123F7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080" w:type="dxa"/>
            <w:vAlign w:val="center"/>
          </w:tcPr>
          <w:p w14:paraId="5D029632">
            <w:pPr>
              <w:spacing w:before="218"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1.1.5</w:t>
            </w:r>
          </w:p>
        </w:tc>
        <w:tc>
          <w:tcPr>
            <w:tcW w:w="1305" w:type="dxa"/>
            <w:vAlign w:val="center"/>
          </w:tcPr>
          <w:p w14:paraId="5FE6C94D">
            <w:pPr>
              <w:pStyle w:val="23"/>
              <w:spacing w:before="178" w:line="219" w:lineRule="auto"/>
              <w:jc w:val="center"/>
              <w:rPr>
                <w:color w:val="auto"/>
                <w:sz w:val="24"/>
                <w:szCs w:val="24"/>
                <w:highlight w:val="none"/>
              </w:rPr>
            </w:pPr>
            <w:r>
              <w:rPr>
                <w:color w:val="auto"/>
                <w:spacing w:val="-3"/>
                <w:sz w:val="24"/>
                <w:szCs w:val="24"/>
                <w:highlight w:val="none"/>
              </w:rPr>
              <w:t>工程建设地点</w:t>
            </w:r>
          </w:p>
        </w:tc>
        <w:tc>
          <w:tcPr>
            <w:tcW w:w="7229" w:type="dxa"/>
            <w:vAlign w:val="center"/>
          </w:tcPr>
          <w:p w14:paraId="6A5DE1AA">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三门县</w:t>
            </w:r>
          </w:p>
        </w:tc>
      </w:tr>
      <w:tr w14:paraId="44A03B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080" w:type="dxa"/>
            <w:vAlign w:val="center"/>
          </w:tcPr>
          <w:p w14:paraId="61E5F91D">
            <w:pPr>
              <w:spacing w:before="219"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1.1.6</w:t>
            </w:r>
          </w:p>
        </w:tc>
        <w:tc>
          <w:tcPr>
            <w:tcW w:w="1305" w:type="dxa"/>
            <w:vAlign w:val="center"/>
          </w:tcPr>
          <w:p w14:paraId="71CF1C1F">
            <w:pPr>
              <w:pStyle w:val="23"/>
              <w:spacing w:before="178" w:line="219" w:lineRule="auto"/>
              <w:jc w:val="center"/>
              <w:rPr>
                <w:color w:val="auto"/>
                <w:sz w:val="24"/>
                <w:szCs w:val="24"/>
                <w:highlight w:val="none"/>
              </w:rPr>
            </w:pPr>
            <w:r>
              <w:rPr>
                <w:color w:val="auto"/>
                <w:spacing w:val="-3"/>
                <w:sz w:val="24"/>
                <w:szCs w:val="24"/>
                <w:highlight w:val="none"/>
              </w:rPr>
              <w:t>工程承包方式</w:t>
            </w:r>
          </w:p>
        </w:tc>
        <w:tc>
          <w:tcPr>
            <w:tcW w:w="7229" w:type="dxa"/>
            <w:vAlign w:val="center"/>
          </w:tcPr>
          <w:p w14:paraId="5B9693E5">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包工包料</w:t>
            </w:r>
          </w:p>
        </w:tc>
      </w:tr>
      <w:tr w14:paraId="71F297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080" w:type="dxa"/>
            <w:vAlign w:val="center"/>
          </w:tcPr>
          <w:p w14:paraId="4AAC91BE">
            <w:pPr>
              <w:spacing w:before="218"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1.2.1</w:t>
            </w:r>
          </w:p>
        </w:tc>
        <w:tc>
          <w:tcPr>
            <w:tcW w:w="1305" w:type="dxa"/>
            <w:vAlign w:val="center"/>
          </w:tcPr>
          <w:p w14:paraId="6DA4AB84">
            <w:pPr>
              <w:pStyle w:val="23"/>
              <w:spacing w:before="176" w:line="219" w:lineRule="auto"/>
              <w:jc w:val="center"/>
              <w:rPr>
                <w:color w:val="auto"/>
                <w:sz w:val="24"/>
                <w:szCs w:val="24"/>
                <w:highlight w:val="none"/>
              </w:rPr>
            </w:pPr>
            <w:r>
              <w:rPr>
                <w:color w:val="auto"/>
                <w:spacing w:val="-3"/>
                <w:sz w:val="24"/>
                <w:szCs w:val="24"/>
                <w:highlight w:val="none"/>
              </w:rPr>
              <w:t>资金来源及比例</w:t>
            </w:r>
          </w:p>
        </w:tc>
        <w:tc>
          <w:tcPr>
            <w:tcW w:w="7229" w:type="dxa"/>
            <w:vAlign w:val="center"/>
          </w:tcPr>
          <w:p w14:paraId="25CF558F">
            <w:pPr>
              <w:spacing w:line="440" w:lineRule="exact"/>
              <w:rPr>
                <w:rFonts w:hint="default"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自筹</w:t>
            </w:r>
          </w:p>
        </w:tc>
      </w:tr>
      <w:tr w14:paraId="6ACFEC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080" w:type="dxa"/>
            <w:vAlign w:val="center"/>
          </w:tcPr>
          <w:p w14:paraId="206178D3">
            <w:pPr>
              <w:spacing w:before="219"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1.2.2</w:t>
            </w:r>
          </w:p>
        </w:tc>
        <w:tc>
          <w:tcPr>
            <w:tcW w:w="1305" w:type="dxa"/>
            <w:vAlign w:val="center"/>
          </w:tcPr>
          <w:p w14:paraId="252B6971">
            <w:pPr>
              <w:pStyle w:val="23"/>
              <w:spacing w:before="178" w:line="219" w:lineRule="auto"/>
              <w:jc w:val="center"/>
              <w:rPr>
                <w:color w:val="auto"/>
                <w:sz w:val="24"/>
                <w:szCs w:val="24"/>
                <w:highlight w:val="none"/>
              </w:rPr>
            </w:pPr>
            <w:r>
              <w:rPr>
                <w:color w:val="auto"/>
                <w:spacing w:val="-4"/>
                <w:sz w:val="24"/>
                <w:szCs w:val="24"/>
                <w:highlight w:val="none"/>
              </w:rPr>
              <w:t>资金落实情况</w:t>
            </w:r>
          </w:p>
        </w:tc>
        <w:tc>
          <w:tcPr>
            <w:tcW w:w="7229" w:type="dxa"/>
            <w:vAlign w:val="center"/>
          </w:tcPr>
          <w:p w14:paraId="03D3499A">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已落实</w:t>
            </w:r>
          </w:p>
        </w:tc>
      </w:tr>
      <w:tr w14:paraId="639BEE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080" w:type="dxa"/>
            <w:vAlign w:val="center"/>
          </w:tcPr>
          <w:p w14:paraId="3FC55575">
            <w:pPr>
              <w:spacing w:before="217"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1.3.1</w:t>
            </w:r>
          </w:p>
        </w:tc>
        <w:tc>
          <w:tcPr>
            <w:tcW w:w="1305" w:type="dxa"/>
            <w:vAlign w:val="center"/>
          </w:tcPr>
          <w:p w14:paraId="5E0C0563">
            <w:pPr>
              <w:pStyle w:val="23"/>
              <w:spacing w:before="177" w:line="219" w:lineRule="auto"/>
              <w:jc w:val="center"/>
              <w:rPr>
                <w:color w:val="auto"/>
                <w:sz w:val="24"/>
                <w:szCs w:val="24"/>
                <w:highlight w:val="none"/>
              </w:rPr>
            </w:pPr>
            <w:r>
              <w:rPr>
                <w:color w:val="auto"/>
                <w:spacing w:val="-3"/>
                <w:sz w:val="24"/>
                <w:szCs w:val="24"/>
                <w:highlight w:val="none"/>
              </w:rPr>
              <w:t>招标范围</w:t>
            </w:r>
          </w:p>
        </w:tc>
        <w:tc>
          <w:tcPr>
            <w:tcW w:w="7229" w:type="dxa"/>
            <w:vAlign w:val="center"/>
          </w:tcPr>
          <w:p w14:paraId="11221A08">
            <w:pPr>
              <w:spacing w:line="44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招标人提供的施工图纸范围内及预算审核书中所包含的所有内容。具体详见施工图纸及工程量清单。</w:t>
            </w:r>
          </w:p>
        </w:tc>
      </w:tr>
      <w:tr w14:paraId="74ACA1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080" w:type="dxa"/>
            <w:vAlign w:val="center"/>
          </w:tcPr>
          <w:p w14:paraId="109A8816">
            <w:pPr>
              <w:spacing w:before="69"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1.3.2</w:t>
            </w:r>
          </w:p>
        </w:tc>
        <w:tc>
          <w:tcPr>
            <w:tcW w:w="1305" w:type="dxa"/>
            <w:vAlign w:val="center"/>
          </w:tcPr>
          <w:p w14:paraId="1FB5BCAE">
            <w:pPr>
              <w:pStyle w:val="23"/>
              <w:spacing w:before="78" w:line="219" w:lineRule="auto"/>
              <w:jc w:val="center"/>
              <w:rPr>
                <w:color w:val="auto"/>
                <w:sz w:val="24"/>
                <w:szCs w:val="24"/>
                <w:highlight w:val="none"/>
              </w:rPr>
            </w:pPr>
            <w:r>
              <w:rPr>
                <w:color w:val="auto"/>
                <w:spacing w:val="-2"/>
                <w:sz w:val="24"/>
                <w:szCs w:val="24"/>
                <w:highlight w:val="none"/>
              </w:rPr>
              <w:t>计划工期要求</w:t>
            </w:r>
          </w:p>
        </w:tc>
        <w:tc>
          <w:tcPr>
            <w:tcW w:w="7229" w:type="dxa"/>
            <w:vAlign w:val="center"/>
          </w:tcPr>
          <w:p w14:paraId="63DE8BD4">
            <w:pPr>
              <w:pStyle w:val="23"/>
              <w:spacing w:before="28" w:line="197" w:lineRule="auto"/>
              <w:ind w:left="58"/>
              <w:jc w:val="both"/>
              <w:rPr>
                <w:color w:val="auto"/>
                <w:sz w:val="24"/>
                <w:szCs w:val="24"/>
                <w:highlight w:val="none"/>
                <w:lang w:eastAsia="zh-CN"/>
              </w:rPr>
            </w:pPr>
            <w:r>
              <w:rPr>
                <w:rFonts w:hint="eastAsia" w:ascii="Times New Roman" w:hAnsi="宋体"/>
                <w:color w:val="auto"/>
                <w:sz w:val="24"/>
                <w:szCs w:val="24"/>
                <w:highlight w:val="none"/>
              </w:rPr>
              <w:t>不超</w:t>
            </w:r>
            <w:r>
              <w:rPr>
                <w:rFonts w:hint="eastAsia" w:ascii="Times New Roman" w:hAnsi="宋体"/>
                <w:color w:val="auto"/>
                <w:sz w:val="24"/>
                <w:szCs w:val="24"/>
                <w:highlight w:val="none"/>
              </w:rPr>
              <w:t>过</w:t>
            </w:r>
            <w:r>
              <w:rPr>
                <w:rFonts w:hint="eastAsia" w:ascii="Times New Roman"/>
                <w:color w:val="auto"/>
                <w:sz w:val="24"/>
                <w:szCs w:val="24"/>
                <w:highlight w:val="none"/>
                <w:u w:val="single"/>
                <w:lang w:val="en-US" w:eastAsia="zh-CN"/>
              </w:rPr>
              <w:t>100</w:t>
            </w:r>
            <w:r>
              <w:rPr>
                <w:rFonts w:hint="eastAsia" w:ascii="Times New Roman" w:hAnsi="宋体"/>
                <w:color w:val="auto"/>
                <w:sz w:val="24"/>
                <w:szCs w:val="24"/>
                <w:highlight w:val="none"/>
              </w:rPr>
              <w:t>日</w:t>
            </w:r>
            <w:r>
              <w:rPr>
                <w:rFonts w:hint="eastAsia" w:ascii="Times New Roman" w:hAnsi="宋体"/>
                <w:color w:val="auto"/>
                <w:sz w:val="24"/>
                <w:szCs w:val="24"/>
                <w:highlight w:val="none"/>
              </w:rPr>
              <w:t>历天（投标人在投标文件中必须明确工期天数）</w:t>
            </w:r>
          </w:p>
        </w:tc>
      </w:tr>
      <w:tr w14:paraId="5F9E74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080" w:type="dxa"/>
            <w:vAlign w:val="center"/>
          </w:tcPr>
          <w:p w14:paraId="615B6668">
            <w:pPr>
              <w:spacing w:before="239"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1.3.3</w:t>
            </w:r>
          </w:p>
        </w:tc>
        <w:tc>
          <w:tcPr>
            <w:tcW w:w="1305" w:type="dxa"/>
            <w:vAlign w:val="center"/>
          </w:tcPr>
          <w:p w14:paraId="71C2E876">
            <w:pPr>
              <w:pStyle w:val="23"/>
              <w:spacing w:before="199" w:line="219" w:lineRule="auto"/>
              <w:jc w:val="center"/>
              <w:rPr>
                <w:color w:val="auto"/>
                <w:sz w:val="24"/>
                <w:szCs w:val="24"/>
                <w:highlight w:val="none"/>
              </w:rPr>
            </w:pPr>
            <w:r>
              <w:rPr>
                <w:color w:val="auto"/>
                <w:spacing w:val="-3"/>
                <w:sz w:val="24"/>
                <w:szCs w:val="24"/>
                <w:highlight w:val="none"/>
              </w:rPr>
              <w:t>质量要求</w:t>
            </w:r>
          </w:p>
        </w:tc>
        <w:tc>
          <w:tcPr>
            <w:tcW w:w="7229" w:type="dxa"/>
          </w:tcPr>
          <w:p w14:paraId="2A6A03C8">
            <w:pPr>
              <w:pStyle w:val="23"/>
              <w:spacing w:before="198" w:line="219" w:lineRule="auto"/>
              <w:ind w:left="36"/>
              <w:rPr>
                <w:color w:val="auto"/>
                <w:sz w:val="24"/>
                <w:szCs w:val="24"/>
                <w:highlight w:val="none"/>
                <w:lang w:eastAsia="zh-CN"/>
              </w:rPr>
            </w:pPr>
            <w:r>
              <w:rPr>
                <w:color w:val="auto"/>
                <w:spacing w:val="-1"/>
                <w:sz w:val="24"/>
                <w:szCs w:val="24"/>
                <w:highlight w:val="none"/>
                <w:lang w:eastAsia="zh-CN"/>
              </w:rPr>
              <w:t>符合现行国家有关工程施工验收规范和标准的要求</w:t>
            </w:r>
          </w:p>
        </w:tc>
      </w:tr>
      <w:tr w14:paraId="2C9D4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1080" w:type="dxa"/>
            <w:vAlign w:val="center"/>
          </w:tcPr>
          <w:p w14:paraId="1E7E6366">
            <w:pPr>
              <w:spacing w:before="247"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1.4.1</w:t>
            </w:r>
          </w:p>
        </w:tc>
        <w:tc>
          <w:tcPr>
            <w:tcW w:w="1305" w:type="dxa"/>
            <w:vAlign w:val="center"/>
          </w:tcPr>
          <w:p w14:paraId="5B4A47B3">
            <w:pPr>
              <w:pStyle w:val="23"/>
              <w:spacing w:before="51" w:line="226" w:lineRule="auto"/>
              <w:ind w:right="44"/>
              <w:jc w:val="center"/>
              <w:rPr>
                <w:color w:val="auto"/>
                <w:sz w:val="24"/>
                <w:szCs w:val="24"/>
                <w:highlight w:val="none"/>
              </w:rPr>
            </w:pPr>
            <w:r>
              <w:rPr>
                <w:color w:val="auto"/>
                <w:spacing w:val="-2"/>
                <w:sz w:val="24"/>
                <w:szCs w:val="24"/>
                <w:highlight w:val="none"/>
              </w:rPr>
              <w:t>投标人资格及要</w:t>
            </w:r>
            <w:r>
              <w:rPr>
                <w:color w:val="auto"/>
                <w:sz w:val="24"/>
                <w:szCs w:val="24"/>
                <w:highlight w:val="none"/>
              </w:rPr>
              <w:t>求</w:t>
            </w:r>
          </w:p>
        </w:tc>
        <w:tc>
          <w:tcPr>
            <w:tcW w:w="7229" w:type="dxa"/>
          </w:tcPr>
          <w:p w14:paraId="606A5657">
            <w:pPr>
              <w:pStyle w:val="23"/>
              <w:spacing w:before="51" w:line="217" w:lineRule="auto"/>
              <w:ind w:left="58"/>
              <w:rPr>
                <w:color w:val="auto"/>
                <w:sz w:val="24"/>
                <w:szCs w:val="24"/>
                <w:highlight w:val="none"/>
                <w:lang w:eastAsia="zh-CN"/>
              </w:rPr>
            </w:pPr>
            <w:r>
              <w:rPr>
                <w:rFonts w:hint="eastAsia"/>
                <w:color w:val="auto"/>
                <w:spacing w:val="-6"/>
                <w:sz w:val="24"/>
                <w:szCs w:val="24"/>
                <w:highlight w:val="none"/>
                <w:lang w:eastAsia="zh-CN"/>
              </w:rPr>
              <w:t>☑</w:t>
            </w:r>
            <w:r>
              <w:rPr>
                <w:color w:val="auto"/>
                <w:spacing w:val="-6"/>
                <w:sz w:val="24"/>
                <w:szCs w:val="24"/>
                <w:highlight w:val="none"/>
                <w:lang w:eastAsia="zh-CN"/>
              </w:rPr>
              <w:t>见招标公告</w:t>
            </w:r>
          </w:p>
          <w:p w14:paraId="61A0BFD7">
            <w:pPr>
              <w:pStyle w:val="23"/>
              <w:spacing w:before="29" w:line="212" w:lineRule="auto"/>
              <w:ind w:left="58"/>
              <w:rPr>
                <w:color w:val="auto"/>
                <w:sz w:val="24"/>
                <w:szCs w:val="24"/>
                <w:highlight w:val="none"/>
                <w:lang w:eastAsia="zh-CN"/>
              </w:rPr>
            </w:pPr>
            <w:r>
              <w:rPr>
                <w:color w:val="auto"/>
                <w:spacing w:val="-5"/>
                <w:sz w:val="24"/>
                <w:szCs w:val="24"/>
                <w:highlight w:val="none"/>
                <w:lang w:eastAsia="zh-CN"/>
              </w:rPr>
              <w:t>□见投标邀请书</w:t>
            </w:r>
          </w:p>
        </w:tc>
      </w:tr>
      <w:tr w14:paraId="5B9836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 w:hRule="atLeast"/>
        </w:trPr>
        <w:tc>
          <w:tcPr>
            <w:tcW w:w="1080" w:type="dxa"/>
            <w:vAlign w:val="center"/>
          </w:tcPr>
          <w:p w14:paraId="459799A3">
            <w:pPr>
              <w:spacing w:before="69" w:line="188" w:lineRule="auto"/>
              <w:ind w:left="256"/>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1.4.2</w:t>
            </w:r>
          </w:p>
        </w:tc>
        <w:tc>
          <w:tcPr>
            <w:tcW w:w="1305" w:type="dxa"/>
            <w:vAlign w:val="center"/>
          </w:tcPr>
          <w:p w14:paraId="4CD0A8DA">
            <w:pPr>
              <w:pStyle w:val="23"/>
              <w:spacing w:before="78" w:line="229" w:lineRule="auto"/>
              <w:ind w:right="44"/>
              <w:jc w:val="center"/>
              <w:rPr>
                <w:color w:val="auto"/>
                <w:sz w:val="24"/>
                <w:szCs w:val="24"/>
                <w:highlight w:val="none"/>
              </w:rPr>
            </w:pPr>
            <w:r>
              <w:rPr>
                <w:color w:val="auto"/>
                <w:spacing w:val="-3"/>
                <w:sz w:val="24"/>
                <w:szCs w:val="24"/>
                <w:highlight w:val="none"/>
              </w:rPr>
              <w:t>是否接受联合体</w:t>
            </w:r>
            <w:r>
              <w:rPr>
                <w:color w:val="auto"/>
                <w:spacing w:val="-5"/>
                <w:sz w:val="24"/>
                <w:szCs w:val="24"/>
                <w:highlight w:val="none"/>
              </w:rPr>
              <w:t>投标</w:t>
            </w:r>
          </w:p>
        </w:tc>
        <w:tc>
          <w:tcPr>
            <w:tcW w:w="7229" w:type="dxa"/>
          </w:tcPr>
          <w:p w14:paraId="1EA68C84">
            <w:pPr>
              <w:pStyle w:val="23"/>
              <w:spacing w:before="52" w:line="220" w:lineRule="auto"/>
              <w:ind w:left="58"/>
              <w:rPr>
                <w:color w:val="auto"/>
                <w:sz w:val="24"/>
                <w:szCs w:val="24"/>
                <w:highlight w:val="none"/>
                <w:lang w:eastAsia="zh-CN"/>
              </w:rPr>
            </w:pPr>
            <w:r>
              <w:rPr>
                <w:rFonts w:hint="eastAsia"/>
                <w:color w:val="auto"/>
                <w:spacing w:val="-7"/>
                <w:sz w:val="24"/>
                <w:szCs w:val="24"/>
                <w:highlight w:val="none"/>
                <w:lang w:eastAsia="zh-CN"/>
              </w:rPr>
              <w:t>□</w:t>
            </w:r>
            <w:r>
              <w:rPr>
                <w:color w:val="auto"/>
                <w:spacing w:val="-7"/>
                <w:sz w:val="24"/>
                <w:szCs w:val="24"/>
                <w:highlight w:val="none"/>
                <w:lang w:eastAsia="zh-CN"/>
              </w:rPr>
              <w:t>不接受。</w:t>
            </w:r>
          </w:p>
          <w:p w14:paraId="3527A791">
            <w:pPr>
              <w:pStyle w:val="23"/>
              <w:spacing w:before="26" w:line="228" w:lineRule="auto"/>
              <w:ind w:left="33" w:right="27" w:firstLine="25"/>
              <w:rPr>
                <w:color w:val="auto"/>
                <w:sz w:val="24"/>
                <w:szCs w:val="24"/>
                <w:highlight w:val="none"/>
                <w:lang w:eastAsia="zh-CN"/>
              </w:rPr>
            </w:pPr>
            <w:r>
              <w:rPr>
                <w:rFonts w:hint="eastAsia"/>
                <w:color w:val="auto"/>
                <w:spacing w:val="2"/>
                <w:sz w:val="24"/>
                <w:szCs w:val="24"/>
                <w:highlight w:val="none"/>
                <w:lang w:eastAsia="zh-CN"/>
              </w:rPr>
              <w:t>☑</w:t>
            </w:r>
            <w:r>
              <w:rPr>
                <w:color w:val="auto"/>
                <w:spacing w:val="2"/>
                <w:sz w:val="24"/>
                <w:szCs w:val="24"/>
                <w:highlight w:val="none"/>
                <w:lang w:eastAsia="zh-CN"/>
              </w:rPr>
              <w:t>接受</w:t>
            </w:r>
            <w:r>
              <w:rPr>
                <w:color w:val="auto"/>
                <w:spacing w:val="2"/>
                <w:sz w:val="24"/>
                <w:szCs w:val="24"/>
                <w:highlight w:val="none"/>
                <w:lang w:eastAsia="zh-CN"/>
              </w:rPr>
              <w:t>。应满足下列要求：见□招标公告</w:t>
            </w:r>
            <w:r>
              <w:rPr>
                <w:rFonts w:hint="eastAsia"/>
                <w:color w:val="auto"/>
                <w:spacing w:val="2"/>
                <w:sz w:val="24"/>
                <w:szCs w:val="24"/>
                <w:highlight w:val="none"/>
                <w:lang w:eastAsia="zh-CN"/>
              </w:rPr>
              <w:t>□</w:t>
            </w:r>
            <w:r>
              <w:rPr>
                <w:color w:val="auto"/>
                <w:spacing w:val="2"/>
                <w:sz w:val="24"/>
                <w:szCs w:val="24"/>
                <w:highlight w:val="none"/>
                <w:lang w:eastAsia="zh-CN"/>
              </w:rPr>
              <w:t>投标邀请书及</w:t>
            </w:r>
            <w:r>
              <w:rPr>
                <w:color w:val="auto"/>
                <w:spacing w:val="-1"/>
                <w:sz w:val="24"/>
                <w:szCs w:val="24"/>
                <w:highlight w:val="none"/>
                <w:lang w:eastAsia="zh-CN"/>
              </w:rPr>
              <w:t>投标人须知相应条款内容要求。</w:t>
            </w:r>
          </w:p>
        </w:tc>
      </w:tr>
      <w:tr w14:paraId="6B964E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080" w:type="dxa"/>
          </w:tcPr>
          <w:p w14:paraId="26AF5A7E">
            <w:pPr>
              <w:spacing w:before="215" w:line="188" w:lineRule="auto"/>
              <w:ind w:left="256"/>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1.4.3</w:t>
            </w:r>
          </w:p>
        </w:tc>
        <w:tc>
          <w:tcPr>
            <w:tcW w:w="1305" w:type="dxa"/>
          </w:tcPr>
          <w:p w14:paraId="4FABC3F6">
            <w:pPr>
              <w:pStyle w:val="23"/>
              <w:spacing w:before="174" w:line="219" w:lineRule="auto"/>
              <w:rPr>
                <w:color w:val="auto"/>
                <w:sz w:val="24"/>
                <w:szCs w:val="24"/>
                <w:highlight w:val="none"/>
              </w:rPr>
            </w:pPr>
            <w:r>
              <w:rPr>
                <w:color w:val="auto"/>
                <w:spacing w:val="-4"/>
                <w:sz w:val="24"/>
                <w:szCs w:val="24"/>
                <w:highlight w:val="none"/>
              </w:rPr>
              <w:t>资格审查方式</w:t>
            </w:r>
          </w:p>
        </w:tc>
        <w:tc>
          <w:tcPr>
            <w:tcW w:w="7229" w:type="dxa"/>
          </w:tcPr>
          <w:p w14:paraId="29C1BA20">
            <w:pPr>
              <w:pStyle w:val="23"/>
              <w:spacing w:before="174" w:line="218" w:lineRule="auto"/>
              <w:ind w:left="33"/>
              <w:rPr>
                <w:color w:val="auto"/>
                <w:sz w:val="24"/>
                <w:szCs w:val="24"/>
                <w:highlight w:val="none"/>
              </w:rPr>
            </w:pPr>
            <w:r>
              <w:rPr>
                <w:color w:val="auto"/>
                <w:spacing w:val="-2"/>
                <w:sz w:val="24"/>
                <w:szCs w:val="24"/>
                <w:highlight w:val="none"/>
              </w:rPr>
              <w:t>采用资格后审</w:t>
            </w:r>
          </w:p>
        </w:tc>
      </w:tr>
      <w:tr w14:paraId="70F85C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1080" w:type="dxa"/>
          </w:tcPr>
          <w:p w14:paraId="47DF7E37">
            <w:pPr>
              <w:spacing w:line="242" w:lineRule="auto"/>
              <w:rPr>
                <w:color w:val="auto"/>
                <w:highlight w:val="none"/>
              </w:rPr>
            </w:pPr>
          </w:p>
          <w:p w14:paraId="04E92C1F">
            <w:pPr>
              <w:spacing w:before="69" w:line="188" w:lineRule="auto"/>
              <w:ind w:left="256"/>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7"/>
                <w:sz w:val="24"/>
                <w:szCs w:val="24"/>
                <w:highlight w:val="none"/>
              </w:rPr>
              <w:t>1.9.1</w:t>
            </w:r>
          </w:p>
        </w:tc>
        <w:tc>
          <w:tcPr>
            <w:tcW w:w="1305" w:type="dxa"/>
            <w:vAlign w:val="center"/>
          </w:tcPr>
          <w:p w14:paraId="71D9DB6B">
            <w:pPr>
              <w:pStyle w:val="23"/>
              <w:spacing w:before="78" w:line="219" w:lineRule="auto"/>
              <w:jc w:val="both"/>
              <w:rPr>
                <w:color w:val="auto"/>
                <w:sz w:val="24"/>
                <w:szCs w:val="24"/>
                <w:highlight w:val="none"/>
              </w:rPr>
            </w:pPr>
            <w:r>
              <w:rPr>
                <w:color w:val="auto"/>
                <w:spacing w:val="-2"/>
                <w:sz w:val="24"/>
                <w:szCs w:val="24"/>
                <w:highlight w:val="none"/>
              </w:rPr>
              <w:t>踏勘现场</w:t>
            </w:r>
          </w:p>
        </w:tc>
        <w:tc>
          <w:tcPr>
            <w:tcW w:w="7229" w:type="dxa"/>
            <w:vAlign w:val="center"/>
          </w:tcPr>
          <w:p w14:paraId="2988FF46">
            <w:pPr>
              <w:pStyle w:val="23"/>
              <w:spacing w:before="204" w:line="219" w:lineRule="auto"/>
              <w:ind w:left="58"/>
              <w:jc w:val="both"/>
              <w:rPr>
                <w:color w:val="auto"/>
                <w:sz w:val="24"/>
                <w:szCs w:val="24"/>
                <w:highlight w:val="none"/>
                <w:lang w:eastAsia="zh-CN"/>
              </w:rPr>
            </w:pPr>
            <w:r>
              <w:rPr>
                <w:rFonts w:hint="eastAsia"/>
                <w:color w:val="auto"/>
                <w:spacing w:val="-4"/>
                <w:sz w:val="24"/>
                <w:szCs w:val="24"/>
                <w:highlight w:val="none"/>
                <w:lang w:eastAsia="zh-CN"/>
              </w:rPr>
              <w:t>☑</w:t>
            </w:r>
            <w:r>
              <w:rPr>
                <w:color w:val="auto"/>
                <w:spacing w:val="-4"/>
                <w:sz w:val="24"/>
                <w:szCs w:val="24"/>
                <w:highlight w:val="none"/>
                <w:lang w:eastAsia="zh-CN"/>
              </w:rPr>
              <w:t>投标人自行踏勘。</w:t>
            </w:r>
          </w:p>
        </w:tc>
      </w:tr>
      <w:tr w14:paraId="1DFB91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8" w:hRule="atLeast"/>
        </w:trPr>
        <w:tc>
          <w:tcPr>
            <w:tcW w:w="1080" w:type="dxa"/>
          </w:tcPr>
          <w:p w14:paraId="64165A32">
            <w:pPr>
              <w:spacing w:line="242" w:lineRule="auto"/>
              <w:rPr>
                <w:color w:val="auto"/>
                <w:highlight w:val="none"/>
                <w:lang w:eastAsia="zh-CN"/>
              </w:rPr>
            </w:pPr>
          </w:p>
          <w:p w14:paraId="48D13C1D">
            <w:pPr>
              <w:spacing w:before="69" w:line="188" w:lineRule="auto"/>
              <w:ind w:left="196"/>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6"/>
                <w:sz w:val="24"/>
                <w:szCs w:val="24"/>
                <w:highlight w:val="none"/>
              </w:rPr>
              <w:t>1.10.1</w:t>
            </w:r>
          </w:p>
        </w:tc>
        <w:tc>
          <w:tcPr>
            <w:tcW w:w="1305" w:type="dxa"/>
            <w:vAlign w:val="center"/>
          </w:tcPr>
          <w:p w14:paraId="54EAF387">
            <w:pPr>
              <w:pStyle w:val="23"/>
              <w:spacing w:before="78" w:line="218" w:lineRule="auto"/>
              <w:jc w:val="both"/>
              <w:rPr>
                <w:color w:val="auto"/>
                <w:sz w:val="24"/>
                <w:szCs w:val="24"/>
                <w:highlight w:val="none"/>
              </w:rPr>
            </w:pPr>
            <w:r>
              <w:rPr>
                <w:color w:val="auto"/>
                <w:spacing w:val="-2"/>
                <w:sz w:val="24"/>
                <w:szCs w:val="24"/>
                <w:highlight w:val="none"/>
              </w:rPr>
              <w:t>投标预备会</w:t>
            </w:r>
          </w:p>
        </w:tc>
        <w:tc>
          <w:tcPr>
            <w:tcW w:w="7229" w:type="dxa"/>
            <w:vAlign w:val="center"/>
          </w:tcPr>
          <w:p w14:paraId="1A366C30">
            <w:pPr>
              <w:pStyle w:val="23"/>
              <w:spacing w:before="206" w:line="220" w:lineRule="auto"/>
              <w:ind w:left="58"/>
              <w:jc w:val="both"/>
              <w:rPr>
                <w:color w:val="auto"/>
                <w:sz w:val="24"/>
                <w:szCs w:val="24"/>
                <w:highlight w:val="none"/>
                <w:lang w:eastAsia="zh-CN"/>
              </w:rPr>
            </w:pPr>
            <w:r>
              <w:rPr>
                <w:rFonts w:hint="eastAsia"/>
                <w:color w:val="auto"/>
                <w:spacing w:val="-9"/>
                <w:sz w:val="24"/>
                <w:szCs w:val="24"/>
                <w:highlight w:val="none"/>
                <w:lang w:eastAsia="zh-CN"/>
              </w:rPr>
              <w:t>☑</w:t>
            </w:r>
            <w:r>
              <w:rPr>
                <w:color w:val="auto"/>
                <w:spacing w:val="-9"/>
                <w:sz w:val="24"/>
                <w:szCs w:val="24"/>
                <w:highlight w:val="none"/>
                <w:lang w:eastAsia="zh-CN"/>
              </w:rPr>
              <w:t>不召开</w:t>
            </w:r>
          </w:p>
          <w:p w14:paraId="35481575">
            <w:pPr>
              <w:pStyle w:val="23"/>
              <w:spacing w:before="23" w:line="230" w:lineRule="auto"/>
              <w:ind w:left="44" w:right="1960" w:firstLine="14"/>
              <w:jc w:val="both"/>
              <w:rPr>
                <w:color w:val="auto"/>
                <w:sz w:val="24"/>
                <w:szCs w:val="24"/>
                <w:highlight w:val="none"/>
              </w:rPr>
            </w:pPr>
          </w:p>
        </w:tc>
      </w:tr>
      <w:tr w14:paraId="4F3111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1" w:hRule="atLeast"/>
        </w:trPr>
        <w:tc>
          <w:tcPr>
            <w:tcW w:w="1080" w:type="dxa"/>
          </w:tcPr>
          <w:p w14:paraId="039DFDE9">
            <w:pPr>
              <w:spacing w:line="242" w:lineRule="auto"/>
              <w:rPr>
                <w:color w:val="auto"/>
                <w:highlight w:val="none"/>
              </w:rPr>
            </w:pPr>
          </w:p>
          <w:p w14:paraId="714F7DC2">
            <w:pPr>
              <w:spacing w:line="243" w:lineRule="auto"/>
              <w:rPr>
                <w:color w:val="auto"/>
                <w:highlight w:val="none"/>
              </w:rPr>
            </w:pPr>
          </w:p>
          <w:p w14:paraId="52A07D31">
            <w:pPr>
              <w:spacing w:before="69" w:line="188" w:lineRule="auto"/>
              <w:ind w:left="285"/>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8"/>
                <w:sz w:val="24"/>
                <w:szCs w:val="24"/>
                <w:highlight w:val="none"/>
              </w:rPr>
              <w:t>1.11</w:t>
            </w:r>
          </w:p>
        </w:tc>
        <w:tc>
          <w:tcPr>
            <w:tcW w:w="1305" w:type="dxa"/>
            <w:vAlign w:val="center"/>
          </w:tcPr>
          <w:p w14:paraId="2C921BA6">
            <w:pPr>
              <w:pStyle w:val="27"/>
              <w:kinsoku w:val="0"/>
              <w:spacing w:line="440" w:lineRule="exact"/>
              <w:jc w:val="center"/>
              <w:rPr>
                <w:color w:val="auto"/>
                <w:sz w:val="24"/>
                <w:szCs w:val="24"/>
                <w:highlight w:val="none"/>
                <w:lang w:eastAsia="zh-CN"/>
              </w:rPr>
            </w:pPr>
            <w:r>
              <w:rPr>
                <w:rFonts w:hint="eastAsia" w:ascii="宋体" w:hAnsi="宋体" w:cs="宋体"/>
                <w:color w:val="auto"/>
                <w:sz w:val="24"/>
                <w:szCs w:val="24"/>
                <w:highlight w:val="none"/>
              </w:rPr>
              <w:t>招标工程是否允许分包</w:t>
            </w:r>
          </w:p>
        </w:tc>
        <w:tc>
          <w:tcPr>
            <w:tcW w:w="7229" w:type="dxa"/>
            <w:vAlign w:val="center"/>
          </w:tcPr>
          <w:p w14:paraId="1675CE64">
            <w:pPr>
              <w:pStyle w:val="27"/>
              <w:kinsoku w:val="0"/>
              <w:spacing w:line="440" w:lineRule="exact"/>
              <w:jc w:val="both"/>
              <w:rPr>
                <w:rFonts w:ascii="宋体" w:hAnsi="宋体" w:cs="宋体"/>
                <w:color w:val="auto"/>
                <w:sz w:val="24"/>
                <w:szCs w:val="24"/>
                <w:highlight w:val="none"/>
              </w:rPr>
            </w:pPr>
            <w:r>
              <w:rPr>
                <w:rFonts w:hint="eastAsia" w:ascii="宋体" w:hAnsi="宋体" w:cs="宋体"/>
                <w:color w:val="auto"/>
                <w:sz w:val="24"/>
                <w:szCs w:val="24"/>
                <w:highlight w:val="none"/>
              </w:rPr>
              <w:t>☑不允许</w:t>
            </w:r>
          </w:p>
          <w:p w14:paraId="0A23C1F9">
            <w:pPr>
              <w:spacing w:line="440" w:lineRule="exact"/>
              <w:jc w:val="both"/>
              <w:rPr>
                <w:rFonts w:ascii="宋体" w:hAnsi="宋体" w:cs="宋体"/>
                <w:color w:val="auto"/>
                <w:sz w:val="24"/>
                <w:szCs w:val="24"/>
                <w:highlight w:val="none"/>
              </w:rPr>
            </w:pPr>
            <w:r>
              <w:rPr>
                <w:rFonts w:hint="eastAsia" w:ascii="宋体" w:hAnsi="宋体" w:cs="宋体"/>
                <w:color w:val="auto"/>
                <w:sz w:val="24"/>
                <w:szCs w:val="24"/>
                <w:highlight w:val="none"/>
              </w:rPr>
              <w:t>□允许，分包内容要求：承包人不得将工程主体、关键性工作分包。工程的其他部分或工作如需分包，须经发包人同意。</w:t>
            </w:r>
          </w:p>
          <w:p w14:paraId="18011546">
            <w:pPr>
              <w:pStyle w:val="27"/>
              <w:kinsoku w:val="0"/>
              <w:spacing w:line="440" w:lineRule="exact"/>
              <w:ind w:firstLine="480" w:firstLineChars="200"/>
              <w:jc w:val="both"/>
              <w:rPr>
                <w:color w:val="auto"/>
                <w:sz w:val="24"/>
                <w:szCs w:val="24"/>
                <w:highlight w:val="none"/>
                <w:lang w:eastAsia="zh-CN"/>
              </w:rPr>
            </w:pPr>
            <w:r>
              <w:rPr>
                <w:rFonts w:hint="eastAsia" w:ascii="宋体" w:hAnsi="宋体" w:cs="宋体"/>
                <w:color w:val="auto"/>
                <w:sz w:val="24"/>
                <w:szCs w:val="24"/>
                <w:highlight w:val="none"/>
              </w:rPr>
              <w:t>接受分包的第三人资质要求：分包人的资格能力应与其分包工程的标准和规模相适应。</w:t>
            </w:r>
          </w:p>
        </w:tc>
      </w:tr>
      <w:tr w14:paraId="12E437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8" w:hRule="atLeast"/>
        </w:trPr>
        <w:tc>
          <w:tcPr>
            <w:tcW w:w="1080" w:type="dxa"/>
          </w:tcPr>
          <w:p w14:paraId="1F75A4B4">
            <w:pPr>
              <w:spacing w:line="290" w:lineRule="auto"/>
              <w:rPr>
                <w:color w:val="auto"/>
                <w:highlight w:val="none"/>
                <w:lang w:eastAsia="zh-CN"/>
              </w:rPr>
            </w:pPr>
          </w:p>
          <w:p w14:paraId="6896B8DB">
            <w:pPr>
              <w:spacing w:before="69" w:line="188" w:lineRule="auto"/>
              <w:ind w:left="196"/>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6"/>
                <w:sz w:val="24"/>
                <w:szCs w:val="24"/>
                <w:highlight w:val="none"/>
              </w:rPr>
              <w:t>1.12.1</w:t>
            </w:r>
          </w:p>
        </w:tc>
        <w:tc>
          <w:tcPr>
            <w:tcW w:w="1305" w:type="dxa"/>
          </w:tcPr>
          <w:p w14:paraId="1AFCCA99">
            <w:pPr>
              <w:pStyle w:val="23"/>
              <w:spacing w:before="165" w:line="229" w:lineRule="auto"/>
              <w:ind w:right="44"/>
              <w:rPr>
                <w:color w:val="auto"/>
                <w:sz w:val="24"/>
                <w:szCs w:val="24"/>
                <w:highlight w:val="none"/>
              </w:rPr>
            </w:pPr>
            <w:r>
              <w:rPr>
                <w:color w:val="auto"/>
                <w:spacing w:val="-3"/>
                <w:sz w:val="24"/>
                <w:szCs w:val="24"/>
                <w:highlight w:val="none"/>
              </w:rPr>
              <w:t>实质性要求和条</w:t>
            </w:r>
            <w:r>
              <w:rPr>
                <w:color w:val="auto"/>
                <w:sz w:val="24"/>
                <w:szCs w:val="24"/>
                <w:highlight w:val="none"/>
              </w:rPr>
              <w:t>件</w:t>
            </w:r>
          </w:p>
        </w:tc>
        <w:tc>
          <w:tcPr>
            <w:tcW w:w="7229" w:type="dxa"/>
          </w:tcPr>
          <w:p w14:paraId="0C8F0922">
            <w:pPr>
              <w:pStyle w:val="27"/>
              <w:keepNext w:val="0"/>
              <w:keepLines w:val="0"/>
              <w:pageBreakBefore w:val="0"/>
              <w:wordWrap/>
              <w:overflowPunct/>
              <w:bidi w:val="0"/>
              <w:snapToGrid w:val="0"/>
              <w:spacing w:line="320" w:lineRule="exact"/>
              <w:jc w:val="both"/>
              <w:rPr>
                <w:rFonts w:ascii="宋体" w:hAnsi="宋体"/>
                <w:color w:val="auto"/>
                <w:sz w:val="24"/>
                <w:szCs w:val="24"/>
                <w:highlight w:val="none"/>
              </w:rPr>
            </w:pPr>
            <w:r>
              <w:rPr>
                <w:rFonts w:ascii="宋体" w:hAnsi="宋体"/>
                <w:color w:val="auto"/>
                <w:sz w:val="24"/>
                <w:szCs w:val="24"/>
                <w:highlight w:val="none"/>
              </w:rPr>
              <w:t>详见招标公告或者投标邀请书</w:t>
            </w:r>
          </w:p>
          <w:p w14:paraId="2328CF8A">
            <w:pPr>
              <w:pStyle w:val="23"/>
              <w:spacing w:before="163" w:line="230" w:lineRule="auto"/>
              <w:ind w:left="33" w:right="3001"/>
              <w:rPr>
                <w:color w:val="auto"/>
                <w:sz w:val="24"/>
                <w:szCs w:val="24"/>
                <w:highlight w:val="none"/>
                <w:lang w:eastAsia="zh-CN"/>
              </w:rPr>
            </w:pPr>
            <w:r>
              <w:rPr>
                <w:rFonts w:ascii="宋体" w:hAnsi="宋体"/>
                <w:color w:val="auto"/>
                <w:sz w:val="24"/>
                <w:szCs w:val="24"/>
                <w:highlight w:val="none"/>
              </w:rPr>
              <w:t>其他要求：</w:t>
            </w:r>
            <w:r>
              <w:rPr>
                <w:rFonts w:ascii="宋体" w:hAnsi="宋体"/>
                <w:color w:val="auto"/>
                <w:sz w:val="24"/>
                <w:szCs w:val="24"/>
                <w:highlight w:val="none"/>
                <w:u w:val="single"/>
              </w:rPr>
              <w:t xml:space="preserve">      </w:t>
            </w:r>
            <w:r>
              <w:rPr>
                <w:rFonts w:hint="eastAsia" w:ascii="宋体" w:hAnsi="宋体"/>
                <w:color w:val="auto"/>
                <w:sz w:val="24"/>
                <w:szCs w:val="24"/>
                <w:highlight w:val="none"/>
                <w:u w:val="single"/>
                <w:lang w:val="en-US" w:eastAsia="zh-CN"/>
              </w:rPr>
              <w:t>/</w:t>
            </w:r>
            <w:r>
              <w:rPr>
                <w:rFonts w:ascii="宋体" w:hAnsi="宋体"/>
                <w:color w:val="auto"/>
                <w:sz w:val="24"/>
                <w:szCs w:val="24"/>
                <w:highlight w:val="none"/>
                <w:u w:val="single"/>
              </w:rPr>
              <w:t xml:space="preserve">      </w:t>
            </w:r>
            <w:r>
              <w:rPr>
                <w:rFonts w:ascii="宋体" w:hAnsi="宋体"/>
                <w:color w:val="auto"/>
                <w:sz w:val="24"/>
                <w:szCs w:val="24"/>
                <w:highlight w:val="none"/>
              </w:rPr>
              <w:t>。</w:t>
            </w:r>
          </w:p>
        </w:tc>
      </w:tr>
      <w:tr w14:paraId="63BA81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8" w:hRule="atLeast"/>
        </w:trPr>
        <w:tc>
          <w:tcPr>
            <w:tcW w:w="1080" w:type="dxa"/>
          </w:tcPr>
          <w:p w14:paraId="7063B690">
            <w:pPr>
              <w:spacing w:line="290" w:lineRule="auto"/>
              <w:rPr>
                <w:color w:val="auto"/>
                <w:highlight w:val="none"/>
                <w:lang w:eastAsia="zh-CN"/>
              </w:rPr>
            </w:pPr>
          </w:p>
          <w:p w14:paraId="2C0F2741">
            <w:pPr>
              <w:spacing w:before="69" w:line="188" w:lineRule="auto"/>
              <w:ind w:left="196"/>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6"/>
                <w:sz w:val="24"/>
                <w:szCs w:val="24"/>
                <w:highlight w:val="none"/>
              </w:rPr>
              <w:t>1.12.2</w:t>
            </w:r>
          </w:p>
        </w:tc>
        <w:tc>
          <w:tcPr>
            <w:tcW w:w="1305" w:type="dxa"/>
          </w:tcPr>
          <w:p w14:paraId="2BD92A67">
            <w:pPr>
              <w:rPr>
                <w:color w:val="auto"/>
                <w:highlight w:val="none"/>
              </w:rPr>
            </w:pPr>
          </w:p>
          <w:p w14:paraId="283FF0F5">
            <w:pPr>
              <w:pStyle w:val="23"/>
              <w:spacing w:before="78" w:line="219" w:lineRule="auto"/>
              <w:rPr>
                <w:color w:val="auto"/>
                <w:sz w:val="24"/>
                <w:szCs w:val="24"/>
                <w:highlight w:val="none"/>
              </w:rPr>
            </w:pPr>
            <w:r>
              <w:rPr>
                <w:color w:val="auto"/>
                <w:spacing w:val="-5"/>
                <w:sz w:val="24"/>
                <w:szCs w:val="24"/>
                <w:highlight w:val="none"/>
              </w:rPr>
              <w:t>偏差</w:t>
            </w:r>
          </w:p>
        </w:tc>
        <w:tc>
          <w:tcPr>
            <w:tcW w:w="7229" w:type="dxa"/>
          </w:tcPr>
          <w:p w14:paraId="1A5735AF">
            <w:pPr>
              <w:pStyle w:val="23"/>
              <w:spacing w:before="164" w:line="219" w:lineRule="auto"/>
              <w:ind w:left="58"/>
              <w:rPr>
                <w:color w:val="auto"/>
                <w:sz w:val="24"/>
                <w:szCs w:val="24"/>
                <w:highlight w:val="none"/>
                <w:lang w:eastAsia="zh-CN"/>
              </w:rPr>
            </w:pPr>
            <w:r>
              <w:rPr>
                <w:rFonts w:hint="eastAsia"/>
                <w:color w:val="auto"/>
                <w:spacing w:val="-9"/>
                <w:sz w:val="24"/>
                <w:szCs w:val="24"/>
                <w:highlight w:val="none"/>
                <w:lang w:eastAsia="zh-CN"/>
              </w:rPr>
              <w:t>☑</w:t>
            </w:r>
            <w:r>
              <w:rPr>
                <w:color w:val="auto"/>
                <w:spacing w:val="-9"/>
                <w:sz w:val="24"/>
                <w:szCs w:val="24"/>
                <w:highlight w:val="none"/>
                <w:lang w:eastAsia="zh-CN"/>
              </w:rPr>
              <w:t>不允许</w:t>
            </w:r>
          </w:p>
          <w:p w14:paraId="6CE09479">
            <w:pPr>
              <w:pStyle w:val="23"/>
              <w:spacing w:before="28" w:line="217" w:lineRule="auto"/>
              <w:ind w:left="58"/>
              <w:rPr>
                <w:color w:val="auto"/>
                <w:sz w:val="24"/>
                <w:szCs w:val="24"/>
                <w:highlight w:val="none"/>
                <w:lang w:eastAsia="zh-CN"/>
              </w:rPr>
            </w:pPr>
            <w:r>
              <w:rPr>
                <w:color w:val="auto"/>
                <w:spacing w:val="-3"/>
                <w:sz w:val="24"/>
                <w:szCs w:val="24"/>
                <w:highlight w:val="none"/>
                <w:lang w:eastAsia="zh-CN"/>
              </w:rPr>
              <w:t>□允许偏差的内容、范围和幅度：</w:t>
            </w:r>
          </w:p>
        </w:tc>
      </w:tr>
      <w:tr w14:paraId="4A8B75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080" w:type="dxa"/>
            <w:vAlign w:val="center"/>
          </w:tcPr>
          <w:p w14:paraId="78455BFF">
            <w:pPr>
              <w:spacing w:before="69" w:line="188" w:lineRule="auto"/>
              <w:ind w:left="322"/>
              <w:jc w:val="both"/>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3"/>
                <w:sz w:val="24"/>
                <w:szCs w:val="24"/>
                <w:highlight w:val="none"/>
              </w:rPr>
              <w:t>2.1</w:t>
            </w:r>
          </w:p>
        </w:tc>
        <w:tc>
          <w:tcPr>
            <w:tcW w:w="1305" w:type="dxa"/>
            <w:vAlign w:val="center"/>
          </w:tcPr>
          <w:p w14:paraId="42005F68">
            <w:pPr>
              <w:pStyle w:val="23"/>
              <w:spacing w:before="130" w:line="230" w:lineRule="auto"/>
              <w:ind w:right="44"/>
              <w:jc w:val="center"/>
              <w:rPr>
                <w:color w:val="auto"/>
                <w:sz w:val="24"/>
                <w:szCs w:val="24"/>
                <w:highlight w:val="none"/>
                <w:lang w:eastAsia="zh-CN"/>
              </w:rPr>
            </w:pPr>
            <w:r>
              <w:rPr>
                <w:color w:val="auto"/>
                <w:spacing w:val="-2"/>
                <w:sz w:val="24"/>
                <w:szCs w:val="24"/>
                <w:highlight w:val="none"/>
                <w:lang w:eastAsia="zh-CN"/>
              </w:rPr>
              <w:t>构成招标文件的</w:t>
            </w:r>
            <w:r>
              <w:rPr>
                <w:color w:val="auto"/>
                <w:spacing w:val="-3"/>
                <w:sz w:val="24"/>
                <w:szCs w:val="24"/>
                <w:highlight w:val="none"/>
                <w:lang w:eastAsia="zh-CN"/>
              </w:rPr>
              <w:t>其他资料</w:t>
            </w:r>
          </w:p>
        </w:tc>
        <w:tc>
          <w:tcPr>
            <w:tcW w:w="7229" w:type="dxa"/>
          </w:tcPr>
          <w:p w14:paraId="7DFD6CCA">
            <w:pPr>
              <w:bidi w:val="0"/>
              <w:rPr>
                <w:rFonts w:hint="eastAsia"/>
                <w:color w:val="auto"/>
                <w:sz w:val="24"/>
                <w:szCs w:val="24"/>
                <w:highlight w:val="none"/>
              </w:rPr>
            </w:pPr>
            <w:r>
              <w:rPr>
                <w:rFonts w:hint="eastAsia"/>
                <w:color w:val="auto"/>
                <w:sz w:val="24"/>
                <w:szCs w:val="24"/>
                <w:highlight w:val="none"/>
              </w:rPr>
              <w:t>其他材料：</w:t>
            </w:r>
          </w:p>
          <w:p w14:paraId="409166D0">
            <w:pPr>
              <w:bidi w:val="0"/>
              <w:rPr>
                <w:rFonts w:hint="eastAsia"/>
                <w:color w:val="auto"/>
                <w:sz w:val="24"/>
                <w:szCs w:val="24"/>
                <w:highlight w:val="none"/>
              </w:rPr>
            </w:pPr>
            <w:r>
              <w:rPr>
                <w:rFonts w:hint="eastAsia"/>
                <w:color w:val="auto"/>
                <w:sz w:val="24"/>
                <w:szCs w:val="24"/>
                <w:highlight w:val="none"/>
                <w:lang w:val="en-US" w:eastAsia="zh-CN"/>
              </w:rPr>
              <w:t>1.</w:t>
            </w:r>
            <w:r>
              <w:rPr>
                <w:rFonts w:hint="eastAsia"/>
                <w:color w:val="auto"/>
                <w:sz w:val="24"/>
                <w:szCs w:val="24"/>
                <w:highlight w:val="none"/>
              </w:rPr>
              <w:t>电子招标文件（含工程量清单）及三门施工投标工具</w:t>
            </w:r>
            <w:r>
              <w:rPr>
                <w:rFonts w:hint="eastAsia"/>
                <w:color w:val="auto"/>
                <w:sz w:val="24"/>
                <w:szCs w:val="24"/>
                <w:highlight w:val="none"/>
                <w:lang w:eastAsia="zh-CN"/>
              </w:rPr>
              <w:t>4.5</w:t>
            </w:r>
            <w:r>
              <w:rPr>
                <w:rFonts w:hint="eastAsia"/>
                <w:color w:val="auto"/>
                <w:sz w:val="24"/>
                <w:szCs w:val="24"/>
                <w:highlight w:val="none"/>
                <w:lang w:val="en-US" w:eastAsia="zh-CN"/>
              </w:rPr>
              <w:t>版本</w:t>
            </w:r>
            <w:r>
              <w:rPr>
                <w:rFonts w:hint="eastAsia"/>
                <w:color w:val="auto"/>
                <w:sz w:val="24"/>
                <w:szCs w:val="24"/>
                <w:highlight w:val="none"/>
              </w:rPr>
              <w:t>；</w:t>
            </w:r>
          </w:p>
          <w:p w14:paraId="1D1F88A9">
            <w:pPr>
              <w:bidi w:val="0"/>
              <w:rPr>
                <w:rFonts w:hint="eastAsia"/>
                <w:color w:val="auto"/>
                <w:sz w:val="24"/>
                <w:szCs w:val="24"/>
                <w:highlight w:val="none"/>
              </w:rPr>
            </w:pPr>
            <w:r>
              <w:rPr>
                <w:rFonts w:hint="eastAsia"/>
                <w:color w:val="auto"/>
                <w:sz w:val="24"/>
                <w:szCs w:val="24"/>
                <w:highlight w:val="none"/>
                <w:lang w:val="en-US" w:eastAsia="zh-CN"/>
              </w:rPr>
              <w:t>2.</w:t>
            </w:r>
            <w:r>
              <w:rPr>
                <w:rFonts w:hint="eastAsia"/>
                <w:color w:val="auto"/>
                <w:sz w:val="24"/>
                <w:szCs w:val="24"/>
                <w:highlight w:val="none"/>
              </w:rPr>
              <w:t>施工图纸电子文档；</w:t>
            </w:r>
          </w:p>
          <w:p w14:paraId="3F8DBDC2">
            <w:pPr>
              <w:bidi w:val="0"/>
              <w:rPr>
                <w:color w:val="auto"/>
                <w:szCs w:val="24"/>
                <w:highlight w:val="none"/>
              </w:rPr>
            </w:pPr>
            <w:r>
              <w:rPr>
                <w:rFonts w:hint="eastAsia"/>
                <w:color w:val="auto"/>
                <w:sz w:val="24"/>
                <w:szCs w:val="24"/>
                <w:highlight w:val="none"/>
                <w:lang w:val="en-US" w:eastAsia="zh-CN"/>
              </w:rPr>
              <w:t>3.</w:t>
            </w:r>
            <w:r>
              <w:rPr>
                <w:rFonts w:hint="eastAsia"/>
                <w:color w:val="auto"/>
                <w:sz w:val="24"/>
                <w:szCs w:val="24"/>
                <w:highlight w:val="none"/>
              </w:rPr>
              <w:t>其它提供的资料。</w:t>
            </w:r>
          </w:p>
        </w:tc>
      </w:tr>
      <w:tr w14:paraId="5FF5A5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1" w:hRule="atLeast"/>
        </w:trPr>
        <w:tc>
          <w:tcPr>
            <w:tcW w:w="1080" w:type="dxa"/>
            <w:vMerge w:val="restart"/>
            <w:vAlign w:val="center"/>
          </w:tcPr>
          <w:p w14:paraId="6A06BF91">
            <w:pPr>
              <w:spacing w:before="69" w:line="188" w:lineRule="auto"/>
              <w:ind w:left="233"/>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2"/>
                <w:sz w:val="24"/>
                <w:szCs w:val="24"/>
                <w:highlight w:val="none"/>
              </w:rPr>
              <w:t>2.2.1</w:t>
            </w:r>
          </w:p>
        </w:tc>
        <w:tc>
          <w:tcPr>
            <w:tcW w:w="1305" w:type="dxa"/>
            <w:vAlign w:val="center"/>
          </w:tcPr>
          <w:p w14:paraId="3A495ABF">
            <w:pPr>
              <w:pStyle w:val="27"/>
              <w:kinsoku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投标人要求澄清招标文件</w:t>
            </w:r>
          </w:p>
        </w:tc>
        <w:tc>
          <w:tcPr>
            <w:tcW w:w="7229" w:type="dxa"/>
            <w:vAlign w:val="center"/>
          </w:tcPr>
          <w:p w14:paraId="1E1ECA31">
            <w:pPr>
              <w:pStyle w:val="23"/>
              <w:keepNext w:val="0"/>
              <w:keepLines w:val="0"/>
              <w:pageBreakBefore w:val="0"/>
              <w:widowControl w:val="0"/>
              <w:kinsoku/>
              <w:wordWrap/>
              <w:overflowPunct/>
              <w:topLinePunct w:val="0"/>
              <w:autoSpaceDE w:val="0"/>
              <w:autoSpaceDN w:val="0"/>
              <w:bidi w:val="0"/>
              <w:adjustRightInd w:val="0"/>
              <w:snapToGrid/>
              <w:spacing w:line="440" w:lineRule="exact"/>
              <w:ind w:left="33" w:right="27"/>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截止时间：投标截止日10日前（投标人在截止时间以后提出的澄清招</w:t>
            </w:r>
            <w:r>
              <w:rPr>
                <w:rFonts w:hint="eastAsia" w:ascii="宋体" w:hAnsi="宋体" w:eastAsia="宋体" w:cs="宋体"/>
                <w:color w:val="auto"/>
                <w:sz w:val="24"/>
                <w:szCs w:val="24"/>
                <w:highlight w:val="none"/>
                <w:lang w:val="en-US" w:eastAsia="zh-CN" w:bidi="ar-SA"/>
              </w:rPr>
              <w:t>标文件的要求，招标人可以拒绝受理）</w:t>
            </w:r>
          </w:p>
          <w:p w14:paraId="45F23E23">
            <w:pPr>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提交方式:在三门县公共资源交易中心网站上在线提交</w:t>
            </w:r>
          </w:p>
          <w:p w14:paraId="65FD41E1">
            <w:pPr>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bidi="ar-SA"/>
              </w:rPr>
              <w:t>联系方式：0576-83321522    联系人：倪勇</w:t>
            </w:r>
          </w:p>
        </w:tc>
      </w:tr>
      <w:tr w14:paraId="43831A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5" w:hRule="atLeast"/>
        </w:trPr>
        <w:tc>
          <w:tcPr>
            <w:tcW w:w="1080" w:type="dxa"/>
            <w:vMerge w:val="continue"/>
          </w:tcPr>
          <w:p w14:paraId="27C304A6">
            <w:pPr>
              <w:rPr>
                <w:color w:val="auto"/>
                <w:highlight w:val="none"/>
              </w:rPr>
            </w:pPr>
          </w:p>
        </w:tc>
        <w:tc>
          <w:tcPr>
            <w:tcW w:w="1305" w:type="dxa"/>
            <w:vAlign w:val="center"/>
          </w:tcPr>
          <w:p w14:paraId="42C947B4">
            <w:pPr>
              <w:pStyle w:val="27"/>
              <w:kinsoku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招标文件澄清</w:t>
            </w:r>
          </w:p>
          <w:p w14:paraId="314EDD9D">
            <w:pPr>
              <w:pStyle w:val="27"/>
              <w:kinsoku w:val="0"/>
              <w:spacing w:line="44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发出的形式</w:t>
            </w:r>
          </w:p>
        </w:tc>
        <w:tc>
          <w:tcPr>
            <w:tcW w:w="7229" w:type="dxa"/>
            <w:vAlign w:val="center"/>
          </w:tcPr>
          <w:p w14:paraId="7BC044B3">
            <w:pPr>
              <w:spacing w:line="440" w:lineRule="exact"/>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招标人对投标人疑问作出统一的解答，并以招标补充文件的形式发出。</w:t>
            </w:r>
          </w:p>
          <w:p w14:paraId="6CF3EED8">
            <w:pPr>
              <w:spacing w:line="440" w:lineRule="exact"/>
              <w:jc w:val="both"/>
              <w:rPr>
                <w:rFonts w:hint="eastAsia" w:ascii="宋体" w:hAnsi="宋体" w:eastAsia="宋体" w:cs="宋体"/>
                <w:i w:val="0"/>
                <w:iCs w:val="0"/>
                <w:color w:val="auto"/>
                <w:sz w:val="24"/>
                <w:szCs w:val="24"/>
                <w:highlight w:val="none"/>
                <w:lang w:eastAsia="zh-CN"/>
              </w:rPr>
            </w:pP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bidi="ar-SA"/>
              </w:rPr>
              <w:t>三门县公共资源交易中心</w:t>
            </w:r>
            <w:r>
              <w:rPr>
                <w:rFonts w:hint="eastAsia" w:ascii="宋体" w:hAnsi="宋体" w:eastAsia="宋体" w:cs="宋体"/>
                <w:color w:val="auto"/>
                <w:sz w:val="24"/>
                <w:szCs w:val="24"/>
                <w:highlight w:val="none"/>
              </w:rPr>
              <w:t>平台上公开发布。在开标前，投标人须随时关注网站的最新答疑信息，自行下载。</w:t>
            </w:r>
          </w:p>
        </w:tc>
      </w:tr>
      <w:tr w14:paraId="69E192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3" w:hRule="atLeast"/>
        </w:trPr>
        <w:tc>
          <w:tcPr>
            <w:tcW w:w="1080" w:type="dxa"/>
            <w:vMerge w:val="continue"/>
          </w:tcPr>
          <w:p w14:paraId="76DA2C50">
            <w:pPr>
              <w:rPr>
                <w:color w:val="auto"/>
                <w:highlight w:val="none"/>
              </w:rPr>
            </w:pPr>
          </w:p>
        </w:tc>
        <w:tc>
          <w:tcPr>
            <w:tcW w:w="1305" w:type="dxa"/>
            <w:vAlign w:val="center"/>
          </w:tcPr>
          <w:p w14:paraId="759D37C6">
            <w:pPr>
              <w:pStyle w:val="27"/>
              <w:kinsoku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投标人确认</w:t>
            </w:r>
          </w:p>
          <w:p w14:paraId="0D98CCEC">
            <w:pPr>
              <w:pStyle w:val="27"/>
              <w:kinsoku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收到招标文件澄清</w:t>
            </w:r>
          </w:p>
        </w:tc>
        <w:tc>
          <w:tcPr>
            <w:tcW w:w="7229" w:type="dxa"/>
            <w:vAlign w:val="center"/>
          </w:tcPr>
          <w:p w14:paraId="3D1BB7BF">
            <w:pPr>
              <w:spacing w:line="440" w:lineRule="exact"/>
              <w:jc w:val="both"/>
              <w:rPr>
                <w:rFonts w:hint="eastAsia" w:ascii="宋体" w:hAnsi="宋体" w:eastAsia="宋体" w:cs="宋体"/>
                <w:i w:val="0"/>
                <w:iCs w:val="0"/>
                <w:color w:val="auto"/>
                <w:sz w:val="24"/>
                <w:szCs w:val="24"/>
                <w:highlight w:val="none"/>
                <w:lang w:eastAsia="zh-CN"/>
              </w:rPr>
            </w:pPr>
            <w:r>
              <w:rPr>
                <w:rFonts w:hint="eastAsia" w:ascii="宋体" w:hAnsi="宋体" w:eastAsia="宋体" w:cs="宋体"/>
                <w:color w:val="auto"/>
                <w:sz w:val="24"/>
                <w:szCs w:val="24"/>
                <w:highlight w:val="none"/>
              </w:rPr>
              <w:t>潜在投标人应自行关注</w:t>
            </w:r>
            <w:r>
              <w:rPr>
                <w:rFonts w:hint="eastAsia" w:ascii="宋体" w:hAnsi="宋体" w:eastAsia="宋体" w:cs="宋体"/>
                <w:color w:val="auto"/>
                <w:sz w:val="24"/>
                <w:szCs w:val="24"/>
                <w:highlight w:val="none"/>
                <w:lang w:val="en-US" w:eastAsia="zh-CN" w:bidi="ar-SA"/>
              </w:rPr>
              <w:t>三门县公共资源交易中心平台上</w:t>
            </w:r>
            <w:r>
              <w:rPr>
                <w:rFonts w:hint="eastAsia" w:ascii="宋体" w:hAnsi="宋体" w:eastAsia="宋体" w:cs="宋体"/>
                <w:color w:val="auto"/>
                <w:sz w:val="24"/>
                <w:szCs w:val="24"/>
                <w:highlight w:val="none"/>
              </w:rPr>
              <w:t>发布的补充文件信息，招标人不再逐一通知。投标人因自身贻误行为导致投标失败的，责任自负。</w:t>
            </w:r>
          </w:p>
        </w:tc>
      </w:tr>
      <w:tr w14:paraId="2D5516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8" w:hRule="atLeast"/>
        </w:trPr>
        <w:tc>
          <w:tcPr>
            <w:tcW w:w="1080" w:type="dxa"/>
          </w:tcPr>
          <w:p w14:paraId="5D916E49">
            <w:pPr>
              <w:spacing w:line="289" w:lineRule="auto"/>
              <w:rPr>
                <w:color w:val="auto"/>
                <w:highlight w:val="none"/>
                <w:lang w:eastAsia="zh-CN"/>
              </w:rPr>
            </w:pPr>
          </w:p>
          <w:p w14:paraId="6A2E47B0">
            <w:pPr>
              <w:spacing w:before="69" w:line="188" w:lineRule="auto"/>
              <w:ind w:left="233"/>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2"/>
                <w:sz w:val="24"/>
                <w:szCs w:val="24"/>
                <w:highlight w:val="none"/>
              </w:rPr>
              <w:t>2.3.1</w:t>
            </w:r>
          </w:p>
        </w:tc>
        <w:tc>
          <w:tcPr>
            <w:tcW w:w="1305" w:type="dxa"/>
            <w:vAlign w:val="center"/>
          </w:tcPr>
          <w:p w14:paraId="78E38F35">
            <w:pPr>
              <w:pStyle w:val="23"/>
              <w:spacing w:before="162" w:line="230" w:lineRule="auto"/>
              <w:ind w:right="44"/>
              <w:jc w:val="center"/>
              <w:rPr>
                <w:color w:val="auto"/>
                <w:sz w:val="24"/>
                <w:szCs w:val="24"/>
                <w:highlight w:val="none"/>
                <w:lang w:eastAsia="zh-CN"/>
              </w:rPr>
            </w:pPr>
            <w:r>
              <w:rPr>
                <w:color w:val="auto"/>
                <w:spacing w:val="-2"/>
                <w:sz w:val="24"/>
                <w:szCs w:val="24"/>
                <w:highlight w:val="none"/>
                <w:lang w:eastAsia="zh-CN"/>
              </w:rPr>
              <w:t>招标人修改文件</w:t>
            </w:r>
            <w:r>
              <w:rPr>
                <w:color w:val="auto"/>
                <w:spacing w:val="-3"/>
                <w:sz w:val="24"/>
                <w:szCs w:val="24"/>
                <w:highlight w:val="none"/>
                <w:lang w:eastAsia="zh-CN"/>
              </w:rPr>
              <w:t>发出的形式</w:t>
            </w:r>
          </w:p>
        </w:tc>
        <w:tc>
          <w:tcPr>
            <w:tcW w:w="7229" w:type="dxa"/>
          </w:tcPr>
          <w:p w14:paraId="7590B49D">
            <w:pPr>
              <w:rPr>
                <w:color w:val="auto"/>
                <w:highlight w:val="none"/>
                <w:lang w:eastAsia="zh-CN"/>
              </w:rPr>
            </w:pPr>
          </w:p>
          <w:p w14:paraId="1E3044CC">
            <w:pPr>
              <w:pStyle w:val="23"/>
              <w:spacing w:before="78" w:line="221" w:lineRule="auto"/>
              <w:ind w:left="57"/>
              <w:rPr>
                <w:rFonts w:ascii="Times New Roman" w:hAnsi="Times New Roman" w:eastAsia="Times New Roman" w:cs="Times New Roman"/>
                <w:color w:val="auto"/>
                <w:sz w:val="24"/>
                <w:szCs w:val="24"/>
                <w:highlight w:val="none"/>
              </w:rPr>
            </w:pPr>
            <w:r>
              <w:rPr>
                <w:color w:val="auto"/>
                <w:spacing w:val="-6"/>
                <w:sz w:val="24"/>
                <w:szCs w:val="24"/>
                <w:highlight w:val="none"/>
              </w:rPr>
              <w:t>同</w:t>
            </w:r>
            <w:r>
              <w:rPr>
                <w:rFonts w:ascii="Times New Roman" w:hAnsi="Times New Roman" w:eastAsia="Times New Roman" w:cs="Times New Roman"/>
                <w:color w:val="auto"/>
                <w:spacing w:val="-6"/>
                <w:sz w:val="24"/>
                <w:szCs w:val="24"/>
                <w:highlight w:val="none"/>
              </w:rPr>
              <w:t>2.2.1</w:t>
            </w:r>
          </w:p>
        </w:tc>
      </w:tr>
      <w:tr w14:paraId="4E0416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80" w:type="dxa"/>
            <w:vAlign w:val="center"/>
          </w:tcPr>
          <w:p w14:paraId="0ECED65F">
            <w:pPr>
              <w:spacing w:before="69" w:line="188" w:lineRule="auto"/>
              <w:ind w:left="327"/>
              <w:jc w:val="both"/>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5"/>
                <w:sz w:val="24"/>
                <w:szCs w:val="24"/>
                <w:highlight w:val="none"/>
              </w:rPr>
              <w:t>3.1</w:t>
            </w:r>
          </w:p>
        </w:tc>
        <w:tc>
          <w:tcPr>
            <w:tcW w:w="1305" w:type="dxa"/>
            <w:vAlign w:val="center"/>
          </w:tcPr>
          <w:p w14:paraId="67BFDEA6">
            <w:pPr>
              <w:pStyle w:val="23"/>
              <w:spacing w:before="78" w:line="219" w:lineRule="auto"/>
              <w:ind w:left="48"/>
              <w:jc w:val="both"/>
              <w:rPr>
                <w:color w:val="auto"/>
                <w:sz w:val="24"/>
                <w:szCs w:val="24"/>
                <w:highlight w:val="none"/>
              </w:rPr>
            </w:pPr>
            <w:r>
              <w:rPr>
                <w:color w:val="auto"/>
                <w:spacing w:val="-2"/>
                <w:sz w:val="24"/>
                <w:szCs w:val="24"/>
                <w:highlight w:val="none"/>
              </w:rPr>
              <w:t>投标文件的组成</w:t>
            </w:r>
          </w:p>
        </w:tc>
        <w:tc>
          <w:tcPr>
            <w:tcW w:w="7229" w:type="dxa"/>
          </w:tcPr>
          <w:p w14:paraId="38F373BE">
            <w:pPr>
              <w:pStyle w:val="23"/>
              <w:spacing w:before="78" w:line="217" w:lineRule="auto"/>
              <w:rPr>
                <w:color w:val="auto"/>
                <w:sz w:val="24"/>
                <w:szCs w:val="24"/>
                <w:highlight w:val="none"/>
                <w:lang w:eastAsia="zh-CN"/>
              </w:rPr>
            </w:pPr>
            <w:r>
              <w:rPr>
                <w:b/>
                <w:bCs/>
                <w:color w:val="auto"/>
                <w:spacing w:val="-7"/>
                <w:sz w:val="24"/>
                <w:szCs w:val="24"/>
                <w:highlight w:val="none"/>
                <w:lang w:eastAsia="zh-CN"/>
              </w:rPr>
              <w:t>资信商务评估法</w:t>
            </w:r>
          </w:p>
          <w:p w14:paraId="43805076">
            <w:pPr>
              <w:pStyle w:val="23"/>
              <w:spacing w:before="13" w:line="215" w:lineRule="auto"/>
              <w:ind w:left="33" w:right="121" w:firstLine="476" w:firstLineChars="200"/>
              <w:rPr>
                <w:color w:val="auto"/>
                <w:sz w:val="24"/>
                <w:szCs w:val="24"/>
                <w:highlight w:val="none"/>
                <w:lang w:eastAsia="zh-CN"/>
              </w:rPr>
            </w:pPr>
            <w:r>
              <w:rPr>
                <w:color w:val="auto"/>
                <w:spacing w:val="-1"/>
                <w:sz w:val="24"/>
                <w:szCs w:val="24"/>
                <w:highlight w:val="none"/>
                <w:lang w:eastAsia="zh-CN"/>
              </w:rPr>
              <w:t>投标文件由资格标、资信标和商务标三部分组成。</w:t>
            </w:r>
            <w:r>
              <w:rPr>
                <w:rFonts w:hint="eastAsia" w:ascii="宋体" w:hAnsi="宋体" w:eastAsia="宋体" w:cs="宋体"/>
                <w:b/>
                <w:bCs/>
                <w:color w:val="auto"/>
                <w:sz w:val="24"/>
                <w:szCs w:val="24"/>
                <w:highlight w:val="none"/>
              </w:rPr>
              <w:t>由三门施工投标工具</w:t>
            </w:r>
            <w:r>
              <w:rPr>
                <w:rFonts w:hint="eastAsia" w:cs="宋体"/>
                <w:b/>
                <w:bCs/>
                <w:color w:val="auto"/>
                <w:sz w:val="24"/>
                <w:szCs w:val="24"/>
                <w:highlight w:val="none"/>
                <w:lang w:eastAsia="zh-CN"/>
              </w:rPr>
              <w:t>4.5</w:t>
            </w:r>
            <w:r>
              <w:rPr>
                <w:rFonts w:hint="eastAsia" w:ascii="宋体" w:hAnsi="宋体" w:eastAsia="宋体" w:cs="宋体"/>
                <w:b/>
                <w:bCs/>
                <w:color w:val="auto"/>
                <w:sz w:val="24"/>
                <w:szCs w:val="24"/>
                <w:highlight w:val="none"/>
              </w:rPr>
              <w:t>版本生成后缀名.已加密投标文件。</w:t>
            </w:r>
          </w:p>
          <w:p w14:paraId="5C936646">
            <w:pPr>
              <w:pStyle w:val="23"/>
              <w:spacing w:line="216" w:lineRule="auto"/>
              <w:rPr>
                <w:b/>
                <w:bCs/>
                <w:color w:val="auto"/>
                <w:sz w:val="24"/>
                <w:szCs w:val="24"/>
                <w:highlight w:val="none"/>
                <w:lang w:eastAsia="zh-CN"/>
              </w:rPr>
            </w:pPr>
            <w:r>
              <w:rPr>
                <w:rFonts w:ascii="Times New Roman" w:hAnsi="Times New Roman" w:eastAsia="Times New Roman" w:cs="Times New Roman"/>
                <w:b/>
                <w:bCs/>
                <w:color w:val="auto"/>
                <w:spacing w:val="-11"/>
                <w:sz w:val="24"/>
                <w:szCs w:val="24"/>
                <w:highlight w:val="none"/>
                <w:lang w:eastAsia="zh-CN"/>
              </w:rPr>
              <w:t>1</w:t>
            </w:r>
            <w:r>
              <w:rPr>
                <w:b/>
                <w:bCs/>
                <w:color w:val="auto"/>
                <w:spacing w:val="-11"/>
                <w:sz w:val="24"/>
                <w:szCs w:val="24"/>
                <w:highlight w:val="none"/>
                <w:lang w:eastAsia="zh-CN"/>
              </w:rPr>
              <w:t>、资格标</w:t>
            </w:r>
          </w:p>
          <w:p w14:paraId="31BABED3">
            <w:pPr>
              <w:pStyle w:val="23"/>
              <w:spacing w:before="2" w:line="217" w:lineRule="auto"/>
              <w:ind w:left="35" w:right="27" w:firstLine="510"/>
              <w:rPr>
                <w:color w:val="auto"/>
                <w:sz w:val="24"/>
                <w:szCs w:val="24"/>
                <w:highlight w:val="none"/>
                <w:lang w:eastAsia="zh-CN"/>
              </w:rPr>
            </w:pPr>
            <w:r>
              <w:rPr>
                <w:color w:val="auto"/>
                <w:spacing w:val="13"/>
                <w:sz w:val="24"/>
                <w:szCs w:val="24"/>
                <w:highlight w:val="none"/>
                <w:lang w:eastAsia="zh-CN"/>
              </w:rPr>
              <w:t>由</w:t>
            </w:r>
            <w:r>
              <w:rPr>
                <w:rFonts w:hint="eastAsia" w:ascii="宋体" w:hAnsi="宋体" w:eastAsia="宋体" w:cs="宋体"/>
                <w:b w:val="0"/>
                <w:bCs w:val="0"/>
                <w:color w:val="auto"/>
                <w:sz w:val="24"/>
                <w:szCs w:val="24"/>
                <w:highlight w:val="none"/>
              </w:rPr>
              <w:t>三门施工投标工具</w:t>
            </w:r>
            <w:r>
              <w:rPr>
                <w:rFonts w:hint="eastAsia" w:cs="宋体"/>
                <w:b w:val="0"/>
                <w:bCs w:val="0"/>
                <w:color w:val="auto"/>
                <w:sz w:val="24"/>
                <w:szCs w:val="24"/>
                <w:highlight w:val="none"/>
                <w:lang w:eastAsia="zh-CN"/>
              </w:rPr>
              <w:t>4.5</w:t>
            </w:r>
            <w:r>
              <w:rPr>
                <w:rFonts w:hint="eastAsia" w:ascii="宋体" w:hAnsi="宋体" w:eastAsia="宋体" w:cs="宋体"/>
                <w:b w:val="0"/>
                <w:bCs w:val="0"/>
                <w:color w:val="auto"/>
                <w:sz w:val="24"/>
                <w:szCs w:val="24"/>
                <w:highlight w:val="none"/>
              </w:rPr>
              <w:t>版本</w:t>
            </w:r>
            <w:r>
              <w:rPr>
                <w:color w:val="auto"/>
                <w:spacing w:val="13"/>
                <w:sz w:val="24"/>
                <w:szCs w:val="24"/>
                <w:highlight w:val="none"/>
                <w:lang w:eastAsia="zh-CN"/>
              </w:rPr>
              <w:t>生成的资格标电子投标文件包</w:t>
            </w:r>
            <w:r>
              <w:rPr>
                <w:color w:val="auto"/>
                <w:spacing w:val="-6"/>
                <w:sz w:val="24"/>
                <w:szCs w:val="24"/>
                <w:highlight w:val="none"/>
                <w:lang w:eastAsia="zh-CN"/>
              </w:rPr>
              <w:t>括：</w:t>
            </w:r>
          </w:p>
          <w:p w14:paraId="5B139089">
            <w:pPr>
              <w:pStyle w:val="23"/>
              <w:spacing w:before="11" w:line="218" w:lineRule="auto"/>
              <w:rPr>
                <w:color w:val="auto"/>
                <w:sz w:val="24"/>
                <w:szCs w:val="24"/>
                <w:highlight w:val="none"/>
                <w:lang w:eastAsia="zh-CN"/>
              </w:rPr>
            </w:pPr>
            <w:r>
              <w:rPr>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1</w:t>
            </w:r>
            <w:r>
              <w:rPr>
                <w:color w:val="auto"/>
                <w:spacing w:val="-2"/>
                <w:sz w:val="24"/>
                <w:szCs w:val="24"/>
                <w:highlight w:val="none"/>
                <w:lang w:eastAsia="zh-CN"/>
              </w:rPr>
              <w:t>）项目负责人简历表（投标文件格式一</w:t>
            </w:r>
            <w:r>
              <w:rPr>
                <w:color w:val="auto"/>
                <w:spacing w:val="8"/>
                <w:sz w:val="24"/>
                <w:szCs w:val="24"/>
                <w:highlight w:val="none"/>
                <w:lang w:eastAsia="zh-CN"/>
              </w:rPr>
              <w:t>）；</w:t>
            </w:r>
          </w:p>
          <w:p w14:paraId="69323B87">
            <w:pPr>
              <w:pStyle w:val="23"/>
              <w:spacing w:before="28" w:line="218" w:lineRule="auto"/>
              <w:rPr>
                <w:color w:val="auto"/>
                <w:sz w:val="24"/>
                <w:szCs w:val="24"/>
                <w:highlight w:val="none"/>
                <w:lang w:eastAsia="zh-CN"/>
              </w:rPr>
            </w:pPr>
            <w:r>
              <w:rPr>
                <w:color w:val="auto"/>
                <w:spacing w:val="-2"/>
                <w:sz w:val="24"/>
                <w:szCs w:val="24"/>
                <w:highlight w:val="none"/>
                <w:lang w:eastAsia="zh-CN"/>
              </w:rPr>
              <w:t>（2）技术负责人简历表（投标文件格式二</w:t>
            </w:r>
            <w:r>
              <w:rPr>
                <w:color w:val="auto"/>
                <w:spacing w:val="8"/>
                <w:sz w:val="24"/>
                <w:szCs w:val="24"/>
                <w:highlight w:val="none"/>
                <w:lang w:eastAsia="zh-CN"/>
              </w:rPr>
              <w:t>）；</w:t>
            </w:r>
          </w:p>
          <w:p w14:paraId="5AB8AC81">
            <w:pPr>
              <w:pStyle w:val="23"/>
              <w:spacing w:before="29" w:line="218" w:lineRule="auto"/>
              <w:rPr>
                <w:color w:val="auto"/>
                <w:sz w:val="24"/>
                <w:szCs w:val="24"/>
                <w:highlight w:val="none"/>
                <w:lang w:eastAsia="zh-CN"/>
              </w:rPr>
            </w:pPr>
            <w:r>
              <w:rPr>
                <w:color w:val="auto"/>
                <w:spacing w:val="-2"/>
                <w:sz w:val="24"/>
                <w:szCs w:val="24"/>
                <w:highlight w:val="none"/>
                <w:lang w:eastAsia="zh-CN"/>
              </w:rPr>
              <w:t>（3）主要施工机械设备表（投标文件格式三</w:t>
            </w:r>
            <w:r>
              <w:rPr>
                <w:color w:val="auto"/>
                <w:spacing w:val="9"/>
                <w:sz w:val="24"/>
                <w:szCs w:val="24"/>
                <w:highlight w:val="none"/>
                <w:lang w:eastAsia="zh-CN"/>
              </w:rPr>
              <w:t>）；</w:t>
            </w:r>
          </w:p>
          <w:p w14:paraId="5E7116EB">
            <w:pPr>
              <w:pStyle w:val="23"/>
              <w:spacing w:before="30" w:line="230" w:lineRule="auto"/>
              <w:ind w:right="27"/>
              <w:rPr>
                <w:color w:val="auto"/>
                <w:sz w:val="24"/>
                <w:szCs w:val="24"/>
                <w:highlight w:val="none"/>
                <w:lang w:eastAsia="zh-CN"/>
              </w:rPr>
            </w:pPr>
            <w:r>
              <w:rPr>
                <w:color w:val="auto"/>
                <w:spacing w:val="-2"/>
                <w:sz w:val="24"/>
                <w:szCs w:val="24"/>
                <w:highlight w:val="none"/>
                <w:lang w:eastAsia="zh-CN"/>
              </w:rPr>
              <w:t>（4）</w:t>
            </w:r>
            <w:r>
              <w:rPr>
                <w:color w:val="auto"/>
                <w:spacing w:val="12"/>
                <w:sz w:val="24"/>
                <w:szCs w:val="24"/>
                <w:highlight w:val="none"/>
                <w:lang w:eastAsia="zh-CN"/>
              </w:rPr>
              <w:t>建设工程投标人资格自查表（投标文件格式</w:t>
            </w:r>
            <w:r>
              <w:rPr>
                <w:color w:val="auto"/>
                <w:spacing w:val="-32"/>
                <w:sz w:val="24"/>
                <w:szCs w:val="24"/>
                <w:highlight w:val="none"/>
                <w:lang w:eastAsia="zh-CN"/>
              </w:rPr>
              <w:t>四</w:t>
            </w:r>
            <w:r>
              <w:rPr>
                <w:color w:val="auto"/>
                <w:sz w:val="24"/>
                <w:szCs w:val="24"/>
                <w:highlight w:val="none"/>
                <w:lang w:eastAsia="zh-CN"/>
              </w:rPr>
              <w:t>）；</w:t>
            </w:r>
          </w:p>
          <w:p w14:paraId="7D5898C9">
            <w:pPr>
              <w:pStyle w:val="23"/>
              <w:spacing w:before="25" w:line="229" w:lineRule="auto"/>
              <w:ind w:right="27"/>
              <w:rPr>
                <w:color w:val="auto"/>
                <w:sz w:val="24"/>
                <w:szCs w:val="24"/>
                <w:highlight w:val="none"/>
                <w:lang w:eastAsia="zh-CN"/>
              </w:rPr>
            </w:pPr>
            <w:r>
              <w:rPr>
                <w:color w:val="auto"/>
                <w:spacing w:val="8"/>
                <w:sz w:val="24"/>
                <w:szCs w:val="24"/>
                <w:highlight w:val="none"/>
                <w:lang w:eastAsia="zh-CN"/>
              </w:rPr>
              <w:t>（</w:t>
            </w:r>
            <w:r>
              <w:rPr>
                <w:rFonts w:ascii="Times New Roman" w:hAnsi="Times New Roman" w:eastAsia="Times New Roman" w:cs="Times New Roman"/>
                <w:color w:val="auto"/>
                <w:spacing w:val="8"/>
                <w:sz w:val="24"/>
                <w:szCs w:val="24"/>
                <w:highlight w:val="none"/>
                <w:lang w:eastAsia="zh-CN"/>
              </w:rPr>
              <w:t>5</w:t>
            </w:r>
            <w:r>
              <w:rPr>
                <w:color w:val="auto"/>
                <w:spacing w:val="8"/>
                <w:sz w:val="24"/>
                <w:szCs w:val="24"/>
                <w:highlight w:val="none"/>
                <w:lang w:eastAsia="zh-CN"/>
              </w:rPr>
              <w:t>）建设工程投标项目负责人资格自查表（投标文</w:t>
            </w:r>
            <w:r>
              <w:rPr>
                <w:color w:val="auto"/>
                <w:spacing w:val="-3"/>
                <w:sz w:val="24"/>
                <w:szCs w:val="24"/>
                <w:highlight w:val="none"/>
                <w:lang w:eastAsia="zh-CN"/>
              </w:rPr>
              <w:t>件格式五</w:t>
            </w:r>
            <w:r>
              <w:rPr>
                <w:color w:val="auto"/>
                <w:spacing w:val="1"/>
                <w:sz w:val="24"/>
                <w:szCs w:val="24"/>
                <w:highlight w:val="none"/>
                <w:lang w:eastAsia="zh-CN"/>
              </w:rPr>
              <w:t>）；</w:t>
            </w:r>
          </w:p>
          <w:p w14:paraId="52BF5B1E">
            <w:pPr>
              <w:pStyle w:val="23"/>
              <w:spacing w:before="29" w:line="230" w:lineRule="auto"/>
              <w:ind w:right="27"/>
              <w:rPr>
                <w:color w:val="auto"/>
                <w:sz w:val="24"/>
                <w:szCs w:val="24"/>
                <w:highlight w:val="none"/>
                <w:lang w:eastAsia="zh-CN"/>
              </w:rPr>
            </w:pPr>
            <w:r>
              <w:rPr>
                <w:color w:val="auto"/>
                <w:spacing w:val="27"/>
                <w:sz w:val="24"/>
                <w:szCs w:val="24"/>
                <w:highlight w:val="none"/>
                <w:lang w:eastAsia="zh-CN"/>
              </w:rPr>
              <w:t>（</w:t>
            </w:r>
            <w:r>
              <w:rPr>
                <w:rFonts w:ascii="Times New Roman" w:hAnsi="Times New Roman" w:eastAsia="Times New Roman" w:cs="Times New Roman"/>
                <w:color w:val="auto"/>
                <w:spacing w:val="27"/>
                <w:sz w:val="24"/>
                <w:szCs w:val="24"/>
                <w:highlight w:val="none"/>
                <w:lang w:eastAsia="zh-CN"/>
              </w:rPr>
              <w:t>6</w:t>
            </w:r>
            <w:r>
              <w:rPr>
                <w:color w:val="auto"/>
                <w:spacing w:val="27"/>
                <w:sz w:val="24"/>
                <w:szCs w:val="24"/>
                <w:highlight w:val="none"/>
                <w:lang w:eastAsia="zh-CN"/>
              </w:rPr>
              <w:t>）建设工程诚信投标承诺书（投标文件格式</w:t>
            </w:r>
            <w:r>
              <w:rPr>
                <w:color w:val="auto"/>
                <w:spacing w:val="-10"/>
                <w:sz w:val="24"/>
                <w:szCs w:val="24"/>
                <w:highlight w:val="none"/>
                <w:lang w:eastAsia="zh-CN"/>
              </w:rPr>
              <w:t>七</w:t>
            </w:r>
            <w:r>
              <w:rPr>
                <w:color w:val="auto"/>
                <w:sz w:val="24"/>
                <w:szCs w:val="24"/>
                <w:highlight w:val="none"/>
                <w:lang w:eastAsia="zh-CN"/>
              </w:rPr>
              <w:t>）；</w:t>
            </w:r>
          </w:p>
          <w:p w14:paraId="54A6FC84">
            <w:pPr>
              <w:pStyle w:val="23"/>
              <w:spacing w:before="26" w:line="229" w:lineRule="auto"/>
              <w:ind w:right="27"/>
              <w:rPr>
                <w:color w:val="auto"/>
                <w:sz w:val="24"/>
                <w:szCs w:val="24"/>
                <w:highlight w:val="none"/>
                <w:lang w:eastAsia="zh-CN"/>
              </w:rPr>
            </w:pPr>
            <w:r>
              <w:rPr>
                <w:color w:val="auto"/>
                <w:spacing w:val="8"/>
                <w:sz w:val="24"/>
                <w:szCs w:val="24"/>
                <w:highlight w:val="none"/>
                <w:lang w:eastAsia="zh-CN"/>
              </w:rPr>
              <w:t>（</w:t>
            </w:r>
            <w:r>
              <w:rPr>
                <w:rFonts w:ascii="Times New Roman" w:hAnsi="Times New Roman" w:eastAsia="Times New Roman" w:cs="Times New Roman"/>
                <w:color w:val="auto"/>
                <w:spacing w:val="8"/>
                <w:sz w:val="24"/>
                <w:szCs w:val="24"/>
                <w:highlight w:val="none"/>
                <w:lang w:eastAsia="zh-CN"/>
              </w:rPr>
              <w:t>7</w:t>
            </w:r>
            <w:r>
              <w:rPr>
                <w:color w:val="auto"/>
                <w:spacing w:val="8"/>
                <w:sz w:val="24"/>
                <w:szCs w:val="24"/>
                <w:highlight w:val="none"/>
                <w:lang w:eastAsia="zh-CN"/>
              </w:rPr>
              <w:t>）建设工程安全生产任职资格承诺书（投标文件</w:t>
            </w:r>
            <w:r>
              <w:rPr>
                <w:color w:val="auto"/>
                <w:spacing w:val="-4"/>
                <w:sz w:val="24"/>
                <w:szCs w:val="24"/>
                <w:highlight w:val="none"/>
                <w:lang w:eastAsia="zh-CN"/>
              </w:rPr>
              <w:t>格式九</w:t>
            </w:r>
            <w:r>
              <w:rPr>
                <w:color w:val="auto"/>
                <w:sz w:val="24"/>
                <w:szCs w:val="24"/>
                <w:highlight w:val="none"/>
                <w:lang w:eastAsia="zh-CN"/>
              </w:rPr>
              <w:t>）；</w:t>
            </w:r>
          </w:p>
          <w:p w14:paraId="0B732C0C">
            <w:pPr>
              <w:pStyle w:val="23"/>
              <w:spacing w:before="28" w:line="218" w:lineRule="auto"/>
              <w:rPr>
                <w:color w:val="auto"/>
                <w:sz w:val="24"/>
                <w:szCs w:val="24"/>
                <w:highlight w:val="none"/>
                <w:lang w:eastAsia="zh-CN"/>
              </w:rPr>
            </w:pPr>
            <w:r>
              <w:rPr>
                <w:color w:val="auto"/>
                <w:spacing w:val="-3"/>
                <w:sz w:val="24"/>
                <w:szCs w:val="24"/>
                <w:highlight w:val="none"/>
                <w:lang w:eastAsia="zh-CN"/>
              </w:rPr>
              <w:t>（</w:t>
            </w:r>
            <w:r>
              <w:rPr>
                <w:rFonts w:ascii="Times New Roman" w:hAnsi="Times New Roman" w:eastAsia="Times New Roman" w:cs="Times New Roman"/>
                <w:color w:val="auto"/>
                <w:spacing w:val="-3"/>
                <w:sz w:val="24"/>
                <w:szCs w:val="24"/>
                <w:highlight w:val="none"/>
                <w:lang w:eastAsia="zh-CN"/>
              </w:rPr>
              <w:t>8</w:t>
            </w:r>
            <w:r>
              <w:rPr>
                <w:color w:val="auto"/>
                <w:spacing w:val="-3"/>
                <w:sz w:val="24"/>
                <w:szCs w:val="24"/>
                <w:highlight w:val="none"/>
                <w:lang w:eastAsia="zh-CN"/>
              </w:rPr>
              <w:t>）证书材料：</w:t>
            </w:r>
          </w:p>
          <w:p w14:paraId="18EC59E2">
            <w:pPr>
              <w:pStyle w:val="5"/>
              <w:spacing w:line="400" w:lineRule="exact"/>
              <w:ind w:firstLine="480"/>
              <w:rPr>
                <w:rFonts w:hint="eastAsia" w:ascii="宋体" w:hAnsi="宋体" w:eastAsia="宋体" w:cs="宋体"/>
                <w:i/>
                <w:color w:val="auto"/>
                <w:sz w:val="24"/>
                <w:szCs w:val="24"/>
                <w:highlight w:val="none"/>
              </w:rPr>
            </w:pPr>
            <w:r>
              <w:rPr>
                <w:rFonts w:hint="eastAsia" w:ascii="宋体" w:hAnsi="宋体" w:eastAsia="宋体" w:cs="宋体"/>
                <w:color w:val="auto"/>
                <w:sz w:val="24"/>
                <w:szCs w:val="24"/>
                <w:highlight w:val="none"/>
              </w:rPr>
              <w:t>①《省外企业进浙承接业务备案证明》或“浙江省建筑市场监管公共服务系统”对外发布的通过审核形成的备案信息网页截图（仅指浙江省省外企业）</w:t>
            </w:r>
            <w:r>
              <w:rPr>
                <w:rFonts w:hint="eastAsia" w:ascii="宋体" w:hAnsi="宋体" w:eastAsia="宋体" w:cs="宋体"/>
                <w:i/>
                <w:color w:val="auto"/>
                <w:sz w:val="24"/>
                <w:szCs w:val="24"/>
                <w:highlight w:val="none"/>
              </w:rPr>
              <w:t>；</w:t>
            </w:r>
          </w:p>
          <w:p w14:paraId="3A7BF576">
            <w:pPr>
              <w:pStyle w:val="23"/>
              <w:spacing w:before="25" w:line="400" w:lineRule="exact"/>
              <w:ind w:left="37" w:right="27" w:firstLine="475"/>
              <w:rPr>
                <w:rFonts w:hint="eastAsia" w:ascii="宋体" w:hAnsi="宋体" w:eastAsia="宋体" w:cs="宋体"/>
                <w:color w:val="auto"/>
                <w:sz w:val="24"/>
                <w:szCs w:val="24"/>
                <w:highlight w:val="none"/>
                <w:lang w:eastAsia="zh-CN"/>
              </w:rPr>
            </w:pPr>
            <w:r>
              <w:rPr>
                <w:rFonts w:hint="eastAsia" w:ascii="宋体" w:hAnsi="宋体" w:eastAsia="宋体" w:cs="宋体"/>
                <w:b/>
                <w:snapToGrid w:val="0"/>
                <w:color w:val="auto"/>
                <w:sz w:val="24"/>
                <w:szCs w:val="24"/>
                <w:highlight w:val="none"/>
                <w:lang w:eastAsia="zh-CN"/>
              </w:rPr>
              <w:t>②《企业营业执照》、《安全生产许可证》和《建筑业企业资质证书》</w:t>
            </w:r>
            <w:r>
              <w:rPr>
                <w:rFonts w:hint="eastAsia" w:ascii="宋体" w:hAnsi="宋体" w:eastAsia="宋体" w:cs="宋体"/>
                <w:color w:val="auto"/>
                <w:spacing w:val="3"/>
                <w:sz w:val="24"/>
                <w:szCs w:val="24"/>
                <w:highlight w:val="none"/>
                <w:lang w:eastAsia="zh-CN"/>
              </w:rPr>
              <w:t>（若为住房和城乡建设部同意企业资质电子化试点的省、市可提供企业电子资质证</w:t>
            </w:r>
            <w:r>
              <w:rPr>
                <w:rFonts w:hint="eastAsia" w:ascii="宋体" w:hAnsi="宋体" w:eastAsia="宋体" w:cs="宋体"/>
                <w:color w:val="auto"/>
                <w:spacing w:val="2"/>
                <w:sz w:val="24"/>
                <w:szCs w:val="24"/>
                <w:highlight w:val="none"/>
                <w:lang w:eastAsia="zh-CN"/>
              </w:rPr>
              <w:t>书</w:t>
            </w:r>
            <w:r>
              <w:rPr>
                <w:rFonts w:hint="eastAsia" w:ascii="宋体" w:hAnsi="宋体" w:eastAsia="宋体" w:cs="宋体"/>
                <w:color w:val="auto"/>
                <w:spacing w:val="17"/>
                <w:sz w:val="24"/>
                <w:szCs w:val="24"/>
                <w:highlight w:val="none"/>
                <w:lang w:eastAsia="zh-CN"/>
              </w:rPr>
              <w:t>），</w:t>
            </w:r>
            <w:r>
              <w:rPr>
                <w:rFonts w:hint="eastAsia" w:ascii="宋体" w:hAnsi="宋体" w:eastAsia="宋体" w:cs="宋体"/>
                <w:color w:val="auto"/>
                <w:spacing w:val="2"/>
                <w:sz w:val="24"/>
                <w:szCs w:val="24"/>
                <w:highlight w:val="none"/>
                <w:lang w:eastAsia="zh-CN"/>
              </w:rPr>
              <w:t>投标人提供的《建筑业企业资质证书》上的有关内</w:t>
            </w:r>
            <w:r>
              <w:rPr>
                <w:rFonts w:hint="eastAsia" w:ascii="宋体" w:hAnsi="宋体" w:eastAsia="宋体" w:cs="宋体"/>
                <w:color w:val="auto"/>
                <w:spacing w:val="13"/>
                <w:sz w:val="24"/>
                <w:szCs w:val="24"/>
                <w:highlight w:val="none"/>
                <w:lang w:eastAsia="zh-CN"/>
              </w:rPr>
              <w:t>容真实性均以全国建筑市场监管公共服务平台（查询网</w:t>
            </w:r>
            <w:r>
              <w:rPr>
                <w:rFonts w:hint="eastAsia" w:ascii="宋体" w:hAnsi="宋体" w:eastAsia="宋体" w:cs="宋体"/>
                <w:color w:val="auto"/>
                <w:spacing w:val="12"/>
                <w:sz w:val="24"/>
                <w:szCs w:val="24"/>
                <w:highlight w:val="none"/>
                <w:lang w:eastAsia="zh-CN"/>
              </w:rPr>
              <w:t>址：</w:t>
            </w:r>
            <w:r>
              <w:rPr>
                <w:rFonts w:hint="eastAsia" w:ascii="宋体" w:hAnsi="宋体" w:eastAsia="宋体" w:cs="宋体"/>
                <w:color w:val="auto"/>
                <w:sz w:val="24"/>
                <w:szCs w:val="24"/>
                <w:highlight w:val="none"/>
                <w:lang w:eastAsia="zh-CN"/>
              </w:rPr>
              <w:t>http</w:t>
            </w:r>
            <w:r>
              <w:rPr>
                <w:rFonts w:hint="eastAsia" w:ascii="宋体" w:hAnsi="宋体" w:eastAsia="宋体" w:cs="宋体"/>
                <w:color w:val="auto"/>
                <w:spacing w:val="12"/>
                <w:sz w:val="24"/>
                <w:szCs w:val="24"/>
                <w:highlight w:val="none"/>
                <w:lang w:eastAsia="zh-CN"/>
              </w:rPr>
              <w:t>://</w:t>
            </w:r>
            <w:r>
              <w:rPr>
                <w:rFonts w:hint="eastAsia" w:ascii="宋体" w:hAnsi="宋体" w:eastAsia="宋体" w:cs="宋体"/>
                <w:color w:val="auto"/>
                <w:sz w:val="24"/>
                <w:szCs w:val="24"/>
                <w:highlight w:val="none"/>
                <w:lang w:eastAsia="zh-CN"/>
              </w:rPr>
              <w:t>jzsc</w:t>
            </w:r>
            <w:r>
              <w:rPr>
                <w:rFonts w:hint="eastAsia" w:ascii="宋体" w:hAnsi="宋体" w:eastAsia="宋体" w:cs="宋体"/>
                <w:color w:val="auto"/>
                <w:spacing w:val="12"/>
                <w:sz w:val="24"/>
                <w:szCs w:val="24"/>
                <w:highlight w:val="none"/>
                <w:lang w:eastAsia="zh-CN"/>
              </w:rPr>
              <w:t>.</w:t>
            </w:r>
            <w:r>
              <w:rPr>
                <w:rFonts w:hint="eastAsia" w:ascii="宋体" w:hAnsi="宋体" w:eastAsia="宋体" w:cs="宋体"/>
                <w:color w:val="auto"/>
                <w:sz w:val="24"/>
                <w:szCs w:val="24"/>
                <w:highlight w:val="none"/>
                <w:lang w:eastAsia="zh-CN"/>
              </w:rPr>
              <w:t>mohurd</w:t>
            </w:r>
            <w:r>
              <w:rPr>
                <w:rFonts w:hint="eastAsia" w:ascii="宋体" w:hAnsi="宋体" w:eastAsia="宋体" w:cs="宋体"/>
                <w:color w:val="auto"/>
                <w:spacing w:val="12"/>
                <w:sz w:val="24"/>
                <w:szCs w:val="24"/>
                <w:highlight w:val="none"/>
                <w:lang w:eastAsia="zh-CN"/>
              </w:rPr>
              <w:t>.</w:t>
            </w:r>
            <w:r>
              <w:rPr>
                <w:rFonts w:hint="eastAsia" w:ascii="宋体" w:hAnsi="宋体" w:eastAsia="宋体" w:cs="宋体"/>
                <w:color w:val="auto"/>
                <w:sz w:val="24"/>
                <w:szCs w:val="24"/>
                <w:highlight w:val="none"/>
                <w:lang w:eastAsia="zh-CN"/>
              </w:rPr>
              <w:t>gov</w:t>
            </w:r>
            <w:r>
              <w:rPr>
                <w:rFonts w:hint="eastAsia" w:ascii="宋体" w:hAnsi="宋体" w:eastAsia="宋体" w:cs="宋体"/>
                <w:color w:val="auto"/>
                <w:spacing w:val="12"/>
                <w:sz w:val="24"/>
                <w:szCs w:val="24"/>
                <w:highlight w:val="none"/>
                <w:lang w:eastAsia="zh-CN"/>
              </w:rPr>
              <w:t>.</w:t>
            </w:r>
            <w:r>
              <w:rPr>
                <w:rFonts w:hint="eastAsia" w:ascii="宋体" w:hAnsi="宋体" w:eastAsia="宋体" w:cs="宋体"/>
                <w:color w:val="auto"/>
                <w:sz w:val="24"/>
                <w:szCs w:val="24"/>
                <w:highlight w:val="none"/>
                <w:lang w:eastAsia="zh-CN"/>
              </w:rPr>
              <w:t>cn</w:t>
            </w:r>
            <w:r>
              <w:rPr>
                <w:rFonts w:hint="eastAsia" w:ascii="宋体" w:hAnsi="宋体" w:eastAsia="宋体" w:cs="宋体"/>
                <w:color w:val="auto"/>
                <w:spacing w:val="12"/>
                <w:sz w:val="24"/>
                <w:szCs w:val="24"/>
                <w:highlight w:val="none"/>
                <w:lang w:eastAsia="zh-CN"/>
              </w:rPr>
              <w:t xml:space="preserve">/ </w:t>
            </w:r>
            <w:r>
              <w:rPr>
                <w:rFonts w:hint="eastAsia" w:ascii="宋体" w:hAnsi="宋体" w:eastAsia="宋体" w:cs="宋体"/>
                <w:color w:val="auto"/>
                <w:spacing w:val="-27"/>
                <w:sz w:val="24"/>
                <w:szCs w:val="24"/>
                <w:highlight w:val="none"/>
                <w:lang w:eastAsia="zh-CN"/>
              </w:rPr>
              <w:t>）（</w:t>
            </w:r>
            <w:r>
              <w:rPr>
                <w:rFonts w:hint="eastAsia" w:ascii="宋体" w:hAnsi="宋体" w:eastAsia="宋体" w:cs="宋体"/>
                <w:color w:val="auto"/>
                <w:spacing w:val="12"/>
                <w:sz w:val="24"/>
                <w:szCs w:val="24"/>
                <w:highlight w:val="none"/>
                <w:lang w:eastAsia="zh-CN"/>
              </w:rPr>
              <w:t>或省、直辖市相应平</w:t>
            </w:r>
            <w:r>
              <w:rPr>
                <w:rFonts w:hint="eastAsia" w:ascii="宋体" w:hAnsi="宋体" w:eastAsia="宋体" w:cs="宋体"/>
                <w:color w:val="auto"/>
                <w:spacing w:val="-3"/>
                <w:sz w:val="24"/>
                <w:szCs w:val="24"/>
                <w:highlight w:val="none"/>
                <w:lang w:eastAsia="zh-CN"/>
              </w:rPr>
              <w:t>台）中查询结果为准。</w:t>
            </w:r>
          </w:p>
          <w:p w14:paraId="25C09C87">
            <w:pPr>
              <w:spacing w:line="400" w:lineRule="exact"/>
              <w:ind w:firstLine="482" w:firstLineChars="200"/>
              <w:jc w:val="both"/>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③项目负责人的《建造师注册证书》</w:t>
            </w:r>
            <w:r>
              <w:rPr>
                <w:rFonts w:hint="eastAsia" w:ascii="宋体" w:hAnsi="宋体" w:eastAsia="宋体" w:cs="宋体"/>
                <w:b/>
                <w:bCs/>
                <w:color w:val="auto"/>
                <w:sz w:val="24"/>
                <w:szCs w:val="24"/>
                <w:highlight w:val="none"/>
                <w:lang w:eastAsia="zh-CN"/>
              </w:rPr>
              <w:t>、</w:t>
            </w:r>
            <w:r>
              <w:rPr>
                <w:rFonts w:ascii="宋体" w:hAnsi="宋体" w:eastAsia="宋体" w:cs="宋体"/>
                <w:b/>
                <w:bCs/>
                <w:i w:val="0"/>
                <w:iCs w:val="0"/>
                <w:color w:val="auto"/>
                <w:spacing w:val="-3"/>
                <w:sz w:val="25"/>
                <w:szCs w:val="25"/>
                <w:highlight w:val="none"/>
                <w:lang w:eastAsia="zh-CN"/>
              </w:rPr>
              <w:t>安全生产考核合格证书</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投标人拟派项目负责人的建造师证书须采用电子证书打印件扫描上传。其中一级建造师电子证书须执行住房和城乡建设部的文件（建办市〔2021〕40号）的相关规定。</w:t>
            </w:r>
            <w:r>
              <w:rPr>
                <w:rFonts w:hint="eastAsia" w:ascii="宋体" w:hAnsi="宋体" w:eastAsia="宋体" w:cs="宋体"/>
                <w:b/>
                <w:bCs/>
                <w:color w:val="auto"/>
                <w:sz w:val="24"/>
                <w:szCs w:val="24"/>
                <w:highlight w:val="none"/>
              </w:rPr>
              <w:t>一级建造师电子证书打印后，应在个人签名处手写本人签名，未手写签名或与签名图像笔迹不一致的，该电子证书无效。</w:t>
            </w:r>
          </w:p>
          <w:p w14:paraId="28440D86">
            <w:pPr>
              <w:pStyle w:val="5"/>
              <w:spacing w:line="400" w:lineRule="exact"/>
              <w:ind w:firstLine="358" w:firstLineChars="150"/>
              <w:rPr>
                <w:rFonts w:hint="eastAsia" w:ascii="宋体" w:hAnsi="宋体" w:eastAsia="宋体" w:cs="宋体"/>
                <w:b/>
                <w:bCs/>
                <w:color w:val="auto"/>
                <w:sz w:val="24"/>
                <w:szCs w:val="24"/>
                <w:highlight w:val="none"/>
              </w:rPr>
            </w:pPr>
            <w:r>
              <w:rPr>
                <w:rFonts w:hint="eastAsia" w:ascii="宋体" w:hAnsi="宋体" w:eastAsia="宋体" w:cs="宋体"/>
                <w:b/>
                <w:bCs/>
                <w:color w:val="auto"/>
                <w:spacing w:val="-1"/>
                <w:sz w:val="24"/>
                <w:szCs w:val="24"/>
                <w:highlight w:val="none"/>
              </w:rPr>
              <w:t>项目负责人提供投标截止时间前近</w:t>
            </w:r>
            <w:r>
              <w:rPr>
                <w:rFonts w:hint="eastAsia" w:ascii="宋体" w:hAnsi="宋体" w:eastAsia="宋体" w:cs="宋体"/>
                <w:b/>
                <w:bCs/>
                <w:color w:val="auto"/>
                <w:sz w:val="24"/>
                <w:szCs w:val="24"/>
                <w:highlight w:val="none"/>
              </w:rPr>
              <w:t>3</w:t>
            </w:r>
            <w:r>
              <w:rPr>
                <w:rFonts w:hint="eastAsia" w:ascii="宋体" w:hAnsi="宋体" w:eastAsia="宋体" w:cs="宋体"/>
                <w:b/>
                <w:bCs/>
                <w:color w:val="auto"/>
                <w:spacing w:val="-1"/>
                <w:sz w:val="24"/>
                <w:szCs w:val="24"/>
                <w:highlight w:val="none"/>
              </w:rPr>
              <w:t>个月内任1个月的</w:t>
            </w:r>
            <w:r>
              <w:rPr>
                <w:rFonts w:hint="eastAsia" w:ascii="宋体" w:hAnsi="宋体" w:eastAsia="宋体" w:cs="宋体"/>
                <w:b/>
                <w:bCs/>
                <w:color w:val="auto"/>
                <w:spacing w:val="-8"/>
                <w:sz w:val="24"/>
                <w:szCs w:val="24"/>
                <w:highlight w:val="none"/>
              </w:rPr>
              <w:t>社保缴纳证明</w:t>
            </w:r>
            <w:r>
              <w:rPr>
                <w:rFonts w:hint="eastAsia" w:ascii="宋体" w:hAnsi="宋体" w:eastAsia="宋体" w:cs="宋体"/>
                <w:b/>
                <w:bCs/>
                <w:color w:val="auto"/>
                <w:sz w:val="24"/>
                <w:szCs w:val="24"/>
                <w:highlight w:val="none"/>
              </w:rPr>
              <w:t>（</w:t>
            </w:r>
            <w:r>
              <w:rPr>
                <w:rFonts w:hint="eastAsia" w:ascii="宋体" w:hAnsi="宋体" w:eastAsia="宋体" w:cs="宋体"/>
                <w:b/>
                <w:bCs/>
                <w:color w:val="auto"/>
                <w:spacing w:val="-3"/>
                <w:sz w:val="24"/>
                <w:szCs w:val="24"/>
                <w:highlight w:val="none"/>
              </w:rPr>
              <w:t>提供有效证明材料</w:t>
            </w:r>
            <w:r>
              <w:rPr>
                <w:rFonts w:hint="eastAsia" w:ascii="宋体" w:hAnsi="宋体" w:eastAsia="宋体" w:cs="宋体"/>
                <w:b/>
                <w:bCs/>
                <w:color w:val="auto"/>
                <w:spacing w:val="-73"/>
                <w:sz w:val="24"/>
                <w:szCs w:val="24"/>
                <w:highlight w:val="none"/>
              </w:rPr>
              <w:t>）</w:t>
            </w:r>
            <w:r>
              <w:rPr>
                <w:rFonts w:hint="eastAsia" w:ascii="宋体" w:hAnsi="宋体" w:eastAsia="宋体" w:cs="宋体"/>
                <w:b/>
                <w:bCs/>
                <w:color w:val="auto"/>
                <w:spacing w:val="-10"/>
                <w:sz w:val="24"/>
                <w:szCs w:val="24"/>
                <w:highlight w:val="none"/>
              </w:rPr>
              <w:t>，若项目负责人已退休但仍可执业的，</w:t>
            </w:r>
            <w:r>
              <w:rPr>
                <w:rFonts w:hint="eastAsia" w:ascii="宋体" w:hAnsi="宋体" w:eastAsia="宋体" w:cs="宋体"/>
                <w:b/>
                <w:bCs/>
                <w:color w:val="auto"/>
                <w:sz w:val="24"/>
                <w:szCs w:val="24"/>
                <w:highlight w:val="none"/>
              </w:rPr>
              <w:t>社保缴纳证明可凭社保部门出具的退休证明及聘用合同替代。</w:t>
            </w:r>
          </w:p>
          <w:p w14:paraId="7BC3AC4D">
            <w:pPr>
              <w:pStyle w:val="5"/>
              <w:spacing w:line="400" w:lineRule="exact"/>
              <w:ind w:firstLine="361" w:firstLineChars="15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④</w:t>
            </w:r>
            <w:r>
              <w:rPr>
                <w:rFonts w:hint="eastAsia" w:ascii="宋体" w:hAnsi="宋体" w:eastAsia="宋体" w:cs="宋体"/>
                <w:color w:val="auto"/>
                <w:sz w:val="24"/>
                <w:szCs w:val="24"/>
                <w:highlight w:val="none"/>
              </w:rPr>
              <w:t>提供对应资质在“浙江省建筑市场监管公共服务系统”资质动态核查结果“合格”的证明（</w:t>
            </w:r>
            <w:r>
              <w:rPr>
                <w:rFonts w:hint="eastAsia" w:ascii="宋体" w:hAnsi="宋体" w:eastAsia="宋体" w:cs="宋体"/>
                <w:b/>
                <w:bCs/>
                <w:color w:val="auto"/>
                <w:sz w:val="24"/>
                <w:szCs w:val="24"/>
                <w:highlight w:val="none"/>
              </w:rPr>
              <w:t>核查证明上的打印时间应在开标日所在星期的周一动态核查结果生成后</w:t>
            </w:r>
            <w:r>
              <w:rPr>
                <w:rFonts w:hint="eastAsia" w:ascii="宋体" w:hAnsi="宋体" w:eastAsia="宋体" w:cs="宋体"/>
                <w:color w:val="auto"/>
                <w:sz w:val="24"/>
                <w:szCs w:val="24"/>
                <w:highlight w:val="none"/>
              </w:rPr>
              <w:t>）</w:t>
            </w:r>
          </w:p>
          <w:p w14:paraId="4296F46C">
            <w:pPr>
              <w:pStyle w:val="23"/>
              <w:spacing w:before="30" w:line="229" w:lineRule="auto"/>
              <w:ind w:right="27" w:firstLine="256" w:firstLineChars="100"/>
              <w:rPr>
                <w:color w:val="auto"/>
                <w:sz w:val="24"/>
                <w:szCs w:val="24"/>
                <w:highlight w:val="none"/>
                <w:lang w:eastAsia="zh-CN"/>
              </w:rPr>
            </w:pPr>
            <w:r>
              <w:rPr>
                <w:color w:val="auto"/>
                <w:spacing w:val="8"/>
                <w:sz w:val="24"/>
                <w:szCs w:val="24"/>
                <w:highlight w:val="none"/>
                <w:lang w:eastAsia="zh-CN"/>
              </w:rPr>
              <w:t>（</w:t>
            </w:r>
            <w:r>
              <w:rPr>
                <w:rFonts w:ascii="Times New Roman" w:hAnsi="Times New Roman" w:eastAsia="Times New Roman" w:cs="Times New Roman"/>
                <w:color w:val="auto"/>
                <w:spacing w:val="8"/>
                <w:sz w:val="24"/>
                <w:szCs w:val="24"/>
                <w:highlight w:val="none"/>
                <w:lang w:eastAsia="zh-CN"/>
              </w:rPr>
              <w:t>9</w:t>
            </w:r>
            <w:r>
              <w:rPr>
                <w:color w:val="auto"/>
                <w:spacing w:val="8"/>
                <w:sz w:val="24"/>
                <w:szCs w:val="24"/>
                <w:highlight w:val="none"/>
                <w:lang w:eastAsia="zh-CN"/>
              </w:rPr>
              <w:t>）法定代表人授权委托书（投标文件格式八）或</w:t>
            </w:r>
            <w:r>
              <w:rPr>
                <w:color w:val="auto"/>
                <w:spacing w:val="-1"/>
                <w:sz w:val="24"/>
                <w:szCs w:val="24"/>
                <w:highlight w:val="none"/>
                <w:lang w:eastAsia="zh-CN"/>
              </w:rPr>
              <w:t>法定代表人身份证明（投标文件格式十</w:t>
            </w:r>
            <w:r>
              <w:rPr>
                <w:rFonts w:hint="eastAsia"/>
                <w:color w:val="auto"/>
                <w:spacing w:val="-1"/>
                <w:sz w:val="24"/>
                <w:szCs w:val="24"/>
                <w:highlight w:val="none"/>
                <w:lang w:val="en-US" w:eastAsia="zh-CN"/>
              </w:rPr>
              <w:t>二</w:t>
            </w:r>
            <w:r>
              <w:rPr>
                <w:color w:val="auto"/>
                <w:spacing w:val="-1"/>
                <w:sz w:val="24"/>
                <w:szCs w:val="24"/>
                <w:highlight w:val="none"/>
                <w:lang w:eastAsia="zh-CN"/>
              </w:rPr>
              <w:t>）。</w:t>
            </w:r>
          </w:p>
          <w:p w14:paraId="4AA68B88">
            <w:pPr>
              <w:pStyle w:val="23"/>
              <w:spacing w:before="27" w:line="233" w:lineRule="auto"/>
              <w:ind w:right="121" w:firstLine="234" w:firstLineChars="100"/>
              <w:rPr>
                <w:rFonts w:hint="default"/>
                <w:color w:val="auto"/>
                <w:spacing w:val="-3"/>
                <w:sz w:val="24"/>
                <w:szCs w:val="24"/>
                <w:highlight w:val="none"/>
                <w:lang w:val="en-US" w:eastAsia="zh-CN"/>
              </w:rPr>
            </w:pPr>
            <w:r>
              <w:rPr>
                <w:color w:val="auto"/>
                <w:spacing w:val="-3"/>
                <w:sz w:val="24"/>
                <w:szCs w:val="24"/>
                <w:highlight w:val="none"/>
                <w:lang w:eastAsia="zh-CN"/>
              </w:rPr>
              <w:t>（</w:t>
            </w:r>
            <w:r>
              <w:rPr>
                <w:rFonts w:ascii="Times New Roman" w:hAnsi="Times New Roman" w:eastAsia="Times New Roman" w:cs="Times New Roman"/>
                <w:color w:val="auto"/>
                <w:spacing w:val="-3"/>
                <w:sz w:val="24"/>
                <w:szCs w:val="24"/>
                <w:highlight w:val="none"/>
                <w:lang w:eastAsia="zh-CN"/>
              </w:rPr>
              <w:t>10</w:t>
            </w:r>
            <w:r>
              <w:rPr>
                <w:color w:val="auto"/>
                <w:spacing w:val="-3"/>
                <w:sz w:val="24"/>
                <w:szCs w:val="24"/>
                <w:highlight w:val="none"/>
                <w:lang w:eastAsia="zh-CN"/>
              </w:rPr>
              <w:t>）</w:t>
            </w:r>
            <w:r>
              <w:rPr>
                <w:rFonts w:hint="eastAsia" w:ascii="宋体" w:hAnsi="宋体" w:eastAsia="宋体" w:cs="宋体"/>
                <w:color w:val="auto"/>
                <w:sz w:val="24"/>
                <w:szCs w:val="24"/>
                <w:highlight w:val="none"/>
                <w:lang w:val="en-US" w:eastAsia="zh-CN" w:bidi="ar-SA"/>
              </w:rPr>
              <w:t>投标保证金：提供相关凭证(以现金形式缴纳的提供银行转帐回单；以工程保函形式递交的，提供相关保函保单凭证)；</w:t>
            </w:r>
          </w:p>
          <w:p w14:paraId="06BD06C5">
            <w:pPr>
              <w:pStyle w:val="23"/>
              <w:spacing w:before="148" w:line="218" w:lineRule="auto"/>
              <w:ind w:firstLine="236" w:firstLineChars="100"/>
              <w:rPr>
                <w:color w:val="auto"/>
                <w:sz w:val="24"/>
                <w:szCs w:val="24"/>
                <w:highlight w:val="none"/>
                <w:lang w:eastAsia="zh-CN"/>
              </w:rPr>
            </w:pPr>
            <w:r>
              <w:rPr>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1</w:t>
            </w:r>
            <w:r>
              <w:rPr>
                <w:rFonts w:hint="eastAsia" w:ascii="Times New Roman" w:hAnsi="Times New Roman" w:eastAsia="Times New Roman" w:cs="Times New Roman"/>
                <w:color w:val="auto"/>
                <w:spacing w:val="-2"/>
                <w:sz w:val="24"/>
                <w:szCs w:val="24"/>
                <w:highlight w:val="none"/>
                <w:lang w:val="en-US" w:eastAsia="zh-CN"/>
              </w:rPr>
              <w:t>1</w:t>
            </w:r>
            <w:r>
              <w:rPr>
                <w:color w:val="auto"/>
                <w:spacing w:val="-2"/>
                <w:sz w:val="24"/>
                <w:szCs w:val="24"/>
                <w:highlight w:val="none"/>
                <w:lang w:eastAsia="zh-CN"/>
              </w:rPr>
              <w:t>）其他证明材料（如有）。</w:t>
            </w:r>
          </w:p>
          <w:p w14:paraId="572C30BB">
            <w:pPr>
              <w:pStyle w:val="5"/>
              <w:numPr>
                <w:ilvl w:val="0"/>
                <w:numId w:val="0"/>
              </w:numPr>
              <w:spacing w:line="440" w:lineRule="exact"/>
              <w:ind w:left="425" w:leftChars="0" w:hanging="425" w:firstLineChars="0"/>
              <w:rPr>
                <w:color w:val="auto"/>
                <w:spacing w:val="-1"/>
                <w:sz w:val="24"/>
                <w:szCs w:val="24"/>
                <w:highlight w:val="none"/>
                <w:lang w:eastAsia="zh-CN"/>
              </w:rPr>
            </w:pPr>
            <w:r>
              <w:rPr>
                <w:color w:val="auto"/>
                <w:spacing w:val="7"/>
                <w:sz w:val="24"/>
                <w:szCs w:val="24"/>
                <w:highlight w:val="none"/>
                <w:lang w:eastAsia="zh-CN"/>
              </w:rPr>
              <w:t>备注</w:t>
            </w:r>
            <w:r>
              <w:rPr>
                <w:color w:val="auto"/>
                <w:spacing w:val="-1"/>
                <w:sz w:val="24"/>
                <w:szCs w:val="24"/>
                <w:highlight w:val="none"/>
                <w:lang w:eastAsia="zh-CN"/>
              </w:rPr>
              <w:t>：</w:t>
            </w:r>
          </w:p>
          <w:p w14:paraId="6A25136F">
            <w:pPr>
              <w:pStyle w:val="5"/>
              <w:numPr>
                <w:ilvl w:val="0"/>
                <w:numId w:val="0"/>
              </w:numPr>
              <w:spacing w:line="440" w:lineRule="exact"/>
              <w:ind w:left="425" w:leftChars="0" w:hanging="425" w:firstLineChars="0"/>
              <w:rPr>
                <w:rFonts w:ascii="宋体" w:hAnsi="宋体" w:cs="宋体"/>
                <w:b/>
                <w:bCs/>
                <w:color w:val="auto"/>
                <w:sz w:val="24"/>
                <w:szCs w:val="24"/>
                <w:highlight w:val="none"/>
              </w:rPr>
            </w:pPr>
            <w:r>
              <w:rPr>
                <w:rFonts w:hint="default" w:ascii="宋体" w:hAnsi="宋体" w:eastAsia="宋体" w:cs="宋体"/>
                <w:b/>
                <w:bCs/>
                <w:color w:val="auto"/>
                <w:sz w:val="24"/>
                <w:szCs w:val="24"/>
                <w:highlight w:val="none"/>
                <w:lang w:val="en-US" w:eastAsia="zh-CN" w:bidi="ar-SA"/>
              </w:rPr>
              <w:t>(1)</w:t>
            </w:r>
            <w:r>
              <w:rPr>
                <w:rFonts w:hint="eastAsia" w:ascii="宋体" w:hAnsi="宋体" w:cs="宋体"/>
                <w:snapToGrid w:val="0"/>
                <w:color w:val="auto"/>
                <w:sz w:val="24"/>
                <w:szCs w:val="24"/>
                <w:highlight w:val="none"/>
              </w:rPr>
              <w:t>以上资格标内容均需在</w:t>
            </w:r>
            <w:r>
              <w:rPr>
                <w:rFonts w:hint="eastAsia" w:ascii="宋体" w:hAnsi="宋体" w:cs="宋体"/>
                <w:color w:val="auto"/>
                <w:sz w:val="24"/>
                <w:szCs w:val="24"/>
                <w:highlight w:val="none"/>
                <w:lang w:eastAsia="zh-CN"/>
              </w:rPr>
              <w:t>三门工程投标工具4.5</w:t>
            </w:r>
            <w:r>
              <w:rPr>
                <w:rFonts w:hint="eastAsia" w:ascii="宋体" w:hAnsi="宋体" w:cs="宋体"/>
                <w:color w:val="auto"/>
                <w:sz w:val="24"/>
                <w:szCs w:val="24"/>
                <w:highlight w:val="none"/>
              </w:rPr>
              <w:t>版本</w:t>
            </w:r>
            <w:r>
              <w:rPr>
                <w:rFonts w:hint="eastAsia" w:ascii="宋体" w:hAnsi="宋体" w:cs="宋体"/>
                <w:snapToGrid w:val="0"/>
                <w:color w:val="auto"/>
                <w:sz w:val="24"/>
                <w:szCs w:val="24"/>
                <w:highlight w:val="none"/>
              </w:rPr>
              <w:t>中的资格标对应处自行添加后自动生成，添加的内容须为清晰的电子文档</w:t>
            </w:r>
            <w:r>
              <w:rPr>
                <w:rFonts w:hint="eastAsia" w:ascii="宋体" w:hAnsi="宋体" w:cs="宋体"/>
                <w:bCs/>
                <w:color w:val="auto"/>
                <w:sz w:val="24"/>
                <w:szCs w:val="24"/>
                <w:highlight w:val="none"/>
              </w:rPr>
              <w:t>。</w:t>
            </w:r>
          </w:p>
          <w:p w14:paraId="1C63E149">
            <w:pPr>
              <w:pStyle w:val="5"/>
              <w:numPr>
                <w:ilvl w:val="0"/>
                <w:numId w:val="0"/>
              </w:numPr>
              <w:spacing w:line="440" w:lineRule="exact"/>
              <w:ind w:left="425" w:leftChars="0" w:hanging="425" w:firstLineChars="0"/>
              <w:jc w:val="both"/>
              <w:rPr>
                <w:rFonts w:ascii="宋体" w:hAnsi="宋体" w:cs="宋体"/>
                <w:b/>
                <w:bCs/>
                <w:snapToGrid w:val="0"/>
                <w:color w:val="auto"/>
                <w:sz w:val="24"/>
                <w:szCs w:val="24"/>
                <w:highlight w:val="none"/>
              </w:rPr>
            </w:pPr>
            <w:r>
              <w:rPr>
                <w:rFonts w:hint="default" w:ascii="宋体" w:hAnsi="宋体" w:eastAsia="宋体" w:cs="宋体"/>
                <w:b/>
                <w:bCs/>
                <w:snapToGrid w:val="0"/>
                <w:color w:val="auto"/>
                <w:sz w:val="24"/>
                <w:szCs w:val="24"/>
                <w:highlight w:val="none"/>
                <w:lang w:val="en-US" w:eastAsia="zh-CN" w:bidi="ar-SA"/>
              </w:rPr>
              <w:t>(2)</w:t>
            </w:r>
            <w:r>
              <w:rPr>
                <w:rFonts w:hint="eastAsia" w:ascii="宋体" w:hAnsi="宋体" w:cs="宋体"/>
                <w:b/>
                <w:bCs/>
                <w:snapToGrid w:val="0"/>
                <w:color w:val="auto"/>
                <w:sz w:val="24"/>
                <w:szCs w:val="24"/>
                <w:highlight w:val="none"/>
              </w:rPr>
              <w:t>企业资质证书及项目负责人建造师注册证书未能在</w:t>
            </w:r>
            <w:r>
              <w:rPr>
                <w:rFonts w:hint="eastAsia" w:ascii="宋体" w:hAnsi="宋体" w:cs="宋体"/>
                <w:b/>
                <w:bCs/>
                <w:color w:val="auto"/>
                <w:sz w:val="24"/>
                <w:szCs w:val="24"/>
                <w:highlight w:val="none"/>
              </w:rPr>
              <w:t>全国建筑市场监管公共服务平台和省、直辖市相应平台查询到的作无效标处理。</w:t>
            </w:r>
          </w:p>
          <w:p w14:paraId="2667F4DB">
            <w:pPr>
              <w:pStyle w:val="23"/>
              <w:spacing w:before="33" w:line="219" w:lineRule="auto"/>
              <w:rPr>
                <w:b/>
                <w:bCs/>
                <w:color w:val="auto"/>
                <w:sz w:val="24"/>
                <w:szCs w:val="24"/>
                <w:highlight w:val="none"/>
                <w:lang w:eastAsia="zh-CN"/>
              </w:rPr>
            </w:pPr>
            <w:r>
              <w:rPr>
                <w:rFonts w:ascii="Times New Roman" w:hAnsi="Times New Roman" w:eastAsia="Times New Roman" w:cs="Times New Roman"/>
                <w:b/>
                <w:bCs/>
                <w:color w:val="auto"/>
                <w:spacing w:val="-7"/>
                <w:sz w:val="24"/>
                <w:szCs w:val="24"/>
                <w:highlight w:val="none"/>
                <w:lang w:eastAsia="zh-CN"/>
              </w:rPr>
              <w:t>2</w:t>
            </w:r>
            <w:r>
              <w:rPr>
                <w:b/>
                <w:bCs/>
                <w:color w:val="auto"/>
                <w:spacing w:val="-7"/>
                <w:sz w:val="24"/>
                <w:szCs w:val="24"/>
                <w:highlight w:val="none"/>
                <w:lang w:eastAsia="zh-CN"/>
              </w:rPr>
              <w:t>、资信标</w:t>
            </w:r>
          </w:p>
          <w:p w14:paraId="7EFAFA6D">
            <w:pPr>
              <w:pStyle w:val="5"/>
              <w:numPr>
                <w:ilvl w:val="0"/>
                <w:numId w:val="0"/>
              </w:numPr>
              <w:spacing w:line="440" w:lineRule="exact"/>
              <w:ind w:left="425" w:leftChars="0" w:hanging="425" w:firstLineChars="0"/>
              <w:jc w:val="both"/>
              <w:rPr>
                <w:rFonts w:ascii="宋体" w:hAnsi="宋体" w:cs="宋体"/>
                <w:bCs/>
                <w:color w:val="auto"/>
                <w:sz w:val="24"/>
                <w:szCs w:val="24"/>
                <w:highlight w:val="none"/>
              </w:rPr>
            </w:pPr>
            <w:r>
              <w:rPr>
                <w:rFonts w:hint="default" w:ascii="宋体" w:hAnsi="宋体" w:eastAsia="宋体" w:cs="宋体"/>
                <w:bCs/>
                <w:color w:val="auto"/>
                <w:sz w:val="24"/>
                <w:szCs w:val="24"/>
                <w:highlight w:val="none"/>
                <w:lang w:val="en-US" w:eastAsia="zh-CN" w:bidi="ar-SA"/>
              </w:rPr>
              <w:t>(1)</w:t>
            </w:r>
            <w:r>
              <w:rPr>
                <w:rFonts w:hint="eastAsia" w:ascii="宋体" w:hAnsi="宋体" w:cs="宋体"/>
                <w:bCs/>
                <w:color w:val="auto"/>
                <w:sz w:val="24"/>
                <w:szCs w:val="24"/>
                <w:highlight w:val="none"/>
              </w:rPr>
              <w:t>投标人根据招标文件评标办法内容在</w:t>
            </w:r>
            <w:r>
              <w:rPr>
                <w:rFonts w:hint="eastAsia" w:ascii="宋体" w:hAnsi="宋体" w:cs="宋体"/>
                <w:bCs/>
                <w:color w:val="auto"/>
                <w:sz w:val="24"/>
                <w:szCs w:val="24"/>
                <w:highlight w:val="none"/>
                <w:lang w:eastAsia="zh-CN"/>
              </w:rPr>
              <w:t>三门工程投标工具4.5</w:t>
            </w:r>
            <w:r>
              <w:rPr>
                <w:rFonts w:hint="eastAsia" w:ascii="宋体" w:hAnsi="宋体" w:cs="宋体"/>
                <w:bCs/>
                <w:color w:val="auto"/>
                <w:sz w:val="24"/>
                <w:szCs w:val="24"/>
                <w:highlight w:val="none"/>
              </w:rPr>
              <w:t>版本中资信标相对应处自行添加后自动生成。</w:t>
            </w:r>
          </w:p>
          <w:p w14:paraId="20C3642C">
            <w:pPr>
              <w:pStyle w:val="5"/>
              <w:numPr>
                <w:ilvl w:val="0"/>
                <w:numId w:val="0"/>
              </w:numPr>
              <w:spacing w:line="440" w:lineRule="exact"/>
              <w:ind w:left="425" w:leftChars="0" w:hanging="425" w:firstLineChars="0"/>
              <w:jc w:val="both"/>
              <w:rPr>
                <w:rFonts w:ascii="宋体" w:hAnsi="宋体" w:cs="宋体"/>
                <w:b/>
                <w:color w:val="auto"/>
                <w:sz w:val="24"/>
                <w:szCs w:val="24"/>
                <w:highlight w:val="none"/>
              </w:rPr>
            </w:pPr>
            <w:r>
              <w:rPr>
                <w:rFonts w:hint="default" w:ascii="宋体" w:hAnsi="宋体" w:eastAsia="宋体" w:cs="宋体"/>
                <w:b/>
                <w:color w:val="auto"/>
                <w:sz w:val="24"/>
                <w:szCs w:val="24"/>
                <w:highlight w:val="none"/>
                <w:lang w:val="en-US" w:eastAsia="zh-CN" w:bidi="ar-SA"/>
              </w:rPr>
              <w:t>(2)</w:t>
            </w:r>
            <w:r>
              <w:rPr>
                <w:rFonts w:hint="eastAsia" w:ascii="宋体" w:hAnsi="宋体" w:cs="宋体"/>
                <w:bCs/>
                <w:color w:val="auto"/>
                <w:sz w:val="24"/>
                <w:szCs w:val="24"/>
                <w:highlight w:val="none"/>
              </w:rPr>
              <w:t>建设工程投标人及项目负责人资信分自查表（投标文件格式六）。投标人、项目负责人有信用等级得分的，投标文件中提供</w:t>
            </w:r>
            <w:r>
              <w:rPr>
                <w:rFonts w:hint="eastAsia" w:ascii="宋体" w:hAnsi="宋体" w:cs="宋体"/>
                <w:b/>
                <w:color w:val="auto"/>
                <w:sz w:val="24"/>
                <w:szCs w:val="24"/>
                <w:highlight w:val="none"/>
              </w:rPr>
              <w:t>信用等级网页查询截图</w:t>
            </w:r>
            <w:r>
              <w:rPr>
                <w:rFonts w:hint="eastAsia" w:ascii="宋体" w:hAnsi="宋体" w:cs="宋体"/>
                <w:bCs/>
                <w:color w:val="auto"/>
                <w:sz w:val="24"/>
                <w:szCs w:val="24"/>
                <w:highlight w:val="none"/>
              </w:rPr>
              <w:t>。</w:t>
            </w:r>
          </w:p>
          <w:p w14:paraId="1A684BBA">
            <w:pPr>
              <w:pStyle w:val="5"/>
              <w:numPr>
                <w:ilvl w:val="0"/>
                <w:numId w:val="0"/>
              </w:numPr>
              <w:spacing w:line="440" w:lineRule="exact"/>
              <w:ind w:left="425" w:leftChars="0" w:hanging="425" w:firstLineChars="0"/>
              <w:jc w:val="both"/>
              <w:rPr>
                <w:rFonts w:ascii="宋体" w:hAnsi="宋体" w:cs="宋体"/>
                <w:b/>
                <w:color w:val="auto"/>
                <w:sz w:val="24"/>
                <w:szCs w:val="24"/>
                <w:highlight w:val="none"/>
              </w:rPr>
            </w:pPr>
            <w:r>
              <w:rPr>
                <w:rFonts w:hint="default" w:ascii="宋体" w:hAnsi="宋体" w:eastAsia="宋体" w:cs="宋体"/>
                <w:b/>
                <w:color w:val="auto"/>
                <w:sz w:val="24"/>
                <w:szCs w:val="24"/>
                <w:highlight w:val="none"/>
                <w:lang w:val="en-US" w:eastAsia="zh-CN" w:bidi="ar-SA"/>
              </w:rPr>
              <w:t>(3)</w:t>
            </w:r>
            <w:r>
              <w:rPr>
                <w:rFonts w:hint="eastAsia"/>
                <w:b/>
                <w:snapToGrid w:val="0"/>
                <w:color w:val="auto"/>
                <w:sz w:val="24"/>
                <w:szCs w:val="24"/>
                <w:highlight w:val="none"/>
                <w:lang w:eastAsia="zh-CN"/>
              </w:rPr>
              <w:t>《企业营业执照》。</w:t>
            </w:r>
          </w:p>
          <w:p w14:paraId="57586597">
            <w:pPr>
              <w:pStyle w:val="23"/>
              <w:spacing w:before="27" w:line="219" w:lineRule="auto"/>
              <w:ind w:left="34"/>
              <w:rPr>
                <w:b/>
                <w:bCs/>
                <w:color w:val="auto"/>
                <w:sz w:val="24"/>
                <w:szCs w:val="24"/>
                <w:highlight w:val="none"/>
                <w:lang w:eastAsia="zh-CN"/>
              </w:rPr>
            </w:pPr>
            <w:r>
              <w:rPr>
                <w:rFonts w:ascii="Times New Roman" w:hAnsi="Times New Roman" w:eastAsia="Times New Roman" w:cs="Times New Roman"/>
                <w:b/>
                <w:bCs/>
                <w:color w:val="auto"/>
                <w:spacing w:val="-8"/>
                <w:sz w:val="24"/>
                <w:szCs w:val="24"/>
                <w:highlight w:val="none"/>
                <w:lang w:eastAsia="zh-CN"/>
              </w:rPr>
              <w:t>3</w:t>
            </w:r>
            <w:r>
              <w:rPr>
                <w:b/>
                <w:bCs/>
                <w:color w:val="auto"/>
                <w:spacing w:val="-8"/>
                <w:sz w:val="24"/>
                <w:szCs w:val="24"/>
                <w:highlight w:val="none"/>
                <w:lang w:eastAsia="zh-CN"/>
              </w:rPr>
              <w:t>、商务标</w:t>
            </w:r>
          </w:p>
          <w:p w14:paraId="752EB2E4">
            <w:pPr>
              <w:pStyle w:val="5"/>
              <w:keepNext w:val="0"/>
              <w:keepLines w:val="0"/>
              <w:pageBreakBefore w:val="0"/>
              <w:wordWrap/>
              <w:topLinePunct w:val="0"/>
              <w:bidi w:val="0"/>
              <w:snapToGrid/>
              <w:spacing w:line="440" w:lineRule="exact"/>
              <w:ind w:firstLine="0" w:firstLine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由</w:t>
            </w:r>
            <w:r>
              <w:rPr>
                <w:rFonts w:hint="eastAsia" w:ascii="宋体" w:hAnsi="宋体" w:eastAsia="宋体" w:cs="宋体"/>
                <w:b w:val="0"/>
                <w:bCs w:val="0"/>
                <w:color w:val="auto"/>
                <w:sz w:val="24"/>
                <w:szCs w:val="24"/>
                <w:highlight w:val="none"/>
              </w:rPr>
              <w:t>三门施工投标工具</w:t>
            </w:r>
            <w:r>
              <w:rPr>
                <w:rFonts w:hint="eastAsia" w:ascii="宋体" w:hAnsi="宋体" w:eastAsia="宋体" w:cs="宋体"/>
                <w:b w:val="0"/>
                <w:bCs w:val="0"/>
                <w:color w:val="auto"/>
                <w:sz w:val="24"/>
                <w:szCs w:val="24"/>
                <w:highlight w:val="none"/>
                <w:lang w:eastAsia="zh-CN"/>
              </w:rPr>
              <w:t>4.5</w:t>
            </w:r>
            <w:r>
              <w:rPr>
                <w:rFonts w:hint="eastAsia" w:ascii="宋体" w:hAnsi="宋体" w:eastAsia="宋体" w:cs="宋体"/>
                <w:b w:val="0"/>
                <w:bCs w:val="0"/>
                <w:color w:val="auto"/>
                <w:sz w:val="24"/>
                <w:szCs w:val="24"/>
                <w:highlight w:val="none"/>
              </w:rPr>
              <w:t>版本</w:t>
            </w:r>
            <w:r>
              <w:rPr>
                <w:rFonts w:hint="eastAsia" w:ascii="宋体" w:hAnsi="宋体" w:eastAsia="宋体" w:cs="宋体"/>
                <w:color w:val="auto"/>
                <w:sz w:val="24"/>
                <w:szCs w:val="24"/>
                <w:highlight w:val="none"/>
              </w:rPr>
              <w:t>生成的</w:t>
            </w:r>
            <w:r>
              <w:rPr>
                <w:rFonts w:hint="eastAsia" w:ascii="宋体" w:hAnsi="宋体" w:cs="宋体"/>
                <w:color w:val="auto"/>
                <w:sz w:val="24"/>
                <w:szCs w:val="24"/>
                <w:highlight w:val="none"/>
                <w:lang w:val="en-US" w:eastAsia="zh-CN"/>
              </w:rPr>
              <w:t>商务</w:t>
            </w:r>
            <w:r>
              <w:rPr>
                <w:rFonts w:hint="eastAsia" w:ascii="宋体" w:hAnsi="宋体" w:eastAsia="宋体" w:cs="宋体"/>
                <w:color w:val="auto"/>
                <w:sz w:val="24"/>
                <w:szCs w:val="24"/>
                <w:highlight w:val="none"/>
              </w:rPr>
              <w:t>标电子投标文件包括：</w:t>
            </w:r>
          </w:p>
          <w:p w14:paraId="5CD74A77">
            <w:pPr>
              <w:pStyle w:val="5"/>
              <w:spacing w:line="440" w:lineRule="exact"/>
              <w:ind w:firstLine="0"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（1）商务标第一项以空白word导入</w:t>
            </w:r>
          </w:p>
          <w:p w14:paraId="5C2E14D9">
            <w:pPr>
              <w:pStyle w:val="5"/>
              <w:spacing w:line="440" w:lineRule="exact"/>
              <w:ind w:firstLine="0"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（2）投标编制说明</w:t>
            </w:r>
          </w:p>
          <w:p w14:paraId="25442186">
            <w:pPr>
              <w:pStyle w:val="5"/>
              <w:spacing w:line="440" w:lineRule="exact"/>
              <w:ind w:firstLine="0"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（3）投标函</w:t>
            </w:r>
          </w:p>
          <w:p w14:paraId="6BB3710D">
            <w:pPr>
              <w:pStyle w:val="23"/>
              <w:spacing w:line="227" w:lineRule="auto"/>
              <w:ind w:left="36" w:right="27" w:hanging="3"/>
              <w:rPr>
                <w:color w:val="auto"/>
                <w:sz w:val="24"/>
                <w:szCs w:val="24"/>
                <w:highlight w:val="none"/>
                <w:lang w:eastAsia="zh-CN"/>
              </w:rPr>
            </w:pPr>
            <w:r>
              <w:rPr>
                <w:rFonts w:hint="eastAsia" w:ascii="宋体" w:hAnsi="宋体" w:cs="宋体"/>
                <w:color w:val="auto"/>
                <w:sz w:val="24"/>
                <w:szCs w:val="24"/>
                <w:highlight w:val="none"/>
              </w:rPr>
              <w:t>（4）已标价工程量清单</w:t>
            </w:r>
          </w:p>
        </w:tc>
      </w:tr>
      <w:tr w14:paraId="5E38F7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0" w:hRule="atLeast"/>
        </w:trPr>
        <w:tc>
          <w:tcPr>
            <w:tcW w:w="1080" w:type="dxa"/>
          </w:tcPr>
          <w:p w14:paraId="5D25E3FC">
            <w:pPr>
              <w:spacing w:line="261" w:lineRule="auto"/>
              <w:rPr>
                <w:color w:val="auto"/>
                <w:highlight w:val="none"/>
                <w:lang w:eastAsia="zh-CN"/>
              </w:rPr>
            </w:pPr>
          </w:p>
          <w:p w14:paraId="6C0709B4">
            <w:pPr>
              <w:spacing w:before="69" w:line="188" w:lineRule="auto"/>
              <w:ind w:left="238"/>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3"/>
                <w:sz w:val="24"/>
                <w:szCs w:val="24"/>
                <w:highlight w:val="none"/>
              </w:rPr>
              <w:t>3.2.1</w:t>
            </w:r>
          </w:p>
        </w:tc>
        <w:tc>
          <w:tcPr>
            <w:tcW w:w="1305" w:type="dxa"/>
          </w:tcPr>
          <w:p w14:paraId="2DCE5E22">
            <w:pPr>
              <w:pStyle w:val="23"/>
              <w:spacing w:before="136" w:line="228" w:lineRule="auto"/>
              <w:ind w:right="44"/>
              <w:rPr>
                <w:color w:val="auto"/>
                <w:sz w:val="24"/>
                <w:szCs w:val="24"/>
                <w:highlight w:val="none"/>
                <w:lang w:eastAsia="zh-CN"/>
              </w:rPr>
            </w:pPr>
            <w:r>
              <w:rPr>
                <w:color w:val="auto"/>
                <w:spacing w:val="-2"/>
                <w:sz w:val="24"/>
                <w:szCs w:val="24"/>
                <w:highlight w:val="none"/>
                <w:lang w:eastAsia="zh-CN"/>
              </w:rPr>
              <w:t>增值税税金的计</w:t>
            </w:r>
            <w:r>
              <w:rPr>
                <w:color w:val="auto"/>
                <w:spacing w:val="-4"/>
                <w:sz w:val="24"/>
                <w:szCs w:val="24"/>
                <w:highlight w:val="none"/>
                <w:lang w:eastAsia="zh-CN"/>
              </w:rPr>
              <w:t>算方法</w:t>
            </w:r>
          </w:p>
        </w:tc>
        <w:tc>
          <w:tcPr>
            <w:tcW w:w="7229" w:type="dxa"/>
          </w:tcPr>
          <w:p w14:paraId="334D2A97">
            <w:pPr>
              <w:pStyle w:val="23"/>
              <w:spacing w:before="135" w:line="219" w:lineRule="auto"/>
              <w:ind w:left="58"/>
              <w:rPr>
                <w:color w:val="auto"/>
                <w:sz w:val="24"/>
                <w:szCs w:val="24"/>
                <w:highlight w:val="none"/>
                <w:lang w:eastAsia="zh-CN"/>
              </w:rPr>
            </w:pPr>
            <w:r>
              <w:rPr>
                <w:rFonts w:hint="eastAsia"/>
                <w:color w:val="auto"/>
                <w:spacing w:val="-6"/>
                <w:sz w:val="24"/>
                <w:szCs w:val="24"/>
                <w:highlight w:val="none"/>
                <w:lang w:eastAsia="zh-CN"/>
              </w:rPr>
              <w:t>☑</w:t>
            </w:r>
            <w:r>
              <w:rPr>
                <w:color w:val="auto"/>
                <w:spacing w:val="-6"/>
                <w:sz w:val="24"/>
                <w:szCs w:val="24"/>
                <w:highlight w:val="none"/>
                <w:lang w:eastAsia="zh-CN"/>
              </w:rPr>
              <w:t>一般计税法</w:t>
            </w:r>
          </w:p>
        </w:tc>
      </w:tr>
      <w:tr w14:paraId="7B6E8B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080" w:type="dxa"/>
          </w:tcPr>
          <w:p w14:paraId="4B089E82">
            <w:pPr>
              <w:spacing w:line="261" w:lineRule="auto"/>
              <w:rPr>
                <w:color w:val="auto"/>
                <w:highlight w:val="none"/>
                <w:lang w:eastAsia="zh-CN"/>
              </w:rPr>
            </w:pPr>
          </w:p>
          <w:p w14:paraId="518BB9C9">
            <w:pPr>
              <w:spacing w:before="69" w:line="188" w:lineRule="auto"/>
              <w:ind w:left="238"/>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3"/>
                <w:sz w:val="24"/>
                <w:szCs w:val="24"/>
                <w:highlight w:val="none"/>
              </w:rPr>
              <w:t>3.2.3</w:t>
            </w:r>
          </w:p>
        </w:tc>
        <w:tc>
          <w:tcPr>
            <w:tcW w:w="1305" w:type="dxa"/>
          </w:tcPr>
          <w:p w14:paraId="5F3DF84B">
            <w:pPr>
              <w:pStyle w:val="23"/>
              <w:spacing w:before="135" w:line="230" w:lineRule="auto"/>
              <w:ind w:right="44"/>
              <w:rPr>
                <w:color w:val="auto"/>
                <w:sz w:val="24"/>
                <w:szCs w:val="24"/>
                <w:highlight w:val="none"/>
              </w:rPr>
            </w:pPr>
            <w:r>
              <w:rPr>
                <w:color w:val="auto"/>
                <w:spacing w:val="-2"/>
                <w:sz w:val="24"/>
                <w:szCs w:val="24"/>
                <w:highlight w:val="none"/>
              </w:rPr>
              <w:t>工程量清单计价</w:t>
            </w:r>
            <w:r>
              <w:rPr>
                <w:color w:val="auto"/>
                <w:spacing w:val="-6"/>
                <w:sz w:val="24"/>
                <w:szCs w:val="24"/>
                <w:highlight w:val="none"/>
              </w:rPr>
              <w:t>方式</w:t>
            </w:r>
          </w:p>
        </w:tc>
        <w:tc>
          <w:tcPr>
            <w:tcW w:w="7229" w:type="dxa"/>
          </w:tcPr>
          <w:p w14:paraId="51FD01ED">
            <w:pPr>
              <w:pStyle w:val="23"/>
              <w:spacing w:before="291" w:line="217" w:lineRule="auto"/>
              <w:ind w:left="37"/>
              <w:rPr>
                <w:color w:val="auto"/>
                <w:sz w:val="24"/>
                <w:szCs w:val="24"/>
                <w:highlight w:val="none"/>
              </w:rPr>
            </w:pPr>
            <w:r>
              <w:rPr>
                <w:color w:val="auto"/>
                <w:spacing w:val="-3"/>
                <w:sz w:val="24"/>
                <w:szCs w:val="24"/>
                <w:highlight w:val="none"/>
              </w:rPr>
              <w:t>综合单价法</w:t>
            </w:r>
          </w:p>
        </w:tc>
      </w:tr>
      <w:tr w14:paraId="37BC4C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1" w:hRule="atLeast"/>
        </w:trPr>
        <w:tc>
          <w:tcPr>
            <w:tcW w:w="1080" w:type="dxa"/>
            <w:vAlign w:val="center"/>
          </w:tcPr>
          <w:p w14:paraId="0CE5F95E">
            <w:pPr>
              <w:spacing w:before="69" w:line="188" w:lineRule="auto"/>
              <w:ind w:left="238"/>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3"/>
                <w:sz w:val="24"/>
                <w:szCs w:val="24"/>
                <w:highlight w:val="none"/>
              </w:rPr>
              <w:t>3.2.4</w:t>
            </w:r>
          </w:p>
        </w:tc>
        <w:tc>
          <w:tcPr>
            <w:tcW w:w="1305" w:type="dxa"/>
            <w:vAlign w:val="center"/>
          </w:tcPr>
          <w:p w14:paraId="3CC1B790">
            <w:pPr>
              <w:pStyle w:val="23"/>
              <w:spacing w:before="78" w:line="217" w:lineRule="auto"/>
              <w:jc w:val="center"/>
              <w:rPr>
                <w:color w:val="auto"/>
                <w:sz w:val="24"/>
                <w:szCs w:val="24"/>
                <w:highlight w:val="none"/>
              </w:rPr>
            </w:pPr>
            <w:r>
              <w:rPr>
                <w:color w:val="auto"/>
                <w:spacing w:val="-2"/>
                <w:sz w:val="24"/>
                <w:szCs w:val="24"/>
                <w:highlight w:val="none"/>
              </w:rPr>
              <w:t>最高投标限价</w:t>
            </w:r>
          </w:p>
        </w:tc>
        <w:tc>
          <w:tcPr>
            <w:tcW w:w="7229" w:type="dxa"/>
          </w:tcPr>
          <w:p w14:paraId="0123E600">
            <w:pPr>
              <w:pStyle w:val="23"/>
              <w:keepNext w:val="0"/>
              <w:keepLines w:val="0"/>
              <w:pageBreakBefore w:val="0"/>
              <w:widowControl w:val="0"/>
              <w:wordWrap/>
              <w:topLinePunct w:val="0"/>
              <w:autoSpaceDE w:val="0"/>
              <w:autoSpaceDN w:val="0"/>
              <w:bidi w:val="0"/>
              <w:snapToGrid/>
              <w:spacing w:line="440" w:lineRule="exact"/>
              <w:ind w:left="58"/>
              <w:textAlignment w:val="auto"/>
              <w:rPr>
                <w:color w:val="auto"/>
                <w:sz w:val="24"/>
                <w:szCs w:val="24"/>
                <w:highlight w:val="none"/>
                <w:lang w:eastAsia="zh-CN"/>
              </w:rPr>
            </w:pPr>
            <w:r>
              <w:rPr>
                <w:rFonts w:hint="eastAsia"/>
                <w:color w:val="auto"/>
                <w:spacing w:val="-4"/>
                <w:sz w:val="24"/>
                <w:szCs w:val="24"/>
                <w:highlight w:val="none"/>
                <w:lang w:eastAsia="zh-CN"/>
              </w:rPr>
              <w:t>☑</w:t>
            </w:r>
            <w:r>
              <w:rPr>
                <w:rFonts w:ascii="Times New Roman" w:hAnsi="Times New Roman" w:eastAsia="Times New Roman" w:cs="Times New Roman"/>
                <w:color w:val="auto"/>
                <w:spacing w:val="-4"/>
                <w:sz w:val="24"/>
                <w:szCs w:val="24"/>
                <w:highlight w:val="none"/>
                <w:lang w:eastAsia="zh-CN"/>
              </w:rPr>
              <w:t>1.</w:t>
            </w:r>
            <w:r>
              <w:rPr>
                <w:color w:val="auto"/>
                <w:spacing w:val="-4"/>
                <w:sz w:val="24"/>
                <w:szCs w:val="24"/>
                <w:highlight w:val="none"/>
                <w:lang w:eastAsia="zh-CN"/>
              </w:rPr>
              <w:t>最高投标限价</w:t>
            </w:r>
            <w:r>
              <w:rPr>
                <w:rFonts w:hint="eastAsia" w:cs="宋体"/>
                <w:b/>
                <w:color w:val="auto"/>
                <w:sz w:val="24"/>
                <w:szCs w:val="24"/>
                <w:highlight w:val="none"/>
                <w:u w:val="single"/>
                <w:lang w:val="en-US" w:eastAsia="zh-CN"/>
              </w:rPr>
              <w:t>15172806</w:t>
            </w:r>
            <w:r>
              <w:rPr>
                <w:rFonts w:hint="eastAsia" w:ascii="宋体" w:hAnsi="宋体" w:cs="宋体"/>
                <w:b/>
                <w:color w:val="auto"/>
                <w:sz w:val="24"/>
                <w:szCs w:val="24"/>
                <w:highlight w:val="none"/>
                <w:u w:val="single"/>
              </w:rPr>
              <w:t>元</w:t>
            </w:r>
            <w:r>
              <w:rPr>
                <w:color w:val="auto"/>
                <w:spacing w:val="-4"/>
                <w:sz w:val="24"/>
                <w:szCs w:val="24"/>
                <w:highlight w:val="none"/>
                <w:lang w:eastAsia="zh-CN"/>
              </w:rPr>
              <w:t>；</w:t>
            </w:r>
          </w:p>
          <w:p w14:paraId="1CD01883">
            <w:pPr>
              <w:pStyle w:val="23"/>
              <w:keepNext w:val="0"/>
              <w:keepLines w:val="0"/>
              <w:pageBreakBefore w:val="0"/>
              <w:widowControl w:val="0"/>
              <w:wordWrap/>
              <w:topLinePunct w:val="0"/>
              <w:autoSpaceDE w:val="0"/>
              <w:autoSpaceDN w:val="0"/>
              <w:bidi w:val="0"/>
              <w:snapToGrid/>
              <w:spacing w:line="440" w:lineRule="exact"/>
              <w:ind w:left="36" w:right="157" w:firstLine="22"/>
              <w:textAlignment w:val="auto"/>
              <w:rPr>
                <w:color w:val="auto"/>
                <w:sz w:val="24"/>
                <w:szCs w:val="24"/>
                <w:highlight w:val="none"/>
                <w:lang w:eastAsia="zh-CN"/>
              </w:rPr>
            </w:pPr>
            <w:r>
              <w:rPr>
                <w:rFonts w:hint="eastAsia"/>
                <w:color w:val="auto"/>
                <w:spacing w:val="-8"/>
                <w:sz w:val="24"/>
                <w:szCs w:val="24"/>
                <w:highlight w:val="none"/>
                <w:lang w:eastAsia="zh-CN"/>
              </w:rPr>
              <w:t>☑</w:t>
            </w:r>
            <w:r>
              <w:rPr>
                <w:rFonts w:hint="eastAsia" w:ascii="微软雅黑" w:hAnsi="微软雅黑" w:eastAsia="微软雅黑" w:cs="微软雅黑"/>
                <w:color w:val="auto"/>
                <w:spacing w:val="-8"/>
                <w:sz w:val="24"/>
                <w:szCs w:val="24"/>
                <w:highlight w:val="none"/>
                <w:lang w:val="en-US" w:eastAsia="zh-CN"/>
              </w:rPr>
              <w:t>2</w:t>
            </w:r>
            <w:r>
              <w:rPr>
                <w:rFonts w:ascii="微软雅黑" w:hAnsi="微软雅黑" w:eastAsia="微软雅黑" w:cs="微软雅黑"/>
                <w:color w:val="auto"/>
                <w:spacing w:val="-8"/>
                <w:sz w:val="24"/>
                <w:szCs w:val="24"/>
                <w:highlight w:val="none"/>
                <w:lang w:eastAsia="zh-CN"/>
              </w:rPr>
              <w:t>.</w:t>
            </w:r>
            <w:r>
              <w:rPr>
                <w:color w:val="auto"/>
                <w:spacing w:val="-8"/>
                <w:sz w:val="24"/>
                <w:szCs w:val="24"/>
                <w:highlight w:val="none"/>
                <w:u w:val="single"/>
                <w:lang w:eastAsia="zh-CN"/>
              </w:rPr>
              <w:t>招标控制价</w:t>
            </w:r>
            <w:r>
              <w:rPr>
                <w:color w:val="auto"/>
                <w:spacing w:val="-8"/>
                <w:sz w:val="24"/>
                <w:szCs w:val="24"/>
                <w:highlight w:val="none"/>
                <w:lang w:eastAsia="zh-CN"/>
              </w:rPr>
              <w:t>人民币（大写</w:t>
            </w:r>
            <w:r>
              <w:rPr>
                <w:color w:val="auto"/>
                <w:spacing w:val="5"/>
                <w:sz w:val="24"/>
                <w:szCs w:val="24"/>
                <w:highlight w:val="none"/>
                <w:lang w:eastAsia="zh-CN"/>
              </w:rPr>
              <w:t>）：</w:t>
            </w:r>
            <w:r>
              <w:rPr>
                <w:rFonts w:hint="eastAsia"/>
                <w:color w:val="auto"/>
                <w:spacing w:val="5"/>
                <w:sz w:val="24"/>
                <w:szCs w:val="24"/>
                <w:highlight w:val="none"/>
                <w:lang w:eastAsia="zh-CN"/>
              </w:rPr>
              <w:t>壹仟柒佰叁拾贰万柒仟捌佰玖拾叁</w:t>
            </w:r>
            <w:r>
              <w:rPr>
                <w:rFonts w:hint="eastAsia"/>
                <w:color w:val="auto"/>
                <w:spacing w:val="5"/>
                <w:sz w:val="24"/>
                <w:szCs w:val="24"/>
                <w:highlight w:val="none"/>
                <w:lang w:val="en-US" w:eastAsia="zh-CN"/>
              </w:rPr>
              <w:t>元整</w:t>
            </w:r>
            <w:r>
              <w:rPr>
                <w:color w:val="auto"/>
                <w:spacing w:val="-8"/>
                <w:sz w:val="24"/>
                <w:szCs w:val="24"/>
                <w:highlight w:val="none"/>
                <w:lang w:eastAsia="zh-CN"/>
              </w:rPr>
              <w:t>(￥</w:t>
            </w:r>
            <w:r>
              <w:rPr>
                <w:rFonts w:hint="eastAsia" w:ascii="宋体" w:hAnsi="宋体" w:eastAsia="宋体" w:cs="宋体"/>
                <w:color w:val="auto"/>
                <w:spacing w:val="-2"/>
                <w:sz w:val="24"/>
                <w:szCs w:val="24"/>
                <w:highlight w:val="none"/>
                <w:u w:val="single"/>
                <w:lang w:val="en-US" w:eastAsia="zh-CN"/>
              </w:rPr>
              <w:t>17327893</w:t>
            </w:r>
            <w:r>
              <w:rPr>
                <w:rFonts w:hint="eastAsia" w:ascii="宋体" w:hAnsi="宋体" w:cs="宋体"/>
                <w:b/>
                <w:color w:val="auto"/>
                <w:sz w:val="24"/>
                <w:szCs w:val="24"/>
                <w:highlight w:val="none"/>
                <w:u w:val="single"/>
              </w:rPr>
              <w:t>元</w:t>
            </w:r>
            <w:r>
              <w:rPr>
                <w:color w:val="auto"/>
                <w:spacing w:val="-8"/>
                <w:sz w:val="24"/>
                <w:szCs w:val="24"/>
                <w:highlight w:val="none"/>
                <w:lang w:eastAsia="zh-CN"/>
              </w:rPr>
              <w:t>)</w:t>
            </w:r>
            <w:r>
              <w:rPr>
                <w:color w:val="auto"/>
                <w:spacing w:val="-15"/>
                <w:sz w:val="24"/>
                <w:szCs w:val="24"/>
                <w:highlight w:val="none"/>
                <w:lang w:eastAsia="zh-CN"/>
              </w:rPr>
              <w:t>。</w:t>
            </w:r>
          </w:p>
          <w:p w14:paraId="7124AE6A">
            <w:pPr>
              <w:pStyle w:val="23"/>
              <w:spacing w:before="17" w:line="231" w:lineRule="auto"/>
              <w:ind w:left="35"/>
              <w:rPr>
                <w:rFonts w:hint="eastAsia" w:eastAsia="宋体"/>
                <w:color w:val="auto"/>
                <w:sz w:val="24"/>
                <w:szCs w:val="24"/>
                <w:highlight w:val="none"/>
                <w:lang w:val="en-US" w:eastAsia="zh-CN"/>
              </w:rPr>
            </w:pPr>
            <w:r>
              <w:rPr>
                <w:rFonts w:hint="eastAsia" w:ascii="宋体" w:hAnsi="宋体" w:eastAsia="宋体" w:cs="宋体"/>
                <w:b/>
                <w:bCs/>
                <w:color w:val="auto"/>
                <w:spacing w:val="-2"/>
                <w:sz w:val="24"/>
                <w:szCs w:val="24"/>
                <w:highlight w:val="none"/>
              </w:rPr>
              <w:t>投标报价高于最高投标限价的作无效标处理。</w:t>
            </w:r>
            <w:r>
              <w:rPr>
                <w:rFonts w:hint="eastAsia" w:ascii="宋体" w:hAnsi="宋体" w:eastAsia="宋体" w:cs="宋体"/>
                <w:color w:val="auto"/>
                <w:sz w:val="24"/>
                <w:szCs w:val="24"/>
                <w:highlight w:val="none"/>
                <w:lang w:val="en-US" w:eastAsia="zh-CN" w:bidi="ar-SA"/>
              </w:rPr>
              <w:t xml:space="preserve"> </w:t>
            </w:r>
          </w:p>
        </w:tc>
      </w:tr>
      <w:tr w14:paraId="0DC773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080" w:type="dxa"/>
            <w:vAlign w:val="center"/>
          </w:tcPr>
          <w:p w14:paraId="10DEF6DD">
            <w:pPr>
              <w:spacing w:line="262" w:lineRule="auto"/>
              <w:jc w:val="center"/>
              <w:rPr>
                <w:color w:val="auto"/>
                <w:highlight w:val="none"/>
              </w:rPr>
            </w:pPr>
          </w:p>
          <w:p w14:paraId="1916A0A2">
            <w:pPr>
              <w:spacing w:before="69" w:line="188" w:lineRule="auto"/>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3"/>
                <w:sz w:val="24"/>
                <w:szCs w:val="24"/>
                <w:highlight w:val="none"/>
              </w:rPr>
              <w:t>3.2.5</w:t>
            </w:r>
          </w:p>
        </w:tc>
        <w:tc>
          <w:tcPr>
            <w:tcW w:w="1305" w:type="dxa"/>
            <w:vAlign w:val="center"/>
          </w:tcPr>
          <w:p w14:paraId="7EE266AD">
            <w:pPr>
              <w:pStyle w:val="23"/>
              <w:spacing w:before="135" w:line="230" w:lineRule="auto"/>
              <w:ind w:right="284"/>
              <w:jc w:val="center"/>
              <w:rPr>
                <w:color w:val="auto"/>
                <w:sz w:val="24"/>
                <w:szCs w:val="24"/>
                <w:highlight w:val="none"/>
              </w:rPr>
            </w:pPr>
            <w:r>
              <w:rPr>
                <w:color w:val="auto"/>
                <w:spacing w:val="-2"/>
                <w:sz w:val="24"/>
                <w:szCs w:val="24"/>
                <w:highlight w:val="none"/>
              </w:rPr>
              <w:t>投标报价的</w:t>
            </w:r>
            <w:r>
              <w:rPr>
                <w:color w:val="auto"/>
                <w:spacing w:val="-3"/>
                <w:sz w:val="24"/>
                <w:szCs w:val="24"/>
                <w:highlight w:val="none"/>
              </w:rPr>
              <w:t>其他要求</w:t>
            </w:r>
          </w:p>
        </w:tc>
        <w:tc>
          <w:tcPr>
            <w:tcW w:w="7229" w:type="dxa"/>
            <w:vAlign w:val="center"/>
          </w:tcPr>
          <w:p w14:paraId="7CBEE87E">
            <w:pPr>
              <w:pStyle w:val="23"/>
              <w:spacing w:before="135" w:line="230" w:lineRule="auto"/>
              <w:ind w:right="284"/>
              <w:jc w:val="both"/>
              <w:rPr>
                <w:color w:val="auto"/>
                <w:sz w:val="24"/>
                <w:szCs w:val="24"/>
                <w:highlight w:val="none"/>
              </w:rPr>
            </w:pPr>
            <w:r>
              <w:rPr>
                <w:rFonts w:hint="eastAsia" w:ascii="宋体" w:hAnsi="宋体" w:eastAsia="宋体" w:cs="宋体"/>
                <w:color w:val="auto"/>
                <w:spacing w:val="-2"/>
                <w:sz w:val="24"/>
                <w:szCs w:val="24"/>
                <w:highlight w:val="none"/>
                <w:lang w:val="en-US" w:eastAsia="zh-CN"/>
              </w:rPr>
              <w:t>详见第五章</w:t>
            </w:r>
          </w:p>
        </w:tc>
      </w:tr>
      <w:tr w14:paraId="5C1ED7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080" w:type="dxa"/>
            <w:vAlign w:val="center"/>
          </w:tcPr>
          <w:p w14:paraId="2AA35F19">
            <w:pPr>
              <w:spacing w:before="220" w:line="188" w:lineRule="auto"/>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3"/>
                <w:sz w:val="24"/>
                <w:szCs w:val="24"/>
                <w:highlight w:val="none"/>
              </w:rPr>
              <w:t>3.3.1</w:t>
            </w:r>
          </w:p>
        </w:tc>
        <w:tc>
          <w:tcPr>
            <w:tcW w:w="1305" w:type="dxa"/>
            <w:vAlign w:val="center"/>
          </w:tcPr>
          <w:p w14:paraId="7F0D6235">
            <w:pPr>
              <w:pStyle w:val="23"/>
              <w:spacing w:before="179" w:line="219" w:lineRule="auto"/>
              <w:jc w:val="center"/>
              <w:rPr>
                <w:color w:val="auto"/>
                <w:sz w:val="24"/>
                <w:szCs w:val="24"/>
                <w:highlight w:val="none"/>
              </w:rPr>
            </w:pPr>
            <w:r>
              <w:rPr>
                <w:color w:val="auto"/>
                <w:spacing w:val="-2"/>
                <w:sz w:val="24"/>
                <w:szCs w:val="24"/>
                <w:highlight w:val="none"/>
              </w:rPr>
              <w:t>投标有效期</w:t>
            </w:r>
          </w:p>
        </w:tc>
        <w:tc>
          <w:tcPr>
            <w:tcW w:w="7229" w:type="dxa"/>
          </w:tcPr>
          <w:p w14:paraId="5A7C98F2">
            <w:pPr>
              <w:pStyle w:val="23"/>
              <w:tabs>
                <w:tab w:val="left" w:pos="384"/>
              </w:tabs>
              <w:spacing w:before="178" w:line="219" w:lineRule="auto"/>
              <w:ind w:left="24"/>
              <w:rPr>
                <w:color w:val="auto"/>
                <w:sz w:val="24"/>
                <w:szCs w:val="24"/>
                <w:highlight w:val="none"/>
                <w:lang w:eastAsia="zh-CN"/>
              </w:rPr>
            </w:pPr>
            <w:r>
              <w:rPr>
                <w:rFonts w:hint="eastAsia"/>
                <w:color w:val="auto"/>
                <w:sz w:val="24"/>
                <w:szCs w:val="24"/>
                <w:highlight w:val="none"/>
                <w:u w:val="none"/>
                <w:lang w:val="en-US" w:eastAsia="zh-CN"/>
              </w:rPr>
              <w:t xml:space="preserve">  </w:t>
            </w:r>
            <w:r>
              <w:rPr>
                <w:rFonts w:hint="eastAsia"/>
                <w:color w:val="auto"/>
                <w:sz w:val="24"/>
                <w:szCs w:val="24"/>
                <w:highlight w:val="none"/>
                <w:u w:val="single"/>
                <w:lang w:val="en-US" w:eastAsia="zh-CN"/>
              </w:rPr>
              <w:t xml:space="preserve"> 90 </w:t>
            </w:r>
            <w:r>
              <w:rPr>
                <w:color w:val="auto"/>
                <w:spacing w:val="-1"/>
                <w:sz w:val="24"/>
                <w:szCs w:val="24"/>
                <w:highlight w:val="none"/>
                <w:lang w:eastAsia="zh-CN"/>
              </w:rPr>
              <w:t>个日历天（从投标截止之日起算）。</w:t>
            </w:r>
          </w:p>
        </w:tc>
      </w:tr>
      <w:tr w14:paraId="35C984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5" w:hRule="atLeast"/>
        </w:trPr>
        <w:tc>
          <w:tcPr>
            <w:tcW w:w="1080" w:type="dxa"/>
            <w:vAlign w:val="center"/>
          </w:tcPr>
          <w:p w14:paraId="0872371F">
            <w:pPr>
              <w:spacing w:before="69" w:line="188" w:lineRule="auto"/>
              <w:jc w:val="both"/>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3"/>
                <w:sz w:val="24"/>
                <w:szCs w:val="24"/>
                <w:highlight w:val="none"/>
              </w:rPr>
              <w:t>3.4.1</w:t>
            </w:r>
          </w:p>
        </w:tc>
        <w:tc>
          <w:tcPr>
            <w:tcW w:w="1305" w:type="dxa"/>
            <w:vAlign w:val="center"/>
          </w:tcPr>
          <w:p w14:paraId="1EDB7008">
            <w:pPr>
              <w:pStyle w:val="23"/>
              <w:spacing w:before="78" w:line="219" w:lineRule="auto"/>
              <w:jc w:val="both"/>
              <w:rPr>
                <w:color w:val="auto"/>
                <w:sz w:val="24"/>
                <w:szCs w:val="24"/>
                <w:highlight w:val="none"/>
              </w:rPr>
            </w:pPr>
            <w:r>
              <w:rPr>
                <w:color w:val="auto"/>
                <w:spacing w:val="-2"/>
                <w:sz w:val="24"/>
                <w:szCs w:val="24"/>
                <w:highlight w:val="none"/>
              </w:rPr>
              <w:t>投标保证金</w:t>
            </w:r>
          </w:p>
        </w:tc>
        <w:tc>
          <w:tcPr>
            <w:tcW w:w="7229" w:type="dxa"/>
          </w:tcPr>
          <w:p w14:paraId="2775E9EB">
            <w:pPr>
              <w:autoSpaceDE/>
              <w:autoSpaceDN/>
              <w:adjustRightInd/>
              <w:spacing w:line="400" w:lineRule="exact"/>
              <w:rPr>
                <w:rFonts w:ascii="宋体" w:hAnsi="宋体" w:cs="宋体"/>
                <w:color w:val="auto"/>
                <w:sz w:val="24"/>
                <w:szCs w:val="24"/>
                <w:highlight w:val="none"/>
              </w:rPr>
            </w:pPr>
            <w:r>
              <w:rPr>
                <w:rFonts w:hint="eastAsia" w:ascii="宋体" w:hAnsi="宋体" w:cs="宋体"/>
                <w:color w:val="auto"/>
                <w:highlight w:val="none"/>
              </w:rPr>
              <w:t>1</w:t>
            </w:r>
            <w:r>
              <w:rPr>
                <w:rFonts w:hint="eastAsia" w:ascii="宋体" w:hAnsi="宋体" w:cs="宋体"/>
                <w:color w:val="auto"/>
                <w:sz w:val="24"/>
                <w:szCs w:val="24"/>
                <w:highlight w:val="none"/>
              </w:rPr>
              <w:t>、担保金额：</w:t>
            </w:r>
            <w:r>
              <w:rPr>
                <w:rFonts w:hint="eastAsia" w:ascii="宋体" w:hAnsi="宋体" w:cs="宋体"/>
                <w:color w:val="auto"/>
                <w:sz w:val="24"/>
                <w:szCs w:val="24"/>
                <w:highlight w:val="none"/>
              </w:rPr>
              <w:t>人民币</w:t>
            </w:r>
            <w:r>
              <w:rPr>
                <w:rFonts w:hint="eastAsia" w:ascii="宋体" w:hAnsi="宋体" w:cs="宋体"/>
                <w:color w:val="auto"/>
                <w:sz w:val="24"/>
                <w:szCs w:val="24"/>
                <w:highlight w:val="none"/>
                <w:u w:val="single"/>
                <w:lang w:val="en-US" w:eastAsia="zh-CN"/>
              </w:rPr>
              <w:t>20</w:t>
            </w:r>
            <w:r>
              <w:rPr>
                <w:rFonts w:hint="eastAsia" w:ascii="宋体" w:hAnsi="宋体" w:cs="宋体"/>
                <w:color w:val="auto"/>
                <w:sz w:val="24"/>
                <w:szCs w:val="24"/>
                <w:highlight w:val="none"/>
              </w:rPr>
              <w:t>万元</w:t>
            </w:r>
            <w:r>
              <w:rPr>
                <w:rFonts w:hint="eastAsia" w:ascii="宋体" w:hAnsi="宋体" w:cs="宋体"/>
                <w:color w:val="auto"/>
                <w:sz w:val="24"/>
                <w:szCs w:val="24"/>
                <w:highlight w:val="none"/>
              </w:rPr>
              <w:t>（不得超过项目估算价的2%，且</w:t>
            </w:r>
          </w:p>
          <w:p w14:paraId="68053C31">
            <w:pPr>
              <w:autoSpaceDE/>
              <w:autoSpaceDN/>
              <w:adjustRightInd/>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最高不得超过50万元。）</w:t>
            </w:r>
          </w:p>
          <w:p w14:paraId="63FED524">
            <w:pPr>
              <w:autoSpaceDE/>
              <w:autoSpaceDN/>
              <w:adjustRightInd/>
              <w:spacing w:line="400" w:lineRule="exact"/>
              <w:rPr>
                <w:rFonts w:ascii="宋体" w:hAnsi="宋体" w:cs="宋体"/>
                <w:color w:val="auto"/>
                <w:sz w:val="24"/>
                <w:szCs w:val="24"/>
                <w:highlight w:val="none"/>
              </w:rPr>
            </w:pPr>
            <w:r>
              <w:rPr>
                <w:rFonts w:hint="eastAsia" w:ascii="宋体" w:hAnsi="宋体" w:cs="宋体"/>
                <w:color w:val="auto"/>
                <w:kern w:val="2"/>
                <w:sz w:val="24"/>
                <w:szCs w:val="24"/>
                <w:highlight w:val="none"/>
              </w:rPr>
              <w:t>2、</w:t>
            </w:r>
            <w:r>
              <w:rPr>
                <w:rFonts w:hint="eastAsia" w:ascii="宋体" w:hAnsi="宋体" w:cs="宋体"/>
                <w:color w:val="auto"/>
                <w:sz w:val="24"/>
                <w:szCs w:val="24"/>
                <w:highlight w:val="none"/>
              </w:rPr>
              <w:t>投标保证金缴纳方式（任选一种）：现金、银行保函、保险机构保证保险保单、</w:t>
            </w:r>
            <w:r>
              <w:rPr>
                <w:rFonts w:hint="eastAsia" w:ascii="宋体" w:hAnsi="宋体" w:cs="宋体"/>
                <w:color w:val="auto"/>
                <w:sz w:val="24"/>
                <w:szCs w:val="24"/>
                <w:highlight w:val="none"/>
                <w:lang w:eastAsia="zh-CN"/>
              </w:rPr>
              <w:t>国有担保公司</w:t>
            </w:r>
            <w:r>
              <w:rPr>
                <w:rFonts w:hint="eastAsia" w:ascii="宋体" w:hAnsi="宋体" w:cs="宋体"/>
                <w:color w:val="auto"/>
                <w:sz w:val="24"/>
                <w:szCs w:val="24"/>
                <w:highlight w:val="none"/>
              </w:rPr>
              <w:t>保函。</w:t>
            </w:r>
          </w:p>
          <w:p w14:paraId="3911048F">
            <w:pPr>
              <w:autoSpaceDE/>
              <w:autoSpaceDN/>
              <w:adjustRightInd/>
              <w:spacing w:line="4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（1）现金</w:t>
            </w:r>
          </w:p>
          <w:p w14:paraId="02CBA1BE">
            <w:pPr>
              <w:autoSpaceDE/>
              <w:autoSpaceDN/>
              <w:adjustRightInd/>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①电汇或网银转账（请不要使用“支付宝”等第三方支付平台），并通过“三门县建设工程项目交易系统”取得相应的取得投标保证金收款账户信息后支付，具体详见三门县公共资源交易中心网站“办事指南”栏目“三门县投标保证金（虚拟账户）缴纳操作说明”；</w:t>
            </w:r>
          </w:p>
          <w:p w14:paraId="4E763E8A">
            <w:pPr>
              <w:autoSpaceDE/>
              <w:autoSpaceDN/>
              <w:adjustRightInd/>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②投标保证金应在投标截止时间前到交易中心账户。</w:t>
            </w:r>
          </w:p>
          <w:p w14:paraId="6661D3FD">
            <w:pPr>
              <w:autoSpaceDE/>
              <w:autoSpaceDN/>
              <w:adjustRightInd/>
              <w:spacing w:line="4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（2）银行保函、保险机构保证保险保单、</w:t>
            </w:r>
            <w:r>
              <w:rPr>
                <w:rFonts w:hint="eastAsia" w:ascii="宋体" w:hAnsi="宋体" w:cs="宋体"/>
                <w:b/>
                <w:bCs/>
                <w:color w:val="auto"/>
                <w:sz w:val="24"/>
                <w:szCs w:val="24"/>
                <w:highlight w:val="none"/>
                <w:lang w:eastAsia="zh-CN"/>
              </w:rPr>
              <w:t>国有担保公司</w:t>
            </w:r>
            <w:r>
              <w:rPr>
                <w:rFonts w:hint="eastAsia" w:ascii="宋体" w:hAnsi="宋体" w:cs="宋体"/>
                <w:b/>
                <w:bCs/>
                <w:color w:val="auto"/>
                <w:sz w:val="24"/>
                <w:szCs w:val="24"/>
                <w:highlight w:val="none"/>
              </w:rPr>
              <w:t>保函（以下合称“工程保函”）</w:t>
            </w:r>
          </w:p>
          <w:p w14:paraId="4E22E734">
            <w:pPr>
              <w:spacing w:line="440" w:lineRule="exact"/>
              <w:rPr>
                <w:rFonts w:hint="eastAsia"/>
                <w:color w:val="auto"/>
                <w:highlight w:val="none"/>
                <w:lang w:val="en-US" w:eastAsia="zh-CN"/>
              </w:rPr>
            </w:pPr>
            <w:r>
              <w:rPr>
                <w:rFonts w:hint="eastAsia" w:ascii="宋体" w:hAnsi="宋体" w:cs="宋体"/>
                <w:color w:val="auto"/>
                <w:sz w:val="24"/>
                <w:szCs w:val="24"/>
                <w:highlight w:val="none"/>
              </w:rPr>
              <w:t>①工程保函的受益人</w:t>
            </w:r>
            <w:r>
              <w:rPr>
                <w:rFonts w:hint="eastAsia" w:ascii="宋体" w:hAnsi="宋体" w:cs="宋体"/>
                <w:color w:val="auto"/>
                <w:kern w:val="2"/>
                <w:sz w:val="24"/>
                <w:szCs w:val="24"/>
                <w:highlight w:val="none"/>
              </w:rPr>
              <w:t>：</w:t>
            </w:r>
            <w:r>
              <w:rPr>
                <w:rFonts w:hint="eastAsia" w:ascii="宋体" w:hAnsi="宋体" w:cs="宋体"/>
                <w:color w:val="auto"/>
                <w:sz w:val="24"/>
                <w:szCs w:val="24"/>
                <w:highlight w:val="none"/>
                <w:u w:val="single"/>
                <w:lang w:eastAsia="zh-CN"/>
              </w:rPr>
              <w:t>三门经济投资开发有限公司</w:t>
            </w:r>
          </w:p>
          <w:p w14:paraId="0AA49484">
            <w:pPr>
              <w:autoSpaceDE/>
              <w:autoSpaceDN/>
              <w:adjustRightInd/>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（招标人名称）；</w:t>
            </w:r>
          </w:p>
          <w:p w14:paraId="1B18A53E">
            <w:pPr>
              <w:autoSpaceDE/>
              <w:autoSpaceDN/>
              <w:adjustRightInd/>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②</w:t>
            </w:r>
            <w:r>
              <w:rPr>
                <w:rFonts w:hint="eastAsia" w:ascii="宋体" w:hAnsi="宋体" w:cs="宋体"/>
                <w:b/>
                <w:bCs/>
                <w:color w:val="auto"/>
                <w:sz w:val="24"/>
                <w:szCs w:val="24"/>
                <w:highlight w:val="none"/>
              </w:rPr>
              <w:t>工程保函的有效期为1年</w:t>
            </w:r>
            <w:r>
              <w:rPr>
                <w:rFonts w:hint="eastAsia" w:ascii="宋体" w:hAnsi="宋体" w:cs="宋体"/>
                <w:color w:val="auto"/>
                <w:sz w:val="24"/>
                <w:szCs w:val="24"/>
                <w:highlight w:val="none"/>
              </w:rPr>
              <w:t>；</w:t>
            </w:r>
          </w:p>
          <w:p w14:paraId="16F7FCF2">
            <w:pPr>
              <w:autoSpaceDE/>
              <w:autoSpaceDN/>
              <w:adjustRightInd/>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③递交方式：</w:t>
            </w:r>
          </w:p>
          <w:p w14:paraId="7A96E947">
            <w:pPr>
              <w:autoSpaceDE/>
              <w:autoSpaceDN/>
              <w:adjustRightInd/>
              <w:spacing w:line="400" w:lineRule="exact"/>
              <w:ind w:firstLine="311" w:firstLineChars="129"/>
              <w:rPr>
                <w:rFonts w:ascii="宋体" w:hAnsi="宋体" w:cs="宋体"/>
                <w:color w:val="auto"/>
                <w:sz w:val="24"/>
                <w:szCs w:val="24"/>
                <w:highlight w:val="none"/>
              </w:rPr>
            </w:pPr>
            <w:r>
              <w:rPr>
                <w:rFonts w:hint="eastAsia" w:ascii="宋体" w:hAnsi="宋体" w:cs="宋体"/>
                <w:b/>
                <w:bCs/>
                <w:color w:val="auto"/>
                <w:sz w:val="24"/>
                <w:szCs w:val="24"/>
                <w:highlight w:val="none"/>
              </w:rPr>
              <w:t>递交方式一（电子保函系统）</w:t>
            </w:r>
            <w:r>
              <w:rPr>
                <w:rFonts w:hint="eastAsia" w:ascii="宋体" w:hAnsi="宋体" w:cs="宋体"/>
                <w:color w:val="auto"/>
                <w:sz w:val="24"/>
                <w:szCs w:val="24"/>
                <w:highlight w:val="none"/>
              </w:rPr>
              <w:t>：</w:t>
            </w:r>
          </w:p>
          <w:p w14:paraId="0F4F7919">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通过三门县建设工程项目交易系统在“业务管理—费用管理”栏目选择“电子保函”递交方式，并按系统流程进行操作、申购电子保函。</w:t>
            </w:r>
          </w:p>
          <w:p w14:paraId="22CAA059">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注：电子保单生效时间为投保第二天00:00,各投标人须在投标截止时间前1天申购电子保函；付款后请确认已收到出单提醒短信，或者在系统中查看保单状态为“已出单”，因未确认保函出单情况导致递交投标保证金失败的，所有后果由投标人自行承担。</w:t>
            </w:r>
          </w:p>
          <w:p w14:paraId="74F75E57">
            <w:pPr>
              <w:autoSpaceDE/>
              <w:autoSpaceDN/>
              <w:adjustRightInd/>
              <w:spacing w:line="400" w:lineRule="exact"/>
              <w:ind w:firstLine="311" w:firstLineChars="129"/>
              <w:rPr>
                <w:rFonts w:ascii="宋体" w:hAnsi="宋体" w:cs="宋体"/>
                <w:b/>
                <w:bCs/>
                <w:color w:val="auto"/>
                <w:sz w:val="24"/>
                <w:szCs w:val="24"/>
                <w:highlight w:val="none"/>
              </w:rPr>
            </w:pPr>
            <w:r>
              <w:rPr>
                <w:rFonts w:hint="eastAsia" w:ascii="宋体" w:hAnsi="宋体" w:cs="宋体"/>
                <w:b/>
                <w:bCs/>
                <w:color w:val="auto"/>
                <w:sz w:val="24"/>
                <w:szCs w:val="24"/>
                <w:highlight w:val="none"/>
              </w:rPr>
              <w:t>递交方式二（非电子保函系统）：</w:t>
            </w:r>
          </w:p>
          <w:p w14:paraId="5D9AF7DA">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投标人须在投标截止时间前将工程保函纸质原件、基本账户证明材料复印件（加盖公章）、保费支付的银行回单一并按要求递交。</w:t>
            </w:r>
          </w:p>
          <w:p w14:paraId="2AB511EB">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递交方式：现场递交；</w:t>
            </w:r>
          </w:p>
          <w:p w14:paraId="3B794783">
            <w:pPr>
              <w:autoSpaceDE/>
              <w:autoSpaceDN/>
              <w:adjustRightInd/>
              <w:spacing w:line="400" w:lineRule="exact"/>
              <w:ind w:firstLine="311" w:firstLineChars="129"/>
              <w:rPr>
                <w:rFonts w:ascii="宋体" w:hAnsi="宋体" w:cs="宋体"/>
                <w:b/>
                <w:bCs/>
                <w:color w:val="auto"/>
                <w:sz w:val="24"/>
                <w:szCs w:val="24"/>
                <w:highlight w:val="none"/>
              </w:rPr>
            </w:pPr>
            <w:r>
              <w:rPr>
                <w:rFonts w:hint="eastAsia" w:ascii="宋体" w:hAnsi="宋体" w:cs="宋体"/>
                <w:b/>
                <w:bCs/>
                <w:color w:val="auto"/>
                <w:sz w:val="24"/>
                <w:szCs w:val="24"/>
                <w:highlight w:val="none"/>
              </w:rPr>
              <w:t>①若是投标人的法定代表人递交工程保函的，应持法定代表人身份证明原件（参考格式见附录1）及身份证原件，否则工程保函不予签收。</w:t>
            </w:r>
          </w:p>
          <w:p w14:paraId="2D418626">
            <w:pPr>
              <w:autoSpaceDE/>
              <w:autoSpaceDN/>
              <w:adjustRightInd/>
              <w:spacing w:line="400" w:lineRule="exact"/>
              <w:ind w:firstLine="311" w:firstLineChars="129"/>
              <w:rPr>
                <w:rFonts w:ascii="宋体" w:hAnsi="宋体" w:cs="宋体"/>
                <w:b/>
                <w:bCs/>
                <w:color w:val="auto"/>
                <w:sz w:val="24"/>
                <w:szCs w:val="24"/>
                <w:highlight w:val="none"/>
              </w:rPr>
            </w:pPr>
            <w:r>
              <w:rPr>
                <w:rFonts w:hint="eastAsia" w:ascii="宋体" w:hAnsi="宋体" w:cs="宋体"/>
                <w:b/>
                <w:bCs/>
                <w:color w:val="auto"/>
                <w:sz w:val="24"/>
                <w:szCs w:val="24"/>
                <w:highlight w:val="none"/>
              </w:rPr>
              <w:t>②若是投标人委托代理人递交工程保函的，应持针对本项目的法定代表人授权委托书原件（参考格式见附录1）及身份证原件，否则工程保函不予签收。</w:t>
            </w:r>
          </w:p>
          <w:p w14:paraId="02705FED">
            <w:pPr>
              <w:autoSpaceDE/>
              <w:autoSpaceDN/>
              <w:adjustRightInd/>
              <w:spacing w:line="400" w:lineRule="exact"/>
              <w:ind w:firstLine="311" w:firstLineChars="129"/>
              <w:rPr>
                <w:rFonts w:ascii="宋体" w:hAnsi="宋体" w:cs="宋体"/>
                <w:b/>
                <w:bCs/>
                <w:color w:val="auto"/>
                <w:sz w:val="24"/>
                <w:szCs w:val="24"/>
                <w:highlight w:val="none"/>
              </w:rPr>
            </w:pPr>
            <w:r>
              <w:rPr>
                <w:rFonts w:hint="eastAsia" w:ascii="宋体" w:hAnsi="宋体" w:cs="宋体"/>
                <w:b/>
                <w:bCs/>
                <w:color w:val="auto"/>
                <w:sz w:val="24"/>
                <w:szCs w:val="24"/>
                <w:highlight w:val="none"/>
              </w:rPr>
              <w:t>③递交工程保函时所要求提供的法定代表人授权委托书或法定代表人身份证明中的人员须与投标文件组成中提供的人员一致，若提供的不一致则以无效标处理。</w:t>
            </w:r>
          </w:p>
          <w:p w14:paraId="5D550DB7">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递交时间：同投标文件递交截止时间；</w:t>
            </w:r>
          </w:p>
          <w:p w14:paraId="72403C72">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递交地点：三门县公共资源交易中心交易大厅（一）或（二）；</w:t>
            </w:r>
          </w:p>
          <w:p w14:paraId="5C67FF07">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接收人：</w:t>
            </w:r>
            <w:r>
              <w:rPr>
                <w:rFonts w:hint="eastAsia" w:ascii="宋体" w:hAnsi="宋体" w:cs="宋体"/>
                <w:color w:val="auto"/>
                <w:sz w:val="24"/>
                <w:szCs w:val="24"/>
                <w:highlight w:val="none"/>
                <w:lang w:eastAsia="zh-CN"/>
              </w:rPr>
              <w:t>欧邦工程管理集团有限公司</w:t>
            </w:r>
            <w:r>
              <w:rPr>
                <w:rFonts w:hint="eastAsia" w:ascii="宋体" w:hAnsi="宋体" w:cs="宋体"/>
                <w:color w:val="auto"/>
                <w:sz w:val="24"/>
                <w:szCs w:val="24"/>
                <w:highlight w:val="none"/>
              </w:rPr>
              <w:t>；</w:t>
            </w:r>
          </w:p>
          <w:p w14:paraId="3C4EF3DF">
            <w:pPr>
              <w:autoSpaceDE/>
              <w:autoSpaceDN/>
              <w:adjustRightInd/>
              <w:spacing w:line="400" w:lineRule="exact"/>
              <w:ind w:firstLine="309" w:firstLineChars="129"/>
              <w:rPr>
                <w:rFonts w:hint="default" w:ascii="宋体" w:hAnsi="宋体" w:cs="宋体" w:eastAsiaTheme="minorEastAsia"/>
                <w:color w:val="auto"/>
                <w:sz w:val="24"/>
                <w:szCs w:val="24"/>
                <w:highlight w:val="none"/>
                <w:lang w:val="en-US" w:eastAsia="zh-CN"/>
              </w:rPr>
            </w:pPr>
            <w:r>
              <w:rPr>
                <w:rFonts w:hint="eastAsia" w:ascii="宋体" w:hAnsi="宋体" w:cs="宋体"/>
                <w:color w:val="auto"/>
                <w:sz w:val="24"/>
                <w:szCs w:val="24"/>
                <w:highlight w:val="none"/>
              </w:rPr>
              <w:t>接收人联系方式：</w:t>
            </w:r>
            <w:r>
              <w:rPr>
                <w:rFonts w:hint="eastAsia" w:ascii="宋体" w:hAnsi="宋体" w:cs="宋体"/>
                <w:color w:val="auto"/>
                <w:sz w:val="24"/>
                <w:szCs w:val="24"/>
                <w:highlight w:val="none"/>
                <w:lang w:val="en-US" w:eastAsia="zh-CN"/>
              </w:rPr>
              <w:t>倪勇</w:t>
            </w: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电话：18757166677；</w:t>
            </w:r>
          </w:p>
          <w:p w14:paraId="6145F4D4">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注：投标保函文件中必须包含投标企业的信息，包含但不限于投标企业名称、保证方式、保证金额、保函获得时间、保证项目名称、保函有效期限、保费标准、费用支付账户（基本账户）等。保费应一函一付，通过企业基本账户支付。</w:t>
            </w:r>
            <w:r>
              <w:rPr>
                <w:rFonts w:hint="eastAsia" w:ascii="宋体" w:hAnsi="宋体" w:cs="宋体"/>
                <w:b/>
                <w:bCs/>
                <w:color w:val="auto"/>
                <w:sz w:val="24"/>
                <w:szCs w:val="24"/>
                <w:highlight w:val="none"/>
              </w:rPr>
              <w:t>（工程保函的保险（保证）责任必须包括本招标文件“投标人须知 3.4.4”所列条款。）（温馨提示：请各投标单位仔细核对工程保函的保险责任所列条款。）</w:t>
            </w:r>
          </w:p>
          <w:p w14:paraId="15E1DCB6">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3、注意事项</w:t>
            </w:r>
          </w:p>
          <w:p w14:paraId="4FE70092">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①若招标文件允许联合体投标且投标人以联合体身份投标的，由联合体牵头人提交投标保证金；</w:t>
            </w:r>
          </w:p>
          <w:p w14:paraId="573D9F0F">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②投标保证金收款账号根据不同工程（标段）由系统随机生成，此账号只在本工程（标段）中使用有效，请注意核对；</w:t>
            </w:r>
          </w:p>
          <w:p w14:paraId="2BE8A31F">
            <w:pPr>
              <w:autoSpaceDE/>
              <w:autoSpaceDN/>
              <w:adjustRightInd/>
              <w:spacing w:line="400" w:lineRule="exact"/>
              <w:ind w:firstLine="309" w:firstLineChars="129"/>
              <w:rPr>
                <w:rFonts w:ascii="宋体" w:hAnsi="宋体" w:cs="宋体"/>
                <w:color w:val="auto"/>
                <w:sz w:val="24"/>
                <w:szCs w:val="24"/>
                <w:highlight w:val="none"/>
              </w:rPr>
            </w:pPr>
            <w:r>
              <w:rPr>
                <w:rFonts w:hint="eastAsia" w:ascii="宋体" w:hAnsi="宋体" w:cs="宋体"/>
                <w:color w:val="auto"/>
                <w:sz w:val="24"/>
                <w:szCs w:val="24"/>
                <w:highlight w:val="none"/>
              </w:rPr>
              <w:t>③因各银行系统到账时间不同，采用现金方式缴纳投标保证金的，请尽量提前缴纳，以实际到帐时间为准；</w:t>
            </w:r>
          </w:p>
          <w:p w14:paraId="51B5E81F">
            <w:pPr>
              <w:autoSpaceDE/>
              <w:autoSpaceDN/>
              <w:adjustRightInd/>
              <w:spacing w:line="400" w:lineRule="exact"/>
              <w:ind w:firstLine="311" w:firstLineChars="129"/>
              <w:rPr>
                <w:rFonts w:ascii="宋体" w:hAnsi="宋体" w:cs="宋体"/>
                <w:b/>
                <w:color w:val="auto"/>
                <w:sz w:val="24"/>
                <w:szCs w:val="24"/>
                <w:highlight w:val="none"/>
              </w:rPr>
            </w:pPr>
            <w:r>
              <w:rPr>
                <w:rFonts w:hint="eastAsia" w:ascii="宋体" w:hAnsi="宋体" w:cs="宋体"/>
                <w:b/>
                <w:color w:val="auto"/>
                <w:sz w:val="24"/>
                <w:szCs w:val="24"/>
                <w:highlight w:val="none"/>
              </w:rPr>
              <w:t>④以现金形式提交的投标保证金应当从投标人基本账户转出；</w:t>
            </w:r>
          </w:p>
          <w:p w14:paraId="0317332E">
            <w:pPr>
              <w:autoSpaceDE/>
              <w:autoSpaceDN/>
              <w:adjustRightInd/>
              <w:spacing w:line="400" w:lineRule="exact"/>
              <w:ind w:firstLine="267"/>
              <w:rPr>
                <w:rFonts w:ascii="宋体" w:hAnsi="宋体" w:cs="宋体"/>
                <w:color w:val="auto"/>
                <w:sz w:val="24"/>
                <w:szCs w:val="24"/>
                <w:highlight w:val="none"/>
              </w:rPr>
            </w:pPr>
            <w:r>
              <w:rPr>
                <w:rFonts w:hint="eastAsia" w:ascii="宋体" w:hAnsi="宋体" w:cs="宋体"/>
                <w:color w:val="auto"/>
                <w:sz w:val="24"/>
                <w:szCs w:val="24"/>
                <w:highlight w:val="none"/>
              </w:rPr>
              <w:t>⑤若有疑问，请咨询技术服务热线：13968512856。</w:t>
            </w:r>
          </w:p>
          <w:p w14:paraId="4E4A5212">
            <w:pPr>
              <w:pStyle w:val="23"/>
              <w:spacing w:before="155" w:line="230" w:lineRule="auto"/>
              <w:ind w:left="35" w:right="121" w:firstLine="481"/>
              <w:rPr>
                <w:color w:val="auto"/>
                <w:sz w:val="24"/>
                <w:szCs w:val="24"/>
                <w:highlight w:val="none"/>
                <w:lang w:eastAsia="zh-CN"/>
              </w:rPr>
            </w:pPr>
            <w:r>
              <w:rPr>
                <w:rFonts w:hint="eastAsia" w:ascii="宋体" w:hAnsi="宋体" w:cs="宋体"/>
                <w:b/>
                <w:color w:val="auto"/>
                <w:sz w:val="24"/>
                <w:szCs w:val="24"/>
                <w:highlight w:val="none"/>
              </w:rPr>
              <w:t>⑥以上未按要求提供或提供不清晰的，评标委员会可能做出不利于投标人的评审结果，由此造成的风险由投标人自行承担。</w:t>
            </w:r>
          </w:p>
        </w:tc>
      </w:tr>
      <w:tr w14:paraId="126F0C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80" w:type="dxa"/>
            <w:vAlign w:val="center"/>
          </w:tcPr>
          <w:p w14:paraId="7D710F8E">
            <w:pPr>
              <w:spacing w:before="69" w:line="188" w:lineRule="auto"/>
              <w:ind w:left="238"/>
              <w:jc w:val="both"/>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3"/>
                <w:sz w:val="24"/>
                <w:szCs w:val="24"/>
                <w:highlight w:val="none"/>
              </w:rPr>
              <w:t>3.4.4</w:t>
            </w:r>
          </w:p>
        </w:tc>
        <w:tc>
          <w:tcPr>
            <w:tcW w:w="1305" w:type="dxa"/>
            <w:vAlign w:val="center"/>
          </w:tcPr>
          <w:p w14:paraId="55F82642">
            <w:pPr>
              <w:pStyle w:val="23"/>
              <w:spacing w:before="78" w:line="219" w:lineRule="auto"/>
              <w:jc w:val="center"/>
              <w:rPr>
                <w:color w:val="auto"/>
                <w:sz w:val="24"/>
                <w:szCs w:val="24"/>
                <w:highlight w:val="none"/>
              </w:rPr>
            </w:pPr>
            <w:r>
              <w:rPr>
                <w:color w:val="auto"/>
                <w:spacing w:val="-2"/>
                <w:sz w:val="24"/>
                <w:szCs w:val="24"/>
                <w:highlight w:val="none"/>
                <w:lang w:eastAsia="zh-CN"/>
              </w:rPr>
              <w:t>其他可以不予退还投标保证金的</w:t>
            </w:r>
            <w:r>
              <w:rPr>
                <w:color w:val="auto"/>
                <w:spacing w:val="-4"/>
                <w:sz w:val="24"/>
                <w:szCs w:val="24"/>
                <w:highlight w:val="none"/>
              </w:rPr>
              <w:t>情形</w:t>
            </w:r>
          </w:p>
        </w:tc>
        <w:tc>
          <w:tcPr>
            <w:tcW w:w="7229" w:type="dxa"/>
          </w:tcPr>
          <w:p w14:paraId="0BFBCCD5">
            <w:pPr>
              <w:pStyle w:val="23"/>
              <w:spacing w:before="52" w:line="228" w:lineRule="auto"/>
              <w:ind w:left="33" w:right="27" w:firstLine="25"/>
              <w:rPr>
                <w:color w:val="auto"/>
                <w:sz w:val="24"/>
                <w:szCs w:val="24"/>
                <w:highlight w:val="none"/>
                <w:lang w:eastAsia="zh-CN"/>
              </w:rPr>
            </w:pPr>
            <w:r>
              <w:rPr>
                <w:rFonts w:hint="eastAsia"/>
                <w:color w:val="auto"/>
                <w:spacing w:val="4"/>
                <w:sz w:val="24"/>
                <w:szCs w:val="24"/>
                <w:highlight w:val="none"/>
                <w:lang w:eastAsia="zh-CN"/>
              </w:rPr>
              <w:t>☑</w:t>
            </w:r>
            <w:r>
              <w:rPr>
                <w:rFonts w:hint="eastAsia" w:ascii="宋体" w:hAnsi="宋体" w:eastAsia="宋体" w:cs="宋体"/>
                <w:color w:val="auto"/>
                <w:spacing w:val="5"/>
                <w:sz w:val="24"/>
                <w:szCs w:val="24"/>
                <w:highlight w:val="none"/>
                <w:lang w:val="en-US" w:eastAsia="zh-CN"/>
              </w:rPr>
              <w:t>1.经查实，投标人在投标过程中存在串通投标或弄虚作假的。</w:t>
            </w:r>
          </w:p>
          <w:p w14:paraId="2DDBE8A8">
            <w:pPr>
              <w:pStyle w:val="23"/>
              <w:spacing w:before="29" w:line="229" w:lineRule="auto"/>
              <w:ind w:left="35" w:right="27" w:firstLine="23"/>
              <w:rPr>
                <w:color w:val="auto"/>
                <w:sz w:val="24"/>
                <w:szCs w:val="24"/>
                <w:highlight w:val="none"/>
                <w:lang w:eastAsia="zh-CN"/>
              </w:rPr>
            </w:pPr>
            <w:r>
              <w:rPr>
                <w:rFonts w:hint="eastAsia"/>
                <w:color w:val="auto"/>
                <w:spacing w:val="4"/>
                <w:sz w:val="24"/>
                <w:szCs w:val="24"/>
                <w:highlight w:val="none"/>
                <w:lang w:eastAsia="zh-CN"/>
              </w:rPr>
              <w:t>☑</w:t>
            </w:r>
            <w:r>
              <w:rPr>
                <w:rFonts w:hint="eastAsia" w:ascii="宋体" w:hAnsi="宋体" w:eastAsia="宋体" w:cs="宋体"/>
                <w:color w:val="auto"/>
                <w:spacing w:val="5"/>
                <w:sz w:val="24"/>
                <w:szCs w:val="24"/>
                <w:highlight w:val="none"/>
                <w:lang w:val="en-US" w:eastAsia="zh-CN"/>
              </w:rPr>
              <w:t>2.拟派项目负责人在投标截止日有在其他在建合同工程上担任项目负责人的情形。</w:t>
            </w:r>
          </w:p>
          <w:p w14:paraId="3BE28AD1">
            <w:pPr>
              <w:pStyle w:val="23"/>
              <w:keepNext w:val="0"/>
              <w:keepLines w:val="0"/>
              <w:pageBreakBefore w:val="0"/>
              <w:widowControl w:val="0"/>
              <w:kinsoku/>
              <w:wordWrap/>
              <w:overflowPunct/>
              <w:topLinePunct w:val="0"/>
              <w:autoSpaceDE w:val="0"/>
              <w:autoSpaceDN w:val="0"/>
              <w:bidi w:val="0"/>
              <w:adjustRightInd w:val="0"/>
              <w:snapToGrid/>
              <w:spacing w:line="400" w:lineRule="exact"/>
              <w:ind w:left="33" w:leftChars="0" w:right="27" w:rightChars="0" w:firstLine="12" w:firstLineChars="0"/>
              <w:textAlignment w:val="auto"/>
              <w:rPr>
                <w:rFonts w:hint="default" w:ascii="宋体" w:hAnsi="宋体" w:eastAsia="宋体" w:cs="宋体"/>
                <w:color w:val="auto"/>
                <w:spacing w:val="5"/>
                <w:sz w:val="24"/>
                <w:szCs w:val="24"/>
                <w:highlight w:val="none"/>
                <w:lang w:val="en-US" w:eastAsia="zh-CN"/>
              </w:rPr>
            </w:pPr>
            <w:r>
              <w:rPr>
                <w:rFonts w:hint="eastAsia" w:ascii="宋体" w:hAnsi="宋体" w:eastAsia="宋体" w:cs="宋体"/>
                <w:color w:val="auto"/>
                <w:spacing w:val="5"/>
                <w:sz w:val="24"/>
                <w:szCs w:val="24"/>
                <w:highlight w:val="none"/>
                <w:lang w:val="en-US" w:eastAsia="zh-CN"/>
              </w:rPr>
              <w:t>3</w:t>
            </w:r>
            <w:r>
              <w:rPr>
                <w:rFonts w:ascii="宋体" w:hAnsi="宋体" w:eastAsia="宋体" w:cs="宋体"/>
                <w:color w:val="auto"/>
                <w:spacing w:val="5"/>
                <w:sz w:val="24"/>
                <w:szCs w:val="24"/>
                <w:highlight w:val="none"/>
                <w:lang w:eastAsia="zh-CN"/>
              </w:rPr>
              <w:t>.其他：</w:t>
            </w:r>
            <w:r>
              <w:rPr>
                <w:rFonts w:hint="eastAsia" w:ascii="宋体" w:hAnsi="宋体" w:eastAsia="宋体" w:cs="宋体"/>
                <w:color w:val="auto"/>
                <w:spacing w:val="5"/>
                <w:sz w:val="24"/>
                <w:szCs w:val="24"/>
                <w:highlight w:val="none"/>
                <w:lang w:val="en-US" w:eastAsia="zh-CN"/>
              </w:rPr>
              <w:t>投标人违反《台州市建设工程诚信投标承诺书》 承诺内容，或者对《台州市建设工程投标人资格自查表》 和《台州市建设工程项目负责人资格自查表》中的自查内容进行虚假瞒报的；</w:t>
            </w:r>
          </w:p>
          <w:p w14:paraId="6CC576F9">
            <w:pPr>
              <w:pStyle w:val="23"/>
              <w:keepNext w:val="0"/>
              <w:keepLines w:val="0"/>
              <w:pageBreakBefore w:val="0"/>
              <w:widowControl w:val="0"/>
              <w:kinsoku/>
              <w:wordWrap/>
              <w:overflowPunct/>
              <w:topLinePunct w:val="0"/>
              <w:autoSpaceDE w:val="0"/>
              <w:autoSpaceDN w:val="0"/>
              <w:bidi w:val="0"/>
              <w:adjustRightInd w:val="0"/>
              <w:snapToGrid/>
              <w:spacing w:line="400" w:lineRule="exact"/>
              <w:ind w:left="33"/>
              <w:textAlignment w:val="auto"/>
              <w:rPr>
                <w:color w:val="auto"/>
                <w:sz w:val="24"/>
                <w:szCs w:val="24"/>
                <w:highlight w:val="none"/>
                <w:lang w:eastAsia="zh-CN"/>
              </w:rPr>
            </w:pPr>
            <w:r>
              <w:rPr>
                <w:color w:val="auto"/>
                <w:spacing w:val="-2"/>
                <w:sz w:val="24"/>
                <w:szCs w:val="24"/>
                <w:highlight w:val="none"/>
                <w:lang w:eastAsia="zh-CN"/>
              </w:rPr>
              <w:t>注：本招标文件的“投标保证金不予退还”是指：</w:t>
            </w:r>
          </w:p>
          <w:p w14:paraId="71789E8D">
            <w:pPr>
              <w:pStyle w:val="23"/>
              <w:keepNext w:val="0"/>
              <w:keepLines w:val="0"/>
              <w:pageBreakBefore w:val="0"/>
              <w:widowControl w:val="0"/>
              <w:kinsoku/>
              <w:wordWrap/>
              <w:overflowPunct/>
              <w:topLinePunct w:val="0"/>
              <w:autoSpaceDE w:val="0"/>
              <w:autoSpaceDN w:val="0"/>
              <w:bidi w:val="0"/>
              <w:adjustRightInd w:val="0"/>
              <w:snapToGrid/>
              <w:spacing w:line="400" w:lineRule="exact"/>
              <w:ind w:left="45"/>
              <w:textAlignment w:val="auto"/>
              <w:rPr>
                <w:color w:val="auto"/>
                <w:sz w:val="24"/>
                <w:szCs w:val="24"/>
                <w:highlight w:val="none"/>
                <w:lang w:eastAsia="zh-CN"/>
              </w:rPr>
            </w:pPr>
            <w:r>
              <w:rPr>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1</w:t>
            </w:r>
            <w:r>
              <w:rPr>
                <w:color w:val="auto"/>
                <w:spacing w:val="-2"/>
                <w:sz w:val="24"/>
                <w:szCs w:val="24"/>
                <w:highlight w:val="none"/>
                <w:lang w:eastAsia="zh-CN"/>
              </w:rPr>
              <w:t>）以现金转账形式，转账现金不予退还。</w:t>
            </w:r>
          </w:p>
          <w:p w14:paraId="67ABA137">
            <w:pPr>
              <w:pStyle w:val="23"/>
              <w:keepNext w:val="0"/>
              <w:keepLines w:val="0"/>
              <w:pageBreakBefore w:val="0"/>
              <w:widowControl w:val="0"/>
              <w:kinsoku/>
              <w:wordWrap/>
              <w:overflowPunct/>
              <w:topLinePunct w:val="0"/>
              <w:autoSpaceDE w:val="0"/>
              <w:autoSpaceDN w:val="0"/>
              <w:bidi w:val="0"/>
              <w:adjustRightInd w:val="0"/>
              <w:snapToGrid/>
              <w:spacing w:line="400" w:lineRule="exact"/>
              <w:ind w:left="34" w:right="27" w:firstLine="11"/>
              <w:textAlignment w:val="auto"/>
              <w:rPr>
                <w:color w:val="auto"/>
                <w:sz w:val="24"/>
                <w:szCs w:val="24"/>
                <w:highlight w:val="none"/>
                <w:lang w:eastAsia="zh-CN"/>
              </w:rPr>
            </w:pPr>
            <w:r>
              <w:rPr>
                <w:color w:val="auto"/>
                <w:spacing w:val="5"/>
                <w:sz w:val="24"/>
                <w:szCs w:val="24"/>
                <w:highlight w:val="none"/>
                <w:lang w:eastAsia="zh-CN"/>
              </w:rPr>
              <w:t>（</w:t>
            </w:r>
            <w:r>
              <w:rPr>
                <w:rFonts w:ascii="Times New Roman" w:hAnsi="Times New Roman" w:eastAsia="Times New Roman" w:cs="Times New Roman"/>
                <w:color w:val="auto"/>
                <w:spacing w:val="5"/>
                <w:sz w:val="24"/>
                <w:szCs w:val="24"/>
                <w:highlight w:val="none"/>
                <w:lang w:eastAsia="zh-CN"/>
              </w:rPr>
              <w:t>2</w:t>
            </w:r>
            <w:r>
              <w:rPr>
                <w:color w:val="auto"/>
                <w:spacing w:val="5"/>
                <w:sz w:val="24"/>
                <w:szCs w:val="24"/>
                <w:highlight w:val="none"/>
                <w:lang w:eastAsia="zh-CN"/>
              </w:rPr>
              <w:t>）以银行（数字）保函形式，招标人作为受益人向银</w:t>
            </w:r>
            <w:r>
              <w:rPr>
                <w:color w:val="auto"/>
                <w:spacing w:val="-2"/>
                <w:sz w:val="24"/>
                <w:szCs w:val="24"/>
                <w:highlight w:val="none"/>
                <w:lang w:eastAsia="zh-CN"/>
              </w:rPr>
              <w:t>行提起索赔。</w:t>
            </w:r>
          </w:p>
          <w:p w14:paraId="7BDBFF80">
            <w:pPr>
              <w:pStyle w:val="23"/>
              <w:keepNext w:val="0"/>
              <w:keepLines w:val="0"/>
              <w:pageBreakBefore w:val="0"/>
              <w:widowControl w:val="0"/>
              <w:kinsoku/>
              <w:wordWrap/>
              <w:overflowPunct/>
              <w:topLinePunct w:val="0"/>
              <w:autoSpaceDE w:val="0"/>
              <w:autoSpaceDN w:val="0"/>
              <w:bidi w:val="0"/>
              <w:adjustRightInd w:val="0"/>
              <w:snapToGrid/>
              <w:spacing w:line="400" w:lineRule="exact"/>
              <w:ind w:left="61" w:right="48" w:hanging="16"/>
              <w:textAlignment w:val="auto"/>
              <w:rPr>
                <w:color w:val="auto"/>
                <w:sz w:val="24"/>
                <w:szCs w:val="24"/>
                <w:highlight w:val="none"/>
                <w:lang w:eastAsia="zh-CN"/>
              </w:rPr>
            </w:pPr>
            <w:r>
              <w:rPr>
                <w:color w:val="auto"/>
                <w:spacing w:val="4"/>
                <w:sz w:val="24"/>
                <w:szCs w:val="24"/>
                <w:highlight w:val="none"/>
                <w:lang w:eastAsia="zh-CN"/>
              </w:rPr>
              <w:t>（</w:t>
            </w:r>
            <w:r>
              <w:rPr>
                <w:rFonts w:ascii="Times New Roman" w:hAnsi="Times New Roman" w:eastAsia="Times New Roman" w:cs="Times New Roman"/>
                <w:color w:val="auto"/>
                <w:spacing w:val="4"/>
                <w:sz w:val="24"/>
                <w:szCs w:val="24"/>
                <w:highlight w:val="none"/>
                <w:lang w:eastAsia="zh-CN"/>
              </w:rPr>
              <w:t>3</w:t>
            </w:r>
            <w:r>
              <w:rPr>
                <w:color w:val="auto"/>
                <w:spacing w:val="4"/>
                <w:sz w:val="24"/>
                <w:szCs w:val="24"/>
                <w:highlight w:val="none"/>
                <w:lang w:eastAsia="zh-CN"/>
              </w:rPr>
              <w:t>）以保证保险形式，招标人作为被保险人（受益人）</w:t>
            </w:r>
            <w:r>
              <w:rPr>
                <w:color w:val="auto"/>
                <w:spacing w:val="-5"/>
                <w:sz w:val="24"/>
                <w:szCs w:val="24"/>
                <w:highlight w:val="none"/>
                <w:lang w:eastAsia="zh-CN"/>
              </w:rPr>
              <w:t>向保险人提起索赔。</w:t>
            </w:r>
          </w:p>
          <w:p w14:paraId="4505F7A5">
            <w:pPr>
              <w:pStyle w:val="23"/>
              <w:spacing w:before="29" w:line="226" w:lineRule="auto"/>
              <w:ind w:left="33" w:right="27" w:firstLine="12"/>
              <w:rPr>
                <w:color w:val="auto"/>
                <w:sz w:val="24"/>
                <w:szCs w:val="24"/>
                <w:highlight w:val="none"/>
                <w:lang w:eastAsia="zh-CN"/>
              </w:rPr>
            </w:pPr>
            <w:r>
              <w:rPr>
                <w:color w:val="auto"/>
                <w:spacing w:val="5"/>
                <w:sz w:val="24"/>
                <w:szCs w:val="24"/>
                <w:highlight w:val="none"/>
                <w:lang w:eastAsia="zh-CN"/>
              </w:rPr>
              <w:t>（</w:t>
            </w:r>
            <w:r>
              <w:rPr>
                <w:rFonts w:ascii="Times New Roman" w:hAnsi="Times New Roman" w:eastAsia="Times New Roman" w:cs="Times New Roman"/>
                <w:color w:val="auto"/>
                <w:spacing w:val="5"/>
                <w:sz w:val="24"/>
                <w:szCs w:val="24"/>
                <w:highlight w:val="none"/>
                <w:lang w:eastAsia="zh-CN"/>
              </w:rPr>
              <w:t>4</w:t>
            </w:r>
            <w:r>
              <w:rPr>
                <w:color w:val="auto"/>
                <w:spacing w:val="5"/>
                <w:sz w:val="24"/>
                <w:szCs w:val="24"/>
                <w:highlight w:val="none"/>
                <w:lang w:eastAsia="zh-CN"/>
              </w:rPr>
              <w:t>）以担保公司担保形式，招标人作为受益人向担保人</w:t>
            </w:r>
            <w:r>
              <w:rPr>
                <w:color w:val="auto"/>
                <w:spacing w:val="-2"/>
                <w:sz w:val="24"/>
                <w:szCs w:val="24"/>
                <w:highlight w:val="none"/>
                <w:lang w:eastAsia="zh-CN"/>
              </w:rPr>
              <w:t>提起索赔。</w:t>
            </w:r>
          </w:p>
        </w:tc>
      </w:tr>
      <w:tr w14:paraId="7B9C11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59" w:hRule="atLeast"/>
        </w:trPr>
        <w:tc>
          <w:tcPr>
            <w:tcW w:w="1080" w:type="dxa"/>
            <w:vAlign w:val="center"/>
          </w:tcPr>
          <w:p w14:paraId="49617D45">
            <w:pPr>
              <w:spacing w:line="246" w:lineRule="auto"/>
              <w:jc w:val="center"/>
              <w:rPr>
                <w:color w:val="auto"/>
                <w:highlight w:val="none"/>
              </w:rPr>
            </w:pPr>
          </w:p>
          <w:p w14:paraId="6A917CDB">
            <w:pPr>
              <w:pStyle w:val="23"/>
              <w:spacing w:before="69" w:line="235" w:lineRule="auto"/>
              <w:ind w:left="189" w:right="189" w:firstLine="48"/>
              <w:jc w:val="center"/>
              <w:rPr>
                <w:color w:val="auto"/>
                <w:sz w:val="24"/>
                <w:szCs w:val="24"/>
                <w:highlight w:val="none"/>
              </w:rPr>
            </w:pPr>
            <w:r>
              <w:rPr>
                <w:rFonts w:ascii="Times New Roman" w:hAnsi="Times New Roman" w:eastAsia="Times New Roman" w:cs="Times New Roman"/>
                <w:color w:val="auto"/>
                <w:spacing w:val="-3"/>
                <w:sz w:val="24"/>
                <w:szCs w:val="24"/>
                <w:highlight w:val="none"/>
              </w:rPr>
              <w:t>3.7.3</w:t>
            </w:r>
            <w:r>
              <w:rPr>
                <w:color w:val="auto"/>
                <w:spacing w:val="-14"/>
                <w:sz w:val="24"/>
                <w:szCs w:val="24"/>
                <w:highlight w:val="none"/>
              </w:rPr>
              <w:t>（</w:t>
            </w:r>
            <w:r>
              <w:rPr>
                <w:rFonts w:ascii="Times New Roman" w:hAnsi="Times New Roman" w:eastAsia="Times New Roman" w:cs="Times New Roman"/>
                <w:color w:val="auto"/>
                <w:spacing w:val="-14"/>
                <w:sz w:val="24"/>
                <w:szCs w:val="24"/>
                <w:highlight w:val="none"/>
              </w:rPr>
              <w:t>1</w:t>
            </w:r>
            <w:r>
              <w:rPr>
                <w:color w:val="auto"/>
                <w:spacing w:val="-14"/>
                <w:sz w:val="24"/>
                <w:szCs w:val="24"/>
                <w:highlight w:val="none"/>
              </w:rPr>
              <w:t>）</w:t>
            </w:r>
          </w:p>
        </w:tc>
        <w:tc>
          <w:tcPr>
            <w:tcW w:w="1305" w:type="dxa"/>
            <w:vAlign w:val="center"/>
          </w:tcPr>
          <w:p w14:paraId="1A200247">
            <w:pPr>
              <w:spacing w:line="312" w:lineRule="auto"/>
              <w:jc w:val="center"/>
              <w:rPr>
                <w:color w:val="auto"/>
                <w:highlight w:val="none"/>
                <w:lang w:eastAsia="zh-CN"/>
              </w:rPr>
            </w:pPr>
          </w:p>
          <w:p w14:paraId="2F22782B">
            <w:pPr>
              <w:spacing w:line="313" w:lineRule="auto"/>
              <w:jc w:val="center"/>
              <w:rPr>
                <w:color w:val="auto"/>
                <w:highlight w:val="none"/>
                <w:lang w:eastAsia="zh-CN"/>
              </w:rPr>
            </w:pPr>
          </w:p>
          <w:p w14:paraId="45C7F163">
            <w:pPr>
              <w:pStyle w:val="23"/>
              <w:tabs>
                <w:tab w:val="left" w:pos="1260"/>
              </w:tabs>
              <w:spacing w:before="78" w:line="228" w:lineRule="auto"/>
              <w:ind w:right="164"/>
              <w:jc w:val="center"/>
              <w:rPr>
                <w:color w:val="auto"/>
                <w:sz w:val="24"/>
                <w:szCs w:val="24"/>
                <w:highlight w:val="none"/>
                <w:lang w:eastAsia="zh-CN"/>
              </w:rPr>
            </w:pPr>
            <w:r>
              <w:rPr>
                <w:color w:val="auto"/>
                <w:spacing w:val="-7"/>
                <w:sz w:val="24"/>
                <w:szCs w:val="24"/>
                <w:highlight w:val="none"/>
                <w:lang w:eastAsia="zh-CN"/>
              </w:rPr>
              <w:t>电子投标文件</w:t>
            </w:r>
            <w:r>
              <w:rPr>
                <w:color w:val="auto"/>
                <w:spacing w:val="-3"/>
                <w:sz w:val="24"/>
                <w:szCs w:val="24"/>
                <w:highlight w:val="none"/>
                <w:lang w:eastAsia="zh-CN"/>
              </w:rPr>
              <w:t>盖章要求</w:t>
            </w:r>
          </w:p>
        </w:tc>
        <w:tc>
          <w:tcPr>
            <w:tcW w:w="7229" w:type="dxa"/>
          </w:tcPr>
          <w:p w14:paraId="344381A4">
            <w:pPr>
              <w:pStyle w:val="27"/>
              <w:numPr>
                <w:ilvl w:val="0"/>
                <w:numId w:val="0"/>
              </w:numPr>
              <w:kinsoku w:val="0"/>
              <w:spacing w:line="440" w:lineRule="exact"/>
              <w:ind w:left="425" w:leftChars="0" w:hanging="425" w:firstLine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bidi="ar-SA"/>
              </w:rPr>
              <w:t>1.</w:t>
            </w:r>
            <w:r>
              <w:rPr>
                <w:rFonts w:hint="eastAsia" w:ascii="宋体" w:hAnsi="宋体" w:eastAsia="宋体" w:cs="宋体"/>
                <w:color w:val="auto"/>
                <w:sz w:val="24"/>
                <w:szCs w:val="24"/>
                <w:highlight w:val="none"/>
              </w:rPr>
              <w:t>投标文件格式文件要求投标人盖章、法定代表人印章的地方，投标人均应使用CA数字证书加盖投标人的单位电子印章、法定代表人个人电子印章。联合体投标的，除联合体协议书格式之外的仅由联合体牵头人加盖单位电子印章、法定代表人个人电子印章即可。</w:t>
            </w:r>
          </w:p>
          <w:p w14:paraId="6A27E4B7">
            <w:pPr>
              <w:pStyle w:val="23"/>
              <w:spacing w:before="28" w:line="228" w:lineRule="auto"/>
              <w:ind w:left="36" w:right="30" w:firstLine="22"/>
              <w:rPr>
                <w:color w:val="auto"/>
                <w:sz w:val="24"/>
                <w:szCs w:val="24"/>
                <w:highlight w:val="none"/>
                <w:lang w:eastAsia="zh-CN"/>
              </w:rPr>
            </w:pPr>
            <w:r>
              <w:rPr>
                <w:rFonts w:hint="eastAsia" w:ascii="宋体" w:hAnsi="宋体" w:eastAsia="宋体" w:cs="宋体"/>
                <w:color w:val="auto"/>
                <w:sz w:val="24"/>
                <w:szCs w:val="24"/>
                <w:highlight w:val="none"/>
                <w:lang w:val="en-US" w:eastAsia="zh-CN" w:bidi="ar-SA"/>
              </w:rPr>
              <w:t>2.</w:t>
            </w:r>
            <w:r>
              <w:rPr>
                <w:rFonts w:hint="eastAsia" w:ascii="宋体" w:hAnsi="宋体" w:eastAsia="宋体" w:cs="宋体"/>
                <w:color w:val="auto"/>
                <w:sz w:val="24"/>
                <w:szCs w:val="24"/>
                <w:highlight w:val="none"/>
              </w:rPr>
              <w:sym w:font="Wingdings 2" w:char="0052"/>
            </w:r>
            <w:r>
              <w:rPr>
                <w:rFonts w:hint="eastAsia" w:ascii="宋体" w:hAnsi="宋体" w:eastAsia="宋体" w:cs="宋体"/>
                <w:color w:val="auto"/>
                <w:sz w:val="24"/>
                <w:szCs w:val="24"/>
                <w:highlight w:val="none"/>
              </w:rPr>
              <w:t>投标文件所附证书证件、业绩证明文件、投标保证金等证明材料用原件扫描件并加盖投标单位电子印章；</w:t>
            </w:r>
          </w:p>
        </w:tc>
      </w:tr>
      <w:tr w14:paraId="1C1B4C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1080" w:type="dxa"/>
            <w:vAlign w:val="center"/>
          </w:tcPr>
          <w:p w14:paraId="19FCEC85">
            <w:pPr>
              <w:pStyle w:val="23"/>
              <w:spacing w:before="244" w:line="235" w:lineRule="auto"/>
              <w:ind w:left="189" w:right="189" w:firstLine="48"/>
              <w:jc w:val="center"/>
              <w:rPr>
                <w:color w:val="auto"/>
                <w:sz w:val="24"/>
                <w:szCs w:val="24"/>
                <w:highlight w:val="none"/>
              </w:rPr>
            </w:pPr>
            <w:r>
              <w:rPr>
                <w:rFonts w:ascii="Times New Roman" w:hAnsi="Times New Roman" w:eastAsia="Times New Roman" w:cs="Times New Roman"/>
                <w:color w:val="auto"/>
                <w:spacing w:val="-3"/>
                <w:sz w:val="24"/>
                <w:szCs w:val="24"/>
                <w:highlight w:val="none"/>
              </w:rPr>
              <w:t>3.7.3</w:t>
            </w:r>
            <w:r>
              <w:rPr>
                <w:color w:val="auto"/>
                <w:spacing w:val="-14"/>
                <w:sz w:val="24"/>
                <w:szCs w:val="24"/>
                <w:highlight w:val="none"/>
              </w:rPr>
              <w:t>（</w:t>
            </w:r>
            <w:r>
              <w:rPr>
                <w:rFonts w:ascii="Times New Roman" w:hAnsi="Times New Roman" w:eastAsia="Times New Roman" w:cs="Times New Roman"/>
                <w:color w:val="auto"/>
                <w:spacing w:val="-14"/>
                <w:sz w:val="24"/>
                <w:szCs w:val="24"/>
                <w:highlight w:val="none"/>
              </w:rPr>
              <w:t>2</w:t>
            </w:r>
            <w:r>
              <w:rPr>
                <w:color w:val="auto"/>
                <w:spacing w:val="-14"/>
                <w:sz w:val="24"/>
                <w:szCs w:val="24"/>
                <w:highlight w:val="none"/>
              </w:rPr>
              <w:t>）</w:t>
            </w:r>
          </w:p>
        </w:tc>
        <w:tc>
          <w:tcPr>
            <w:tcW w:w="1305" w:type="dxa"/>
            <w:vAlign w:val="center"/>
          </w:tcPr>
          <w:p w14:paraId="0C13C98E">
            <w:pPr>
              <w:pStyle w:val="23"/>
              <w:spacing w:before="202" w:line="230" w:lineRule="auto"/>
              <w:ind w:right="164"/>
              <w:jc w:val="center"/>
              <w:rPr>
                <w:color w:val="auto"/>
                <w:sz w:val="24"/>
                <w:szCs w:val="24"/>
                <w:highlight w:val="none"/>
              </w:rPr>
            </w:pPr>
            <w:r>
              <w:rPr>
                <w:color w:val="auto"/>
                <w:spacing w:val="-7"/>
                <w:sz w:val="24"/>
                <w:szCs w:val="24"/>
                <w:highlight w:val="none"/>
              </w:rPr>
              <w:t>电子投标文件</w:t>
            </w:r>
            <w:r>
              <w:rPr>
                <w:color w:val="auto"/>
                <w:spacing w:val="-10"/>
                <w:sz w:val="24"/>
                <w:szCs w:val="24"/>
                <w:highlight w:val="none"/>
              </w:rPr>
              <w:t>的制作</w:t>
            </w:r>
          </w:p>
        </w:tc>
        <w:tc>
          <w:tcPr>
            <w:tcW w:w="7229" w:type="dxa"/>
            <w:vAlign w:val="center"/>
          </w:tcPr>
          <w:p w14:paraId="3EE67B58">
            <w:pPr>
              <w:pStyle w:val="27"/>
              <w:snapToGrid w:val="0"/>
              <w:jc w:val="both"/>
              <w:rPr>
                <w:rFonts w:ascii="Times New Roman" w:hAnsi="Times New Roman"/>
                <w:color w:val="auto"/>
                <w:sz w:val="24"/>
                <w:szCs w:val="24"/>
                <w:highlight w:val="none"/>
                <w:u w:val="single"/>
              </w:rPr>
            </w:pPr>
            <w:r>
              <w:rPr>
                <w:rFonts w:hint="eastAsia" w:ascii="宋体" w:hAnsi="宋体"/>
                <w:color w:val="auto"/>
                <w:kern w:val="2"/>
                <w:sz w:val="24"/>
                <w:szCs w:val="24"/>
                <w:highlight w:val="none"/>
              </w:rPr>
              <w:t>使用投标文件制作软件编制生成电子投标文件。</w:t>
            </w:r>
          </w:p>
          <w:p w14:paraId="089BA557">
            <w:pPr>
              <w:pStyle w:val="23"/>
              <w:spacing w:before="26" w:line="201" w:lineRule="auto"/>
              <w:ind w:left="33"/>
              <w:jc w:val="both"/>
              <w:rPr>
                <w:color w:val="auto"/>
                <w:sz w:val="24"/>
                <w:szCs w:val="24"/>
                <w:highlight w:val="none"/>
              </w:rPr>
            </w:pPr>
            <w:r>
              <w:rPr>
                <w:rFonts w:ascii="Times New Roman" w:hAnsi="宋体"/>
                <w:color w:val="auto"/>
                <w:sz w:val="24"/>
                <w:szCs w:val="24"/>
                <w:highlight w:val="none"/>
              </w:rPr>
              <w:t>其他：</w:t>
            </w:r>
            <w:r>
              <w:rPr>
                <w:rFonts w:ascii="Times New Roman" w:hAnsi="Times New Roman"/>
                <w:color w:val="auto"/>
                <w:sz w:val="24"/>
                <w:szCs w:val="24"/>
                <w:highlight w:val="none"/>
                <w:u w:val="single"/>
              </w:rPr>
              <w:t xml:space="preserve">       </w:t>
            </w:r>
            <w:r>
              <w:rPr>
                <w:rFonts w:hint="eastAsia" w:ascii="Times New Roman" w:hAnsi="Times New Roman"/>
                <w:color w:val="auto"/>
                <w:sz w:val="24"/>
                <w:szCs w:val="24"/>
                <w:highlight w:val="none"/>
                <w:u w:val="single"/>
                <w:lang w:val="en-US" w:eastAsia="zh-CN"/>
              </w:rPr>
              <w:t>/</w:t>
            </w:r>
            <w:r>
              <w:rPr>
                <w:rFonts w:ascii="Times New Roman" w:hAnsi="Times New Roman"/>
                <w:color w:val="auto"/>
                <w:sz w:val="24"/>
                <w:szCs w:val="24"/>
                <w:highlight w:val="none"/>
                <w:u w:val="single"/>
              </w:rPr>
              <w:t xml:space="preserve">    </w:t>
            </w:r>
            <w:r>
              <w:rPr>
                <w:rFonts w:ascii="Times New Roman" w:hAnsi="Times New Roman"/>
                <w:color w:val="auto"/>
                <w:sz w:val="24"/>
                <w:szCs w:val="24"/>
                <w:highlight w:val="none"/>
                <w:u w:val="none"/>
              </w:rPr>
              <w:t xml:space="preserve"> </w:t>
            </w:r>
            <w:r>
              <w:rPr>
                <w:rFonts w:ascii="Times New Roman" w:hAnsi="宋体"/>
                <w:color w:val="auto"/>
                <w:sz w:val="24"/>
                <w:szCs w:val="24"/>
                <w:highlight w:val="none"/>
              </w:rPr>
              <w:t>。</w:t>
            </w:r>
          </w:p>
        </w:tc>
      </w:tr>
      <w:tr w14:paraId="1C035D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080" w:type="dxa"/>
          </w:tcPr>
          <w:p w14:paraId="7D285ABF">
            <w:pPr>
              <w:pStyle w:val="23"/>
              <w:spacing w:before="151" w:line="235" w:lineRule="auto"/>
              <w:ind w:left="188" w:right="110" w:hanging="46"/>
              <w:rPr>
                <w:color w:val="auto"/>
                <w:sz w:val="24"/>
                <w:szCs w:val="24"/>
                <w:highlight w:val="none"/>
              </w:rPr>
            </w:pPr>
            <w:r>
              <w:rPr>
                <w:color w:val="auto"/>
                <w:spacing w:val="-7"/>
                <w:sz w:val="24"/>
                <w:szCs w:val="24"/>
                <w:highlight w:val="none"/>
              </w:rPr>
              <w:t>□</w:t>
            </w:r>
            <w:r>
              <w:rPr>
                <w:rFonts w:ascii="Times New Roman" w:hAnsi="Times New Roman" w:eastAsia="Times New Roman" w:cs="Times New Roman"/>
                <w:color w:val="auto"/>
                <w:spacing w:val="-7"/>
                <w:sz w:val="24"/>
                <w:szCs w:val="24"/>
                <w:highlight w:val="none"/>
              </w:rPr>
              <w:t>3.7.3</w:t>
            </w:r>
            <w:r>
              <w:rPr>
                <w:color w:val="auto"/>
                <w:spacing w:val="-7"/>
                <w:sz w:val="24"/>
                <w:szCs w:val="24"/>
                <w:highlight w:val="none"/>
              </w:rPr>
              <w:t>（</w:t>
            </w:r>
            <w:r>
              <w:rPr>
                <w:rFonts w:ascii="Times New Roman" w:hAnsi="Times New Roman" w:eastAsia="Times New Roman" w:cs="Times New Roman"/>
                <w:color w:val="auto"/>
                <w:spacing w:val="-7"/>
                <w:sz w:val="24"/>
                <w:szCs w:val="24"/>
                <w:highlight w:val="none"/>
              </w:rPr>
              <w:t>3</w:t>
            </w:r>
            <w:r>
              <w:rPr>
                <w:color w:val="auto"/>
                <w:spacing w:val="-7"/>
                <w:sz w:val="24"/>
                <w:szCs w:val="24"/>
                <w:highlight w:val="none"/>
              </w:rPr>
              <w:t>）</w:t>
            </w:r>
          </w:p>
        </w:tc>
        <w:tc>
          <w:tcPr>
            <w:tcW w:w="1305" w:type="dxa"/>
          </w:tcPr>
          <w:p w14:paraId="2EE85E6F">
            <w:pPr>
              <w:pStyle w:val="23"/>
              <w:spacing w:before="150" w:line="230" w:lineRule="auto"/>
              <w:ind w:right="164"/>
              <w:rPr>
                <w:color w:val="auto"/>
                <w:sz w:val="24"/>
                <w:szCs w:val="24"/>
                <w:highlight w:val="none"/>
              </w:rPr>
            </w:pPr>
            <w:r>
              <w:rPr>
                <w:color w:val="auto"/>
                <w:spacing w:val="-2"/>
                <w:sz w:val="24"/>
                <w:szCs w:val="24"/>
                <w:highlight w:val="none"/>
              </w:rPr>
              <w:t>业绩证明文件</w:t>
            </w:r>
            <w:r>
              <w:rPr>
                <w:color w:val="auto"/>
                <w:spacing w:val="-6"/>
                <w:sz w:val="24"/>
                <w:szCs w:val="24"/>
                <w:highlight w:val="none"/>
              </w:rPr>
              <w:t>要求</w:t>
            </w:r>
          </w:p>
        </w:tc>
        <w:tc>
          <w:tcPr>
            <w:tcW w:w="7229" w:type="dxa"/>
          </w:tcPr>
          <w:p w14:paraId="42D5D1D6">
            <w:pPr>
              <w:pStyle w:val="23"/>
              <w:spacing w:before="149" w:line="230" w:lineRule="auto"/>
              <w:ind w:left="33" w:right="1600" w:firstLine="25"/>
              <w:rPr>
                <w:color w:val="auto"/>
                <w:sz w:val="24"/>
                <w:szCs w:val="24"/>
                <w:highlight w:val="none"/>
              </w:rPr>
            </w:pPr>
            <w:r>
              <w:rPr>
                <w:color w:val="auto"/>
                <w:spacing w:val="-4"/>
                <w:sz w:val="24"/>
                <w:szCs w:val="24"/>
                <w:highlight w:val="none"/>
                <w:lang w:eastAsia="zh-CN"/>
              </w:rPr>
              <w:t>□业绩汇总表须按所附证明材料如实填写。</w:t>
            </w:r>
            <w:r>
              <w:rPr>
                <w:color w:val="auto"/>
                <w:spacing w:val="-3"/>
                <w:sz w:val="24"/>
                <w:szCs w:val="24"/>
                <w:highlight w:val="none"/>
              </w:rPr>
              <w:t>其他：</w:t>
            </w:r>
            <w:r>
              <w:rPr>
                <w:rFonts w:ascii="Times New Roman" w:hAnsi="Times New Roman"/>
                <w:color w:val="auto"/>
                <w:sz w:val="24"/>
                <w:szCs w:val="24"/>
                <w:highlight w:val="none"/>
                <w:u w:val="single"/>
              </w:rPr>
              <w:t xml:space="preserve">       </w:t>
            </w:r>
            <w:r>
              <w:rPr>
                <w:rFonts w:hint="eastAsia" w:ascii="Times New Roman" w:hAnsi="Times New Roman"/>
                <w:color w:val="auto"/>
                <w:sz w:val="24"/>
                <w:szCs w:val="24"/>
                <w:highlight w:val="none"/>
                <w:u w:val="single"/>
                <w:lang w:val="en-US" w:eastAsia="zh-CN"/>
              </w:rPr>
              <w:t>/</w:t>
            </w:r>
            <w:r>
              <w:rPr>
                <w:rFonts w:ascii="Times New Roman" w:hAnsi="Times New Roman"/>
                <w:color w:val="auto"/>
                <w:sz w:val="24"/>
                <w:szCs w:val="24"/>
                <w:highlight w:val="none"/>
                <w:u w:val="single"/>
              </w:rPr>
              <w:t xml:space="preserve">     </w:t>
            </w:r>
            <w:r>
              <w:rPr>
                <w:color w:val="auto"/>
                <w:spacing w:val="-3"/>
                <w:sz w:val="24"/>
                <w:szCs w:val="24"/>
                <w:highlight w:val="none"/>
              </w:rPr>
              <w:t>。</w:t>
            </w:r>
          </w:p>
        </w:tc>
      </w:tr>
      <w:tr w14:paraId="7D0249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080" w:type="dxa"/>
          </w:tcPr>
          <w:p w14:paraId="4F097A9C">
            <w:pPr>
              <w:spacing w:line="261" w:lineRule="auto"/>
              <w:rPr>
                <w:color w:val="auto"/>
                <w:highlight w:val="none"/>
              </w:rPr>
            </w:pPr>
          </w:p>
          <w:p w14:paraId="7F91D321">
            <w:pPr>
              <w:spacing w:before="69" w:line="188" w:lineRule="auto"/>
              <w:ind w:left="232"/>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2"/>
                <w:sz w:val="24"/>
                <w:szCs w:val="24"/>
                <w:highlight w:val="none"/>
              </w:rPr>
              <w:t>4.1.1</w:t>
            </w:r>
          </w:p>
        </w:tc>
        <w:tc>
          <w:tcPr>
            <w:tcW w:w="1305" w:type="dxa"/>
          </w:tcPr>
          <w:p w14:paraId="55F71887">
            <w:pPr>
              <w:pStyle w:val="23"/>
              <w:spacing w:before="136" w:line="229" w:lineRule="auto"/>
              <w:ind w:right="44"/>
              <w:rPr>
                <w:color w:val="auto"/>
                <w:sz w:val="24"/>
                <w:szCs w:val="24"/>
                <w:highlight w:val="none"/>
                <w:lang w:eastAsia="zh-CN"/>
              </w:rPr>
            </w:pPr>
            <w:r>
              <w:rPr>
                <w:color w:val="auto"/>
                <w:spacing w:val="-6"/>
                <w:sz w:val="24"/>
                <w:szCs w:val="24"/>
                <w:highlight w:val="none"/>
                <w:lang w:eastAsia="zh-CN"/>
              </w:rPr>
              <w:t>电子投标文件加</w:t>
            </w:r>
            <w:r>
              <w:rPr>
                <w:color w:val="auto"/>
                <w:spacing w:val="-4"/>
                <w:sz w:val="24"/>
                <w:szCs w:val="24"/>
                <w:highlight w:val="none"/>
                <w:lang w:eastAsia="zh-CN"/>
              </w:rPr>
              <w:t>密要求</w:t>
            </w:r>
          </w:p>
        </w:tc>
        <w:tc>
          <w:tcPr>
            <w:tcW w:w="7229" w:type="dxa"/>
          </w:tcPr>
          <w:p w14:paraId="37843FDB">
            <w:pPr>
              <w:pStyle w:val="23"/>
              <w:spacing w:before="291" w:line="219" w:lineRule="auto"/>
              <w:ind w:left="36"/>
              <w:rPr>
                <w:color w:val="auto"/>
                <w:sz w:val="24"/>
                <w:szCs w:val="24"/>
                <w:highlight w:val="none"/>
                <w:lang w:eastAsia="zh-CN"/>
              </w:rPr>
            </w:pPr>
            <w:r>
              <w:rPr>
                <w:color w:val="auto"/>
                <w:spacing w:val="-1"/>
                <w:sz w:val="24"/>
                <w:szCs w:val="24"/>
                <w:highlight w:val="none"/>
                <w:lang w:eastAsia="zh-CN"/>
              </w:rPr>
              <w:t>使用投标工具软件编制生成的电子投标文件。</w:t>
            </w:r>
          </w:p>
        </w:tc>
      </w:tr>
      <w:tr w14:paraId="6162A6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9" w:hRule="atLeast"/>
        </w:trPr>
        <w:tc>
          <w:tcPr>
            <w:tcW w:w="1080" w:type="dxa"/>
          </w:tcPr>
          <w:p w14:paraId="67B3E312">
            <w:pPr>
              <w:spacing w:line="399" w:lineRule="auto"/>
              <w:rPr>
                <w:color w:val="auto"/>
                <w:highlight w:val="none"/>
                <w:lang w:eastAsia="zh-CN"/>
              </w:rPr>
            </w:pPr>
          </w:p>
          <w:p w14:paraId="75E15A55">
            <w:pPr>
              <w:spacing w:before="69" w:line="188" w:lineRule="auto"/>
              <w:ind w:left="232"/>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2"/>
                <w:sz w:val="24"/>
                <w:szCs w:val="24"/>
                <w:highlight w:val="none"/>
              </w:rPr>
              <w:t>4.2.1</w:t>
            </w:r>
          </w:p>
        </w:tc>
        <w:tc>
          <w:tcPr>
            <w:tcW w:w="1305" w:type="dxa"/>
          </w:tcPr>
          <w:p w14:paraId="1FA33BDA">
            <w:pPr>
              <w:pStyle w:val="23"/>
              <w:spacing w:before="121" w:line="219" w:lineRule="auto"/>
              <w:rPr>
                <w:color w:val="auto"/>
                <w:sz w:val="24"/>
                <w:szCs w:val="24"/>
                <w:highlight w:val="none"/>
              </w:rPr>
            </w:pPr>
            <w:r>
              <w:rPr>
                <w:color w:val="auto"/>
                <w:spacing w:val="-2"/>
                <w:sz w:val="24"/>
                <w:szCs w:val="24"/>
                <w:highlight w:val="none"/>
                <w:lang w:eastAsia="zh-CN"/>
              </w:rPr>
              <w:t>投标截止时间</w:t>
            </w:r>
            <w:r>
              <w:rPr>
                <w:rFonts w:ascii="Times New Roman" w:hAnsi="Times New Roman" w:eastAsia="Times New Roman" w:cs="Times New Roman"/>
                <w:color w:val="auto"/>
                <w:spacing w:val="-2"/>
                <w:sz w:val="24"/>
                <w:szCs w:val="24"/>
                <w:highlight w:val="none"/>
                <w:lang w:eastAsia="zh-CN"/>
              </w:rPr>
              <w:t>/</w:t>
            </w:r>
            <w:r>
              <w:rPr>
                <w:color w:val="auto"/>
                <w:spacing w:val="-6"/>
                <w:sz w:val="24"/>
                <w:szCs w:val="24"/>
                <w:highlight w:val="none"/>
                <w:lang w:eastAsia="zh-CN"/>
              </w:rPr>
              <w:t>电子投标文件上</w:t>
            </w:r>
            <w:r>
              <w:rPr>
                <w:color w:val="auto"/>
                <w:spacing w:val="-2"/>
                <w:sz w:val="24"/>
                <w:szCs w:val="24"/>
                <w:highlight w:val="none"/>
              </w:rPr>
              <w:t>传截止时间</w:t>
            </w:r>
          </w:p>
        </w:tc>
        <w:tc>
          <w:tcPr>
            <w:tcW w:w="7229" w:type="dxa"/>
          </w:tcPr>
          <w:p w14:paraId="585E50BA">
            <w:pPr>
              <w:spacing w:line="349" w:lineRule="auto"/>
              <w:rPr>
                <w:color w:val="auto"/>
                <w:highlight w:val="none"/>
              </w:rPr>
            </w:pPr>
          </w:p>
          <w:p w14:paraId="0B24896C">
            <w:pPr>
              <w:pStyle w:val="23"/>
              <w:tabs>
                <w:tab w:val="left" w:pos="744"/>
              </w:tabs>
              <w:spacing w:before="78" w:line="219" w:lineRule="auto"/>
              <w:ind w:left="24"/>
              <w:rPr>
                <w:color w:val="auto"/>
                <w:sz w:val="24"/>
                <w:szCs w:val="24"/>
                <w:highlight w:val="none"/>
              </w:rPr>
            </w:pPr>
            <w:r>
              <w:rPr>
                <w:rFonts w:hint="eastAsia" w:ascii="宋体" w:hAnsi="宋体" w:cs="宋体"/>
                <w:color w:val="auto"/>
                <w:sz w:val="24"/>
                <w:szCs w:val="24"/>
                <w:highlight w:val="none"/>
              </w:rPr>
              <w:t>详见本项目招标公告</w:t>
            </w:r>
          </w:p>
        </w:tc>
      </w:tr>
      <w:tr w14:paraId="50FF44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 w:hRule="atLeast"/>
        </w:trPr>
        <w:tc>
          <w:tcPr>
            <w:tcW w:w="1080" w:type="dxa"/>
          </w:tcPr>
          <w:p w14:paraId="7A44D4D0">
            <w:pPr>
              <w:spacing w:line="264" w:lineRule="auto"/>
              <w:rPr>
                <w:color w:val="auto"/>
                <w:highlight w:val="none"/>
              </w:rPr>
            </w:pPr>
          </w:p>
          <w:p w14:paraId="649D8A36">
            <w:pPr>
              <w:spacing w:line="264" w:lineRule="auto"/>
              <w:rPr>
                <w:color w:val="auto"/>
                <w:highlight w:val="none"/>
              </w:rPr>
            </w:pPr>
          </w:p>
          <w:p w14:paraId="72A8ABEF">
            <w:pPr>
              <w:spacing w:line="264" w:lineRule="auto"/>
              <w:rPr>
                <w:color w:val="auto"/>
                <w:highlight w:val="none"/>
              </w:rPr>
            </w:pPr>
          </w:p>
          <w:p w14:paraId="28FB7B60">
            <w:pPr>
              <w:spacing w:line="265" w:lineRule="auto"/>
              <w:rPr>
                <w:color w:val="auto"/>
                <w:highlight w:val="none"/>
              </w:rPr>
            </w:pPr>
          </w:p>
          <w:p w14:paraId="3CE109AE">
            <w:pPr>
              <w:spacing w:before="69" w:line="188" w:lineRule="auto"/>
              <w:ind w:left="232"/>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2"/>
                <w:sz w:val="24"/>
                <w:szCs w:val="24"/>
                <w:highlight w:val="none"/>
              </w:rPr>
              <w:t>4.2.2</w:t>
            </w:r>
          </w:p>
        </w:tc>
        <w:tc>
          <w:tcPr>
            <w:tcW w:w="1305" w:type="dxa"/>
          </w:tcPr>
          <w:p w14:paraId="0DA9E3C1">
            <w:pPr>
              <w:spacing w:line="276" w:lineRule="auto"/>
              <w:rPr>
                <w:color w:val="auto"/>
                <w:highlight w:val="none"/>
                <w:lang w:eastAsia="zh-CN"/>
              </w:rPr>
            </w:pPr>
          </w:p>
          <w:p w14:paraId="0A29A03A">
            <w:pPr>
              <w:spacing w:line="276" w:lineRule="auto"/>
              <w:rPr>
                <w:color w:val="auto"/>
                <w:highlight w:val="none"/>
                <w:lang w:eastAsia="zh-CN"/>
              </w:rPr>
            </w:pPr>
          </w:p>
          <w:p w14:paraId="643A4FDD">
            <w:pPr>
              <w:spacing w:line="277" w:lineRule="auto"/>
              <w:rPr>
                <w:color w:val="auto"/>
                <w:highlight w:val="none"/>
                <w:lang w:eastAsia="zh-CN"/>
              </w:rPr>
            </w:pPr>
          </w:p>
          <w:p w14:paraId="7457CE33">
            <w:pPr>
              <w:pStyle w:val="23"/>
              <w:spacing w:before="78" w:line="228" w:lineRule="auto"/>
              <w:ind w:right="44"/>
              <w:rPr>
                <w:color w:val="auto"/>
                <w:sz w:val="24"/>
                <w:szCs w:val="24"/>
                <w:highlight w:val="none"/>
                <w:lang w:eastAsia="zh-CN"/>
              </w:rPr>
            </w:pPr>
            <w:r>
              <w:rPr>
                <w:color w:val="auto"/>
                <w:spacing w:val="-6"/>
                <w:sz w:val="24"/>
                <w:szCs w:val="24"/>
                <w:highlight w:val="none"/>
                <w:lang w:eastAsia="zh-CN"/>
              </w:rPr>
              <w:t>电子投标文件上</w:t>
            </w:r>
            <w:r>
              <w:rPr>
                <w:color w:val="auto"/>
                <w:spacing w:val="-3"/>
                <w:sz w:val="24"/>
                <w:szCs w:val="24"/>
                <w:highlight w:val="none"/>
                <w:lang w:eastAsia="zh-CN"/>
              </w:rPr>
              <w:t>传平台</w:t>
            </w:r>
          </w:p>
        </w:tc>
        <w:tc>
          <w:tcPr>
            <w:tcW w:w="7229" w:type="dxa"/>
          </w:tcPr>
          <w:p w14:paraId="7A96B458">
            <w:pPr>
              <w:pStyle w:val="5"/>
              <w:numPr>
                <w:ilvl w:val="0"/>
                <w:numId w:val="0"/>
              </w:numPr>
              <w:spacing w:line="440" w:lineRule="exact"/>
              <w:ind w:left="425" w:leftChars="0" w:hanging="425" w:firstLineChars="0"/>
              <w:rPr>
                <w:rFonts w:ascii="宋体" w:hAnsi="宋体" w:cs="宋体"/>
                <w:color w:val="auto"/>
                <w:sz w:val="24"/>
                <w:szCs w:val="24"/>
                <w:highlight w:val="none"/>
              </w:rPr>
            </w:pPr>
            <w:r>
              <w:rPr>
                <w:rFonts w:hint="default" w:ascii="宋体" w:hAnsi="宋体" w:eastAsia="宋体" w:cs="宋体"/>
                <w:color w:val="auto"/>
                <w:sz w:val="24"/>
                <w:szCs w:val="24"/>
                <w:highlight w:val="none"/>
                <w:lang w:val="en-US" w:eastAsia="zh-CN" w:bidi="ar-SA"/>
              </w:rPr>
              <w:t>1.</w:t>
            </w:r>
            <w:r>
              <w:rPr>
                <w:rFonts w:hint="eastAsia" w:ascii="宋体" w:hAnsi="宋体" w:cs="宋体"/>
                <w:color w:val="auto"/>
                <w:sz w:val="24"/>
                <w:szCs w:val="24"/>
                <w:highlight w:val="none"/>
              </w:rPr>
              <w:t>本项目采用不见面开标形式，投标人进行远程解密无需到开标现场。电子投标文件上传至三门县工程建设电子交易平台（步骤如下），投标截止时间后对加密的投标文件进行远程解密，如远程解密遇有问题的请联系章宏涛13968512856。</w:t>
            </w:r>
          </w:p>
          <w:p w14:paraId="0CB25F83">
            <w:pPr>
              <w:pStyle w:val="5"/>
              <w:numPr>
                <w:ilvl w:val="0"/>
                <w:numId w:val="0"/>
              </w:numPr>
              <w:spacing w:line="440" w:lineRule="exact"/>
              <w:ind w:left="425" w:leftChars="0" w:hanging="425" w:firstLineChars="0"/>
              <w:rPr>
                <w:rFonts w:ascii="宋体" w:hAnsi="宋体" w:cs="宋体"/>
                <w:b/>
                <w:color w:val="auto"/>
                <w:sz w:val="24"/>
                <w:szCs w:val="24"/>
                <w:highlight w:val="none"/>
              </w:rPr>
            </w:pPr>
            <w:r>
              <w:rPr>
                <w:rFonts w:hint="default" w:ascii="宋体" w:hAnsi="宋体" w:eastAsia="宋体" w:cs="宋体"/>
                <w:b/>
                <w:color w:val="auto"/>
                <w:sz w:val="24"/>
                <w:szCs w:val="24"/>
                <w:highlight w:val="none"/>
                <w:lang w:val="en-US" w:eastAsia="zh-CN" w:bidi="ar-SA"/>
              </w:rPr>
              <w:t>2.</w:t>
            </w:r>
            <w:r>
              <w:rPr>
                <w:rFonts w:hint="eastAsia" w:ascii="宋体" w:hAnsi="宋体" w:cs="宋体"/>
                <w:b/>
                <w:color w:val="auto"/>
                <w:sz w:val="24"/>
                <w:szCs w:val="24"/>
                <w:highlight w:val="none"/>
              </w:rPr>
              <w:t>电子投</w:t>
            </w:r>
            <w:r>
              <w:rPr>
                <w:rFonts w:hint="eastAsia" w:ascii="宋体" w:hAnsi="宋体" w:cs="宋体"/>
                <w:b/>
                <w:color w:val="auto"/>
                <w:sz w:val="24"/>
                <w:szCs w:val="24"/>
                <w:highlight w:val="none"/>
              </w:rPr>
              <w:t>标文件上传步骤：</w:t>
            </w:r>
          </w:p>
          <w:p w14:paraId="28EEB189">
            <w:pPr>
              <w:pStyle w:val="5"/>
              <w:numPr>
                <w:ilvl w:val="0"/>
                <w:numId w:val="4"/>
              </w:numPr>
              <w:spacing w:line="44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登录三门县工程建设电子交易平台（网址：http://jyzx.sanmen.gov.cn）；</w:t>
            </w:r>
          </w:p>
          <w:p w14:paraId="693D422F">
            <w:pPr>
              <w:pStyle w:val="5"/>
              <w:numPr>
                <w:ilvl w:val="0"/>
                <w:numId w:val="4"/>
              </w:numPr>
              <w:spacing w:line="44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须先在电子交易系统中下载投标项目招标文件，后在 “我的待办”，选择投标项目，点击“上传标书（后缀名.已加密投标文件）” 并保存。</w:t>
            </w:r>
          </w:p>
          <w:p w14:paraId="53347E14">
            <w:pPr>
              <w:pStyle w:val="23"/>
              <w:spacing w:before="24" w:line="214" w:lineRule="auto"/>
              <w:ind w:left="31"/>
              <w:rPr>
                <w:color w:val="auto"/>
                <w:sz w:val="24"/>
                <w:szCs w:val="24"/>
                <w:highlight w:val="none"/>
              </w:rPr>
            </w:pPr>
            <w:r>
              <w:rPr>
                <w:rFonts w:hint="eastAsia" w:ascii="宋体" w:hAnsi="宋体" w:cs="宋体"/>
                <w:color w:val="auto"/>
                <w:sz w:val="24"/>
                <w:szCs w:val="24"/>
                <w:highlight w:val="none"/>
              </w:rPr>
              <w:t>投标人应在投标截止时间前上传完成电子投标文件。</w:t>
            </w:r>
          </w:p>
        </w:tc>
      </w:tr>
      <w:tr w14:paraId="409CD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7" w:hRule="atLeast"/>
        </w:trPr>
        <w:tc>
          <w:tcPr>
            <w:tcW w:w="1080" w:type="dxa"/>
          </w:tcPr>
          <w:p w14:paraId="43F4D630">
            <w:pPr>
              <w:spacing w:line="356" w:lineRule="auto"/>
              <w:rPr>
                <w:color w:val="auto"/>
                <w:highlight w:val="none"/>
              </w:rPr>
            </w:pPr>
          </w:p>
          <w:p w14:paraId="615CDBEC">
            <w:pPr>
              <w:spacing w:before="69" w:line="188" w:lineRule="auto"/>
              <w:ind w:left="232"/>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2"/>
                <w:sz w:val="24"/>
                <w:szCs w:val="24"/>
                <w:highlight w:val="none"/>
              </w:rPr>
              <w:t>4.2.3</w:t>
            </w:r>
          </w:p>
        </w:tc>
        <w:tc>
          <w:tcPr>
            <w:tcW w:w="1305" w:type="dxa"/>
          </w:tcPr>
          <w:p w14:paraId="60D6D690">
            <w:pPr>
              <w:spacing w:line="331" w:lineRule="auto"/>
              <w:rPr>
                <w:color w:val="auto"/>
                <w:highlight w:val="none"/>
              </w:rPr>
            </w:pPr>
          </w:p>
          <w:p w14:paraId="19991D57">
            <w:pPr>
              <w:pStyle w:val="23"/>
              <w:spacing w:before="78" w:line="219" w:lineRule="auto"/>
              <w:rPr>
                <w:color w:val="auto"/>
                <w:sz w:val="24"/>
                <w:szCs w:val="24"/>
                <w:highlight w:val="none"/>
              </w:rPr>
            </w:pPr>
            <w:r>
              <w:rPr>
                <w:color w:val="auto"/>
                <w:spacing w:val="-2"/>
                <w:sz w:val="24"/>
                <w:szCs w:val="24"/>
                <w:highlight w:val="none"/>
              </w:rPr>
              <w:t>投标文件退还</w:t>
            </w:r>
          </w:p>
        </w:tc>
        <w:tc>
          <w:tcPr>
            <w:tcW w:w="7229" w:type="dxa"/>
          </w:tcPr>
          <w:p w14:paraId="66C1E7D0">
            <w:pPr>
              <w:pStyle w:val="23"/>
              <w:spacing w:before="281" w:line="228" w:lineRule="auto"/>
              <w:ind w:left="33" w:right="27"/>
              <w:rPr>
                <w:color w:val="auto"/>
                <w:sz w:val="24"/>
                <w:szCs w:val="24"/>
                <w:highlight w:val="none"/>
                <w:lang w:eastAsia="zh-CN"/>
              </w:rPr>
            </w:pPr>
            <w:r>
              <w:rPr>
                <w:color w:val="auto"/>
                <w:spacing w:val="3"/>
                <w:sz w:val="24"/>
                <w:szCs w:val="24"/>
                <w:highlight w:val="none"/>
                <w:lang w:eastAsia="zh-CN"/>
              </w:rPr>
              <w:t>投标截止时间止，存在以下情形之一的不予开标，投标文</w:t>
            </w:r>
            <w:r>
              <w:rPr>
                <w:color w:val="auto"/>
                <w:spacing w:val="-3"/>
                <w:sz w:val="24"/>
                <w:szCs w:val="24"/>
                <w:highlight w:val="none"/>
                <w:lang w:eastAsia="zh-CN"/>
              </w:rPr>
              <w:t>件退还：</w:t>
            </w:r>
          </w:p>
          <w:p w14:paraId="5F9CEDE2">
            <w:pPr>
              <w:pStyle w:val="23"/>
              <w:numPr>
                <w:ilvl w:val="0"/>
                <w:numId w:val="5"/>
              </w:numPr>
              <w:spacing w:before="27" w:line="229" w:lineRule="auto"/>
              <w:ind w:left="29" w:right="2281" w:firstLine="23"/>
              <w:rPr>
                <w:color w:val="auto"/>
                <w:spacing w:val="-5"/>
                <w:sz w:val="24"/>
                <w:szCs w:val="24"/>
                <w:highlight w:val="none"/>
                <w:lang w:eastAsia="zh-CN"/>
              </w:rPr>
            </w:pPr>
            <w:r>
              <w:rPr>
                <w:color w:val="auto"/>
                <w:spacing w:val="-5"/>
                <w:sz w:val="24"/>
                <w:szCs w:val="24"/>
                <w:highlight w:val="none"/>
                <w:lang w:eastAsia="zh-CN"/>
              </w:rPr>
              <w:t>递交投标文件的投标人少于</w:t>
            </w:r>
            <w:r>
              <w:rPr>
                <w:rFonts w:ascii="Times New Roman" w:hAnsi="Times New Roman" w:eastAsia="Times New Roman" w:cs="Times New Roman"/>
                <w:color w:val="auto"/>
                <w:spacing w:val="-5"/>
                <w:sz w:val="24"/>
                <w:szCs w:val="24"/>
                <w:highlight w:val="none"/>
                <w:lang w:eastAsia="zh-CN"/>
              </w:rPr>
              <w:t>3</w:t>
            </w:r>
            <w:r>
              <w:rPr>
                <w:color w:val="auto"/>
                <w:spacing w:val="-5"/>
                <w:sz w:val="24"/>
                <w:szCs w:val="24"/>
                <w:highlight w:val="none"/>
                <w:lang w:eastAsia="zh-CN"/>
              </w:rPr>
              <w:t>个的；</w:t>
            </w:r>
          </w:p>
          <w:p w14:paraId="54635EA7">
            <w:pPr>
              <w:pStyle w:val="23"/>
              <w:numPr>
                <w:ilvl w:val="0"/>
                <w:numId w:val="0"/>
              </w:numPr>
              <w:spacing w:before="27" w:line="229" w:lineRule="auto"/>
              <w:ind w:left="52" w:leftChars="0" w:right="2281" w:rightChars="0"/>
              <w:rPr>
                <w:color w:val="auto"/>
                <w:sz w:val="24"/>
                <w:szCs w:val="24"/>
                <w:highlight w:val="none"/>
                <w:lang w:eastAsia="zh-CN"/>
              </w:rPr>
            </w:pPr>
            <w:r>
              <w:rPr>
                <w:rFonts w:ascii="Times New Roman" w:hAnsi="Times New Roman" w:eastAsia="Times New Roman" w:cs="Times New Roman"/>
                <w:color w:val="auto"/>
                <w:spacing w:val="-1"/>
                <w:sz w:val="24"/>
                <w:szCs w:val="24"/>
                <w:highlight w:val="none"/>
                <w:lang w:eastAsia="zh-CN"/>
              </w:rPr>
              <w:t>2.</w:t>
            </w:r>
            <w:r>
              <w:rPr>
                <w:color w:val="auto"/>
                <w:spacing w:val="-1"/>
                <w:sz w:val="24"/>
                <w:szCs w:val="24"/>
                <w:highlight w:val="none"/>
                <w:lang w:eastAsia="zh-CN"/>
              </w:rPr>
              <w:t>其他：</w:t>
            </w:r>
            <w:r>
              <w:rPr>
                <w:rFonts w:hint="eastAsia" w:ascii="宋体" w:hAnsi="宋体" w:eastAsia="宋体" w:cs="宋体"/>
                <w:color w:val="auto"/>
                <w:sz w:val="24"/>
                <w:szCs w:val="24"/>
                <w:highlight w:val="none"/>
                <w:u w:val="single"/>
              </w:rPr>
              <w:t xml:space="preserve">  /</w:t>
            </w:r>
            <w:r>
              <w:rPr>
                <w:color w:val="auto"/>
                <w:spacing w:val="-1"/>
                <w:sz w:val="24"/>
                <w:szCs w:val="24"/>
                <w:highlight w:val="none"/>
                <w:lang w:eastAsia="zh-CN"/>
              </w:rPr>
              <w:t>。</w:t>
            </w:r>
          </w:p>
        </w:tc>
      </w:tr>
      <w:tr w14:paraId="19287F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0" w:hRule="atLeast"/>
        </w:trPr>
        <w:tc>
          <w:tcPr>
            <w:tcW w:w="1080" w:type="dxa"/>
            <w:vAlign w:val="center"/>
          </w:tcPr>
          <w:p w14:paraId="786BBF1B">
            <w:pPr>
              <w:spacing w:before="69" w:line="188" w:lineRule="auto"/>
              <w:ind w:left="232"/>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2"/>
                <w:sz w:val="24"/>
                <w:szCs w:val="24"/>
                <w:highlight w:val="none"/>
              </w:rPr>
              <w:t>4.2.5</w:t>
            </w:r>
          </w:p>
        </w:tc>
        <w:tc>
          <w:tcPr>
            <w:tcW w:w="1305" w:type="dxa"/>
            <w:vAlign w:val="center"/>
          </w:tcPr>
          <w:p w14:paraId="19701702">
            <w:pPr>
              <w:pStyle w:val="23"/>
              <w:spacing w:before="78" w:line="228" w:lineRule="auto"/>
              <w:ind w:right="44"/>
              <w:jc w:val="both"/>
              <w:rPr>
                <w:color w:val="auto"/>
                <w:sz w:val="24"/>
                <w:szCs w:val="24"/>
                <w:highlight w:val="none"/>
                <w:lang w:eastAsia="zh-CN"/>
              </w:rPr>
            </w:pPr>
            <w:r>
              <w:rPr>
                <w:color w:val="auto"/>
                <w:spacing w:val="-6"/>
                <w:sz w:val="24"/>
                <w:szCs w:val="24"/>
                <w:highlight w:val="none"/>
                <w:lang w:eastAsia="zh-CN"/>
              </w:rPr>
              <w:t>电子投标文件的</w:t>
            </w:r>
            <w:r>
              <w:rPr>
                <w:color w:val="auto"/>
                <w:spacing w:val="-3"/>
                <w:sz w:val="24"/>
                <w:szCs w:val="24"/>
                <w:highlight w:val="none"/>
                <w:lang w:eastAsia="zh-CN"/>
              </w:rPr>
              <w:t>拒收情形</w:t>
            </w:r>
          </w:p>
        </w:tc>
        <w:tc>
          <w:tcPr>
            <w:tcW w:w="7229" w:type="dxa"/>
          </w:tcPr>
          <w:p w14:paraId="37F580AC">
            <w:pPr>
              <w:pStyle w:val="23"/>
              <w:spacing w:before="53" w:line="228" w:lineRule="auto"/>
              <w:ind w:left="33" w:right="30" w:firstLine="19"/>
              <w:rPr>
                <w:color w:val="auto"/>
                <w:sz w:val="24"/>
                <w:szCs w:val="24"/>
                <w:highlight w:val="none"/>
                <w:lang w:eastAsia="zh-CN"/>
              </w:rPr>
            </w:pPr>
            <w:r>
              <w:rPr>
                <w:rFonts w:ascii="Times New Roman" w:hAnsi="Times New Roman" w:eastAsia="Times New Roman" w:cs="Times New Roman"/>
                <w:color w:val="auto"/>
                <w:spacing w:val="4"/>
                <w:sz w:val="24"/>
                <w:szCs w:val="24"/>
                <w:highlight w:val="none"/>
                <w:lang w:eastAsia="zh-CN"/>
              </w:rPr>
              <w:t>1.</w:t>
            </w:r>
            <w:r>
              <w:rPr>
                <w:color w:val="auto"/>
                <w:spacing w:val="4"/>
                <w:sz w:val="24"/>
                <w:szCs w:val="24"/>
                <w:highlight w:val="none"/>
                <w:lang w:eastAsia="zh-CN"/>
              </w:rPr>
              <w:t>投标截止时间后送达（上传）的投标文件、未按招标文</w:t>
            </w:r>
            <w:r>
              <w:rPr>
                <w:color w:val="auto"/>
                <w:spacing w:val="-2"/>
                <w:sz w:val="24"/>
                <w:szCs w:val="24"/>
                <w:highlight w:val="none"/>
                <w:lang w:eastAsia="zh-CN"/>
              </w:rPr>
              <w:t>件要求上传的；</w:t>
            </w:r>
          </w:p>
          <w:p w14:paraId="0C090719">
            <w:pPr>
              <w:pStyle w:val="23"/>
              <w:spacing w:before="29" w:line="228" w:lineRule="auto"/>
              <w:ind w:left="33" w:right="580" w:hanging="4"/>
              <w:rPr>
                <w:color w:val="auto"/>
                <w:spacing w:val="-7"/>
                <w:sz w:val="24"/>
                <w:szCs w:val="24"/>
                <w:highlight w:val="none"/>
                <w:lang w:eastAsia="zh-CN"/>
              </w:rPr>
            </w:pPr>
            <w:r>
              <w:rPr>
                <w:rFonts w:ascii="Times New Roman" w:hAnsi="Times New Roman" w:eastAsia="Times New Roman" w:cs="Times New Roman"/>
                <w:color w:val="auto"/>
                <w:spacing w:val="-7"/>
                <w:sz w:val="24"/>
                <w:szCs w:val="24"/>
                <w:highlight w:val="none"/>
                <w:lang w:eastAsia="zh-CN"/>
              </w:rPr>
              <w:t>2.</w:t>
            </w:r>
            <w:r>
              <w:rPr>
                <w:color w:val="auto"/>
                <w:spacing w:val="-7"/>
                <w:sz w:val="24"/>
                <w:szCs w:val="24"/>
                <w:highlight w:val="none"/>
                <w:lang w:eastAsia="zh-CN"/>
              </w:rPr>
              <w:t>投标人未按规定加密的投标文件，应当拒收并提示。</w:t>
            </w:r>
          </w:p>
          <w:p w14:paraId="04913DDC">
            <w:pPr>
              <w:pStyle w:val="23"/>
              <w:spacing w:before="29" w:line="228" w:lineRule="auto"/>
              <w:ind w:left="33" w:right="580" w:hanging="4"/>
              <w:rPr>
                <w:color w:val="auto"/>
                <w:sz w:val="24"/>
                <w:szCs w:val="24"/>
                <w:highlight w:val="none"/>
                <w:lang w:eastAsia="zh-CN"/>
              </w:rPr>
            </w:pPr>
            <w:r>
              <w:rPr>
                <w:rFonts w:ascii="Times New Roman" w:hAnsi="Times New Roman" w:eastAsia="Times New Roman" w:cs="Times New Roman"/>
                <w:color w:val="auto"/>
                <w:spacing w:val="-5"/>
                <w:sz w:val="24"/>
                <w:szCs w:val="24"/>
                <w:highlight w:val="none"/>
                <w:lang w:eastAsia="zh-CN"/>
              </w:rPr>
              <w:t>3.</w:t>
            </w:r>
            <w:r>
              <w:rPr>
                <w:color w:val="auto"/>
                <w:spacing w:val="-5"/>
                <w:sz w:val="24"/>
                <w:szCs w:val="24"/>
                <w:highlight w:val="none"/>
                <w:lang w:eastAsia="zh-CN"/>
              </w:rPr>
              <w:t>存在下列情况之一的，视为拒收：</w:t>
            </w:r>
          </w:p>
          <w:p w14:paraId="548CE532">
            <w:pPr>
              <w:pStyle w:val="23"/>
              <w:spacing w:before="27" w:line="215" w:lineRule="auto"/>
              <w:ind w:left="45"/>
              <w:rPr>
                <w:color w:val="auto"/>
                <w:spacing w:val="-2"/>
                <w:sz w:val="24"/>
                <w:szCs w:val="24"/>
                <w:highlight w:val="none"/>
                <w:lang w:eastAsia="zh-CN"/>
              </w:rPr>
            </w:pPr>
            <w:r>
              <w:rPr>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1</w:t>
            </w:r>
            <w:r>
              <w:rPr>
                <w:color w:val="auto"/>
                <w:spacing w:val="-2"/>
                <w:sz w:val="24"/>
                <w:szCs w:val="24"/>
                <w:highlight w:val="none"/>
                <w:lang w:eastAsia="zh-CN"/>
              </w:rPr>
              <w:t>）电子投标文件无法解密的；</w:t>
            </w:r>
          </w:p>
          <w:p w14:paraId="6A67A12E">
            <w:pPr>
              <w:pStyle w:val="23"/>
              <w:spacing w:before="49" w:line="219" w:lineRule="auto"/>
              <w:ind w:left="45"/>
              <w:rPr>
                <w:color w:val="auto"/>
                <w:sz w:val="24"/>
                <w:szCs w:val="24"/>
                <w:highlight w:val="none"/>
                <w:lang w:eastAsia="zh-CN"/>
              </w:rPr>
            </w:pPr>
            <w:r>
              <w:rPr>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2</w:t>
            </w:r>
            <w:r>
              <w:rPr>
                <w:color w:val="auto"/>
                <w:spacing w:val="-2"/>
                <w:sz w:val="24"/>
                <w:szCs w:val="24"/>
                <w:highlight w:val="none"/>
                <w:lang w:eastAsia="zh-CN"/>
              </w:rPr>
              <w:t>）电子投标文件解密后无法正确读取的；</w:t>
            </w:r>
          </w:p>
          <w:p w14:paraId="36674D8A">
            <w:pPr>
              <w:pStyle w:val="23"/>
              <w:spacing w:before="24" w:line="219" w:lineRule="auto"/>
              <w:ind w:left="45"/>
              <w:rPr>
                <w:color w:val="auto"/>
                <w:sz w:val="24"/>
                <w:szCs w:val="24"/>
                <w:highlight w:val="none"/>
                <w:lang w:eastAsia="zh-CN"/>
              </w:rPr>
            </w:pPr>
            <w:r>
              <w:rPr>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3</w:t>
            </w:r>
            <w:r>
              <w:rPr>
                <w:color w:val="auto"/>
                <w:spacing w:val="-2"/>
                <w:sz w:val="24"/>
                <w:szCs w:val="24"/>
                <w:highlight w:val="none"/>
                <w:lang w:eastAsia="zh-CN"/>
              </w:rPr>
              <w:t>）电子投标文件无法导入成功的；</w:t>
            </w:r>
          </w:p>
          <w:p w14:paraId="0A936E37">
            <w:pPr>
              <w:pStyle w:val="23"/>
              <w:spacing w:before="28" w:line="220" w:lineRule="auto"/>
              <w:ind w:left="36" w:right="1900" w:firstLine="22"/>
              <w:rPr>
                <w:color w:val="auto"/>
                <w:spacing w:val="-4"/>
                <w:sz w:val="24"/>
                <w:szCs w:val="24"/>
                <w:highlight w:val="none"/>
                <w:lang w:eastAsia="zh-CN"/>
              </w:rPr>
            </w:pPr>
            <w:r>
              <w:rPr>
                <w:color w:val="auto"/>
                <w:spacing w:val="-4"/>
                <w:sz w:val="24"/>
                <w:szCs w:val="24"/>
                <w:highlight w:val="none"/>
                <w:lang w:eastAsia="zh-CN"/>
              </w:rPr>
              <w:t>□</w:t>
            </w:r>
            <w:r>
              <w:rPr>
                <w:rFonts w:ascii="Times New Roman" w:hAnsi="Times New Roman" w:eastAsia="Times New Roman" w:cs="Times New Roman"/>
                <w:color w:val="auto"/>
                <w:spacing w:val="-4"/>
                <w:sz w:val="24"/>
                <w:szCs w:val="24"/>
                <w:highlight w:val="none"/>
                <w:lang w:eastAsia="zh-CN"/>
              </w:rPr>
              <w:t>4.</w:t>
            </w:r>
            <w:r>
              <w:rPr>
                <w:color w:val="auto"/>
                <w:spacing w:val="-4"/>
                <w:sz w:val="24"/>
                <w:szCs w:val="24"/>
                <w:highlight w:val="none"/>
                <w:lang w:eastAsia="zh-CN"/>
              </w:rPr>
              <w:t>未被邀请的申请人提交的投标文件。</w:t>
            </w:r>
          </w:p>
          <w:p w14:paraId="67FBBAFA">
            <w:pPr>
              <w:pStyle w:val="23"/>
              <w:spacing w:before="28" w:line="220" w:lineRule="auto"/>
              <w:ind w:left="36" w:right="1900" w:firstLine="22"/>
              <w:rPr>
                <w:color w:val="auto"/>
                <w:sz w:val="24"/>
                <w:szCs w:val="24"/>
                <w:highlight w:val="none"/>
              </w:rPr>
            </w:pPr>
            <w:r>
              <w:rPr>
                <w:rFonts w:ascii="Times New Roman" w:hAnsi="Times New Roman" w:eastAsia="Times New Roman" w:cs="Times New Roman"/>
                <w:color w:val="auto"/>
                <w:spacing w:val="-2"/>
                <w:sz w:val="24"/>
                <w:szCs w:val="24"/>
                <w:highlight w:val="none"/>
              </w:rPr>
              <w:t>5.</w:t>
            </w:r>
            <w:r>
              <w:rPr>
                <w:color w:val="auto"/>
                <w:spacing w:val="-2"/>
                <w:sz w:val="24"/>
                <w:szCs w:val="24"/>
                <w:highlight w:val="none"/>
              </w:rPr>
              <w:t>其他：</w:t>
            </w:r>
            <w:r>
              <w:rPr>
                <w:rFonts w:ascii="Times New Roman" w:hAnsi="Times New Roman"/>
                <w:color w:val="auto"/>
                <w:highlight w:val="none"/>
              </w:rPr>
              <w:t xml:space="preserve"> </w:t>
            </w:r>
            <w:r>
              <w:rPr>
                <w:rFonts w:ascii="Times New Roman" w:hAnsi="Times New Roman"/>
                <w:color w:val="auto"/>
                <w:highlight w:val="none"/>
                <w:u w:val="single"/>
              </w:rPr>
              <w:t xml:space="preserve">     </w:t>
            </w:r>
            <w:r>
              <w:rPr>
                <w:rFonts w:hint="eastAsia" w:ascii="Times New Roman" w:hAnsi="Times New Roman"/>
                <w:color w:val="auto"/>
                <w:highlight w:val="none"/>
                <w:u w:val="single"/>
                <w:lang w:val="en-US" w:eastAsia="zh-CN"/>
              </w:rPr>
              <w:t>/</w:t>
            </w:r>
            <w:r>
              <w:rPr>
                <w:rFonts w:ascii="Times New Roman" w:hAnsi="Times New Roman"/>
                <w:color w:val="auto"/>
                <w:highlight w:val="none"/>
                <w:u w:val="single"/>
              </w:rPr>
              <w:t xml:space="preserve">   </w:t>
            </w:r>
            <w:r>
              <w:rPr>
                <w:rFonts w:hint="eastAsia" w:ascii="Times New Roman" w:hAnsi="Times New Roman"/>
                <w:color w:val="auto"/>
                <w:highlight w:val="none"/>
                <w:u w:val="single"/>
              </w:rPr>
              <w:t xml:space="preserve"> </w:t>
            </w:r>
            <w:r>
              <w:rPr>
                <w:rFonts w:ascii="Times New Roman" w:hAnsi="Times New Roman"/>
                <w:color w:val="auto"/>
                <w:highlight w:val="none"/>
                <w:u w:val="single"/>
              </w:rPr>
              <w:t xml:space="preserve">     </w:t>
            </w:r>
            <w:r>
              <w:rPr>
                <w:rFonts w:ascii="Times New Roman" w:hAnsi="宋体"/>
                <w:color w:val="auto"/>
                <w:highlight w:val="none"/>
              </w:rPr>
              <w:t>。</w:t>
            </w:r>
          </w:p>
        </w:tc>
      </w:tr>
      <w:tr w14:paraId="54122D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5" w:hRule="atLeast"/>
        </w:trPr>
        <w:tc>
          <w:tcPr>
            <w:tcW w:w="1080" w:type="dxa"/>
          </w:tcPr>
          <w:p w14:paraId="3CFAC024">
            <w:pPr>
              <w:spacing w:line="242" w:lineRule="auto"/>
              <w:rPr>
                <w:color w:val="auto"/>
                <w:highlight w:val="none"/>
              </w:rPr>
            </w:pPr>
          </w:p>
          <w:p w14:paraId="17B0DBAC">
            <w:pPr>
              <w:spacing w:line="243" w:lineRule="auto"/>
              <w:rPr>
                <w:color w:val="auto"/>
                <w:highlight w:val="none"/>
              </w:rPr>
            </w:pPr>
          </w:p>
          <w:p w14:paraId="297C2DEE">
            <w:pPr>
              <w:spacing w:before="69" w:line="188" w:lineRule="auto"/>
              <w:ind w:left="329"/>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5"/>
                <w:sz w:val="24"/>
                <w:szCs w:val="24"/>
                <w:highlight w:val="none"/>
              </w:rPr>
              <w:t>5.1</w:t>
            </w:r>
          </w:p>
        </w:tc>
        <w:tc>
          <w:tcPr>
            <w:tcW w:w="1305" w:type="dxa"/>
          </w:tcPr>
          <w:p w14:paraId="42CBDFDA">
            <w:pPr>
              <w:spacing w:line="339" w:lineRule="auto"/>
              <w:rPr>
                <w:color w:val="auto"/>
                <w:highlight w:val="none"/>
              </w:rPr>
            </w:pPr>
          </w:p>
          <w:p w14:paraId="59813351">
            <w:pPr>
              <w:pStyle w:val="23"/>
              <w:spacing w:before="78" w:line="219" w:lineRule="auto"/>
              <w:ind w:left="56"/>
              <w:rPr>
                <w:color w:val="auto"/>
                <w:sz w:val="24"/>
                <w:szCs w:val="24"/>
                <w:highlight w:val="none"/>
              </w:rPr>
            </w:pPr>
            <w:r>
              <w:rPr>
                <w:color w:val="auto"/>
                <w:spacing w:val="-3"/>
                <w:sz w:val="24"/>
                <w:szCs w:val="24"/>
                <w:highlight w:val="none"/>
              </w:rPr>
              <w:t>开标时间和地点</w:t>
            </w:r>
          </w:p>
        </w:tc>
        <w:tc>
          <w:tcPr>
            <w:tcW w:w="7229" w:type="dxa"/>
          </w:tcPr>
          <w:p w14:paraId="131386C7">
            <w:pPr>
              <w:pStyle w:val="23"/>
              <w:numPr>
                <w:ilvl w:val="0"/>
                <w:numId w:val="6"/>
              </w:numPr>
              <w:spacing w:before="294" w:line="229" w:lineRule="auto"/>
              <w:ind w:left="29" w:right="267" w:rightChars="0" w:firstLine="23"/>
              <w:rPr>
                <w:color w:val="auto"/>
                <w:spacing w:val="-4"/>
                <w:sz w:val="24"/>
                <w:szCs w:val="24"/>
                <w:highlight w:val="none"/>
                <w:lang w:eastAsia="zh-CN"/>
              </w:rPr>
            </w:pPr>
            <w:r>
              <w:rPr>
                <w:color w:val="auto"/>
                <w:spacing w:val="-4"/>
                <w:sz w:val="24"/>
                <w:szCs w:val="24"/>
                <w:highlight w:val="none"/>
                <w:lang w:eastAsia="zh-CN"/>
              </w:rPr>
              <w:t>开标时间：同电子投标文件上传截止时间。</w:t>
            </w:r>
          </w:p>
          <w:p w14:paraId="3CA79AD8">
            <w:pPr>
              <w:pStyle w:val="23"/>
              <w:numPr>
                <w:ilvl w:val="0"/>
                <w:numId w:val="0"/>
              </w:numPr>
              <w:spacing w:before="294" w:line="229" w:lineRule="auto"/>
              <w:ind w:left="52" w:leftChars="0" w:right="267" w:rightChars="0"/>
              <w:rPr>
                <w:color w:val="auto"/>
                <w:sz w:val="24"/>
                <w:szCs w:val="24"/>
                <w:highlight w:val="none"/>
                <w:lang w:eastAsia="zh-CN"/>
              </w:rPr>
            </w:pPr>
            <w:r>
              <w:rPr>
                <w:rFonts w:ascii="Times New Roman" w:hAnsi="Times New Roman" w:eastAsia="Times New Roman" w:cs="Times New Roman"/>
                <w:color w:val="auto"/>
                <w:spacing w:val="-1"/>
                <w:sz w:val="24"/>
                <w:szCs w:val="24"/>
                <w:highlight w:val="none"/>
                <w:lang w:eastAsia="zh-CN"/>
              </w:rPr>
              <w:t>2.</w:t>
            </w:r>
            <w:r>
              <w:rPr>
                <w:color w:val="auto"/>
                <w:spacing w:val="-1"/>
                <w:sz w:val="24"/>
                <w:szCs w:val="24"/>
                <w:highlight w:val="none"/>
                <w:lang w:eastAsia="zh-CN"/>
              </w:rPr>
              <w:t>开标地点：</w:t>
            </w:r>
            <w:r>
              <w:rPr>
                <w:rFonts w:hint="eastAsia" w:ascii="宋体" w:hAnsi="宋体" w:eastAsia="宋体" w:cs="宋体"/>
                <w:color w:val="auto"/>
                <w:sz w:val="24"/>
                <w:szCs w:val="24"/>
                <w:highlight w:val="none"/>
                <w:u w:val="single"/>
              </w:rPr>
              <w:t>三门县公共资源交易中心（具体开标室见四楼电子屏幕）</w:t>
            </w:r>
          </w:p>
          <w:p w14:paraId="53EFA9BD">
            <w:pPr>
              <w:pStyle w:val="23"/>
              <w:spacing w:before="26" w:line="229" w:lineRule="auto"/>
              <w:ind w:left="28" w:right="2581" w:firstLine="6"/>
              <w:rPr>
                <w:color w:val="auto"/>
                <w:spacing w:val="-1"/>
                <w:sz w:val="24"/>
                <w:szCs w:val="24"/>
                <w:highlight w:val="none"/>
                <w:lang w:eastAsia="zh-CN"/>
              </w:rPr>
            </w:pPr>
            <w:r>
              <w:rPr>
                <w:rFonts w:ascii="Times New Roman" w:hAnsi="Times New Roman" w:eastAsia="Times New Roman" w:cs="Times New Roman"/>
                <w:color w:val="auto"/>
                <w:spacing w:val="-1"/>
                <w:sz w:val="24"/>
                <w:szCs w:val="24"/>
                <w:highlight w:val="none"/>
                <w:lang w:eastAsia="zh-CN"/>
              </w:rPr>
              <w:t>3.</w:t>
            </w:r>
            <w:r>
              <w:rPr>
                <w:color w:val="auto"/>
                <w:spacing w:val="-1"/>
                <w:sz w:val="24"/>
                <w:szCs w:val="24"/>
                <w:highlight w:val="none"/>
                <w:lang w:eastAsia="zh-CN"/>
              </w:rPr>
              <w:t>开标平台：当地招投标交易平台</w:t>
            </w:r>
          </w:p>
          <w:p w14:paraId="0D8C9C22">
            <w:pPr>
              <w:pStyle w:val="23"/>
              <w:spacing w:before="26" w:line="229" w:lineRule="auto"/>
              <w:ind w:left="28" w:right="2581" w:firstLine="6"/>
              <w:rPr>
                <w:color w:val="auto"/>
                <w:sz w:val="24"/>
                <w:szCs w:val="24"/>
                <w:highlight w:val="none"/>
                <w:lang w:eastAsia="zh-CN"/>
              </w:rPr>
            </w:pPr>
            <w:r>
              <w:rPr>
                <w:rFonts w:ascii="Times New Roman" w:hAnsi="Times New Roman" w:eastAsia="Times New Roman" w:cs="Times New Roman"/>
                <w:color w:val="auto"/>
                <w:spacing w:val="-1"/>
                <w:sz w:val="24"/>
                <w:szCs w:val="24"/>
                <w:highlight w:val="none"/>
                <w:lang w:eastAsia="zh-CN"/>
              </w:rPr>
              <w:t>4.</w:t>
            </w:r>
            <w:r>
              <w:rPr>
                <w:color w:val="auto"/>
                <w:spacing w:val="-1"/>
                <w:sz w:val="24"/>
                <w:szCs w:val="24"/>
                <w:highlight w:val="none"/>
                <w:lang w:eastAsia="zh-CN"/>
              </w:rPr>
              <w:t>其他：</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tc>
      </w:tr>
      <w:tr w14:paraId="1FF61F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5" w:hRule="atLeast"/>
        </w:trPr>
        <w:tc>
          <w:tcPr>
            <w:tcW w:w="1080" w:type="dxa"/>
            <w:vAlign w:val="top"/>
          </w:tcPr>
          <w:p w14:paraId="3D9C6C8E">
            <w:pPr>
              <w:spacing w:line="249" w:lineRule="auto"/>
              <w:rPr>
                <w:color w:val="auto"/>
                <w:highlight w:val="none"/>
                <w:lang w:eastAsia="zh-CN"/>
              </w:rPr>
            </w:pPr>
          </w:p>
          <w:p w14:paraId="520A3A54">
            <w:pPr>
              <w:spacing w:line="249" w:lineRule="auto"/>
              <w:rPr>
                <w:color w:val="auto"/>
                <w:highlight w:val="none"/>
                <w:lang w:eastAsia="zh-CN"/>
              </w:rPr>
            </w:pPr>
          </w:p>
          <w:p w14:paraId="02D68D91">
            <w:pPr>
              <w:spacing w:line="249" w:lineRule="auto"/>
              <w:rPr>
                <w:color w:val="auto"/>
                <w:highlight w:val="none"/>
                <w:lang w:eastAsia="zh-CN"/>
              </w:rPr>
            </w:pPr>
          </w:p>
          <w:p w14:paraId="0C35CE54">
            <w:pPr>
              <w:spacing w:line="249" w:lineRule="auto"/>
              <w:rPr>
                <w:color w:val="auto"/>
                <w:highlight w:val="none"/>
                <w:lang w:eastAsia="zh-CN"/>
              </w:rPr>
            </w:pPr>
          </w:p>
          <w:p w14:paraId="31A6152A">
            <w:pPr>
              <w:spacing w:line="249" w:lineRule="auto"/>
              <w:rPr>
                <w:color w:val="auto"/>
                <w:highlight w:val="none"/>
                <w:lang w:eastAsia="zh-CN"/>
              </w:rPr>
            </w:pPr>
          </w:p>
          <w:p w14:paraId="3F72C69C">
            <w:pPr>
              <w:spacing w:line="249" w:lineRule="auto"/>
              <w:rPr>
                <w:color w:val="auto"/>
                <w:highlight w:val="none"/>
                <w:lang w:eastAsia="zh-CN"/>
              </w:rPr>
            </w:pPr>
          </w:p>
          <w:p w14:paraId="5E5CDEC7">
            <w:pPr>
              <w:spacing w:line="249" w:lineRule="auto"/>
              <w:rPr>
                <w:color w:val="auto"/>
                <w:highlight w:val="none"/>
                <w:lang w:eastAsia="zh-CN"/>
              </w:rPr>
            </w:pPr>
          </w:p>
          <w:p w14:paraId="7B72ABDC">
            <w:pPr>
              <w:spacing w:line="249" w:lineRule="auto"/>
              <w:rPr>
                <w:color w:val="auto"/>
                <w:highlight w:val="none"/>
                <w:lang w:eastAsia="zh-CN"/>
              </w:rPr>
            </w:pPr>
          </w:p>
          <w:p w14:paraId="50615DB4">
            <w:pPr>
              <w:spacing w:line="249" w:lineRule="auto"/>
              <w:rPr>
                <w:color w:val="auto"/>
                <w:highlight w:val="none"/>
                <w:lang w:eastAsia="zh-CN"/>
              </w:rPr>
            </w:pPr>
          </w:p>
          <w:p w14:paraId="44FBF3E8">
            <w:pPr>
              <w:spacing w:line="249" w:lineRule="auto"/>
              <w:rPr>
                <w:color w:val="auto"/>
                <w:highlight w:val="none"/>
                <w:lang w:eastAsia="zh-CN"/>
              </w:rPr>
            </w:pPr>
          </w:p>
          <w:p w14:paraId="2CB33252">
            <w:pPr>
              <w:spacing w:line="250" w:lineRule="auto"/>
              <w:rPr>
                <w:color w:val="auto"/>
                <w:highlight w:val="none"/>
                <w:lang w:eastAsia="zh-CN"/>
              </w:rPr>
            </w:pPr>
          </w:p>
          <w:p w14:paraId="7106211E">
            <w:pPr>
              <w:spacing w:line="250" w:lineRule="auto"/>
              <w:rPr>
                <w:color w:val="auto"/>
                <w:highlight w:val="none"/>
                <w:lang w:eastAsia="zh-CN"/>
              </w:rPr>
            </w:pPr>
          </w:p>
          <w:p w14:paraId="31C08F8E">
            <w:pPr>
              <w:spacing w:line="250" w:lineRule="auto"/>
              <w:rPr>
                <w:color w:val="auto"/>
                <w:highlight w:val="none"/>
                <w:lang w:eastAsia="zh-CN"/>
              </w:rPr>
            </w:pPr>
          </w:p>
          <w:p w14:paraId="358721E4">
            <w:pPr>
              <w:spacing w:line="250" w:lineRule="auto"/>
              <w:rPr>
                <w:color w:val="auto"/>
                <w:highlight w:val="none"/>
                <w:lang w:eastAsia="zh-CN"/>
              </w:rPr>
            </w:pPr>
          </w:p>
          <w:p w14:paraId="585A294F">
            <w:pPr>
              <w:spacing w:line="250" w:lineRule="auto"/>
              <w:rPr>
                <w:color w:val="auto"/>
                <w:highlight w:val="none"/>
                <w:lang w:eastAsia="zh-CN"/>
              </w:rPr>
            </w:pPr>
          </w:p>
          <w:p w14:paraId="5F172647">
            <w:pPr>
              <w:spacing w:line="250" w:lineRule="auto"/>
              <w:rPr>
                <w:color w:val="auto"/>
                <w:highlight w:val="none"/>
                <w:lang w:eastAsia="zh-CN"/>
              </w:rPr>
            </w:pPr>
          </w:p>
          <w:p w14:paraId="0134B2C8">
            <w:pPr>
              <w:spacing w:line="250" w:lineRule="auto"/>
              <w:rPr>
                <w:color w:val="auto"/>
                <w:highlight w:val="none"/>
                <w:lang w:eastAsia="zh-CN"/>
              </w:rPr>
            </w:pPr>
          </w:p>
          <w:p w14:paraId="39FAE3C2">
            <w:pPr>
              <w:spacing w:line="250" w:lineRule="auto"/>
              <w:rPr>
                <w:color w:val="auto"/>
                <w:highlight w:val="none"/>
                <w:lang w:eastAsia="zh-CN"/>
              </w:rPr>
            </w:pPr>
          </w:p>
          <w:p w14:paraId="507730CF">
            <w:pPr>
              <w:spacing w:line="250" w:lineRule="auto"/>
              <w:rPr>
                <w:color w:val="auto"/>
                <w:highlight w:val="none"/>
                <w:lang w:eastAsia="zh-CN"/>
              </w:rPr>
            </w:pPr>
          </w:p>
          <w:p w14:paraId="1D161FD9">
            <w:pPr>
              <w:spacing w:before="69" w:line="188" w:lineRule="auto"/>
              <w:ind w:left="329" w:leftChars="0"/>
              <w:rPr>
                <w:rFonts w:ascii="Times New Roman" w:hAnsi="Times New Roman" w:eastAsia="Times New Roman" w:cs="Times New Roman"/>
                <w:color w:val="auto"/>
                <w:spacing w:val="-5"/>
                <w:sz w:val="24"/>
                <w:szCs w:val="24"/>
                <w:highlight w:val="none"/>
              </w:rPr>
            </w:pPr>
            <w:r>
              <w:rPr>
                <w:rFonts w:ascii="Times New Roman" w:hAnsi="Times New Roman" w:eastAsia="Times New Roman" w:cs="Times New Roman"/>
                <w:color w:val="auto"/>
                <w:spacing w:val="-5"/>
                <w:sz w:val="24"/>
                <w:szCs w:val="24"/>
                <w:highlight w:val="none"/>
              </w:rPr>
              <w:t>5.2</w:t>
            </w:r>
          </w:p>
        </w:tc>
        <w:tc>
          <w:tcPr>
            <w:tcW w:w="1305" w:type="dxa"/>
            <w:vAlign w:val="top"/>
          </w:tcPr>
          <w:p w14:paraId="25125255">
            <w:pPr>
              <w:spacing w:line="251" w:lineRule="auto"/>
              <w:rPr>
                <w:color w:val="auto"/>
                <w:highlight w:val="none"/>
              </w:rPr>
            </w:pPr>
          </w:p>
          <w:p w14:paraId="7B5489D2">
            <w:pPr>
              <w:spacing w:line="251" w:lineRule="auto"/>
              <w:rPr>
                <w:color w:val="auto"/>
                <w:highlight w:val="none"/>
              </w:rPr>
            </w:pPr>
          </w:p>
          <w:p w14:paraId="2C7B0AD3">
            <w:pPr>
              <w:spacing w:line="252" w:lineRule="auto"/>
              <w:rPr>
                <w:color w:val="auto"/>
                <w:highlight w:val="none"/>
              </w:rPr>
            </w:pPr>
          </w:p>
          <w:p w14:paraId="10A8CE1B">
            <w:pPr>
              <w:spacing w:line="252" w:lineRule="auto"/>
              <w:rPr>
                <w:color w:val="auto"/>
                <w:highlight w:val="none"/>
              </w:rPr>
            </w:pPr>
          </w:p>
          <w:p w14:paraId="7F1C861C">
            <w:pPr>
              <w:spacing w:line="252" w:lineRule="auto"/>
              <w:rPr>
                <w:color w:val="auto"/>
                <w:highlight w:val="none"/>
              </w:rPr>
            </w:pPr>
          </w:p>
          <w:p w14:paraId="0FFBE2DF">
            <w:pPr>
              <w:spacing w:line="252" w:lineRule="auto"/>
              <w:rPr>
                <w:color w:val="auto"/>
                <w:highlight w:val="none"/>
              </w:rPr>
            </w:pPr>
          </w:p>
          <w:p w14:paraId="309EC752">
            <w:pPr>
              <w:spacing w:line="252" w:lineRule="auto"/>
              <w:rPr>
                <w:color w:val="auto"/>
                <w:highlight w:val="none"/>
              </w:rPr>
            </w:pPr>
          </w:p>
          <w:p w14:paraId="02F3061A">
            <w:pPr>
              <w:spacing w:line="252" w:lineRule="auto"/>
              <w:rPr>
                <w:color w:val="auto"/>
                <w:highlight w:val="none"/>
              </w:rPr>
            </w:pPr>
          </w:p>
          <w:p w14:paraId="2ACEC2DD">
            <w:pPr>
              <w:spacing w:line="252" w:lineRule="auto"/>
              <w:rPr>
                <w:color w:val="auto"/>
                <w:highlight w:val="none"/>
              </w:rPr>
            </w:pPr>
          </w:p>
          <w:p w14:paraId="7DFEEDCD">
            <w:pPr>
              <w:spacing w:line="252" w:lineRule="auto"/>
              <w:rPr>
                <w:color w:val="auto"/>
                <w:highlight w:val="none"/>
              </w:rPr>
            </w:pPr>
          </w:p>
          <w:p w14:paraId="4276166A">
            <w:pPr>
              <w:spacing w:line="252" w:lineRule="auto"/>
              <w:rPr>
                <w:color w:val="auto"/>
                <w:highlight w:val="none"/>
              </w:rPr>
            </w:pPr>
          </w:p>
          <w:p w14:paraId="543246D0">
            <w:pPr>
              <w:spacing w:line="252" w:lineRule="auto"/>
              <w:rPr>
                <w:color w:val="auto"/>
                <w:highlight w:val="none"/>
              </w:rPr>
            </w:pPr>
          </w:p>
          <w:p w14:paraId="797F7CF1">
            <w:pPr>
              <w:spacing w:line="252" w:lineRule="auto"/>
              <w:rPr>
                <w:color w:val="auto"/>
                <w:highlight w:val="none"/>
              </w:rPr>
            </w:pPr>
          </w:p>
          <w:p w14:paraId="6B1727B7">
            <w:pPr>
              <w:spacing w:line="252" w:lineRule="auto"/>
              <w:rPr>
                <w:color w:val="auto"/>
                <w:highlight w:val="none"/>
              </w:rPr>
            </w:pPr>
          </w:p>
          <w:p w14:paraId="20C85DBA">
            <w:pPr>
              <w:spacing w:line="252" w:lineRule="auto"/>
              <w:rPr>
                <w:color w:val="auto"/>
                <w:highlight w:val="none"/>
              </w:rPr>
            </w:pPr>
          </w:p>
          <w:p w14:paraId="56D3576C">
            <w:pPr>
              <w:spacing w:line="252" w:lineRule="auto"/>
              <w:rPr>
                <w:color w:val="auto"/>
                <w:highlight w:val="none"/>
              </w:rPr>
            </w:pPr>
          </w:p>
          <w:p w14:paraId="2927AF73">
            <w:pPr>
              <w:spacing w:line="252" w:lineRule="auto"/>
              <w:rPr>
                <w:color w:val="auto"/>
                <w:highlight w:val="none"/>
              </w:rPr>
            </w:pPr>
          </w:p>
          <w:p w14:paraId="446632BB">
            <w:pPr>
              <w:spacing w:line="252" w:lineRule="auto"/>
              <w:rPr>
                <w:color w:val="auto"/>
                <w:highlight w:val="none"/>
              </w:rPr>
            </w:pPr>
          </w:p>
          <w:p w14:paraId="36AED88E">
            <w:pPr>
              <w:pStyle w:val="23"/>
              <w:spacing w:before="78" w:line="230" w:lineRule="auto"/>
              <w:ind w:right="44" w:rightChars="0"/>
              <w:rPr>
                <w:color w:val="auto"/>
                <w:spacing w:val="-3"/>
                <w:sz w:val="24"/>
                <w:szCs w:val="24"/>
                <w:highlight w:val="none"/>
              </w:rPr>
            </w:pPr>
            <w:r>
              <w:rPr>
                <w:color w:val="auto"/>
                <w:spacing w:val="-3"/>
                <w:sz w:val="24"/>
                <w:szCs w:val="24"/>
                <w:highlight w:val="none"/>
              </w:rPr>
              <w:t>开标程序和评标</w:t>
            </w:r>
            <w:r>
              <w:rPr>
                <w:color w:val="auto"/>
                <w:spacing w:val="-5"/>
                <w:sz w:val="24"/>
                <w:szCs w:val="24"/>
                <w:highlight w:val="none"/>
              </w:rPr>
              <w:t>程序</w:t>
            </w:r>
          </w:p>
        </w:tc>
        <w:tc>
          <w:tcPr>
            <w:tcW w:w="7229" w:type="dxa"/>
            <w:vAlign w:val="top"/>
          </w:tcPr>
          <w:p w14:paraId="0163E22B">
            <w:pPr>
              <w:pStyle w:val="23"/>
              <w:spacing w:before="27" w:line="233" w:lineRule="auto"/>
              <w:ind w:left="35" w:right="27" w:firstLine="514" w:firstLineChars="209"/>
              <w:jc w:val="both"/>
              <w:rPr>
                <w:color w:val="auto"/>
                <w:sz w:val="24"/>
                <w:szCs w:val="24"/>
                <w:highlight w:val="none"/>
                <w:lang w:eastAsia="zh-CN"/>
              </w:rPr>
            </w:pPr>
            <w:r>
              <w:rPr>
                <w:color w:val="auto"/>
                <w:spacing w:val="3"/>
                <w:sz w:val="24"/>
                <w:szCs w:val="24"/>
                <w:highlight w:val="none"/>
                <w:lang w:eastAsia="zh-CN"/>
              </w:rPr>
              <w:t>资信商务评估法：先确定评审区间，再进行商务标评审，结束后再进行资信标评审，最后再进行资格审查并推</w:t>
            </w:r>
            <w:r>
              <w:rPr>
                <w:color w:val="auto"/>
                <w:spacing w:val="-2"/>
                <w:sz w:val="24"/>
                <w:szCs w:val="24"/>
                <w:highlight w:val="none"/>
                <w:lang w:eastAsia="zh-CN"/>
              </w:rPr>
              <w:t>荐中标候选人。</w:t>
            </w:r>
          </w:p>
          <w:p w14:paraId="7DD8A59E">
            <w:pPr>
              <w:keepNext w:val="0"/>
              <w:keepLines w:val="0"/>
              <w:pageBreakBefore w:val="0"/>
              <w:numPr>
                <w:ilvl w:val="0"/>
                <w:numId w:val="0"/>
              </w:numPr>
              <w:wordWrap/>
              <w:topLinePunct w:val="0"/>
              <w:bidi w:val="0"/>
              <w:snapToGrid/>
              <w:spacing w:line="440" w:lineRule="exact"/>
              <w:ind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本项目采用不见面开标形式，所有投标人的法定代表人或委托代理人在开标当日（投标截止时间前）登录三门县公共资源交易不见面开标大厅并签到，</w:t>
            </w:r>
            <w:r>
              <w:rPr>
                <w:rFonts w:hint="eastAsia" w:ascii="宋体" w:hAnsi="宋体" w:eastAsia="宋体" w:cs="宋体"/>
                <w:b/>
                <w:color w:val="auto"/>
                <w:sz w:val="24"/>
                <w:szCs w:val="24"/>
                <w:highlight w:val="none"/>
              </w:rPr>
              <w:t>未完成签到的，将无法解密投标文件，并视为放弃投标</w:t>
            </w:r>
            <w:r>
              <w:rPr>
                <w:rFonts w:hint="eastAsia" w:ascii="宋体" w:hAnsi="宋体" w:eastAsia="宋体" w:cs="宋体"/>
                <w:color w:val="auto"/>
                <w:sz w:val="24"/>
                <w:szCs w:val="24"/>
                <w:highlight w:val="none"/>
              </w:rPr>
              <w:t>。不见面开标大厅系统登录：插入CA锁并登录交易系统—业务办理—开评标—进入不见面开标系统。</w:t>
            </w:r>
          </w:p>
          <w:p w14:paraId="54080D26">
            <w:pPr>
              <w:keepNext w:val="0"/>
              <w:keepLines w:val="0"/>
              <w:pageBreakBefore w:val="0"/>
              <w:numPr>
                <w:ilvl w:val="0"/>
                <w:numId w:val="0"/>
              </w:numPr>
              <w:wordWrap/>
              <w:topLinePunct w:val="0"/>
              <w:bidi w:val="0"/>
              <w:snapToGrid/>
              <w:spacing w:line="440" w:lineRule="exact"/>
              <w:ind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招标代理开启不见面开标系统视频直播，开标全过程录像由三门县公共资源交易中心录制保存备查。</w:t>
            </w:r>
          </w:p>
          <w:p w14:paraId="64ED43C5">
            <w:pPr>
              <w:keepNext w:val="0"/>
              <w:keepLines w:val="0"/>
              <w:pageBreakBefore w:val="0"/>
              <w:numPr>
                <w:ilvl w:val="0"/>
                <w:numId w:val="0"/>
              </w:numPr>
              <w:wordWrap/>
              <w:topLinePunct w:val="0"/>
              <w:bidi w:val="0"/>
              <w:snapToGrid/>
              <w:spacing w:line="440" w:lineRule="exact"/>
              <w:ind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投标截止时间到达后，各投标人自行在不见面开标系统对电子投标文件进行解密，投标文件解密时间为</w:t>
            </w:r>
            <w:r>
              <w:rPr>
                <w:rFonts w:hint="eastAsia" w:ascii="宋体" w:hAnsi="宋体" w:eastAsia="宋体" w:cs="宋体"/>
                <w:b/>
                <w:bCs/>
                <w:color w:val="auto"/>
                <w:sz w:val="24"/>
                <w:szCs w:val="24"/>
                <w:highlight w:val="none"/>
              </w:rPr>
              <w:t>40分钟</w:t>
            </w:r>
            <w:r>
              <w:rPr>
                <w:rFonts w:hint="eastAsia" w:ascii="宋体" w:hAnsi="宋体" w:eastAsia="宋体" w:cs="宋体"/>
                <w:color w:val="auto"/>
                <w:sz w:val="24"/>
                <w:szCs w:val="24"/>
                <w:highlight w:val="none"/>
              </w:rPr>
              <w:t>（时间以招标人或招标代理机构确定“开始解密”时开始计算），逾期未解密的视为投标人放弃投标。</w:t>
            </w:r>
          </w:p>
          <w:p w14:paraId="1B2CBA07">
            <w:pPr>
              <w:keepNext w:val="0"/>
              <w:keepLines w:val="0"/>
              <w:pageBreakBefore w:val="0"/>
              <w:numPr>
                <w:ilvl w:val="0"/>
                <w:numId w:val="0"/>
              </w:numPr>
              <w:wordWrap/>
              <w:topLinePunct w:val="0"/>
              <w:bidi w:val="0"/>
              <w:snapToGrid/>
              <w:spacing w:line="440" w:lineRule="exact"/>
              <w:ind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招标代理现场公布解密投标人投标文件情况。</w:t>
            </w:r>
          </w:p>
          <w:p w14:paraId="1C2D9383">
            <w:pPr>
              <w:keepNext w:val="0"/>
              <w:keepLines w:val="0"/>
              <w:pageBreakBefore w:val="0"/>
              <w:numPr>
                <w:ilvl w:val="0"/>
                <w:numId w:val="0"/>
              </w:numPr>
              <w:wordWrap/>
              <w:topLinePunct w:val="0"/>
              <w:bidi w:val="0"/>
              <w:snapToGrid/>
              <w:spacing w:line="440" w:lineRule="exact"/>
              <w:ind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评标委员会根据招标文件规定的程序及方法对投标文件进行评审。每个环节评审结果招标代理均在不见面开标大厅宣布。</w:t>
            </w:r>
          </w:p>
          <w:p w14:paraId="0D6D2EAE">
            <w:pPr>
              <w:keepNext w:val="0"/>
              <w:keepLines w:val="0"/>
              <w:pageBreakBefore w:val="0"/>
              <w:numPr>
                <w:ilvl w:val="0"/>
                <w:numId w:val="0"/>
              </w:numPr>
              <w:wordWrap/>
              <w:topLinePunct w:val="0"/>
              <w:bidi w:val="0"/>
              <w:snapToGrid/>
              <w:spacing w:line="440" w:lineRule="exact"/>
              <w:ind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招标人代表现场抽取调整系数，抽取过程在不见面开标系统同步直播，接受招标监管机构人员监管。</w:t>
            </w:r>
          </w:p>
          <w:p w14:paraId="31818796">
            <w:pPr>
              <w:keepNext w:val="0"/>
              <w:keepLines w:val="0"/>
              <w:pageBreakBefore w:val="0"/>
              <w:numPr>
                <w:ilvl w:val="0"/>
                <w:numId w:val="0"/>
              </w:numPr>
              <w:wordWrap/>
              <w:topLinePunct w:val="0"/>
              <w:bidi w:val="0"/>
              <w:snapToGrid/>
              <w:spacing w:line="360" w:lineRule="auto"/>
              <w:ind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各投标人的法定代表人或委托人代理人必须在开标、评标期间保持网络及电话畅通，若评标委员会要求投标人澄清或说明时，投标人在规定的时间（由评标委员会确定合理所需时间）以予澄清或说明，否则视为自动放弃；后果由该投标人自行承担。所有澄清或说明转换成PDF形式并签章后通过不见面开标系统传输。</w:t>
            </w:r>
          </w:p>
          <w:p w14:paraId="6ED9ABB1">
            <w:pPr>
              <w:pStyle w:val="23"/>
              <w:spacing w:before="27" w:line="360" w:lineRule="auto"/>
              <w:ind w:left="45" w:leftChars="0" w:firstLine="480" w:firstLineChars="200"/>
              <w:rPr>
                <w:rFonts w:ascii="Times New Roman" w:hAnsi="Times New Roman" w:eastAsia="Times New Roman" w:cs="Times New Roman"/>
                <w:color w:val="auto"/>
                <w:spacing w:val="-1"/>
                <w:sz w:val="24"/>
                <w:szCs w:val="24"/>
                <w:highlight w:val="none"/>
                <w:lang w:eastAsia="zh-CN"/>
              </w:rPr>
            </w:pPr>
            <w:r>
              <w:rPr>
                <w:rFonts w:hint="eastAsia" w:ascii="宋体" w:hAnsi="宋体" w:eastAsia="宋体" w:cs="宋体"/>
                <w:color w:val="auto"/>
                <w:sz w:val="24"/>
                <w:szCs w:val="24"/>
                <w:highlight w:val="none"/>
              </w:rPr>
              <w:t>注：若有异常情况或疑问的，可通过不见面开标系统音视频交互跟开标人联系，或及时咨询品茗公司，技术服务电话：章宏涛13968512856，也可加入QQ“三门交易平台交流群”（群号：146117595）进行业务咨询。</w:t>
            </w:r>
          </w:p>
        </w:tc>
      </w:tr>
      <w:tr w14:paraId="346A32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80" w:type="dxa"/>
          </w:tcPr>
          <w:p w14:paraId="3DE8BF76">
            <w:pPr>
              <w:spacing w:line="277" w:lineRule="auto"/>
              <w:rPr>
                <w:color w:val="auto"/>
                <w:highlight w:val="none"/>
              </w:rPr>
            </w:pPr>
          </w:p>
          <w:p w14:paraId="0C5ABA6A">
            <w:pPr>
              <w:spacing w:line="278" w:lineRule="auto"/>
              <w:rPr>
                <w:color w:val="auto"/>
                <w:highlight w:val="none"/>
              </w:rPr>
            </w:pPr>
          </w:p>
          <w:p w14:paraId="02047B34">
            <w:pPr>
              <w:spacing w:line="278" w:lineRule="auto"/>
              <w:rPr>
                <w:color w:val="auto"/>
                <w:highlight w:val="none"/>
              </w:rPr>
            </w:pPr>
          </w:p>
          <w:p w14:paraId="64A8979F">
            <w:pPr>
              <w:spacing w:line="278" w:lineRule="auto"/>
              <w:rPr>
                <w:color w:val="auto"/>
                <w:highlight w:val="none"/>
              </w:rPr>
            </w:pPr>
          </w:p>
          <w:p w14:paraId="1968C2FF">
            <w:pPr>
              <w:spacing w:before="69" w:line="188" w:lineRule="auto"/>
              <w:ind w:left="329"/>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5"/>
                <w:sz w:val="24"/>
                <w:szCs w:val="24"/>
                <w:highlight w:val="none"/>
              </w:rPr>
              <w:t>5.4</w:t>
            </w:r>
          </w:p>
        </w:tc>
        <w:tc>
          <w:tcPr>
            <w:tcW w:w="1305" w:type="dxa"/>
          </w:tcPr>
          <w:p w14:paraId="52619D8C">
            <w:pPr>
              <w:spacing w:line="269" w:lineRule="auto"/>
              <w:rPr>
                <w:color w:val="auto"/>
                <w:highlight w:val="none"/>
              </w:rPr>
            </w:pPr>
          </w:p>
          <w:p w14:paraId="30BF0447">
            <w:pPr>
              <w:spacing w:line="269" w:lineRule="auto"/>
              <w:rPr>
                <w:color w:val="auto"/>
                <w:highlight w:val="none"/>
              </w:rPr>
            </w:pPr>
          </w:p>
          <w:p w14:paraId="4FA9F180">
            <w:pPr>
              <w:spacing w:line="269" w:lineRule="auto"/>
              <w:rPr>
                <w:color w:val="auto"/>
                <w:highlight w:val="none"/>
              </w:rPr>
            </w:pPr>
          </w:p>
          <w:p w14:paraId="1A060029">
            <w:pPr>
              <w:spacing w:line="270" w:lineRule="auto"/>
              <w:rPr>
                <w:color w:val="auto"/>
                <w:highlight w:val="none"/>
              </w:rPr>
            </w:pPr>
          </w:p>
          <w:p w14:paraId="0B7DD99D">
            <w:pPr>
              <w:pStyle w:val="23"/>
              <w:spacing w:before="78" w:line="219" w:lineRule="auto"/>
              <w:ind w:left="166"/>
              <w:rPr>
                <w:color w:val="auto"/>
                <w:sz w:val="24"/>
                <w:szCs w:val="24"/>
                <w:highlight w:val="none"/>
              </w:rPr>
            </w:pPr>
            <w:r>
              <w:rPr>
                <w:color w:val="auto"/>
                <w:spacing w:val="-2"/>
                <w:sz w:val="24"/>
                <w:szCs w:val="24"/>
                <w:highlight w:val="none"/>
              </w:rPr>
              <w:t>特殊情况处置</w:t>
            </w:r>
          </w:p>
        </w:tc>
        <w:tc>
          <w:tcPr>
            <w:tcW w:w="7229" w:type="dxa"/>
          </w:tcPr>
          <w:p w14:paraId="652E1260">
            <w:pPr>
              <w:pStyle w:val="23"/>
              <w:numPr>
                <w:ilvl w:val="0"/>
                <w:numId w:val="7"/>
              </w:numPr>
              <w:spacing w:before="149" w:line="234" w:lineRule="auto"/>
              <w:ind w:left="36" w:right="27" w:firstLine="16"/>
              <w:rPr>
                <w:color w:val="auto"/>
                <w:spacing w:val="13"/>
                <w:sz w:val="24"/>
                <w:szCs w:val="24"/>
                <w:highlight w:val="none"/>
                <w:lang w:eastAsia="zh-CN"/>
              </w:rPr>
            </w:pPr>
            <w:r>
              <w:rPr>
                <w:color w:val="auto"/>
                <w:spacing w:val="3"/>
                <w:sz w:val="24"/>
                <w:szCs w:val="24"/>
                <w:highlight w:val="none"/>
                <w:lang w:eastAsia="zh-CN"/>
              </w:rPr>
              <w:t>因网络、系统、电力等不可抗力因素投标截止时间延期</w:t>
            </w:r>
            <w:r>
              <w:rPr>
                <w:color w:val="auto"/>
                <w:spacing w:val="13"/>
                <w:sz w:val="24"/>
                <w:szCs w:val="24"/>
                <w:highlight w:val="none"/>
                <w:lang w:eastAsia="zh-CN"/>
              </w:rPr>
              <w:t>的，需更新制作投标文件并按招标文件要求重新递交。</w:t>
            </w:r>
          </w:p>
          <w:p w14:paraId="47FD276B">
            <w:pPr>
              <w:pStyle w:val="23"/>
              <w:numPr>
                <w:ilvl w:val="0"/>
                <w:numId w:val="0"/>
              </w:numPr>
              <w:spacing w:before="149" w:line="234" w:lineRule="auto"/>
              <w:ind w:left="52" w:leftChars="0" w:right="27" w:rightChars="0"/>
              <w:rPr>
                <w:color w:val="auto"/>
                <w:sz w:val="24"/>
                <w:szCs w:val="24"/>
                <w:highlight w:val="none"/>
                <w:lang w:eastAsia="zh-CN"/>
              </w:rPr>
            </w:pPr>
            <w:r>
              <w:rPr>
                <w:rFonts w:hint="eastAsia"/>
                <w:color w:val="auto"/>
                <w:spacing w:val="5"/>
                <w:sz w:val="24"/>
                <w:szCs w:val="24"/>
                <w:highlight w:val="none"/>
                <w:lang w:eastAsia="zh-CN"/>
              </w:rPr>
              <w:t>☑</w:t>
            </w:r>
            <w:r>
              <w:rPr>
                <w:rFonts w:ascii="Times New Roman" w:hAnsi="Times New Roman" w:eastAsia="Times New Roman" w:cs="Times New Roman"/>
                <w:color w:val="auto"/>
                <w:spacing w:val="5"/>
                <w:sz w:val="24"/>
                <w:szCs w:val="24"/>
                <w:highlight w:val="none"/>
                <w:lang w:eastAsia="zh-CN"/>
              </w:rPr>
              <w:t>2.</w:t>
            </w:r>
            <w:r>
              <w:rPr>
                <w:color w:val="auto"/>
                <w:spacing w:val="5"/>
                <w:sz w:val="24"/>
                <w:szCs w:val="24"/>
                <w:highlight w:val="none"/>
                <w:lang w:eastAsia="zh-CN"/>
              </w:rPr>
              <w:t>开标特别说明，当地结合地方电子评标系统相关条款</w:t>
            </w:r>
            <w:r>
              <w:rPr>
                <w:color w:val="auto"/>
                <w:spacing w:val="-2"/>
                <w:sz w:val="24"/>
                <w:szCs w:val="24"/>
                <w:highlight w:val="none"/>
                <w:lang w:eastAsia="zh-CN"/>
              </w:rPr>
              <w:t>可进行更改。</w:t>
            </w:r>
          </w:p>
          <w:p w14:paraId="7C62C4BE">
            <w:pPr>
              <w:pStyle w:val="23"/>
              <w:spacing w:before="28" w:line="234" w:lineRule="auto"/>
              <w:ind w:left="33" w:right="27" w:firstLine="12"/>
              <w:rPr>
                <w:color w:val="auto"/>
                <w:sz w:val="24"/>
                <w:szCs w:val="24"/>
                <w:highlight w:val="none"/>
                <w:lang w:eastAsia="zh-CN"/>
              </w:rPr>
            </w:pPr>
            <w:r>
              <w:rPr>
                <w:color w:val="auto"/>
                <w:spacing w:val="5"/>
                <w:sz w:val="24"/>
                <w:szCs w:val="24"/>
                <w:highlight w:val="none"/>
                <w:lang w:eastAsia="zh-CN"/>
              </w:rPr>
              <w:t>（</w:t>
            </w:r>
            <w:r>
              <w:rPr>
                <w:rFonts w:ascii="Times New Roman" w:hAnsi="Times New Roman" w:eastAsia="Times New Roman" w:cs="Times New Roman"/>
                <w:color w:val="auto"/>
                <w:spacing w:val="5"/>
                <w:sz w:val="24"/>
                <w:szCs w:val="24"/>
                <w:highlight w:val="none"/>
                <w:lang w:eastAsia="zh-CN"/>
              </w:rPr>
              <w:t>1</w:t>
            </w:r>
            <w:r>
              <w:rPr>
                <w:color w:val="auto"/>
                <w:spacing w:val="5"/>
                <w:sz w:val="24"/>
                <w:szCs w:val="24"/>
                <w:highlight w:val="none"/>
                <w:lang w:eastAsia="zh-CN"/>
              </w:rPr>
              <w:t>）因投标人原因造成其电子投标文件未解密的，视为</w:t>
            </w:r>
            <w:r>
              <w:rPr>
                <w:color w:val="auto"/>
                <w:spacing w:val="13"/>
                <w:sz w:val="24"/>
                <w:szCs w:val="24"/>
                <w:highlight w:val="none"/>
                <w:lang w:eastAsia="zh-CN"/>
              </w:rPr>
              <w:t>撤销其投标文件；投标截止时间前未完成投标文件传输</w:t>
            </w:r>
            <w:r>
              <w:rPr>
                <w:color w:val="auto"/>
                <w:spacing w:val="3"/>
                <w:sz w:val="24"/>
                <w:szCs w:val="24"/>
                <w:highlight w:val="none"/>
                <w:lang w:eastAsia="zh-CN"/>
              </w:rPr>
              <w:t>的，视为撤回投标文件；因投标人之外的原因造成电子投</w:t>
            </w:r>
            <w:r>
              <w:rPr>
                <w:color w:val="auto"/>
                <w:spacing w:val="-1"/>
                <w:sz w:val="24"/>
                <w:szCs w:val="24"/>
                <w:highlight w:val="none"/>
                <w:lang w:eastAsia="zh-CN"/>
              </w:rPr>
              <w:t>标文件未解密的，视为撤回其投标文件。</w:t>
            </w:r>
          </w:p>
          <w:p w14:paraId="4BB2C1A2">
            <w:pPr>
              <w:pStyle w:val="23"/>
              <w:spacing w:before="28" w:line="229" w:lineRule="auto"/>
              <w:ind w:left="36" w:right="27" w:firstLine="9"/>
              <w:rPr>
                <w:color w:val="auto"/>
                <w:sz w:val="24"/>
                <w:szCs w:val="24"/>
                <w:highlight w:val="none"/>
                <w:lang w:eastAsia="zh-CN"/>
              </w:rPr>
            </w:pPr>
            <w:r>
              <w:rPr>
                <w:color w:val="auto"/>
                <w:spacing w:val="4"/>
                <w:sz w:val="24"/>
                <w:szCs w:val="24"/>
                <w:highlight w:val="none"/>
                <w:lang w:eastAsia="zh-CN"/>
              </w:rPr>
              <w:t>（</w:t>
            </w:r>
            <w:r>
              <w:rPr>
                <w:rFonts w:ascii="Times New Roman" w:hAnsi="Times New Roman" w:eastAsia="Times New Roman" w:cs="Times New Roman"/>
                <w:color w:val="auto"/>
                <w:spacing w:val="4"/>
                <w:sz w:val="24"/>
                <w:szCs w:val="24"/>
                <w:highlight w:val="none"/>
                <w:lang w:eastAsia="zh-CN"/>
              </w:rPr>
              <w:t>2</w:t>
            </w:r>
            <w:r>
              <w:rPr>
                <w:color w:val="auto"/>
                <w:spacing w:val="4"/>
                <w:sz w:val="24"/>
                <w:szCs w:val="24"/>
                <w:highlight w:val="none"/>
                <w:lang w:eastAsia="zh-CN"/>
              </w:rPr>
              <w:t>）投标人必须使用生成电子投标文件的</w:t>
            </w:r>
            <w:r>
              <w:rPr>
                <w:rFonts w:ascii="Times New Roman" w:hAnsi="Times New Roman" w:eastAsia="Times New Roman" w:cs="Times New Roman"/>
                <w:color w:val="auto"/>
                <w:sz w:val="24"/>
                <w:szCs w:val="24"/>
                <w:highlight w:val="none"/>
                <w:lang w:eastAsia="zh-CN"/>
              </w:rPr>
              <w:t>CA</w:t>
            </w:r>
            <w:r>
              <w:rPr>
                <w:color w:val="auto"/>
                <w:spacing w:val="4"/>
                <w:sz w:val="24"/>
                <w:szCs w:val="24"/>
                <w:highlight w:val="none"/>
                <w:lang w:eastAsia="zh-CN"/>
              </w:rPr>
              <w:t>数字证书解</w:t>
            </w:r>
            <w:r>
              <w:rPr>
                <w:color w:val="auto"/>
                <w:spacing w:val="-2"/>
                <w:sz w:val="24"/>
                <w:szCs w:val="24"/>
                <w:highlight w:val="none"/>
                <w:lang w:eastAsia="zh-CN"/>
              </w:rPr>
              <w:t>密电子投标文件。</w:t>
            </w:r>
          </w:p>
          <w:p w14:paraId="3B1CBCA8">
            <w:pPr>
              <w:pStyle w:val="23"/>
              <w:spacing w:before="25" w:line="219" w:lineRule="auto"/>
              <w:ind w:left="34"/>
              <w:rPr>
                <w:color w:val="auto"/>
                <w:sz w:val="24"/>
                <w:szCs w:val="24"/>
                <w:highlight w:val="none"/>
              </w:rPr>
            </w:pPr>
            <w:r>
              <w:rPr>
                <w:rFonts w:ascii="Times New Roman" w:hAnsi="Times New Roman" w:eastAsia="Times New Roman" w:cs="Times New Roman"/>
                <w:color w:val="auto"/>
                <w:spacing w:val="-1"/>
                <w:sz w:val="24"/>
                <w:szCs w:val="24"/>
                <w:highlight w:val="none"/>
              </w:rPr>
              <w:t>3.</w:t>
            </w:r>
            <w:r>
              <w:rPr>
                <w:color w:val="auto"/>
                <w:spacing w:val="-1"/>
                <w:sz w:val="24"/>
                <w:szCs w:val="24"/>
                <w:highlight w:val="none"/>
              </w:rPr>
              <w:t>其他：</w:t>
            </w:r>
            <w:r>
              <w:rPr>
                <w:color w:val="auto"/>
                <w:sz w:val="24"/>
                <w:highlight w:val="none"/>
                <w:u w:val="single"/>
              </w:rPr>
              <w:t xml:space="preserve">          </w:t>
            </w:r>
            <w:r>
              <w:rPr>
                <w:rFonts w:hint="eastAsia"/>
                <w:color w:val="auto"/>
                <w:sz w:val="24"/>
                <w:highlight w:val="none"/>
                <w:u w:val="single"/>
                <w:lang w:val="en-US" w:eastAsia="zh-CN"/>
              </w:rPr>
              <w:t>/</w:t>
            </w:r>
            <w:r>
              <w:rPr>
                <w:color w:val="auto"/>
                <w:sz w:val="24"/>
                <w:highlight w:val="none"/>
                <w:u w:val="single"/>
              </w:rPr>
              <w:t xml:space="preserve">                 </w:t>
            </w:r>
            <w:r>
              <w:rPr>
                <w:color w:val="auto"/>
                <w:sz w:val="24"/>
                <w:highlight w:val="none"/>
              </w:rPr>
              <w:t xml:space="preserve"> </w:t>
            </w:r>
            <w:r>
              <w:rPr>
                <w:rFonts w:hAnsi="宋体"/>
                <w:color w:val="auto"/>
                <w:sz w:val="24"/>
                <w:highlight w:val="none"/>
              </w:rPr>
              <w:t>。</w:t>
            </w:r>
          </w:p>
        </w:tc>
      </w:tr>
      <w:tr w14:paraId="011A6A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80" w:type="dxa"/>
          </w:tcPr>
          <w:p w14:paraId="425A3E1F">
            <w:pPr>
              <w:spacing w:line="316" w:lineRule="auto"/>
              <w:rPr>
                <w:color w:val="auto"/>
                <w:highlight w:val="none"/>
              </w:rPr>
            </w:pPr>
          </w:p>
          <w:p w14:paraId="2CEFA376">
            <w:pPr>
              <w:spacing w:before="69" w:line="188" w:lineRule="auto"/>
              <w:ind w:left="239"/>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3"/>
                <w:sz w:val="24"/>
                <w:szCs w:val="24"/>
                <w:highlight w:val="none"/>
              </w:rPr>
              <w:t>6.1.1</w:t>
            </w:r>
          </w:p>
        </w:tc>
        <w:tc>
          <w:tcPr>
            <w:tcW w:w="1305" w:type="dxa"/>
          </w:tcPr>
          <w:p w14:paraId="24F7AD60">
            <w:pPr>
              <w:pStyle w:val="23"/>
              <w:spacing w:before="191" w:line="230" w:lineRule="auto"/>
              <w:ind w:left="770" w:right="44" w:hanging="722"/>
              <w:rPr>
                <w:color w:val="auto"/>
                <w:sz w:val="24"/>
                <w:szCs w:val="24"/>
                <w:highlight w:val="none"/>
              </w:rPr>
            </w:pPr>
            <w:r>
              <w:rPr>
                <w:color w:val="auto"/>
                <w:spacing w:val="-2"/>
                <w:sz w:val="24"/>
                <w:szCs w:val="24"/>
                <w:highlight w:val="none"/>
              </w:rPr>
              <w:t>评标委员会的组</w:t>
            </w:r>
            <w:r>
              <w:rPr>
                <w:color w:val="auto"/>
                <w:sz w:val="24"/>
                <w:szCs w:val="24"/>
                <w:highlight w:val="none"/>
              </w:rPr>
              <w:t>建</w:t>
            </w:r>
          </w:p>
        </w:tc>
        <w:tc>
          <w:tcPr>
            <w:tcW w:w="7229" w:type="dxa"/>
          </w:tcPr>
          <w:p w14:paraId="45A0A240">
            <w:pPr>
              <w:pStyle w:val="23"/>
              <w:spacing w:before="190" w:line="222" w:lineRule="auto"/>
              <w:ind w:left="29" w:firstLine="4"/>
              <w:rPr>
                <w:color w:val="auto"/>
                <w:sz w:val="24"/>
                <w:szCs w:val="24"/>
                <w:highlight w:val="none"/>
                <w:lang w:eastAsia="zh-CN"/>
              </w:rPr>
            </w:pPr>
            <w:r>
              <w:rPr>
                <w:color w:val="auto"/>
                <w:spacing w:val="-9"/>
                <w:sz w:val="24"/>
                <w:szCs w:val="24"/>
                <w:highlight w:val="none"/>
                <w:lang w:eastAsia="zh-CN"/>
              </w:rPr>
              <w:t>评标委员会构成</w:t>
            </w:r>
            <w:r>
              <w:rPr>
                <w:color w:val="auto"/>
                <w:spacing w:val="5"/>
                <w:sz w:val="24"/>
                <w:szCs w:val="24"/>
                <w:highlight w:val="none"/>
                <w:lang w:eastAsia="zh-CN"/>
              </w:rPr>
              <w:t>：</w:t>
            </w:r>
            <w:r>
              <w:rPr>
                <w:rFonts w:hint="eastAsia" w:ascii="宋体" w:hAnsi="宋体" w:eastAsia="宋体" w:cs="宋体"/>
                <w:color w:val="auto"/>
                <w:sz w:val="24"/>
                <w:szCs w:val="24"/>
                <w:highlight w:val="none"/>
                <w:lang w:val="en-US"/>
              </w:rPr>
              <w:t>执行《浙江省综合性评标专家库管理办法实施细则》相关规定。</w:t>
            </w:r>
          </w:p>
        </w:tc>
      </w:tr>
      <w:tr w14:paraId="076875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1080" w:type="dxa"/>
            <w:vAlign w:val="center"/>
          </w:tcPr>
          <w:p w14:paraId="638B6774">
            <w:pPr>
              <w:spacing w:before="69" w:line="188" w:lineRule="auto"/>
              <w:jc w:val="center"/>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5"/>
                <w:sz w:val="24"/>
                <w:szCs w:val="24"/>
                <w:highlight w:val="none"/>
              </w:rPr>
              <w:t>6.3</w:t>
            </w:r>
          </w:p>
        </w:tc>
        <w:tc>
          <w:tcPr>
            <w:tcW w:w="1305" w:type="dxa"/>
            <w:vAlign w:val="center"/>
          </w:tcPr>
          <w:p w14:paraId="5C5EEB26">
            <w:pPr>
              <w:pStyle w:val="23"/>
              <w:spacing w:before="78" w:line="219" w:lineRule="auto"/>
              <w:jc w:val="center"/>
              <w:rPr>
                <w:color w:val="auto"/>
                <w:sz w:val="24"/>
                <w:szCs w:val="24"/>
                <w:highlight w:val="none"/>
              </w:rPr>
            </w:pPr>
            <w:r>
              <w:rPr>
                <w:color w:val="auto"/>
                <w:spacing w:val="-3"/>
                <w:sz w:val="24"/>
                <w:szCs w:val="24"/>
                <w:highlight w:val="none"/>
              </w:rPr>
              <w:t>评标办法</w:t>
            </w:r>
          </w:p>
        </w:tc>
        <w:tc>
          <w:tcPr>
            <w:tcW w:w="7229" w:type="dxa"/>
          </w:tcPr>
          <w:p w14:paraId="26B48DC1">
            <w:pPr>
              <w:pStyle w:val="23"/>
              <w:spacing w:before="78" w:line="234" w:lineRule="auto"/>
              <w:ind w:right="66"/>
              <w:jc w:val="both"/>
              <w:rPr>
                <w:color w:val="auto"/>
                <w:sz w:val="24"/>
                <w:szCs w:val="24"/>
                <w:highlight w:val="none"/>
                <w:lang w:eastAsia="zh-CN"/>
              </w:rPr>
            </w:pPr>
            <w:r>
              <w:rPr>
                <w:color w:val="auto"/>
                <w:spacing w:val="-10"/>
                <w:sz w:val="24"/>
                <w:szCs w:val="24"/>
                <w:highlight w:val="none"/>
                <w:lang w:eastAsia="zh-CN"/>
              </w:rPr>
              <w:t xml:space="preserve">资信商务评估法 </w:t>
            </w:r>
          </w:p>
        </w:tc>
      </w:tr>
      <w:tr w14:paraId="4149E0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1080" w:type="dxa"/>
          </w:tcPr>
          <w:p w14:paraId="350A3DCC">
            <w:pPr>
              <w:pStyle w:val="23"/>
              <w:spacing w:before="204" w:line="235" w:lineRule="auto"/>
              <w:ind w:left="142"/>
              <w:rPr>
                <w:rFonts w:ascii="Times New Roman" w:hAnsi="Times New Roman" w:eastAsia="Times New Roman" w:cs="Times New Roman"/>
                <w:color w:val="auto"/>
                <w:sz w:val="24"/>
                <w:szCs w:val="24"/>
                <w:highlight w:val="none"/>
              </w:rPr>
            </w:pPr>
            <w:r>
              <w:rPr>
                <w:rFonts w:hint="eastAsia"/>
                <w:color w:val="auto"/>
                <w:spacing w:val="-7"/>
                <w:sz w:val="24"/>
                <w:szCs w:val="24"/>
                <w:highlight w:val="none"/>
                <w:lang w:eastAsia="zh-CN"/>
              </w:rPr>
              <w:t>☑</w:t>
            </w:r>
            <w:r>
              <w:rPr>
                <w:rFonts w:ascii="Times New Roman" w:hAnsi="Times New Roman" w:eastAsia="Times New Roman" w:cs="Times New Roman"/>
                <w:color w:val="auto"/>
                <w:spacing w:val="-7"/>
                <w:sz w:val="24"/>
                <w:szCs w:val="24"/>
                <w:highlight w:val="none"/>
              </w:rPr>
              <w:t>6.3.1</w:t>
            </w:r>
          </w:p>
        </w:tc>
        <w:tc>
          <w:tcPr>
            <w:tcW w:w="1305" w:type="dxa"/>
          </w:tcPr>
          <w:p w14:paraId="0E4E6878">
            <w:pPr>
              <w:pStyle w:val="23"/>
              <w:spacing w:before="52" w:line="226" w:lineRule="auto"/>
              <w:ind w:left="534" w:right="44" w:hanging="486"/>
              <w:rPr>
                <w:color w:val="auto"/>
                <w:sz w:val="24"/>
                <w:szCs w:val="24"/>
                <w:highlight w:val="none"/>
                <w:lang w:eastAsia="zh-CN"/>
              </w:rPr>
            </w:pPr>
            <w:r>
              <w:rPr>
                <w:color w:val="auto"/>
                <w:spacing w:val="-2"/>
                <w:sz w:val="24"/>
                <w:szCs w:val="24"/>
                <w:highlight w:val="none"/>
                <w:lang w:eastAsia="zh-CN"/>
              </w:rPr>
              <w:t>评标基准价的确</w:t>
            </w:r>
            <w:r>
              <w:rPr>
                <w:color w:val="auto"/>
                <w:spacing w:val="-6"/>
                <w:sz w:val="24"/>
                <w:szCs w:val="24"/>
                <w:highlight w:val="none"/>
                <w:lang w:eastAsia="zh-CN"/>
              </w:rPr>
              <w:t>定方法</w:t>
            </w:r>
          </w:p>
        </w:tc>
        <w:tc>
          <w:tcPr>
            <w:tcW w:w="7229" w:type="dxa"/>
          </w:tcPr>
          <w:p w14:paraId="1635A575">
            <w:pPr>
              <w:pStyle w:val="23"/>
              <w:spacing w:before="205" w:line="217" w:lineRule="auto"/>
              <w:ind w:left="33"/>
              <w:rPr>
                <w:color w:val="auto"/>
                <w:sz w:val="24"/>
                <w:szCs w:val="24"/>
                <w:highlight w:val="none"/>
                <w:lang w:eastAsia="zh-CN"/>
              </w:rPr>
            </w:pPr>
            <w:r>
              <w:rPr>
                <w:color w:val="auto"/>
                <w:spacing w:val="-1"/>
                <w:sz w:val="24"/>
                <w:szCs w:val="24"/>
                <w:highlight w:val="none"/>
                <w:u w:val="single"/>
                <w:lang w:eastAsia="zh-CN"/>
              </w:rPr>
              <w:t>评标基准价＝最高投标限价×调整系数。</w:t>
            </w:r>
          </w:p>
        </w:tc>
      </w:tr>
      <w:tr w14:paraId="32BAE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7" w:hRule="atLeast"/>
        </w:trPr>
        <w:tc>
          <w:tcPr>
            <w:tcW w:w="1080" w:type="dxa"/>
          </w:tcPr>
          <w:p w14:paraId="7FD8C11A">
            <w:pPr>
              <w:spacing w:line="241" w:lineRule="auto"/>
              <w:rPr>
                <w:color w:val="auto"/>
                <w:highlight w:val="none"/>
                <w:lang w:eastAsia="zh-CN"/>
              </w:rPr>
            </w:pPr>
          </w:p>
          <w:p w14:paraId="1641AE31">
            <w:pPr>
              <w:spacing w:line="242" w:lineRule="auto"/>
              <w:rPr>
                <w:color w:val="auto"/>
                <w:highlight w:val="none"/>
                <w:lang w:eastAsia="zh-CN"/>
              </w:rPr>
            </w:pPr>
          </w:p>
          <w:p w14:paraId="46F48E50">
            <w:pPr>
              <w:spacing w:before="69" w:line="188" w:lineRule="auto"/>
              <w:ind w:left="239"/>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3"/>
                <w:sz w:val="24"/>
                <w:szCs w:val="24"/>
                <w:highlight w:val="none"/>
              </w:rPr>
              <w:t>6.3.2</w:t>
            </w:r>
          </w:p>
        </w:tc>
        <w:tc>
          <w:tcPr>
            <w:tcW w:w="1305" w:type="dxa"/>
          </w:tcPr>
          <w:p w14:paraId="0CE94ED9">
            <w:pPr>
              <w:pStyle w:val="23"/>
              <w:spacing w:before="205" w:line="218" w:lineRule="auto"/>
              <w:ind w:left="48"/>
              <w:rPr>
                <w:color w:val="auto"/>
                <w:sz w:val="24"/>
                <w:szCs w:val="24"/>
                <w:highlight w:val="none"/>
              </w:rPr>
            </w:pPr>
            <w:r>
              <w:rPr>
                <w:color w:val="auto"/>
                <w:spacing w:val="-2"/>
                <w:sz w:val="24"/>
                <w:szCs w:val="24"/>
                <w:highlight w:val="none"/>
                <w:lang w:eastAsia="zh-CN"/>
              </w:rPr>
              <w:t>评标委员会推荐</w:t>
            </w:r>
            <w:r>
              <w:rPr>
                <w:color w:val="auto"/>
                <w:spacing w:val="-5"/>
                <w:sz w:val="24"/>
                <w:szCs w:val="24"/>
                <w:highlight w:val="none"/>
                <w:lang w:eastAsia="zh-CN"/>
              </w:rPr>
              <w:t>中标候选人的人</w:t>
            </w:r>
            <w:r>
              <w:rPr>
                <w:color w:val="auto"/>
                <w:sz w:val="24"/>
                <w:szCs w:val="24"/>
                <w:highlight w:val="none"/>
              </w:rPr>
              <w:t>数</w:t>
            </w:r>
          </w:p>
        </w:tc>
        <w:tc>
          <w:tcPr>
            <w:tcW w:w="7229" w:type="dxa"/>
            <w:vAlign w:val="center"/>
          </w:tcPr>
          <w:p w14:paraId="146633FA">
            <w:pPr>
              <w:pStyle w:val="23"/>
              <w:spacing w:before="26" w:line="213" w:lineRule="auto"/>
              <w:ind w:left="24" w:firstLine="272"/>
              <w:jc w:val="both"/>
              <w:rPr>
                <w:color w:val="auto"/>
                <w:sz w:val="25"/>
                <w:szCs w:val="25"/>
                <w:highlight w:val="none"/>
                <w:lang w:eastAsia="zh-CN"/>
              </w:rPr>
            </w:pPr>
            <w:r>
              <w:rPr>
                <w:rFonts w:hint="eastAsia" w:ascii="宋体" w:hAnsi="宋体"/>
                <w:color w:val="auto"/>
                <w:sz w:val="24"/>
                <w:szCs w:val="24"/>
                <w:highlight w:val="none"/>
                <w:lang w:eastAsia="zh-CN"/>
              </w:rPr>
              <w:t>☑</w:t>
            </w:r>
            <w:r>
              <w:rPr>
                <w:rFonts w:hint="eastAsia" w:ascii="宋体" w:hAnsi="宋体"/>
                <w:color w:val="auto"/>
                <w:sz w:val="24"/>
                <w:szCs w:val="24"/>
                <w:highlight w:val="none"/>
              </w:rPr>
              <w:t>1.</w:t>
            </w:r>
            <w:r>
              <w:rPr>
                <w:rFonts w:hint="eastAsia" w:ascii="宋体" w:hAnsi="宋体"/>
                <w:color w:val="auto"/>
                <w:sz w:val="24"/>
                <w:szCs w:val="24"/>
                <w:highlight w:val="none"/>
                <w:u w:val="single"/>
              </w:rPr>
              <w:t>推荐一名中标候选人。</w:t>
            </w:r>
          </w:p>
        </w:tc>
      </w:tr>
      <w:tr w14:paraId="52666A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06" w:hRule="atLeast"/>
        </w:trPr>
        <w:tc>
          <w:tcPr>
            <w:tcW w:w="1080" w:type="dxa"/>
          </w:tcPr>
          <w:p w14:paraId="7EFE3D8B">
            <w:pPr>
              <w:spacing w:line="259" w:lineRule="auto"/>
              <w:rPr>
                <w:color w:val="auto"/>
                <w:highlight w:val="none"/>
                <w:lang w:eastAsia="zh-CN"/>
              </w:rPr>
            </w:pPr>
          </w:p>
          <w:p w14:paraId="7C1125FD">
            <w:pPr>
              <w:spacing w:line="259" w:lineRule="auto"/>
              <w:rPr>
                <w:color w:val="auto"/>
                <w:highlight w:val="none"/>
                <w:lang w:eastAsia="zh-CN"/>
              </w:rPr>
            </w:pPr>
          </w:p>
          <w:p w14:paraId="0F53679F">
            <w:pPr>
              <w:spacing w:before="69" w:line="188" w:lineRule="auto"/>
              <w:ind w:left="237"/>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2"/>
                <w:sz w:val="24"/>
                <w:szCs w:val="24"/>
                <w:highlight w:val="none"/>
              </w:rPr>
              <w:t>7.1.1</w:t>
            </w:r>
          </w:p>
        </w:tc>
        <w:tc>
          <w:tcPr>
            <w:tcW w:w="1305" w:type="dxa"/>
          </w:tcPr>
          <w:p w14:paraId="50E7C4B6">
            <w:pPr>
              <w:spacing w:line="316" w:lineRule="auto"/>
              <w:rPr>
                <w:color w:val="auto"/>
                <w:highlight w:val="none"/>
                <w:lang w:eastAsia="zh-CN"/>
              </w:rPr>
            </w:pPr>
          </w:p>
          <w:p w14:paraId="05422DA3">
            <w:pPr>
              <w:pStyle w:val="23"/>
              <w:spacing w:before="78" w:line="228" w:lineRule="auto"/>
              <w:ind w:left="289" w:right="44" w:hanging="219"/>
              <w:rPr>
                <w:color w:val="auto"/>
                <w:sz w:val="24"/>
                <w:szCs w:val="24"/>
                <w:highlight w:val="none"/>
                <w:lang w:eastAsia="zh-CN"/>
              </w:rPr>
            </w:pPr>
            <w:r>
              <w:rPr>
                <w:color w:val="auto"/>
                <w:spacing w:val="-5"/>
                <w:sz w:val="24"/>
                <w:szCs w:val="24"/>
                <w:highlight w:val="none"/>
                <w:lang w:eastAsia="zh-CN"/>
              </w:rPr>
              <w:t>中标候选人公示</w:t>
            </w:r>
            <w:r>
              <w:rPr>
                <w:color w:val="auto"/>
                <w:spacing w:val="-2"/>
                <w:sz w:val="24"/>
                <w:szCs w:val="24"/>
                <w:highlight w:val="none"/>
                <w:lang w:eastAsia="zh-CN"/>
              </w:rPr>
              <w:t>媒介及期限</w:t>
            </w:r>
          </w:p>
        </w:tc>
        <w:tc>
          <w:tcPr>
            <w:tcW w:w="7229" w:type="dxa"/>
          </w:tcPr>
          <w:p w14:paraId="2364B798">
            <w:pPr>
              <w:widowControl/>
              <w:autoSpaceDE/>
              <w:autoSpaceDN/>
              <w:adjustRightInd/>
              <w:spacing w:line="440" w:lineRule="exact"/>
              <w:rPr>
                <w:rFonts w:ascii="宋体" w:hAnsi="宋体" w:cs="宋体"/>
                <w:color w:val="auto"/>
                <w:sz w:val="24"/>
                <w:szCs w:val="24"/>
                <w:highlight w:val="none"/>
              </w:rPr>
            </w:pPr>
            <w:r>
              <w:rPr>
                <w:rFonts w:hint="eastAsia" w:ascii="宋体" w:hAnsi="宋体" w:cs="宋体"/>
                <w:color w:val="auto"/>
                <w:sz w:val="24"/>
                <w:szCs w:val="24"/>
                <w:highlight w:val="none"/>
              </w:rPr>
              <w:t>公示媒介：三门县公共资源交易网（网址：http://www.sanmen.gov.cn/col/col1229610743/index.html）和浙江省公共资源交易服务平台</w:t>
            </w:r>
            <w:r>
              <w:rPr>
                <w:rFonts w:hint="eastAsia" w:ascii="宋体" w:hAnsi="宋体" w:cs="宋体"/>
                <w:color w:val="auto"/>
                <w:sz w:val="24"/>
                <w:szCs w:val="24"/>
                <w:highlight w:val="none"/>
                <w:u w:val="single"/>
              </w:rPr>
              <w:t>https://ggzy.zj.gov.cn</w:t>
            </w:r>
            <w:r>
              <w:rPr>
                <w:rFonts w:hint="eastAsia" w:ascii="宋体" w:hAnsi="宋体" w:cs="宋体"/>
                <w:color w:val="auto"/>
                <w:sz w:val="24"/>
                <w:szCs w:val="24"/>
                <w:highlight w:val="none"/>
              </w:rPr>
              <w:t>上发布。</w:t>
            </w:r>
          </w:p>
          <w:p w14:paraId="79E869BB">
            <w:pPr>
              <w:pStyle w:val="23"/>
              <w:spacing w:before="31" w:line="227" w:lineRule="auto"/>
              <w:ind w:left="39" w:right="25" w:firstLine="1"/>
              <w:rPr>
                <w:color w:val="auto"/>
                <w:sz w:val="24"/>
                <w:szCs w:val="24"/>
                <w:highlight w:val="none"/>
                <w:lang w:eastAsia="zh-CN"/>
              </w:rPr>
            </w:pPr>
            <w:r>
              <w:rPr>
                <w:rFonts w:hint="eastAsia" w:ascii="宋体" w:hAnsi="宋体" w:cs="宋体"/>
                <w:color w:val="auto"/>
                <w:spacing w:val="-2"/>
                <w:sz w:val="24"/>
                <w:szCs w:val="24"/>
                <w:highlight w:val="none"/>
              </w:rPr>
              <w:t>公示期限：不少于3日。如遇国家法定休假日，应顺延至法定休假日后第一个工作日。</w:t>
            </w:r>
          </w:p>
        </w:tc>
      </w:tr>
      <w:tr w14:paraId="646AB6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2" w:hRule="atLeast"/>
        </w:trPr>
        <w:tc>
          <w:tcPr>
            <w:tcW w:w="1080" w:type="dxa"/>
          </w:tcPr>
          <w:p w14:paraId="4E2EA48E">
            <w:pPr>
              <w:spacing w:line="332" w:lineRule="auto"/>
              <w:rPr>
                <w:color w:val="auto"/>
                <w:highlight w:val="none"/>
                <w:lang w:eastAsia="zh-CN"/>
              </w:rPr>
            </w:pPr>
          </w:p>
          <w:p w14:paraId="0412C6D6">
            <w:pPr>
              <w:spacing w:line="333" w:lineRule="auto"/>
              <w:rPr>
                <w:color w:val="auto"/>
                <w:highlight w:val="none"/>
                <w:lang w:eastAsia="zh-CN"/>
              </w:rPr>
            </w:pPr>
          </w:p>
          <w:p w14:paraId="061D66F1">
            <w:pPr>
              <w:spacing w:before="103" w:line="174" w:lineRule="auto"/>
              <w:ind w:left="212"/>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3"/>
                <w:sz w:val="24"/>
                <w:szCs w:val="24"/>
                <w:highlight w:val="none"/>
              </w:rPr>
              <w:t>7.1.2</w:t>
            </w:r>
          </w:p>
        </w:tc>
        <w:tc>
          <w:tcPr>
            <w:tcW w:w="1305" w:type="dxa"/>
          </w:tcPr>
          <w:p w14:paraId="0D60EE1D">
            <w:pPr>
              <w:spacing w:line="438" w:lineRule="auto"/>
              <w:rPr>
                <w:color w:val="auto"/>
                <w:highlight w:val="none"/>
                <w:lang w:eastAsia="zh-CN"/>
              </w:rPr>
            </w:pPr>
          </w:p>
          <w:p w14:paraId="2B9C2E5E">
            <w:pPr>
              <w:pStyle w:val="23"/>
              <w:spacing w:before="78" w:line="229" w:lineRule="auto"/>
              <w:ind w:left="309" w:right="44" w:hanging="239"/>
              <w:rPr>
                <w:color w:val="auto"/>
                <w:sz w:val="24"/>
                <w:szCs w:val="24"/>
                <w:highlight w:val="none"/>
                <w:lang w:eastAsia="zh-CN"/>
              </w:rPr>
            </w:pPr>
            <w:r>
              <w:rPr>
                <w:color w:val="auto"/>
                <w:spacing w:val="-5"/>
                <w:sz w:val="24"/>
                <w:szCs w:val="24"/>
                <w:highlight w:val="none"/>
                <w:lang w:eastAsia="zh-CN"/>
              </w:rPr>
              <w:t>中标候选人公示</w:t>
            </w:r>
            <w:r>
              <w:rPr>
                <w:color w:val="auto"/>
                <w:spacing w:val="-6"/>
                <w:sz w:val="24"/>
                <w:szCs w:val="24"/>
                <w:highlight w:val="none"/>
                <w:lang w:eastAsia="zh-CN"/>
              </w:rPr>
              <w:t>的其他内容</w:t>
            </w:r>
          </w:p>
        </w:tc>
        <w:tc>
          <w:tcPr>
            <w:tcW w:w="7229" w:type="dxa"/>
          </w:tcPr>
          <w:p w14:paraId="293F2548">
            <w:pPr>
              <w:pStyle w:val="23"/>
              <w:spacing w:before="48" w:line="293" w:lineRule="auto"/>
              <w:ind w:left="35" w:right="27" w:hanging="1"/>
              <w:rPr>
                <w:color w:val="auto"/>
                <w:sz w:val="24"/>
                <w:szCs w:val="24"/>
                <w:highlight w:val="none"/>
                <w:lang w:eastAsia="zh-CN"/>
              </w:rPr>
            </w:pPr>
            <w:r>
              <w:rPr>
                <w:color w:val="auto"/>
                <w:spacing w:val="3"/>
                <w:sz w:val="24"/>
                <w:szCs w:val="24"/>
                <w:highlight w:val="none"/>
                <w:lang w:eastAsia="zh-CN"/>
              </w:rPr>
              <w:t>被否决的投标及否决原因，各评标专家（名字不予公布，以评标专家一、二等对应）针对各投标人资信标内容的评分情况，中标候选人的资信标得分依据（包括业绩、奖项</w:t>
            </w:r>
            <w:r>
              <w:rPr>
                <w:color w:val="auto"/>
                <w:spacing w:val="-2"/>
                <w:sz w:val="24"/>
                <w:szCs w:val="24"/>
                <w:highlight w:val="none"/>
                <w:lang w:eastAsia="zh-CN"/>
              </w:rPr>
              <w:t>等材料</w:t>
            </w:r>
            <w:r>
              <w:rPr>
                <w:color w:val="auto"/>
                <w:spacing w:val="8"/>
                <w:sz w:val="24"/>
                <w:szCs w:val="24"/>
                <w:highlight w:val="none"/>
                <w:lang w:eastAsia="zh-CN"/>
              </w:rPr>
              <w:t>），</w:t>
            </w:r>
            <w:r>
              <w:rPr>
                <w:color w:val="auto"/>
                <w:spacing w:val="-2"/>
                <w:sz w:val="24"/>
                <w:szCs w:val="24"/>
                <w:highlight w:val="none"/>
                <w:lang w:eastAsia="zh-CN"/>
              </w:rPr>
              <w:t>技术标等内容的评分情况。</w:t>
            </w:r>
          </w:p>
        </w:tc>
      </w:tr>
      <w:tr w14:paraId="347ED6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0" w:type="dxa"/>
          </w:tcPr>
          <w:p w14:paraId="4FEB8154">
            <w:pPr>
              <w:spacing w:before="69" w:line="188" w:lineRule="auto"/>
              <w:ind w:left="237"/>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2"/>
                <w:sz w:val="24"/>
                <w:szCs w:val="24"/>
                <w:highlight w:val="none"/>
              </w:rPr>
              <w:t>7.2.1</w:t>
            </w:r>
          </w:p>
        </w:tc>
        <w:tc>
          <w:tcPr>
            <w:tcW w:w="1305" w:type="dxa"/>
          </w:tcPr>
          <w:p w14:paraId="2F5981ED">
            <w:pPr>
              <w:pStyle w:val="23"/>
              <w:spacing w:before="78" w:line="219" w:lineRule="auto"/>
              <w:rPr>
                <w:color w:val="auto"/>
                <w:sz w:val="24"/>
                <w:szCs w:val="24"/>
                <w:highlight w:val="none"/>
              </w:rPr>
            </w:pPr>
            <w:r>
              <w:rPr>
                <w:color w:val="auto"/>
                <w:spacing w:val="-2"/>
                <w:sz w:val="24"/>
                <w:szCs w:val="24"/>
                <w:highlight w:val="none"/>
              </w:rPr>
              <w:t>确定中标人</w:t>
            </w:r>
          </w:p>
        </w:tc>
        <w:tc>
          <w:tcPr>
            <w:tcW w:w="7229" w:type="dxa"/>
          </w:tcPr>
          <w:p w14:paraId="5E28C5C5">
            <w:pPr>
              <w:pStyle w:val="27"/>
              <w:keepNext w:val="0"/>
              <w:keepLines w:val="0"/>
              <w:pageBreakBefore w:val="0"/>
              <w:wordWrap/>
              <w:overflowPunct/>
              <w:bidi w:val="0"/>
              <w:snapToGrid w:val="0"/>
              <w:spacing w:line="320" w:lineRule="exact"/>
              <w:jc w:val="both"/>
              <w:rPr>
                <w:rFonts w:ascii="宋体" w:hAnsi="宋体"/>
                <w:color w:val="auto"/>
                <w:sz w:val="24"/>
                <w:szCs w:val="24"/>
                <w:highlight w:val="none"/>
              </w:rPr>
            </w:pPr>
            <w:r>
              <w:rPr>
                <w:rFonts w:hint="eastAsia" w:ascii="宋体" w:hAnsi="宋体"/>
                <w:color w:val="auto"/>
                <w:sz w:val="24"/>
                <w:szCs w:val="24"/>
                <w:highlight w:val="none"/>
                <w:lang w:eastAsia="zh-CN"/>
              </w:rPr>
              <w:t>□</w:t>
            </w:r>
            <w:r>
              <w:rPr>
                <w:rFonts w:hint="eastAsia" w:ascii="Times New Roman" w:hAnsi="宋体"/>
                <w:color w:val="auto"/>
                <w:sz w:val="24"/>
                <w:szCs w:val="24"/>
                <w:highlight w:val="none"/>
              </w:rPr>
              <w:t>授权</w:t>
            </w:r>
            <w:r>
              <w:rPr>
                <w:rFonts w:ascii="Times New Roman" w:hAnsi="宋体"/>
                <w:color w:val="auto"/>
                <w:sz w:val="24"/>
                <w:szCs w:val="24"/>
                <w:highlight w:val="none"/>
              </w:rPr>
              <w:t>评标委员会确定中标人</w:t>
            </w:r>
            <w:r>
              <w:rPr>
                <w:rFonts w:ascii="宋体" w:hAnsi="宋体"/>
                <w:color w:val="auto"/>
                <w:sz w:val="24"/>
                <w:szCs w:val="24"/>
                <w:highlight w:val="none"/>
              </w:rPr>
              <w:t>。</w:t>
            </w:r>
          </w:p>
          <w:p w14:paraId="5BC05B01">
            <w:pPr>
              <w:pStyle w:val="27"/>
              <w:keepNext w:val="0"/>
              <w:keepLines w:val="0"/>
              <w:pageBreakBefore w:val="0"/>
              <w:wordWrap/>
              <w:overflowPunct/>
              <w:bidi w:val="0"/>
              <w:snapToGrid w:val="0"/>
              <w:spacing w:line="320" w:lineRule="exact"/>
              <w:jc w:val="both"/>
              <w:rPr>
                <w:rFonts w:ascii="宋体" w:hAnsi="宋体"/>
                <w:color w:val="auto"/>
                <w:sz w:val="24"/>
                <w:szCs w:val="24"/>
                <w:highlight w:val="none"/>
              </w:rPr>
            </w:pPr>
            <w:r>
              <w:rPr>
                <w:rFonts w:hint="eastAsia" w:ascii="宋体" w:hAnsi="宋体"/>
                <w:color w:val="auto"/>
                <w:sz w:val="24"/>
                <w:szCs w:val="24"/>
                <w:highlight w:val="none"/>
                <w:lang w:eastAsia="zh-CN"/>
              </w:rPr>
              <w:t>☑</w:t>
            </w:r>
            <w:r>
              <w:rPr>
                <w:rFonts w:hint="eastAsia" w:ascii="宋体" w:hAnsi="宋体"/>
                <w:color w:val="auto"/>
                <w:sz w:val="24"/>
                <w:szCs w:val="24"/>
                <w:highlight w:val="none"/>
              </w:rPr>
              <w:t>根据评标委员会推荐，由招标人</w:t>
            </w:r>
            <w:r>
              <w:rPr>
                <w:rFonts w:ascii="Times New Roman" w:hAnsi="宋体"/>
                <w:color w:val="auto"/>
                <w:sz w:val="24"/>
                <w:szCs w:val="24"/>
                <w:highlight w:val="none"/>
              </w:rPr>
              <w:t>确定中标人</w:t>
            </w:r>
            <w:r>
              <w:rPr>
                <w:rFonts w:ascii="宋体" w:hAnsi="宋体"/>
                <w:color w:val="auto"/>
                <w:sz w:val="24"/>
                <w:szCs w:val="24"/>
                <w:highlight w:val="none"/>
              </w:rPr>
              <w:t>。</w:t>
            </w:r>
          </w:p>
          <w:p w14:paraId="1B279EE0">
            <w:pPr>
              <w:pStyle w:val="27"/>
              <w:keepNext w:val="0"/>
              <w:keepLines w:val="0"/>
              <w:pageBreakBefore w:val="0"/>
              <w:wordWrap/>
              <w:overflowPunct/>
              <w:bidi w:val="0"/>
              <w:snapToGrid w:val="0"/>
              <w:spacing w:line="320" w:lineRule="exact"/>
              <w:jc w:val="both"/>
              <w:rPr>
                <w:rFonts w:ascii="宋体" w:hAnsi="宋体"/>
                <w:color w:val="auto"/>
                <w:sz w:val="24"/>
                <w:szCs w:val="24"/>
                <w:highlight w:val="none"/>
              </w:rPr>
            </w:pPr>
            <w:r>
              <w:rPr>
                <w:rFonts w:hint="eastAsia" w:ascii="宋体" w:hAnsi="宋体"/>
                <w:color w:val="auto"/>
                <w:sz w:val="24"/>
                <w:szCs w:val="24"/>
                <w:highlight w:val="none"/>
              </w:rPr>
              <w:t>□评定分离，根据评标委员会推荐，另行组织定标会议，由定标委员会</w:t>
            </w:r>
            <w:r>
              <w:rPr>
                <w:rFonts w:ascii="Times New Roman" w:hAnsi="宋体"/>
                <w:color w:val="auto"/>
                <w:sz w:val="24"/>
                <w:szCs w:val="24"/>
                <w:highlight w:val="none"/>
              </w:rPr>
              <w:t>确定中标人</w:t>
            </w:r>
            <w:r>
              <w:rPr>
                <w:rFonts w:ascii="宋体" w:hAnsi="宋体"/>
                <w:color w:val="auto"/>
                <w:sz w:val="24"/>
                <w:szCs w:val="24"/>
                <w:highlight w:val="none"/>
              </w:rPr>
              <w:t>。</w:t>
            </w:r>
          </w:p>
          <w:p w14:paraId="1D00965F">
            <w:pPr>
              <w:pStyle w:val="23"/>
              <w:spacing w:before="51" w:line="218" w:lineRule="auto"/>
              <w:ind w:left="58"/>
              <w:rPr>
                <w:color w:val="auto"/>
                <w:sz w:val="24"/>
                <w:szCs w:val="24"/>
                <w:highlight w:val="none"/>
              </w:rPr>
            </w:pPr>
            <w:r>
              <w:rPr>
                <w:rFonts w:hint="eastAsia" w:ascii="宋体" w:hAnsi="宋体"/>
                <w:color w:val="auto"/>
                <w:sz w:val="24"/>
                <w:szCs w:val="24"/>
                <w:highlight w:val="none"/>
              </w:rPr>
              <w:t>□</w:t>
            </w:r>
            <w:r>
              <w:rPr>
                <w:rFonts w:ascii="Times New Roman" w:hAnsi="宋体"/>
                <w:color w:val="auto"/>
                <w:sz w:val="24"/>
                <w:szCs w:val="24"/>
                <w:highlight w:val="none"/>
              </w:rPr>
              <w:t>其他：</w:t>
            </w:r>
            <w:r>
              <w:rPr>
                <w:rFonts w:ascii="Times New Roman" w:hAnsi="Times New Roman"/>
                <w:color w:val="auto"/>
                <w:sz w:val="24"/>
                <w:szCs w:val="24"/>
                <w:highlight w:val="none"/>
                <w:u w:val="single"/>
              </w:rPr>
              <w:t xml:space="preserve">          </w:t>
            </w:r>
            <w:r>
              <w:rPr>
                <w:rFonts w:hint="eastAsia" w:ascii="Times New Roman" w:hAnsi="Times New Roman"/>
                <w:color w:val="auto"/>
                <w:sz w:val="24"/>
                <w:szCs w:val="24"/>
                <w:highlight w:val="none"/>
                <w:u w:val="single"/>
              </w:rPr>
              <w:t xml:space="preserve">    </w:t>
            </w:r>
            <w:r>
              <w:rPr>
                <w:rFonts w:hint="eastAsia" w:ascii="Times New Roman" w:hAnsi="Times New Roman"/>
                <w:color w:val="auto"/>
                <w:sz w:val="24"/>
                <w:szCs w:val="24"/>
                <w:highlight w:val="none"/>
                <w:u w:val="single"/>
                <w:lang w:val="en-US" w:eastAsia="zh-CN"/>
              </w:rPr>
              <w:t>/</w:t>
            </w:r>
            <w:r>
              <w:rPr>
                <w:rFonts w:hint="eastAsia" w:ascii="Times New Roman" w:hAnsi="Times New Roman"/>
                <w:color w:val="auto"/>
                <w:sz w:val="24"/>
                <w:szCs w:val="24"/>
                <w:highlight w:val="none"/>
                <w:u w:val="single"/>
              </w:rPr>
              <w:t xml:space="preserve">          </w:t>
            </w:r>
            <w:r>
              <w:rPr>
                <w:rFonts w:ascii="Times New Roman" w:hAnsi="Times New Roman"/>
                <w:color w:val="auto"/>
                <w:sz w:val="24"/>
                <w:szCs w:val="24"/>
                <w:highlight w:val="none"/>
                <w:u w:val="single"/>
              </w:rPr>
              <w:t xml:space="preserve">    </w:t>
            </w:r>
            <w:r>
              <w:rPr>
                <w:rFonts w:ascii="Times New Roman" w:hAnsi="宋体"/>
                <w:color w:val="auto"/>
                <w:sz w:val="24"/>
                <w:szCs w:val="24"/>
                <w:highlight w:val="none"/>
              </w:rPr>
              <w:t>。</w:t>
            </w:r>
          </w:p>
        </w:tc>
      </w:tr>
      <w:tr w14:paraId="00DDF6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3" w:hRule="atLeast"/>
        </w:trPr>
        <w:tc>
          <w:tcPr>
            <w:tcW w:w="1080" w:type="dxa"/>
          </w:tcPr>
          <w:p w14:paraId="39F2E049">
            <w:pPr>
              <w:spacing w:line="243" w:lineRule="auto"/>
              <w:rPr>
                <w:color w:val="auto"/>
                <w:highlight w:val="none"/>
              </w:rPr>
            </w:pPr>
          </w:p>
          <w:p w14:paraId="5E88B931">
            <w:pPr>
              <w:spacing w:line="244" w:lineRule="auto"/>
              <w:rPr>
                <w:color w:val="auto"/>
                <w:highlight w:val="none"/>
              </w:rPr>
            </w:pPr>
          </w:p>
          <w:p w14:paraId="7AB10356">
            <w:pPr>
              <w:spacing w:before="69" w:line="188" w:lineRule="auto"/>
              <w:ind w:left="326"/>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4"/>
                <w:sz w:val="24"/>
                <w:szCs w:val="24"/>
                <w:highlight w:val="none"/>
              </w:rPr>
              <w:t>7.4</w:t>
            </w:r>
          </w:p>
        </w:tc>
        <w:tc>
          <w:tcPr>
            <w:tcW w:w="1305" w:type="dxa"/>
          </w:tcPr>
          <w:p w14:paraId="58EE42DE">
            <w:pPr>
              <w:pStyle w:val="23"/>
              <w:spacing w:before="206" w:line="219" w:lineRule="auto"/>
              <w:rPr>
                <w:color w:val="auto"/>
                <w:sz w:val="24"/>
                <w:szCs w:val="24"/>
                <w:highlight w:val="none"/>
                <w:lang w:eastAsia="zh-CN"/>
              </w:rPr>
            </w:pPr>
            <w:r>
              <w:rPr>
                <w:color w:val="auto"/>
                <w:spacing w:val="-4"/>
                <w:sz w:val="24"/>
                <w:szCs w:val="24"/>
                <w:highlight w:val="none"/>
                <w:lang w:eastAsia="zh-CN"/>
              </w:rPr>
              <w:t>履约担保</w:t>
            </w:r>
            <w:r>
              <w:rPr>
                <w:color w:val="auto"/>
                <w:spacing w:val="-2"/>
                <w:sz w:val="24"/>
                <w:szCs w:val="24"/>
                <w:highlight w:val="none"/>
                <w:lang w:eastAsia="zh-CN"/>
              </w:rPr>
              <w:t>及工程款支付</w:t>
            </w:r>
          </w:p>
          <w:p w14:paraId="78C71AC5">
            <w:pPr>
              <w:pStyle w:val="23"/>
              <w:spacing w:before="25" w:line="219" w:lineRule="auto"/>
              <w:rPr>
                <w:color w:val="auto"/>
                <w:sz w:val="24"/>
                <w:szCs w:val="24"/>
                <w:highlight w:val="none"/>
                <w:lang w:eastAsia="zh-CN"/>
              </w:rPr>
            </w:pPr>
            <w:r>
              <w:rPr>
                <w:color w:val="auto"/>
                <w:spacing w:val="-6"/>
                <w:sz w:val="24"/>
                <w:szCs w:val="24"/>
                <w:highlight w:val="none"/>
                <w:lang w:eastAsia="zh-CN"/>
              </w:rPr>
              <w:t>担保</w:t>
            </w:r>
          </w:p>
        </w:tc>
        <w:tc>
          <w:tcPr>
            <w:tcW w:w="7229" w:type="dxa"/>
          </w:tcPr>
          <w:p w14:paraId="0B28D158">
            <w:pPr>
              <w:pStyle w:val="5"/>
              <w:numPr>
                <w:ilvl w:val="0"/>
                <w:numId w:val="0"/>
              </w:numPr>
              <w:spacing w:line="440" w:lineRule="exact"/>
              <w:ind w:left="425" w:leftChars="0" w:hanging="425" w:firstLineChars="0"/>
              <w:rPr>
                <w:rFonts w:ascii="宋体" w:hAnsi="宋体" w:cs="宋体"/>
                <w:color w:val="auto"/>
                <w:sz w:val="24"/>
                <w:szCs w:val="24"/>
                <w:highlight w:val="none"/>
              </w:rPr>
            </w:pPr>
            <w:r>
              <w:rPr>
                <w:rFonts w:hint="default" w:ascii="宋体" w:hAnsi="宋体" w:eastAsia="宋体" w:cs="宋体"/>
                <w:color w:val="auto"/>
                <w:sz w:val="24"/>
                <w:szCs w:val="24"/>
                <w:highlight w:val="none"/>
                <w:lang w:val="en-US" w:eastAsia="zh-CN" w:bidi="ar-SA"/>
              </w:rPr>
              <w:t>1.</w:t>
            </w:r>
            <w:r>
              <w:rPr>
                <w:rFonts w:hint="eastAsia" w:ascii="宋体" w:hAnsi="宋体" w:cs="宋体"/>
                <w:color w:val="auto"/>
                <w:sz w:val="24"/>
                <w:szCs w:val="24"/>
                <w:highlight w:val="none"/>
              </w:rPr>
              <w:t>履约担保的形式：</w:t>
            </w:r>
            <w:r>
              <w:rPr>
                <w:rFonts w:hint="eastAsia" w:ascii="宋体" w:hAnsi="宋体" w:cs="宋体"/>
                <w:color w:val="auto"/>
                <w:spacing w:val="-2"/>
                <w:sz w:val="24"/>
                <w:szCs w:val="24"/>
                <w:highlight w:val="none"/>
              </w:rPr>
              <w:t>工程保</w:t>
            </w:r>
            <w:r>
              <w:rPr>
                <w:rFonts w:hint="eastAsia" w:ascii="宋体" w:hAnsi="宋体" w:cs="宋体"/>
                <w:color w:val="auto"/>
                <w:spacing w:val="-10"/>
                <w:sz w:val="24"/>
                <w:szCs w:val="24"/>
                <w:highlight w:val="none"/>
              </w:rPr>
              <w:t>函</w:t>
            </w:r>
            <w:r>
              <w:rPr>
                <w:rFonts w:hint="eastAsia" w:ascii="宋体" w:hAnsi="宋体" w:cs="宋体"/>
                <w:color w:val="auto"/>
                <w:spacing w:val="-2"/>
                <w:sz w:val="24"/>
                <w:szCs w:val="24"/>
                <w:highlight w:val="none"/>
              </w:rPr>
              <w:t>（</w:t>
            </w:r>
            <w:r>
              <w:rPr>
                <w:rFonts w:hint="eastAsia" w:ascii="宋体" w:hAnsi="宋体" w:cs="宋体"/>
                <w:b/>
                <w:color w:val="auto"/>
                <w:spacing w:val="-2"/>
                <w:sz w:val="24"/>
                <w:szCs w:val="24"/>
                <w:highlight w:val="none"/>
              </w:rPr>
              <w:t>银行保函</w:t>
            </w:r>
            <w:r>
              <w:rPr>
                <w:rFonts w:hint="eastAsia" w:ascii="宋体" w:hAnsi="宋体" w:cs="宋体"/>
                <w:b/>
                <w:color w:val="auto"/>
                <w:spacing w:val="-11"/>
                <w:sz w:val="24"/>
                <w:szCs w:val="24"/>
                <w:highlight w:val="none"/>
              </w:rPr>
              <w:t>、</w:t>
            </w:r>
            <w:r>
              <w:rPr>
                <w:rFonts w:hint="eastAsia" w:ascii="宋体" w:hAnsi="宋体" w:cs="宋体"/>
                <w:b/>
                <w:color w:val="auto"/>
                <w:spacing w:val="-2"/>
                <w:sz w:val="24"/>
                <w:szCs w:val="24"/>
                <w:highlight w:val="none"/>
              </w:rPr>
              <w:t>保险机构</w:t>
            </w:r>
            <w:r>
              <w:rPr>
                <w:rFonts w:hint="eastAsia" w:ascii="宋体" w:hAnsi="宋体" w:cs="宋体"/>
                <w:b/>
                <w:color w:val="auto"/>
                <w:spacing w:val="-1"/>
                <w:sz w:val="24"/>
                <w:szCs w:val="24"/>
                <w:highlight w:val="none"/>
              </w:rPr>
              <w:t>保证</w:t>
            </w:r>
            <w:r>
              <w:rPr>
                <w:rFonts w:hint="eastAsia" w:ascii="宋体" w:hAnsi="宋体" w:cs="宋体"/>
                <w:b/>
                <w:color w:val="auto"/>
                <w:sz w:val="24"/>
                <w:szCs w:val="24"/>
                <w:highlight w:val="none"/>
              </w:rPr>
              <w:t>保险保单，</w:t>
            </w:r>
            <w:r>
              <w:rPr>
                <w:rFonts w:hint="eastAsia" w:ascii="宋体" w:hAnsi="宋体" w:cs="宋体"/>
                <w:b/>
                <w:color w:val="auto"/>
                <w:spacing w:val="-2"/>
                <w:sz w:val="24"/>
                <w:szCs w:val="24"/>
                <w:highlight w:val="none"/>
                <w:lang w:eastAsia="zh-CN"/>
              </w:rPr>
              <w:t>国有担保公司</w:t>
            </w:r>
            <w:r>
              <w:rPr>
                <w:rFonts w:hint="eastAsia" w:ascii="宋体" w:hAnsi="宋体" w:cs="宋体"/>
                <w:b/>
                <w:color w:val="auto"/>
                <w:spacing w:val="-2"/>
                <w:sz w:val="24"/>
                <w:szCs w:val="24"/>
                <w:highlight w:val="none"/>
              </w:rPr>
              <w:t>保函</w:t>
            </w:r>
            <w:r>
              <w:rPr>
                <w:rFonts w:hint="eastAsia" w:ascii="宋体" w:hAnsi="宋体" w:cs="宋体"/>
                <w:color w:val="auto"/>
                <w:sz w:val="24"/>
                <w:szCs w:val="24"/>
                <w:highlight w:val="none"/>
              </w:rPr>
              <w:t>）。</w:t>
            </w:r>
          </w:p>
          <w:p w14:paraId="36764BC4">
            <w:pPr>
              <w:numPr>
                <w:ilvl w:val="0"/>
                <w:numId w:val="0"/>
              </w:numPr>
              <w:spacing w:line="440" w:lineRule="exact"/>
              <w:ind w:left="425" w:leftChars="0" w:hanging="425" w:firstLineChars="0"/>
              <w:rPr>
                <w:rFonts w:hint="eastAsia" w:ascii="宋体" w:hAnsi="宋体" w:cs="宋体"/>
                <w:color w:val="auto"/>
                <w:sz w:val="24"/>
                <w:szCs w:val="24"/>
                <w:highlight w:val="none"/>
                <w:lang w:eastAsia="zh-CN"/>
              </w:rPr>
            </w:pPr>
            <w:r>
              <w:rPr>
                <w:rFonts w:hint="default" w:ascii="宋体" w:hAnsi="宋体" w:cs="宋体"/>
                <w:color w:val="auto"/>
                <w:sz w:val="24"/>
                <w:szCs w:val="24"/>
                <w:highlight w:val="none"/>
                <w:lang w:val="en-US" w:eastAsia="zh-CN"/>
              </w:rPr>
              <w:t>2.</w:t>
            </w:r>
            <w:r>
              <w:rPr>
                <w:rFonts w:hint="eastAsia" w:ascii="宋体" w:hAnsi="宋体" w:cs="宋体"/>
                <w:color w:val="auto"/>
                <w:sz w:val="24"/>
                <w:szCs w:val="24"/>
                <w:highlight w:val="none"/>
              </w:rPr>
              <w:t>履约担保的金额：合同价的2%。</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详见第四章“合同条款及格式”专用条款3.7履约担保相关约定及附件8</w:t>
            </w:r>
            <w:r>
              <w:rPr>
                <w:rFonts w:hint="eastAsia" w:ascii="宋体" w:hAnsi="宋体" w:cs="宋体"/>
                <w:color w:val="auto"/>
                <w:sz w:val="24"/>
                <w:szCs w:val="24"/>
                <w:highlight w:val="none"/>
                <w:lang w:eastAsia="zh-CN"/>
              </w:rPr>
              <w:t>）</w:t>
            </w:r>
          </w:p>
          <w:p w14:paraId="2B034FA4">
            <w:pPr>
              <w:pStyle w:val="23"/>
              <w:spacing w:before="50" w:line="219" w:lineRule="auto"/>
              <w:ind w:left="37"/>
              <w:rPr>
                <w:color w:val="auto"/>
                <w:sz w:val="24"/>
                <w:szCs w:val="24"/>
                <w:highlight w:val="none"/>
                <w:lang w:eastAsia="zh-CN"/>
              </w:rPr>
            </w:pPr>
            <w:r>
              <w:rPr>
                <w:rFonts w:hint="default" w:ascii="宋体" w:hAnsi="宋体" w:eastAsia="宋体" w:cs="宋体"/>
                <w:b/>
                <w:bCs/>
                <w:color w:val="auto"/>
                <w:sz w:val="24"/>
                <w:szCs w:val="24"/>
                <w:highlight w:val="none"/>
                <w:lang w:val="en-US" w:eastAsia="zh-CN" w:bidi="ar-SA"/>
              </w:rPr>
              <w:t>3.</w:t>
            </w:r>
            <w:r>
              <w:rPr>
                <w:rFonts w:hint="eastAsia" w:ascii="宋体" w:hAnsi="宋体" w:cs="宋体"/>
                <w:b/>
                <w:bCs/>
                <w:color w:val="auto"/>
                <w:sz w:val="24"/>
                <w:szCs w:val="24"/>
                <w:highlight w:val="none"/>
              </w:rPr>
              <w:t>民工工资支付担保的相关约定：按三人社[2019]41号《关于印发三门县建设领域民工工资管理办法（试行）的通知》及浙建[2020]7号关于在全省工程建设领域改革保证金制度的通知等相关文件执行。</w:t>
            </w:r>
          </w:p>
        </w:tc>
      </w:tr>
      <w:tr w14:paraId="11240D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60" w:hRule="atLeast"/>
        </w:trPr>
        <w:tc>
          <w:tcPr>
            <w:tcW w:w="1080" w:type="dxa"/>
          </w:tcPr>
          <w:p w14:paraId="2D54159D">
            <w:pPr>
              <w:spacing w:line="260" w:lineRule="auto"/>
              <w:rPr>
                <w:color w:val="auto"/>
                <w:highlight w:val="none"/>
                <w:lang w:eastAsia="zh-CN"/>
              </w:rPr>
            </w:pPr>
          </w:p>
          <w:p w14:paraId="2528BB59">
            <w:pPr>
              <w:spacing w:line="261" w:lineRule="auto"/>
              <w:rPr>
                <w:color w:val="auto"/>
                <w:highlight w:val="none"/>
                <w:lang w:eastAsia="zh-CN"/>
              </w:rPr>
            </w:pPr>
          </w:p>
          <w:p w14:paraId="1E8B2DF6">
            <w:pPr>
              <w:spacing w:line="261" w:lineRule="auto"/>
              <w:rPr>
                <w:color w:val="auto"/>
                <w:highlight w:val="none"/>
                <w:lang w:eastAsia="zh-CN"/>
              </w:rPr>
            </w:pPr>
          </w:p>
          <w:p w14:paraId="01EFE6D2">
            <w:pPr>
              <w:spacing w:line="261" w:lineRule="auto"/>
              <w:rPr>
                <w:color w:val="auto"/>
                <w:highlight w:val="none"/>
                <w:lang w:eastAsia="zh-CN"/>
              </w:rPr>
            </w:pPr>
          </w:p>
          <w:p w14:paraId="398FFD0D">
            <w:pPr>
              <w:spacing w:line="261" w:lineRule="auto"/>
              <w:rPr>
                <w:color w:val="auto"/>
                <w:highlight w:val="none"/>
                <w:lang w:eastAsia="zh-CN"/>
              </w:rPr>
            </w:pPr>
          </w:p>
          <w:p w14:paraId="677F4536">
            <w:pPr>
              <w:spacing w:line="261" w:lineRule="auto"/>
              <w:rPr>
                <w:color w:val="auto"/>
                <w:highlight w:val="none"/>
                <w:lang w:eastAsia="zh-CN"/>
              </w:rPr>
            </w:pPr>
          </w:p>
          <w:p w14:paraId="6C6A1018">
            <w:pPr>
              <w:spacing w:before="69" w:line="188" w:lineRule="auto"/>
              <w:ind w:left="332"/>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6"/>
                <w:sz w:val="24"/>
                <w:szCs w:val="24"/>
                <w:highlight w:val="none"/>
              </w:rPr>
              <w:t>8.1</w:t>
            </w:r>
          </w:p>
        </w:tc>
        <w:tc>
          <w:tcPr>
            <w:tcW w:w="1305" w:type="dxa"/>
          </w:tcPr>
          <w:p w14:paraId="6C00253F">
            <w:pPr>
              <w:spacing w:line="272" w:lineRule="auto"/>
              <w:rPr>
                <w:color w:val="auto"/>
                <w:highlight w:val="none"/>
              </w:rPr>
            </w:pPr>
          </w:p>
          <w:p w14:paraId="26CA988E">
            <w:pPr>
              <w:spacing w:line="272" w:lineRule="auto"/>
              <w:rPr>
                <w:color w:val="auto"/>
                <w:highlight w:val="none"/>
              </w:rPr>
            </w:pPr>
          </w:p>
          <w:p w14:paraId="505E0002">
            <w:pPr>
              <w:spacing w:line="272" w:lineRule="auto"/>
              <w:rPr>
                <w:color w:val="auto"/>
                <w:highlight w:val="none"/>
              </w:rPr>
            </w:pPr>
          </w:p>
          <w:p w14:paraId="043BB4F3">
            <w:pPr>
              <w:spacing w:line="273" w:lineRule="auto"/>
              <w:rPr>
                <w:color w:val="auto"/>
                <w:highlight w:val="none"/>
              </w:rPr>
            </w:pPr>
          </w:p>
          <w:p w14:paraId="660455B1">
            <w:pPr>
              <w:spacing w:line="273" w:lineRule="auto"/>
              <w:rPr>
                <w:color w:val="auto"/>
                <w:highlight w:val="none"/>
              </w:rPr>
            </w:pPr>
          </w:p>
          <w:p w14:paraId="6D1375E8">
            <w:pPr>
              <w:pStyle w:val="23"/>
              <w:spacing w:before="78" w:line="230" w:lineRule="auto"/>
              <w:ind w:right="44"/>
              <w:rPr>
                <w:color w:val="auto"/>
                <w:sz w:val="24"/>
                <w:szCs w:val="24"/>
                <w:highlight w:val="none"/>
              </w:rPr>
            </w:pPr>
            <w:r>
              <w:rPr>
                <w:color w:val="auto"/>
                <w:spacing w:val="-2"/>
                <w:sz w:val="24"/>
                <w:szCs w:val="24"/>
                <w:highlight w:val="none"/>
              </w:rPr>
              <w:t>重新招标其他情</w:t>
            </w:r>
            <w:r>
              <w:rPr>
                <w:color w:val="auto"/>
                <w:sz w:val="24"/>
                <w:szCs w:val="24"/>
                <w:highlight w:val="none"/>
              </w:rPr>
              <w:t>形</w:t>
            </w:r>
          </w:p>
        </w:tc>
        <w:tc>
          <w:tcPr>
            <w:tcW w:w="7229" w:type="dxa"/>
          </w:tcPr>
          <w:p w14:paraId="0D6204FE">
            <w:pPr>
              <w:numPr>
                <w:ilvl w:val="0"/>
                <w:numId w:val="0"/>
              </w:numPr>
              <w:spacing w:line="440" w:lineRule="exact"/>
              <w:ind w:left="425" w:leftChars="0" w:hanging="425" w:firstLineChars="0"/>
              <w:rPr>
                <w:rFonts w:ascii="宋体" w:hAnsi="宋体" w:cs="宋体"/>
                <w:color w:val="auto"/>
                <w:sz w:val="24"/>
                <w:szCs w:val="24"/>
                <w:highlight w:val="none"/>
              </w:rPr>
            </w:pPr>
            <w:r>
              <w:rPr>
                <w:rFonts w:hint="default" w:ascii="宋体" w:hAnsi="宋体" w:eastAsia="宋体" w:cs="宋体"/>
                <w:color w:val="auto"/>
                <w:sz w:val="24"/>
                <w:szCs w:val="24"/>
                <w:highlight w:val="none"/>
                <w:lang w:val="en-US" w:eastAsia="zh-CN" w:bidi="ar-SA"/>
              </w:rPr>
              <w:t>1.</w:t>
            </w:r>
            <w:r>
              <w:rPr>
                <w:rFonts w:hint="eastAsia" w:ascii="宋体" w:hAnsi="宋体" w:cs="宋体"/>
                <w:color w:val="auto"/>
                <w:sz w:val="24"/>
                <w:szCs w:val="24"/>
                <w:highlight w:val="none"/>
              </w:rPr>
              <w:t>招标投标过程中，因项目发生变更，现有招标资格条件与项目工程规模不符的；</w:t>
            </w:r>
          </w:p>
          <w:p w14:paraId="79308FF2">
            <w:pPr>
              <w:numPr>
                <w:ilvl w:val="0"/>
                <w:numId w:val="0"/>
              </w:numPr>
              <w:spacing w:line="440" w:lineRule="exact"/>
              <w:ind w:left="425" w:leftChars="0" w:hanging="425" w:firstLineChars="0"/>
              <w:rPr>
                <w:rFonts w:ascii="宋体" w:hAnsi="宋体" w:cs="宋体"/>
                <w:color w:val="auto"/>
                <w:sz w:val="24"/>
                <w:szCs w:val="24"/>
                <w:highlight w:val="none"/>
              </w:rPr>
            </w:pPr>
            <w:r>
              <w:rPr>
                <w:rFonts w:hint="default" w:ascii="宋体" w:hAnsi="宋体" w:eastAsia="宋体" w:cs="宋体"/>
                <w:color w:val="auto"/>
                <w:sz w:val="24"/>
                <w:szCs w:val="24"/>
                <w:highlight w:val="none"/>
                <w:lang w:val="en-US" w:eastAsia="zh-CN" w:bidi="ar-SA"/>
              </w:rPr>
              <w:t>2.</w:t>
            </w:r>
            <w:r>
              <w:rPr>
                <w:rFonts w:hint="eastAsia" w:ascii="宋体" w:hAnsi="宋体" w:cs="宋体"/>
                <w:color w:val="auto"/>
                <w:sz w:val="24"/>
                <w:szCs w:val="24"/>
                <w:highlight w:val="none"/>
              </w:rPr>
              <w:t>国有资金占控股或者主导地位的依法必须进行招标的项目，招标人应当确定排名第一的中标候选人为中标人，中标候选人在投标截止时间至中标通知书发出之日，参与投标资质在“浙江省建筑市场监管公共服务系统”上动态核查结果若是“不合格”状态（或者资质“合格”状态的等级低于投标要求的资质等级）、放弃中标、无正当理由拒接签合同、不按照招标文件要求提交履约保证金，或者被查实存在影响招标结果的违法违规事项等情形，不符合中标条件的，本次招标失败，重新组织招标。</w:t>
            </w:r>
          </w:p>
          <w:p w14:paraId="5A63F41A">
            <w:pPr>
              <w:pStyle w:val="23"/>
              <w:spacing w:before="27" w:line="206" w:lineRule="auto"/>
              <w:ind w:left="58"/>
              <w:rPr>
                <w:color w:val="auto"/>
                <w:sz w:val="25"/>
                <w:szCs w:val="25"/>
                <w:highlight w:val="none"/>
                <w:lang w:eastAsia="zh-CN"/>
              </w:rPr>
            </w:pPr>
            <w:r>
              <w:rPr>
                <w:rFonts w:hint="default" w:ascii="宋体" w:hAnsi="宋体" w:eastAsia="宋体" w:cs="宋体"/>
                <w:color w:val="auto"/>
                <w:sz w:val="24"/>
                <w:szCs w:val="24"/>
                <w:highlight w:val="none"/>
                <w:lang w:val="en-US" w:eastAsia="zh-CN" w:bidi="ar-SA"/>
              </w:rPr>
              <w:t>3.</w:t>
            </w:r>
            <w:r>
              <w:rPr>
                <w:rFonts w:hint="eastAsia" w:ascii="宋体" w:hAnsi="宋体" w:cs="宋体"/>
                <w:color w:val="auto"/>
                <w:sz w:val="24"/>
                <w:szCs w:val="24"/>
                <w:highlight w:val="none"/>
              </w:rPr>
              <w:t>法律法规规定的其他情形。</w:t>
            </w:r>
          </w:p>
        </w:tc>
      </w:tr>
      <w:tr w14:paraId="088A0B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0" w:hRule="atLeast"/>
        </w:trPr>
        <w:tc>
          <w:tcPr>
            <w:tcW w:w="1080" w:type="dxa"/>
          </w:tcPr>
          <w:p w14:paraId="7B624D67">
            <w:pPr>
              <w:spacing w:line="328" w:lineRule="auto"/>
              <w:rPr>
                <w:color w:val="auto"/>
                <w:highlight w:val="none"/>
                <w:lang w:eastAsia="zh-CN"/>
              </w:rPr>
            </w:pPr>
          </w:p>
          <w:p w14:paraId="3C12250B">
            <w:pPr>
              <w:spacing w:before="69" w:line="188" w:lineRule="auto"/>
              <w:ind w:left="332"/>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6"/>
                <w:sz w:val="24"/>
                <w:szCs w:val="24"/>
                <w:highlight w:val="none"/>
              </w:rPr>
              <w:t>8.2</w:t>
            </w:r>
          </w:p>
        </w:tc>
        <w:tc>
          <w:tcPr>
            <w:tcW w:w="1305" w:type="dxa"/>
          </w:tcPr>
          <w:p w14:paraId="335131B2">
            <w:pPr>
              <w:spacing w:line="279" w:lineRule="auto"/>
              <w:rPr>
                <w:color w:val="auto"/>
                <w:highlight w:val="none"/>
              </w:rPr>
            </w:pPr>
          </w:p>
          <w:p w14:paraId="7CAAFB20">
            <w:pPr>
              <w:pStyle w:val="23"/>
              <w:spacing w:before="78" w:line="219" w:lineRule="auto"/>
              <w:ind w:left="53"/>
              <w:rPr>
                <w:color w:val="auto"/>
                <w:sz w:val="24"/>
                <w:szCs w:val="24"/>
                <w:highlight w:val="none"/>
              </w:rPr>
            </w:pPr>
            <w:r>
              <w:rPr>
                <w:color w:val="auto"/>
                <w:spacing w:val="-2"/>
                <w:sz w:val="24"/>
                <w:szCs w:val="24"/>
                <w:highlight w:val="none"/>
              </w:rPr>
              <w:t>不再招标的情形</w:t>
            </w:r>
          </w:p>
        </w:tc>
        <w:tc>
          <w:tcPr>
            <w:tcW w:w="7229" w:type="dxa"/>
          </w:tcPr>
          <w:p w14:paraId="4EDE916B">
            <w:pPr>
              <w:pStyle w:val="23"/>
              <w:spacing w:before="49" w:line="231" w:lineRule="auto"/>
              <w:ind w:left="37" w:right="27"/>
              <w:jc w:val="both"/>
              <w:rPr>
                <w:color w:val="auto"/>
                <w:sz w:val="24"/>
                <w:szCs w:val="24"/>
                <w:highlight w:val="none"/>
                <w:lang w:eastAsia="zh-CN"/>
              </w:rPr>
            </w:pPr>
            <w:r>
              <w:rPr>
                <w:color w:val="auto"/>
                <w:spacing w:val="8"/>
                <w:sz w:val="24"/>
                <w:szCs w:val="24"/>
                <w:highlight w:val="none"/>
                <w:lang w:eastAsia="zh-CN"/>
              </w:rPr>
              <w:t>重新招标后投标人仍少于</w:t>
            </w:r>
            <w:r>
              <w:rPr>
                <w:rFonts w:ascii="Times New Roman" w:hAnsi="Times New Roman" w:eastAsia="Times New Roman" w:cs="Times New Roman"/>
                <w:color w:val="auto"/>
                <w:spacing w:val="8"/>
                <w:sz w:val="24"/>
                <w:szCs w:val="24"/>
                <w:highlight w:val="none"/>
                <w:lang w:eastAsia="zh-CN"/>
              </w:rPr>
              <w:t>3</w:t>
            </w:r>
            <w:r>
              <w:rPr>
                <w:color w:val="auto"/>
                <w:spacing w:val="8"/>
                <w:sz w:val="24"/>
                <w:szCs w:val="24"/>
                <w:highlight w:val="none"/>
                <w:lang w:eastAsia="zh-CN"/>
              </w:rPr>
              <w:t>个的，属于必须审批、核准的</w:t>
            </w:r>
            <w:r>
              <w:rPr>
                <w:color w:val="auto"/>
                <w:spacing w:val="3"/>
                <w:sz w:val="24"/>
                <w:szCs w:val="24"/>
                <w:highlight w:val="none"/>
                <w:lang w:eastAsia="zh-CN"/>
              </w:rPr>
              <w:t>工程建设项目，报经原审批、核准部门审批、核准后可以</w:t>
            </w:r>
            <w:r>
              <w:rPr>
                <w:color w:val="auto"/>
                <w:spacing w:val="-2"/>
                <w:sz w:val="24"/>
                <w:szCs w:val="24"/>
                <w:highlight w:val="none"/>
                <w:lang w:eastAsia="zh-CN"/>
              </w:rPr>
              <w:t>不再进行招标。</w:t>
            </w:r>
          </w:p>
        </w:tc>
      </w:tr>
      <w:tr w14:paraId="0B695D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080" w:type="dxa"/>
          </w:tcPr>
          <w:p w14:paraId="5BD1EF44">
            <w:pPr>
              <w:spacing w:line="328" w:lineRule="auto"/>
              <w:rPr>
                <w:color w:val="auto"/>
                <w:highlight w:val="none"/>
                <w:lang w:eastAsia="zh-CN"/>
              </w:rPr>
            </w:pPr>
          </w:p>
          <w:p w14:paraId="7B5319FD">
            <w:pPr>
              <w:spacing w:before="69" w:line="188" w:lineRule="auto"/>
              <w:ind w:left="376"/>
              <w:rPr>
                <w:rFonts w:ascii="Times New Roman" w:hAnsi="Times New Roman" w:eastAsia="Times New Roman" w:cs="Times New Roman"/>
                <w:color w:val="auto"/>
                <w:sz w:val="24"/>
                <w:szCs w:val="24"/>
                <w:highlight w:val="none"/>
              </w:rPr>
            </w:pPr>
            <w:r>
              <w:rPr>
                <w:rFonts w:ascii="Times New Roman" w:hAnsi="Times New Roman" w:eastAsia="Times New Roman" w:cs="Times New Roman"/>
                <w:color w:val="auto"/>
                <w:spacing w:val="-15"/>
                <w:sz w:val="24"/>
                <w:szCs w:val="24"/>
                <w:highlight w:val="none"/>
              </w:rPr>
              <w:t>10</w:t>
            </w:r>
          </w:p>
        </w:tc>
        <w:tc>
          <w:tcPr>
            <w:tcW w:w="1305" w:type="dxa"/>
          </w:tcPr>
          <w:p w14:paraId="01114E35">
            <w:pPr>
              <w:pStyle w:val="23"/>
              <w:tabs>
                <w:tab w:val="left" w:pos="1260"/>
              </w:tabs>
              <w:spacing w:before="206" w:line="228" w:lineRule="auto"/>
              <w:ind w:right="56" w:rightChars="0"/>
              <w:rPr>
                <w:color w:val="auto"/>
                <w:sz w:val="24"/>
                <w:szCs w:val="24"/>
                <w:highlight w:val="none"/>
              </w:rPr>
            </w:pPr>
            <w:r>
              <w:rPr>
                <w:color w:val="auto"/>
                <w:spacing w:val="-4"/>
                <w:sz w:val="24"/>
                <w:szCs w:val="24"/>
                <w:highlight w:val="none"/>
              </w:rPr>
              <w:t>需要补充的</w:t>
            </w:r>
            <w:r>
              <w:rPr>
                <w:color w:val="auto"/>
                <w:spacing w:val="-3"/>
                <w:sz w:val="24"/>
                <w:szCs w:val="24"/>
                <w:highlight w:val="none"/>
              </w:rPr>
              <w:t>其他内容</w:t>
            </w:r>
          </w:p>
        </w:tc>
        <w:tc>
          <w:tcPr>
            <w:tcW w:w="7229" w:type="dxa"/>
          </w:tcPr>
          <w:p w14:paraId="61F3CE6D">
            <w:pPr>
              <w:pStyle w:val="23"/>
              <w:tabs>
                <w:tab w:val="left" w:pos="6117"/>
              </w:tabs>
              <w:spacing w:before="49" w:line="222" w:lineRule="auto"/>
              <w:ind w:left="35" w:right="27" w:hanging="2"/>
              <w:jc w:val="both"/>
              <w:rPr>
                <w:color w:val="auto"/>
                <w:sz w:val="24"/>
                <w:szCs w:val="24"/>
                <w:highlight w:val="none"/>
                <w:lang w:eastAsia="zh-CN"/>
              </w:rPr>
            </w:pPr>
            <w:r>
              <w:rPr>
                <w:color w:val="auto"/>
                <w:spacing w:val="-3"/>
                <w:sz w:val="24"/>
                <w:szCs w:val="24"/>
                <w:highlight w:val="none"/>
                <w:lang w:eastAsia="zh-CN"/>
              </w:rPr>
              <w:t>投诉受理的具体部门及电话</w:t>
            </w:r>
            <w:r>
              <w:rPr>
                <w:rFonts w:hint="eastAsia"/>
                <w:color w:val="auto"/>
                <w:spacing w:val="-3"/>
                <w:sz w:val="24"/>
                <w:szCs w:val="24"/>
                <w:highlight w:val="none"/>
                <w:u w:val="single"/>
                <w:lang w:eastAsia="zh-CN"/>
              </w:rPr>
              <w:t>：</w:t>
            </w:r>
            <w:r>
              <w:rPr>
                <w:rFonts w:hint="eastAsia" w:ascii="宋体" w:hAnsi="宋体" w:eastAsia="宋体" w:cs="宋体"/>
                <w:color w:val="auto"/>
                <w:sz w:val="24"/>
                <w:szCs w:val="24"/>
                <w:highlight w:val="none"/>
                <w:u w:val="single"/>
                <w:lang w:eastAsia="zh-CN"/>
              </w:rPr>
              <w:t>三门县住房和城乡建设局</w:t>
            </w:r>
            <w:r>
              <w:rPr>
                <w:rFonts w:hint="eastAsia" w:ascii="宋体" w:hAnsi="宋体" w:eastAsia="宋体" w:cs="宋体"/>
                <w:color w:val="auto"/>
                <w:sz w:val="24"/>
                <w:szCs w:val="24"/>
                <w:highlight w:val="none"/>
                <w:u w:val="single"/>
              </w:rPr>
              <w:t>； 0576-83333556</w:t>
            </w:r>
            <w:r>
              <w:rPr>
                <w:color w:val="auto"/>
                <w:spacing w:val="-4"/>
                <w:sz w:val="24"/>
                <w:szCs w:val="24"/>
                <w:highlight w:val="none"/>
                <w:u w:val="single"/>
                <w:lang w:eastAsia="zh-CN"/>
              </w:rPr>
              <w:t>。</w:t>
            </w:r>
          </w:p>
        </w:tc>
      </w:tr>
      <w:tr w14:paraId="7AD001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080" w:type="dxa"/>
            <w:vAlign w:val="top"/>
          </w:tcPr>
          <w:p w14:paraId="50992EF7">
            <w:pPr>
              <w:spacing w:line="247" w:lineRule="auto"/>
              <w:rPr>
                <w:color w:val="auto"/>
                <w:highlight w:val="none"/>
                <w:lang w:eastAsia="zh-CN"/>
              </w:rPr>
            </w:pPr>
          </w:p>
          <w:p w14:paraId="72C1DF30">
            <w:pPr>
              <w:spacing w:line="247" w:lineRule="auto"/>
              <w:rPr>
                <w:color w:val="auto"/>
                <w:highlight w:val="none"/>
                <w:lang w:eastAsia="zh-CN"/>
              </w:rPr>
            </w:pPr>
          </w:p>
          <w:p w14:paraId="09B5818A">
            <w:pPr>
              <w:spacing w:line="247" w:lineRule="auto"/>
              <w:rPr>
                <w:color w:val="auto"/>
                <w:highlight w:val="none"/>
                <w:lang w:eastAsia="zh-CN"/>
              </w:rPr>
            </w:pPr>
          </w:p>
          <w:p w14:paraId="0D0947CD">
            <w:pPr>
              <w:spacing w:line="247" w:lineRule="auto"/>
              <w:rPr>
                <w:color w:val="auto"/>
                <w:highlight w:val="none"/>
                <w:lang w:eastAsia="zh-CN"/>
              </w:rPr>
            </w:pPr>
          </w:p>
          <w:p w14:paraId="6A5F292C">
            <w:pPr>
              <w:spacing w:line="247" w:lineRule="auto"/>
              <w:rPr>
                <w:color w:val="auto"/>
                <w:highlight w:val="none"/>
                <w:lang w:eastAsia="zh-CN"/>
              </w:rPr>
            </w:pPr>
          </w:p>
          <w:p w14:paraId="5C4A6575">
            <w:pPr>
              <w:spacing w:line="247" w:lineRule="auto"/>
              <w:rPr>
                <w:color w:val="auto"/>
                <w:highlight w:val="none"/>
                <w:lang w:eastAsia="zh-CN"/>
              </w:rPr>
            </w:pPr>
          </w:p>
          <w:p w14:paraId="40B04D37">
            <w:pPr>
              <w:spacing w:line="248" w:lineRule="auto"/>
              <w:rPr>
                <w:color w:val="auto"/>
                <w:highlight w:val="none"/>
                <w:lang w:eastAsia="zh-CN"/>
              </w:rPr>
            </w:pPr>
          </w:p>
          <w:p w14:paraId="721D789C">
            <w:pPr>
              <w:spacing w:line="248" w:lineRule="auto"/>
              <w:rPr>
                <w:color w:val="auto"/>
                <w:highlight w:val="none"/>
                <w:lang w:eastAsia="zh-CN"/>
              </w:rPr>
            </w:pPr>
          </w:p>
          <w:p w14:paraId="2EBAB7E8">
            <w:pPr>
              <w:spacing w:line="248" w:lineRule="auto"/>
              <w:rPr>
                <w:color w:val="auto"/>
                <w:highlight w:val="none"/>
                <w:lang w:eastAsia="zh-CN"/>
              </w:rPr>
            </w:pPr>
          </w:p>
          <w:p w14:paraId="4CD3432A">
            <w:pPr>
              <w:spacing w:line="248" w:lineRule="auto"/>
              <w:rPr>
                <w:color w:val="auto"/>
                <w:highlight w:val="none"/>
                <w:lang w:eastAsia="zh-CN"/>
              </w:rPr>
            </w:pPr>
          </w:p>
          <w:p w14:paraId="4151E4BC">
            <w:pPr>
              <w:spacing w:line="248" w:lineRule="auto"/>
              <w:rPr>
                <w:color w:val="auto"/>
                <w:highlight w:val="none"/>
                <w:lang w:eastAsia="zh-CN"/>
              </w:rPr>
            </w:pPr>
          </w:p>
          <w:p w14:paraId="158094A8">
            <w:pPr>
              <w:spacing w:line="248" w:lineRule="auto"/>
              <w:rPr>
                <w:color w:val="auto"/>
                <w:highlight w:val="none"/>
                <w:lang w:eastAsia="zh-CN"/>
              </w:rPr>
            </w:pPr>
          </w:p>
          <w:p w14:paraId="6950614E">
            <w:pPr>
              <w:spacing w:line="248" w:lineRule="auto"/>
              <w:rPr>
                <w:color w:val="auto"/>
                <w:highlight w:val="none"/>
                <w:lang w:eastAsia="zh-CN"/>
              </w:rPr>
            </w:pPr>
          </w:p>
          <w:p w14:paraId="1F0A710B">
            <w:pPr>
              <w:spacing w:line="248" w:lineRule="auto"/>
              <w:rPr>
                <w:color w:val="auto"/>
                <w:highlight w:val="none"/>
                <w:lang w:eastAsia="zh-CN"/>
              </w:rPr>
            </w:pPr>
          </w:p>
          <w:p w14:paraId="659F3625">
            <w:pPr>
              <w:spacing w:before="69" w:line="188" w:lineRule="auto"/>
              <w:ind w:left="285" w:leftChars="0"/>
              <w:rPr>
                <w:rFonts w:ascii="Times New Roman" w:hAnsi="Times New Roman" w:eastAsia="Times New Roman" w:cs="Times New Roman"/>
                <w:color w:val="auto"/>
                <w:spacing w:val="-15"/>
                <w:sz w:val="24"/>
                <w:szCs w:val="24"/>
                <w:highlight w:val="none"/>
              </w:rPr>
            </w:pPr>
            <w:r>
              <w:rPr>
                <w:rFonts w:ascii="Times New Roman" w:hAnsi="Times New Roman" w:eastAsia="Times New Roman" w:cs="Times New Roman"/>
                <w:color w:val="auto"/>
                <w:spacing w:val="-8"/>
                <w:sz w:val="24"/>
                <w:szCs w:val="24"/>
                <w:highlight w:val="none"/>
              </w:rPr>
              <w:t>10.1</w:t>
            </w:r>
          </w:p>
        </w:tc>
        <w:tc>
          <w:tcPr>
            <w:tcW w:w="1305" w:type="dxa"/>
            <w:vAlign w:val="top"/>
          </w:tcPr>
          <w:p w14:paraId="58EAD06C">
            <w:pPr>
              <w:spacing w:line="244" w:lineRule="auto"/>
              <w:rPr>
                <w:color w:val="auto"/>
                <w:highlight w:val="none"/>
              </w:rPr>
            </w:pPr>
          </w:p>
          <w:p w14:paraId="249E87DC">
            <w:pPr>
              <w:spacing w:line="244" w:lineRule="auto"/>
              <w:rPr>
                <w:color w:val="auto"/>
                <w:highlight w:val="none"/>
              </w:rPr>
            </w:pPr>
          </w:p>
          <w:p w14:paraId="444CE145">
            <w:pPr>
              <w:spacing w:line="244" w:lineRule="auto"/>
              <w:rPr>
                <w:color w:val="auto"/>
                <w:highlight w:val="none"/>
              </w:rPr>
            </w:pPr>
          </w:p>
          <w:p w14:paraId="5F9629D0">
            <w:pPr>
              <w:spacing w:line="244" w:lineRule="auto"/>
              <w:rPr>
                <w:color w:val="auto"/>
                <w:highlight w:val="none"/>
              </w:rPr>
            </w:pPr>
          </w:p>
          <w:p w14:paraId="58D7F557">
            <w:pPr>
              <w:spacing w:line="244" w:lineRule="auto"/>
              <w:rPr>
                <w:color w:val="auto"/>
                <w:highlight w:val="none"/>
              </w:rPr>
            </w:pPr>
          </w:p>
          <w:p w14:paraId="6CEC00C7">
            <w:pPr>
              <w:spacing w:line="244" w:lineRule="auto"/>
              <w:rPr>
                <w:color w:val="auto"/>
                <w:highlight w:val="none"/>
              </w:rPr>
            </w:pPr>
          </w:p>
          <w:p w14:paraId="0D3FC2E9">
            <w:pPr>
              <w:spacing w:line="244" w:lineRule="auto"/>
              <w:rPr>
                <w:color w:val="auto"/>
                <w:highlight w:val="none"/>
              </w:rPr>
            </w:pPr>
          </w:p>
          <w:p w14:paraId="5818487C">
            <w:pPr>
              <w:spacing w:line="244" w:lineRule="auto"/>
              <w:rPr>
                <w:color w:val="auto"/>
                <w:highlight w:val="none"/>
              </w:rPr>
            </w:pPr>
          </w:p>
          <w:p w14:paraId="1365C661">
            <w:pPr>
              <w:spacing w:line="244" w:lineRule="auto"/>
              <w:rPr>
                <w:color w:val="auto"/>
                <w:highlight w:val="none"/>
              </w:rPr>
            </w:pPr>
          </w:p>
          <w:p w14:paraId="41A366CF">
            <w:pPr>
              <w:spacing w:line="244" w:lineRule="auto"/>
              <w:rPr>
                <w:color w:val="auto"/>
                <w:highlight w:val="none"/>
              </w:rPr>
            </w:pPr>
          </w:p>
          <w:p w14:paraId="4F9E8B40">
            <w:pPr>
              <w:spacing w:line="244" w:lineRule="auto"/>
              <w:rPr>
                <w:color w:val="auto"/>
                <w:highlight w:val="none"/>
              </w:rPr>
            </w:pPr>
          </w:p>
          <w:p w14:paraId="32E1B689">
            <w:pPr>
              <w:spacing w:line="244" w:lineRule="auto"/>
              <w:rPr>
                <w:color w:val="auto"/>
                <w:highlight w:val="none"/>
              </w:rPr>
            </w:pPr>
          </w:p>
          <w:p w14:paraId="211F15EF">
            <w:pPr>
              <w:spacing w:line="244" w:lineRule="auto"/>
              <w:rPr>
                <w:color w:val="auto"/>
                <w:highlight w:val="none"/>
              </w:rPr>
            </w:pPr>
          </w:p>
          <w:p w14:paraId="772C8C38">
            <w:pPr>
              <w:spacing w:line="244" w:lineRule="auto"/>
              <w:rPr>
                <w:color w:val="auto"/>
                <w:highlight w:val="none"/>
              </w:rPr>
            </w:pPr>
          </w:p>
          <w:p w14:paraId="3983DE0B">
            <w:pPr>
              <w:pStyle w:val="23"/>
              <w:spacing w:before="78" w:line="219" w:lineRule="auto"/>
              <w:ind w:left="53" w:leftChars="0"/>
              <w:rPr>
                <w:color w:val="auto"/>
                <w:spacing w:val="-4"/>
                <w:sz w:val="24"/>
                <w:szCs w:val="24"/>
                <w:highlight w:val="none"/>
              </w:rPr>
            </w:pPr>
            <w:r>
              <w:rPr>
                <w:color w:val="auto"/>
                <w:spacing w:val="-2"/>
                <w:sz w:val="24"/>
                <w:szCs w:val="24"/>
                <w:highlight w:val="none"/>
              </w:rPr>
              <w:t>否决投标的情形</w:t>
            </w:r>
          </w:p>
        </w:tc>
        <w:tc>
          <w:tcPr>
            <w:tcW w:w="7229" w:type="dxa"/>
            <w:vAlign w:val="top"/>
          </w:tcPr>
          <w:p w14:paraId="24463077">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1.投标文件存在以下情形之一的，由评标委员会审核并经过询问核对程序，其投标文件将被否决：</w:t>
            </w:r>
          </w:p>
          <w:p w14:paraId="0B162821">
            <w:pPr>
              <w:bidi w:val="0"/>
              <w:rPr>
                <w:b/>
                <w:bCs/>
                <w:color w:val="auto"/>
                <w:sz w:val="24"/>
                <w:szCs w:val="24"/>
                <w:highlight w:val="none"/>
                <w:lang w:eastAsia="zh-CN"/>
              </w:rPr>
            </w:pPr>
            <w:r>
              <w:rPr>
                <w:b/>
                <w:bCs/>
                <w:color w:val="auto"/>
                <w:sz w:val="24"/>
                <w:szCs w:val="24"/>
                <w:highlight w:val="none"/>
                <w:lang w:eastAsia="zh-CN"/>
              </w:rPr>
              <w:t>（1）评审区间确定内容：</w:t>
            </w:r>
          </w:p>
          <w:p w14:paraId="31FBF4D5">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①不同投标人的投标文件检测码（或制作码、创建码）一致的。</w:t>
            </w:r>
          </w:p>
          <w:p w14:paraId="18201AC5">
            <w:pPr>
              <w:bidi w:val="0"/>
              <w:rPr>
                <w:b/>
                <w:bCs/>
                <w:color w:val="auto"/>
                <w:sz w:val="24"/>
                <w:szCs w:val="24"/>
                <w:highlight w:val="none"/>
                <w:lang w:eastAsia="zh-CN"/>
              </w:rPr>
            </w:pPr>
            <w:r>
              <w:rPr>
                <w:b/>
                <w:bCs/>
                <w:color w:val="auto"/>
                <w:sz w:val="24"/>
                <w:szCs w:val="24"/>
                <w:highlight w:val="none"/>
                <w:lang w:eastAsia="zh-CN"/>
              </w:rPr>
              <w:t>（2）资格标评审内容：</w:t>
            </w:r>
          </w:p>
          <w:p w14:paraId="5848166C">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①投标人不满足招标文件载明的企业资质、人员资格、安全生产许可证、业绩条件（如有）的；</w:t>
            </w:r>
          </w:p>
          <w:p w14:paraId="3CE27925">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b/>
                <w:bCs/>
                <w:color w:val="auto"/>
                <w:spacing w:val="-1"/>
                <w:sz w:val="24"/>
                <w:szCs w:val="24"/>
                <w:highlight w:val="none"/>
                <w:lang w:eastAsia="zh-CN"/>
              </w:rPr>
            </w:pPr>
            <w:r>
              <w:rPr>
                <w:rFonts w:hint="eastAsia" w:ascii="宋体" w:hAnsi="宋体" w:eastAsia="宋体" w:cs="宋体"/>
                <w:color w:val="auto"/>
                <w:spacing w:val="-1"/>
                <w:sz w:val="24"/>
                <w:szCs w:val="24"/>
                <w:highlight w:val="none"/>
                <w:lang w:val="en-US" w:eastAsia="zh-CN"/>
              </w:rPr>
              <w:t>企业资质动态核查：</w:t>
            </w:r>
            <w:r>
              <w:rPr>
                <w:rFonts w:hint="eastAsia" w:ascii="宋体" w:hAnsi="宋体" w:eastAsia="宋体" w:cs="宋体"/>
                <w:b/>
                <w:bCs/>
                <w:color w:val="auto"/>
                <w:spacing w:val="-1"/>
                <w:sz w:val="24"/>
                <w:szCs w:val="24"/>
                <w:highlight w:val="none"/>
                <w:lang w:val="en-US" w:eastAsia="zh-CN"/>
              </w:rPr>
              <w:t xml:space="preserve">投标人提供的资质动态核查证明为“不合格” </w:t>
            </w:r>
          </w:p>
          <w:p w14:paraId="4832927D">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b/>
                <w:bCs/>
                <w:color w:val="auto"/>
                <w:spacing w:val="-1"/>
                <w:sz w:val="24"/>
                <w:szCs w:val="24"/>
                <w:highlight w:val="none"/>
                <w:lang w:eastAsia="zh-CN"/>
              </w:rPr>
            </w:pPr>
            <w:r>
              <w:rPr>
                <w:rFonts w:hint="eastAsia" w:ascii="宋体" w:hAnsi="宋体" w:eastAsia="宋体" w:cs="宋体"/>
                <w:b/>
                <w:bCs/>
                <w:color w:val="auto"/>
                <w:spacing w:val="-1"/>
                <w:sz w:val="24"/>
                <w:szCs w:val="24"/>
                <w:highlight w:val="none"/>
                <w:lang w:val="en-US" w:eastAsia="zh-CN"/>
              </w:rPr>
              <w:t xml:space="preserve">状态的（或者资质“合格”状态的等级低于投标要求的资质等 </w:t>
            </w:r>
          </w:p>
          <w:p w14:paraId="48B561E7">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b/>
                <w:bCs/>
                <w:color w:val="auto"/>
                <w:spacing w:val="-1"/>
                <w:sz w:val="24"/>
                <w:szCs w:val="24"/>
                <w:highlight w:val="none"/>
                <w:lang w:eastAsia="zh-CN"/>
              </w:rPr>
            </w:pPr>
            <w:r>
              <w:rPr>
                <w:rFonts w:hint="eastAsia" w:ascii="宋体" w:hAnsi="宋体" w:eastAsia="宋体" w:cs="宋体"/>
                <w:b/>
                <w:bCs/>
                <w:color w:val="auto"/>
                <w:spacing w:val="-1"/>
                <w:sz w:val="24"/>
                <w:szCs w:val="24"/>
                <w:highlight w:val="none"/>
                <w:lang w:val="en-US" w:eastAsia="zh-CN"/>
              </w:rPr>
              <w:t>级）或者未提供资质动态核查证明的。</w:t>
            </w:r>
          </w:p>
          <w:p w14:paraId="48488E2A">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②投标人被有关行政监管部门依法限制投标且在限制期内的；</w:t>
            </w:r>
          </w:p>
          <w:p w14:paraId="6B83DBCE">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③如为委托代理人，未提供有效的授权委托书的；如为法定代表人，未提供有效的法定代表人身份证明；</w:t>
            </w:r>
          </w:p>
          <w:p w14:paraId="78A1F5A3">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④一级建造师电子证书须执行住房和城乡建设部的文件（建办市〔2021〕40号）的相关规定，一级建造师电子证书打印后，未在个人签名处手写本人签名，未手写签名或与签名图像笔迹不一致的；</w:t>
            </w:r>
          </w:p>
          <w:p w14:paraId="72FFD47E">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⑤投标文件中要求投标人单位盖章，未经投标人盖章的；投标文件中要求法定代表人签字或盖章，既未经法定代表人签字也未盖章的；</w:t>
            </w:r>
          </w:p>
          <w:p w14:paraId="20CB99ED">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⑥组成联合体投标的，投标文件未附联合体各方共同投标协议的；</w:t>
            </w:r>
          </w:p>
          <w:p w14:paraId="3B66CC39">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⑦投标文件组成不符合投标人须知3.1条款的；</w:t>
            </w:r>
          </w:p>
          <w:p w14:paraId="7F992A23">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⑧投标人不以自己的名义或投标人未按照招标文件的要求提交投标保证金（含投标保函未按本招标文件格式要求提供）或提供的投标保证金有缺陷而不能接受的；</w:t>
            </w:r>
          </w:p>
          <w:p w14:paraId="6512CCE8">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□⑨投标人提供的纸质投标文件水印码与电子投标文件不一致的；</w:t>
            </w:r>
          </w:p>
          <w:p w14:paraId="1B119015">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⑩投标人递交两份或多份内容不同的投标文件；</w:t>
            </w:r>
          </w:p>
          <w:p w14:paraId="6775AD01">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⑪投标文件中投标承诺书未按要求填写；</w:t>
            </w:r>
          </w:p>
          <w:p w14:paraId="723FDB6B">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⑫存在法律、法规、规章规定的其他否决投标的情形。</w:t>
            </w:r>
          </w:p>
          <w:p w14:paraId="236E2E80">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b/>
                <w:bCs/>
                <w:color w:val="auto"/>
                <w:spacing w:val="-1"/>
                <w:sz w:val="24"/>
                <w:szCs w:val="24"/>
                <w:highlight w:val="none"/>
                <w:lang w:eastAsia="zh-CN"/>
              </w:rPr>
            </w:pPr>
            <w:r>
              <w:rPr>
                <w:rFonts w:hint="eastAsia" w:ascii="宋体" w:hAnsi="宋体" w:eastAsia="宋体" w:cs="宋体"/>
                <w:b/>
                <w:bCs/>
                <w:color w:val="auto"/>
                <w:spacing w:val="-1"/>
                <w:sz w:val="24"/>
                <w:szCs w:val="24"/>
                <w:highlight w:val="none"/>
                <w:lang w:eastAsia="zh-CN"/>
              </w:rPr>
              <w:t>（3）资信标评审内容</w:t>
            </w:r>
          </w:p>
          <w:p w14:paraId="1CC1DC82">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①投标文件组成不符合投标人须知3.1条款的；</w:t>
            </w:r>
          </w:p>
          <w:p w14:paraId="7BB558D2">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②投标文件中要求投标人单位盖章，未经投标人盖章的；投标文件中要求法定代表人签字或盖章，既未经法定代表人签字也未盖章的；</w:t>
            </w:r>
          </w:p>
          <w:p w14:paraId="2630C65F">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③投标人递交两份或多份内容不同的投标文件；</w:t>
            </w:r>
          </w:p>
          <w:p w14:paraId="53EAA972">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④存在法律、法规、规章规定的其它否决投标情形的。</w:t>
            </w:r>
          </w:p>
          <w:p w14:paraId="3BAF180B">
            <w:pPr>
              <w:pStyle w:val="23"/>
              <w:spacing w:before="233" w:line="189" w:lineRule="auto"/>
              <w:ind w:left="45"/>
              <w:rPr>
                <w:color w:val="auto"/>
                <w:sz w:val="24"/>
                <w:szCs w:val="24"/>
                <w:highlight w:val="none"/>
                <w:lang w:eastAsia="zh-CN"/>
              </w:rPr>
            </w:pPr>
            <w:r>
              <w:rPr>
                <w:b/>
                <w:bCs/>
                <w:color w:val="auto"/>
                <w:spacing w:val="-4"/>
                <w:sz w:val="24"/>
                <w:szCs w:val="24"/>
                <w:highlight w:val="none"/>
                <w:lang w:eastAsia="zh-CN"/>
              </w:rPr>
              <w:t>（</w:t>
            </w:r>
            <w:r>
              <w:rPr>
                <w:rFonts w:hint="eastAsia" w:ascii="微软雅黑" w:hAnsi="微软雅黑" w:eastAsia="微软雅黑" w:cs="微软雅黑"/>
                <w:b/>
                <w:bCs/>
                <w:color w:val="auto"/>
                <w:spacing w:val="-4"/>
                <w:sz w:val="24"/>
                <w:szCs w:val="24"/>
                <w:highlight w:val="none"/>
                <w:lang w:val="en-US" w:eastAsia="zh-CN"/>
              </w:rPr>
              <w:t>4</w:t>
            </w:r>
            <w:r>
              <w:rPr>
                <w:b/>
                <w:bCs/>
                <w:color w:val="auto"/>
                <w:spacing w:val="-4"/>
                <w:sz w:val="24"/>
                <w:szCs w:val="24"/>
                <w:highlight w:val="none"/>
                <w:lang w:eastAsia="zh-CN"/>
              </w:rPr>
              <w:t>）商务标评审内容：</w:t>
            </w:r>
          </w:p>
          <w:p w14:paraId="7AC60DE0">
            <w:pPr>
              <w:pStyle w:val="23"/>
              <w:keepNext w:val="0"/>
              <w:keepLines w:val="0"/>
              <w:pageBreakBefore w:val="0"/>
              <w:widowControl w:val="0"/>
              <w:wordWrap/>
              <w:overflowPunct/>
              <w:topLinePunct w:val="0"/>
              <w:autoSpaceDE w:val="0"/>
              <w:autoSpaceDN w:val="0"/>
              <w:bidi w:val="0"/>
              <w:adjustRightInd w:val="0"/>
              <w:snapToGrid/>
              <w:spacing w:line="440" w:lineRule="exact"/>
              <w:ind w:left="33"/>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①投标报价高于最高限价的；</w:t>
            </w:r>
          </w:p>
          <w:p w14:paraId="0E7C5C2B">
            <w:pPr>
              <w:pStyle w:val="23"/>
              <w:keepNext w:val="0"/>
              <w:keepLines w:val="0"/>
              <w:pageBreakBefore w:val="0"/>
              <w:widowControl w:val="0"/>
              <w:wordWrap/>
              <w:overflowPunct/>
              <w:topLinePunct w:val="0"/>
              <w:autoSpaceDE w:val="0"/>
              <w:autoSpaceDN w:val="0"/>
              <w:bidi w:val="0"/>
              <w:adjustRightInd w:val="0"/>
              <w:snapToGrid/>
              <w:spacing w:line="440" w:lineRule="exact"/>
              <w:ind w:left="3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7"/>
                <w:sz w:val="24"/>
                <w:szCs w:val="24"/>
                <w:highlight w:val="none"/>
                <w:lang w:eastAsia="zh-CN"/>
              </w:rPr>
              <w:t>②改变招标文件和工程量清单明确的暂列金额和暂估价的；</w:t>
            </w:r>
          </w:p>
          <w:p w14:paraId="0EF22024">
            <w:pPr>
              <w:pStyle w:val="23"/>
              <w:keepNext w:val="0"/>
              <w:keepLines w:val="0"/>
              <w:pageBreakBefore w:val="0"/>
              <w:widowControl w:val="0"/>
              <w:wordWrap/>
              <w:overflowPunct/>
              <w:topLinePunct w:val="0"/>
              <w:autoSpaceDE w:val="0"/>
              <w:autoSpaceDN w:val="0"/>
              <w:bidi w:val="0"/>
              <w:adjustRightInd w:val="0"/>
              <w:snapToGrid/>
              <w:spacing w:line="440" w:lineRule="exact"/>
              <w:ind w:left="3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③投标文件中投标函未按要求填写；</w:t>
            </w:r>
          </w:p>
          <w:p w14:paraId="50182EC3">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④投标文件不能满足招标文件载明的工程质量、工程验收标准、施工工期、保修期要求的；</w:t>
            </w:r>
          </w:p>
          <w:p w14:paraId="313D8AC3">
            <w:pPr>
              <w:pStyle w:val="23"/>
              <w:keepNext w:val="0"/>
              <w:keepLines w:val="0"/>
              <w:pageBreakBefore w:val="0"/>
              <w:widowControl w:val="0"/>
              <w:wordWrap/>
              <w:overflowPunct/>
              <w:topLinePunct w:val="0"/>
              <w:autoSpaceDE w:val="0"/>
              <w:autoSpaceDN w:val="0"/>
              <w:bidi w:val="0"/>
              <w:adjustRightInd w:val="0"/>
              <w:snapToGrid/>
              <w:spacing w:line="440" w:lineRule="exact"/>
              <w:ind w:left="3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⑤规费、税金报价不符合现行规定的；</w:t>
            </w:r>
          </w:p>
          <w:p w14:paraId="3272266E">
            <w:pPr>
              <w:pStyle w:val="23"/>
              <w:keepNext w:val="0"/>
              <w:keepLines w:val="0"/>
              <w:pageBreakBefore w:val="0"/>
              <w:widowControl w:val="0"/>
              <w:wordWrap/>
              <w:overflowPunct/>
              <w:topLinePunct w:val="0"/>
              <w:autoSpaceDE w:val="0"/>
              <w:autoSpaceDN w:val="0"/>
              <w:bidi w:val="0"/>
              <w:adjustRightInd w:val="0"/>
              <w:snapToGrid/>
              <w:spacing w:line="440" w:lineRule="exact"/>
              <w:ind w:left="34" w:right="121" w:hanging="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⑥改变招标文件提供的工程量清单（含分部分项工程及措施项目、其他项目清单项目的编码、项目名称、计量单位、工程数量、项目特征描述）的；</w:t>
            </w:r>
          </w:p>
          <w:p w14:paraId="0E908E6F">
            <w:pPr>
              <w:pStyle w:val="23"/>
              <w:keepNext w:val="0"/>
              <w:keepLines w:val="0"/>
              <w:pageBreakBefore w:val="0"/>
              <w:widowControl w:val="0"/>
              <w:wordWrap/>
              <w:overflowPunct/>
              <w:topLinePunct w:val="0"/>
              <w:autoSpaceDE w:val="0"/>
              <w:autoSpaceDN w:val="0"/>
              <w:bidi w:val="0"/>
              <w:adjustRightInd w:val="0"/>
              <w:snapToGrid/>
              <w:spacing w:line="440" w:lineRule="exact"/>
              <w:ind w:left="32" w:right="121"/>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⑦经评标委员会认定投标人的投标报价低于成本价，且投标人对其报价不能充分说明理由，或提供的相关资料无法证明报价不低于其成本价的；</w:t>
            </w:r>
          </w:p>
          <w:p w14:paraId="108FB95E">
            <w:pPr>
              <w:pStyle w:val="23"/>
              <w:keepNext w:val="0"/>
              <w:keepLines w:val="0"/>
              <w:pageBreakBefore w:val="0"/>
              <w:widowControl w:val="0"/>
              <w:wordWrap/>
              <w:overflowPunct/>
              <w:topLinePunct w:val="0"/>
              <w:autoSpaceDE w:val="0"/>
              <w:autoSpaceDN w:val="0"/>
              <w:bidi w:val="0"/>
              <w:adjustRightInd w:val="0"/>
              <w:snapToGrid/>
              <w:spacing w:line="440" w:lineRule="exact"/>
              <w:ind w:left="32" w:right="4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⑧投标文件的编制人接受同一工程招标人委托编制招标文件（含招标控制价)，或接受其他投标人委托编制投标文件</w:t>
            </w:r>
            <w:r>
              <w:rPr>
                <w:rFonts w:hint="eastAsia" w:ascii="宋体" w:hAnsi="宋体" w:eastAsia="宋体" w:cs="宋体"/>
                <w:color w:val="auto"/>
                <w:spacing w:val="-5"/>
                <w:sz w:val="24"/>
                <w:szCs w:val="24"/>
                <w:highlight w:val="none"/>
                <w:lang w:eastAsia="zh-CN"/>
              </w:rPr>
              <w:t>的；</w:t>
            </w:r>
          </w:p>
          <w:p w14:paraId="72C608E6">
            <w:pPr>
              <w:pStyle w:val="23"/>
              <w:keepNext w:val="0"/>
              <w:keepLines w:val="0"/>
              <w:pageBreakBefore w:val="0"/>
              <w:widowControl w:val="0"/>
              <w:wordWrap/>
              <w:overflowPunct/>
              <w:topLinePunct w:val="0"/>
              <w:autoSpaceDE w:val="0"/>
              <w:autoSpaceDN w:val="0"/>
              <w:bidi w:val="0"/>
              <w:adjustRightInd w:val="0"/>
              <w:snapToGrid/>
              <w:spacing w:line="440" w:lineRule="exact"/>
              <w:ind w:left="32" w:right="121"/>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⑨投标文件中要求投标人单位盖章，未经投标人盖章的；投标文件中要求法定代表人签字或盖章，既未经法定代表人签字也未盖章的；</w:t>
            </w:r>
          </w:p>
          <w:p w14:paraId="1D667AA6">
            <w:pPr>
              <w:pStyle w:val="23"/>
              <w:keepNext w:val="0"/>
              <w:keepLines w:val="0"/>
              <w:pageBreakBefore w:val="0"/>
              <w:widowControl w:val="0"/>
              <w:wordWrap/>
              <w:overflowPunct/>
              <w:topLinePunct w:val="0"/>
              <w:autoSpaceDE w:val="0"/>
              <w:autoSpaceDN w:val="0"/>
              <w:bidi w:val="0"/>
              <w:adjustRightInd w:val="0"/>
              <w:snapToGrid/>
              <w:spacing w:line="440" w:lineRule="exact"/>
              <w:ind w:left="32"/>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⑩投标人递交两份或多份内容不同的投标文件；</w:t>
            </w:r>
          </w:p>
          <w:p w14:paraId="4D5799B5">
            <w:pPr>
              <w:pStyle w:val="23"/>
              <w:keepNext w:val="0"/>
              <w:keepLines w:val="0"/>
              <w:pageBreakBefore w:val="0"/>
              <w:widowControl w:val="0"/>
              <w:wordWrap/>
              <w:overflowPunct/>
              <w:topLinePunct w:val="0"/>
              <w:autoSpaceDE w:val="0"/>
              <w:autoSpaceDN w:val="0"/>
              <w:bidi w:val="0"/>
              <w:adjustRightInd w:val="0"/>
              <w:snapToGrid/>
              <w:spacing w:line="440" w:lineRule="exact"/>
              <w:ind w:left="34" w:right="27" w:hanging="3"/>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color w:val="auto"/>
                <w:spacing w:val="-2"/>
                <w:sz w:val="24"/>
                <w:szCs w:val="24"/>
                <w:highlight w:val="none"/>
                <w:lang w:eastAsia="zh-CN"/>
              </w:rPr>
              <w:t>⑪</w:t>
            </w:r>
            <w:r>
              <w:rPr>
                <w:rFonts w:hint="eastAsia" w:ascii="宋体" w:hAnsi="宋体" w:eastAsia="宋体" w:cs="宋体"/>
                <w:color w:val="auto"/>
                <w:spacing w:val="13"/>
                <w:sz w:val="24"/>
                <w:szCs w:val="24"/>
                <w:highlight w:val="none"/>
                <w:lang w:eastAsia="zh-CN"/>
              </w:rPr>
              <w:t>在一份投标文件中对同一招标项目报有两个或以上报</w:t>
            </w:r>
            <w:r>
              <w:rPr>
                <w:rFonts w:hint="eastAsia" w:ascii="宋体" w:hAnsi="宋体" w:eastAsia="宋体" w:cs="宋体"/>
                <w:color w:val="auto"/>
                <w:spacing w:val="-1"/>
                <w:sz w:val="24"/>
                <w:szCs w:val="24"/>
                <w:highlight w:val="none"/>
                <w:lang w:eastAsia="zh-CN"/>
              </w:rPr>
              <w:t>价，</w:t>
            </w:r>
            <w:r>
              <w:rPr>
                <w:rFonts w:hint="eastAsia" w:ascii="宋体" w:hAnsi="宋体" w:eastAsia="宋体" w:cs="宋体"/>
                <w:b w:val="0"/>
                <w:bCs w:val="0"/>
                <w:color w:val="auto"/>
                <w:spacing w:val="-1"/>
                <w:sz w:val="24"/>
                <w:szCs w:val="24"/>
                <w:highlight w:val="none"/>
                <w:lang w:eastAsia="zh-CN"/>
              </w:rPr>
              <w:t>且未声明哪一个有效；</w:t>
            </w:r>
          </w:p>
          <w:p w14:paraId="61758DE8">
            <w:pPr>
              <w:pStyle w:val="23"/>
              <w:keepNext w:val="0"/>
              <w:keepLines w:val="0"/>
              <w:pageBreakBefore w:val="0"/>
              <w:widowControl w:val="0"/>
              <w:wordWrap/>
              <w:overflowPunct/>
              <w:topLinePunct w:val="0"/>
              <w:autoSpaceDE w:val="0"/>
              <w:autoSpaceDN w:val="0"/>
              <w:bidi w:val="0"/>
              <w:adjustRightInd w:val="0"/>
              <w:snapToGrid/>
              <w:spacing w:line="440" w:lineRule="exact"/>
              <w:ind w:left="33" w:right="27" w:hanging="2"/>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2"/>
                <w:sz w:val="24"/>
                <w:szCs w:val="24"/>
                <w:highlight w:val="none"/>
                <w:lang w:val="en-US" w:eastAsia="zh-CN"/>
              </w:rPr>
              <w:t>⑫</w:t>
            </w:r>
            <w:r>
              <w:rPr>
                <w:rFonts w:hint="eastAsia" w:ascii="宋体" w:hAnsi="宋体" w:eastAsia="宋体" w:cs="宋体"/>
                <w:b w:val="0"/>
                <w:bCs w:val="0"/>
                <w:color w:val="auto"/>
                <w:spacing w:val="3"/>
                <w:sz w:val="24"/>
                <w:szCs w:val="24"/>
                <w:highlight w:val="none"/>
              </w:rPr>
              <w:t>安全文明施工费用（包括安全文明施工基本费和创建安全文明施工标化工地增加费）未按照招标文件和工程</w:t>
            </w:r>
            <w:r>
              <w:rPr>
                <w:rFonts w:hint="eastAsia" w:ascii="宋体" w:hAnsi="宋体" w:eastAsia="宋体" w:cs="宋体"/>
                <w:b w:val="0"/>
                <w:bCs w:val="0"/>
                <w:color w:val="auto"/>
                <w:spacing w:val="3"/>
                <w:sz w:val="24"/>
                <w:szCs w:val="24"/>
                <w:highlight w:val="none"/>
              </w:rPr>
              <w:t>量清</w:t>
            </w:r>
            <w:r>
              <w:rPr>
                <w:rFonts w:hint="eastAsia" w:ascii="宋体" w:hAnsi="宋体" w:eastAsia="宋体" w:cs="宋体"/>
                <w:b w:val="0"/>
                <w:bCs w:val="0"/>
                <w:color w:val="auto"/>
                <w:spacing w:val="-2"/>
                <w:sz w:val="24"/>
                <w:szCs w:val="24"/>
                <w:highlight w:val="none"/>
              </w:rPr>
              <w:t>单要求填报的；</w:t>
            </w:r>
          </w:p>
          <w:p w14:paraId="17AE0C7E">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pacing w:val="-1"/>
                <w:sz w:val="24"/>
                <w:szCs w:val="24"/>
                <w:highlight w:val="none"/>
                <w:lang w:eastAsia="zh-CN"/>
              </w:rPr>
              <w:t>⑬存在法律、法规、规章规定的其它否决投标情况的。</w:t>
            </w:r>
          </w:p>
          <w:p w14:paraId="551F5775">
            <w:pPr>
              <w:pStyle w:val="23"/>
              <w:spacing w:before="232" w:line="190" w:lineRule="auto"/>
              <w:ind w:left="45"/>
              <w:rPr>
                <w:color w:val="auto"/>
                <w:sz w:val="24"/>
                <w:szCs w:val="24"/>
                <w:highlight w:val="none"/>
                <w:lang w:eastAsia="zh-CN"/>
              </w:rPr>
            </w:pPr>
            <w:r>
              <w:rPr>
                <w:b/>
                <w:bCs/>
                <w:color w:val="auto"/>
                <w:spacing w:val="-6"/>
                <w:sz w:val="24"/>
                <w:szCs w:val="24"/>
                <w:highlight w:val="none"/>
                <w:lang w:eastAsia="zh-CN"/>
              </w:rPr>
              <w:t>（</w:t>
            </w:r>
            <w:r>
              <w:rPr>
                <w:rFonts w:hint="eastAsia" w:ascii="微软雅黑" w:hAnsi="微软雅黑" w:eastAsia="微软雅黑" w:cs="微软雅黑"/>
                <w:b/>
                <w:bCs/>
                <w:color w:val="auto"/>
                <w:spacing w:val="-6"/>
                <w:sz w:val="24"/>
                <w:szCs w:val="24"/>
                <w:highlight w:val="none"/>
                <w:lang w:val="en-US" w:eastAsia="zh-CN"/>
              </w:rPr>
              <w:t>5</w:t>
            </w:r>
            <w:r>
              <w:rPr>
                <w:b/>
                <w:bCs/>
                <w:color w:val="auto"/>
                <w:spacing w:val="-6"/>
                <w:sz w:val="24"/>
                <w:szCs w:val="24"/>
                <w:highlight w:val="none"/>
                <w:lang w:eastAsia="zh-CN"/>
              </w:rPr>
              <w:t>）其他：</w:t>
            </w:r>
          </w:p>
          <w:p w14:paraId="69695D22">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①投标人及其拟派项目负责人在本招标文件（招标公告）规定时间范围内有行贿犯罪记录的；</w:t>
            </w:r>
          </w:p>
          <w:p w14:paraId="0E6EAF58">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②投标人未按投标人须知前附表10.5项，投标人须知第1.4.4条款、1.12条款和3.6条款规定执行的；</w:t>
            </w:r>
          </w:p>
          <w:p w14:paraId="3A6BC243">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③存在台州市建设工程诚信投标承诺书（投标文件格式七）中串通投标行为的；</w:t>
            </w:r>
          </w:p>
          <w:p w14:paraId="140F0029">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④在投标截止时间前，投标人被列入失信被执行人名单的；</w:t>
            </w:r>
          </w:p>
          <w:p w14:paraId="39F2443A">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⑤投标人及其拟派项目负责人被列入建筑市场严重失信名单的、被市场监督管理机关在全国企业信用信息公示系统中列入严重违法失信企业名单的、被人力资源社会保障行政部门列入失信联合惩戒名单（有效期内）并共享至信用信息共享平台；</w:t>
            </w:r>
          </w:p>
          <w:p w14:paraId="751AD8EA">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⑥法律、法规、规章规定其它应否决投标的情形。</w:t>
            </w:r>
          </w:p>
          <w:p w14:paraId="0FABBF0D">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color w:val="auto"/>
                <w:spacing w:val="-3"/>
                <w:sz w:val="24"/>
                <w:szCs w:val="24"/>
                <w:highlight w:val="none"/>
                <w:lang w:eastAsia="zh-CN"/>
              </w:rPr>
            </w:pPr>
            <w:r>
              <w:rPr>
                <w:rFonts w:hint="eastAsia" w:ascii="宋体" w:hAnsi="宋体" w:eastAsia="宋体" w:cs="宋体"/>
                <w:b w:val="0"/>
                <w:bCs w:val="0"/>
                <w:color w:val="auto"/>
                <w:spacing w:val="-1"/>
                <w:sz w:val="24"/>
                <w:szCs w:val="24"/>
                <w:highlight w:val="none"/>
                <w:lang w:eastAsia="zh-CN"/>
              </w:rPr>
              <w:t>注：凡评标委员会拟作出否决投标决定的，应先向投标人进行书面询问核对。</w:t>
            </w:r>
          </w:p>
        </w:tc>
      </w:tr>
      <w:tr w14:paraId="39A6F5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 w:hRule="atLeast"/>
        </w:trPr>
        <w:tc>
          <w:tcPr>
            <w:tcW w:w="1080" w:type="dxa"/>
            <w:vAlign w:val="top"/>
          </w:tcPr>
          <w:p w14:paraId="306851D7">
            <w:pPr>
              <w:spacing w:line="241" w:lineRule="auto"/>
              <w:rPr>
                <w:color w:val="auto"/>
                <w:highlight w:val="none"/>
                <w:lang w:eastAsia="zh-CN"/>
              </w:rPr>
            </w:pPr>
          </w:p>
          <w:p w14:paraId="7DA94306">
            <w:pPr>
              <w:spacing w:line="241" w:lineRule="auto"/>
              <w:rPr>
                <w:color w:val="auto"/>
                <w:highlight w:val="none"/>
                <w:lang w:eastAsia="zh-CN"/>
              </w:rPr>
            </w:pPr>
          </w:p>
          <w:p w14:paraId="68C5887E">
            <w:pPr>
              <w:spacing w:line="241" w:lineRule="auto"/>
              <w:rPr>
                <w:color w:val="auto"/>
                <w:highlight w:val="none"/>
                <w:lang w:eastAsia="zh-CN"/>
              </w:rPr>
            </w:pPr>
          </w:p>
          <w:p w14:paraId="194ECAC6">
            <w:pPr>
              <w:spacing w:line="241" w:lineRule="auto"/>
              <w:rPr>
                <w:color w:val="auto"/>
                <w:highlight w:val="none"/>
                <w:lang w:eastAsia="zh-CN"/>
              </w:rPr>
            </w:pPr>
          </w:p>
          <w:p w14:paraId="5204CB91">
            <w:pPr>
              <w:spacing w:line="241" w:lineRule="auto"/>
              <w:rPr>
                <w:color w:val="auto"/>
                <w:highlight w:val="none"/>
                <w:lang w:eastAsia="zh-CN"/>
              </w:rPr>
            </w:pPr>
          </w:p>
          <w:p w14:paraId="1C3D3D40">
            <w:pPr>
              <w:spacing w:line="241" w:lineRule="auto"/>
              <w:rPr>
                <w:color w:val="auto"/>
                <w:highlight w:val="none"/>
                <w:lang w:eastAsia="zh-CN"/>
              </w:rPr>
            </w:pPr>
          </w:p>
          <w:p w14:paraId="1D517FC8">
            <w:pPr>
              <w:spacing w:line="242" w:lineRule="auto"/>
              <w:rPr>
                <w:color w:val="auto"/>
                <w:highlight w:val="none"/>
                <w:lang w:eastAsia="zh-CN"/>
              </w:rPr>
            </w:pPr>
          </w:p>
          <w:p w14:paraId="513A369D">
            <w:pPr>
              <w:spacing w:line="242" w:lineRule="auto"/>
              <w:rPr>
                <w:color w:val="auto"/>
                <w:highlight w:val="none"/>
                <w:lang w:eastAsia="zh-CN"/>
              </w:rPr>
            </w:pPr>
          </w:p>
          <w:p w14:paraId="7ED55011">
            <w:pPr>
              <w:spacing w:line="242" w:lineRule="auto"/>
              <w:rPr>
                <w:color w:val="auto"/>
                <w:highlight w:val="none"/>
                <w:lang w:eastAsia="zh-CN"/>
              </w:rPr>
            </w:pPr>
          </w:p>
          <w:p w14:paraId="5800541F">
            <w:pPr>
              <w:spacing w:line="242" w:lineRule="auto"/>
              <w:rPr>
                <w:color w:val="auto"/>
                <w:highlight w:val="none"/>
                <w:lang w:eastAsia="zh-CN"/>
              </w:rPr>
            </w:pPr>
          </w:p>
          <w:p w14:paraId="3055A246">
            <w:pPr>
              <w:spacing w:line="242" w:lineRule="auto"/>
              <w:rPr>
                <w:color w:val="auto"/>
                <w:highlight w:val="none"/>
                <w:lang w:eastAsia="zh-CN"/>
              </w:rPr>
            </w:pPr>
          </w:p>
          <w:p w14:paraId="56BC3D58">
            <w:pPr>
              <w:spacing w:line="242" w:lineRule="auto"/>
              <w:rPr>
                <w:color w:val="auto"/>
                <w:highlight w:val="none"/>
                <w:lang w:eastAsia="zh-CN"/>
              </w:rPr>
            </w:pPr>
          </w:p>
          <w:p w14:paraId="4E04A751">
            <w:pPr>
              <w:spacing w:line="242" w:lineRule="auto"/>
              <w:rPr>
                <w:color w:val="auto"/>
                <w:highlight w:val="none"/>
                <w:lang w:eastAsia="zh-CN"/>
              </w:rPr>
            </w:pPr>
          </w:p>
          <w:p w14:paraId="36725617">
            <w:pPr>
              <w:spacing w:line="242" w:lineRule="auto"/>
              <w:rPr>
                <w:color w:val="auto"/>
                <w:highlight w:val="none"/>
                <w:lang w:eastAsia="zh-CN"/>
              </w:rPr>
            </w:pPr>
          </w:p>
          <w:p w14:paraId="4600D5C3">
            <w:pPr>
              <w:spacing w:line="242" w:lineRule="auto"/>
              <w:rPr>
                <w:color w:val="auto"/>
                <w:highlight w:val="none"/>
                <w:lang w:eastAsia="zh-CN"/>
              </w:rPr>
            </w:pPr>
          </w:p>
          <w:p w14:paraId="4CA98438">
            <w:pPr>
              <w:spacing w:line="242" w:lineRule="auto"/>
              <w:rPr>
                <w:color w:val="auto"/>
                <w:highlight w:val="none"/>
                <w:lang w:eastAsia="zh-CN"/>
              </w:rPr>
            </w:pPr>
          </w:p>
          <w:p w14:paraId="7C96AD9D">
            <w:pPr>
              <w:spacing w:line="242" w:lineRule="auto"/>
              <w:rPr>
                <w:color w:val="auto"/>
                <w:highlight w:val="none"/>
                <w:lang w:eastAsia="zh-CN"/>
              </w:rPr>
            </w:pPr>
          </w:p>
          <w:p w14:paraId="333E8FE1">
            <w:pPr>
              <w:spacing w:line="242" w:lineRule="auto"/>
              <w:rPr>
                <w:color w:val="auto"/>
                <w:highlight w:val="none"/>
                <w:lang w:eastAsia="zh-CN"/>
              </w:rPr>
            </w:pPr>
          </w:p>
          <w:p w14:paraId="6164BFA9">
            <w:pPr>
              <w:spacing w:before="69" w:line="188" w:lineRule="auto"/>
              <w:ind w:left="285" w:leftChars="0"/>
              <w:rPr>
                <w:rFonts w:ascii="Times New Roman" w:hAnsi="Times New Roman" w:eastAsia="Times New Roman" w:cs="Times New Roman"/>
                <w:color w:val="auto"/>
                <w:spacing w:val="-8"/>
                <w:sz w:val="24"/>
                <w:szCs w:val="24"/>
                <w:highlight w:val="none"/>
              </w:rPr>
            </w:pPr>
            <w:r>
              <w:rPr>
                <w:rFonts w:ascii="Times New Roman" w:hAnsi="Times New Roman" w:eastAsia="Times New Roman" w:cs="Times New Roman"/>
                <w:color w:val="auto"/>
                <w:spacing w:val="-8"/>
                <w:sz w:val="24"/>
                <w:szCs w:val="24"/>
                <w:highlight w:val="none"/>
              </w:rPr>
              <w:t>10.2</w:t>
            </w:r>
          </w:p>
        </w:tc>
        <w:tc>
          <w:tcPr>
            <w:tcW w:w="1305" w:type="dxa"/>
            <w:vAlign w:val="top"/>
          </w:tcPr>
          <w:p w14:paraId="156A73CE">
            <w:pPr>
              <w:spacing w:line="252" w:lineRule="auto"/>
              <w:rPr>
                <w:color w:val="auto"/>
                <w:highlight w:val="none"/>
              </w:rPr>
            </w:pPr>
          </w:p>
          <w:p w14:paraId="23CB6F06">
            <w:pPr>
              <w:spacing w:line="253" w:lineRule="auto"/>
              <w:rPr>
                <w:color w:val="auto"/>
                <w:highlight w:val="none"/>
              </w:rPr>
            </w:pPr>
          </w:p>
          <w:p w14:paraId="75C26858">
            <w:pPr>
              <w:spacing w:line="253" w:lineRule="auto"/>
              <w:rPr>
                <w:color w:val="auto"/>
                <w:highlight w:val="none"/>
              </w:rPr>
            </w:pPr>
          </w:p>
          <w:p w14:paraId="5672427D">
            <w:pPr>
              <w:spacing w:line="253" w:lineRule="auto"/>
              <w:rPr>
                <w:color w:val="auto"/>
                <w:highlight w:val="none"/>
              </w:rPr>
            </w:pPr>
          </w:p>
          <w:p w14:paraId="31BABDEB">
            <w:pPr>
              <w:spacing w:line="253" w:lineRule="auto"/>
              <w:rPr>
                <w:color w:val="auto"/>
                <w:highlight w:val="none"/>
              </w:rPr>
            </w:pPr>
          </w:p>
          <w:p w14:paraId="1BD09F94">
            <w:pPr>
              <w:spacing w:line="253" w:lineRule="auto"/>
              <w:rPr>
                <w:color w:val="auto"/>
                <w:highlight w:val="none"/>
              </w:rPr>
            </w:pPr>
          </w:p>
          <w:p w14:paraId="4AA89341">
            <w:pPr>
              <w:spacing w:line="253" w:lineRule="auto"/>
              <w:rPr>
                <w:color w:val="auto"/>
                <w:highlight w:val="none"/>
              </w:rPr>
            </w:pPr>
          </w:p>
          <w:p w14:paraId="0735CC36">
            <w:pPr>
              <w:spacing w:line="253" w:lineRule="auto"/>
              <w:rPr>
                <w:color w:val="auto"/>
                <w:highlight w:val="none"/>
              </w:rPr>
            </w:pPr>
          </w:p>
          <w:p w14:paraId="640F8848">
            <w:pPr>
              <w:spacing w:line="253" w:lineRule="auto"/>
              <w:rPr>
                <w:color w:val="auto"/>
                <w:highlight w:val="none"/>
              </w:rPr>
            </w:pPr>
          </w:p>
          <w:p w14:paraId="21F4C2AA">
            <w:pPr>
              <w:spacing w:line="253" w:lineRule="auto"/>
              <w:rPr>
                <w:color w:val="auto"/>
                <w:highlight w:val="none"/>
              </w:rPr>
            </w:pPr>
          </w:p>
          <w:p w14:paraId="3B8115B2">
            <w:pPr>
              <w:spacing w:line="253" w:lineRule="auto"/>
              <w:rPr>
                <w:color w:val="auto"/>
                <w:highlight w:val="none"/>
              </w:rPr>
            </w:pPr>
          </w:p>
          <w:p w14:paraId="795CD017">
            <w:pPr>
              <w:spacing w:line="253" w:lineRule="auto"/>
              <w:rPr>
                <w:color w:val="auto"/>
                <w:highlight w:val="none"/>
              </w:rPr>
            </w:pPr>
          </w:p>
          <w:p w14:paraId="619F2B16">
            <w:pPr>
              <w:spacing w:line="253" w:lineRule="auto"/>
              <w:rPr>
                <w:color w:val="auto"/>
                <w:highlight w:val="none"/>
              </w:rPr>
            </w:pPr>
          </w:p>
          <w:p w14:paraId="21F3EDD3">
            <w:pPr>
              <w:spacing w:line="253" w:lineRule="auto"/>
              <w:rPr>
                <w:color w:val="auto"/>
                <w:highlight w:val="none"/>
              </w:rPr>
            </w:pPr>
          </w:p>
          <w:p w14:paraId="1EE063F2">
            <w:pPr>
              <w:spacing w:line="253" w:lineRule="auto"/>
              <w:rPr>
                <w:color w:val="auto"/>
                <w:highlight w:val="none"/>
              </w:rPr>
            </w:pPr>
          </w:p>
          <w:p w14:paraId="3D6DA05C">
            <w:pPr>
              <w:spacing w:line="253" w:lineRule="auto"/>
              <w:rPr>
                <w:color w:val="auto"/>
                <w:highlight w:val="none"/>
              </w:rPr>
            </w:pPr>
          </w:p>
          <w:p w14:paraId="65ECE65F">
            <w:pPr>
              <w:spacing w:line="253" w:lineRule="auto"/>
              <w:rPr>
                <w:color w:val="auto"/>
                <w:highlight w:val="none"/>
              </w:rPr>
            </w:pPr>
          </w:p>
          <w:p w14:paraId="00D1A2A4">
            <w:pPr>
              <w:pStyle w:val="23"/>
              <w:spacing w:before="78" w:line="219" w:lineRule="auto"/>
              <w:ind w:left="34" w:leftChars="0"/>
              <w:rPr>
                <w:color w:val="auto"/>
                <w:spacing w:val="-2"/>
                <w:sz w:val="24"/>
                <w:szCs w:val="24"/>
                <w:highlight w:val="none"/>
              </w:rPr>
            </w:pPr>
            <w:r>
              <w:rPr>
                <w:color w:val="auto"/>
                <w:spacing w:val="-3"/>
                <w:sz w:val="24"/>
                <w:szCs w:val="24"/>
                <w:highlight w:val="none"/>
              </w:rPr>
              <w:t>异议与投诉</w:t>
            </w:r>
          </w:p>
        </w:tc>
        <w:tc>
          <w:tcPr>
            <w:tcW w:w="7229" w:type="dxa"/>
            <w:vAlign w:val="top"/>
          </w:tcPr>
          <w:p w14:paraId="53FBB774">
            <w:pPr>
              <w:pStyle w:val="23"/>
              <w:spacing w:before="49" w:line="219" w:lineRule="auto"/>
              <w:ind w:left="52"/>
              <w:rPr>
                <w:color w:val="auto"/>
                <w:sz w:val="24"/>
                <w:szCs w:val="24"/>
                <w:highlight w:val="none"/>
                <w:lang w:eastAsia="zh-CN"/>
              </w:rPr>
            </w:pPr>
            <w:r>
              <w:rPr>
                <w:rFonts w:ascii="Times New Roman" w:hAnsi="Times New Roman" w:eastAsia="Times New Roman" w:cs="Times New Roman"/>
                <w:color w:val="auto"/>
                <w:spacing w:val="-6"/>
                <w:sz w:val="24"/>
                <w:szCs w:val="24"/>
                <w:highlight w:val="none"/>
                <w:lang w:eastAsia="zh-CN"/>
              </w:rPr>
              <w:t>1.</w:t>
            </w:r>
            <w:r>
              <w:rPr>
                <w:color w:val="auto"/>
                <w:spacing w:val="-6"/>
                <w:sz w:val="24"/>
                <w:szCs w:val="24"/>
                <w:highlight w:val="none"/>
                <w:lang w:eastAsia="zh-CN"/>
              </w:rPr>
              <w:t>异议：</w:t>
            </w:r>
          </w:p>
          <w:p w14:paraId="1D253131">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（1）潜在投标人或者其他利害关系人对招标文件有异议的，应当在投标截止时间10日前以书面形式向招标人提出。招标人将在收到异议之日起3日内作出书面答复；作出答复前，暂停招标投标活动；</w:t>
            </w:r>
          </w:p>
          <w:p w14:paraId="1FB5B019">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2）投标人认为开标不符合有关规定的，应当在开标现场通过交易中心电子招投标交易平台向招标人提出异议。招标人将当场对异议给予处理或者告知处理的办法。异议和答复应记入开标记录或者制作专门记录以存档备查；</w:t>
            </w:r>
          </w:p>
          <w:p w14:paraId="04B18F7B">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（3）投标人及其他利害关系人对评标结果有异议的，应当在中标候选人公示期内以书面形式向招标人提出。招标人将在收到异议之日起3日内作出书面答复；作出答复</w:t>
            </w:r>
          </w:p>
          <w:p w14:paraId="205BCFE6">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前，暂停招标投标活动。</w:t>
            </w:r>
          </w:p>
          <w:p w14:paraId="2B221A0C">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w:t>
            </w:r>
            <w:r>
              <w:rPr>
                <w:rFonts w:hint="eastAsia" w:ascii="宋体" w:hAnsi="宋体" w:eastAsia="宋体" w:cs="宋体"/>
                <w:b w:val="0"/>
                <w:bCs w:val="0"/>
                <w:color w:val="auto"/>
                <w:spacing w:val="-1"/>
                <w:sz w:val="24"/>
                <w:szCs w:val="24"/>
                <w:highlight w:val="none"/>
                <w:lang w:val="en-US" w:eastAsia="zh-CN"/>
              </w:rPr>
              <w:t>4）</w:t>
            </w:r>
            <w:r>
              <w:rPr>
                <w:rFonts w:hint="eastAsia" w:ascii="宋体" w:hAnsi="宋体" w:eastAsia="宋体" w:cs="宋体"/>
                <w:b w:val="0"/>
                <w:bCs w:val="0"/>
                <w:color w:val="auto"/>
                <w:spacing w:val="-1"/>
                <w:sz w:val="24"/>
                <w:szCs w:val="24"/>
                <w:highlight w:val="none"/>
                <w:lang w:eastAsia="zh-CN"/>
              </w:rPr>
              <w:t>其他：</w:t>
            </w:r>
            <w:r>
              <w:rPr>
                <w:rFonts w:hint="eastAsia" w:ascii="宋体" w:hAnsi="宋体" w:eastAsia="宋体" w:cs="宋体"/>
                <w:b w:val="0"/>
                <w:bCs w:val="0"/>
                <w:color w:val="auto"/>
                <w:spacing w:val="-1"/>
                <w:sz w:val="24"/>
                <w:szCs w:val="24"/>
                <w:highlight w:val="none"/>
                <w:u w:val="single"/>
                <w:lang w:val="en-US" w:eastAsia="zh-CN"/>
              </w:rPr>
              <w:t>/</w:t>
            </w:r>
            <w:r>
              <w:rPr>
                <w:rFonts w:hint="eastAsia" w:ascii="宋体" w:hAnsi="宋体" w:eastAsia="宋体" w:cs="宋体"/>
                <w:b w:val="0"/>
                <w:bCs w:val="0"/>
                <w:color w:val="auto"/>
                <w:spacing w:val="-1"/>
                <w:sz w:val="24"/>
                <w:szCs w:val="24"/>
                <w:highlight w:val="none"/>
                <w:u w:val="single"/>
                <w:lang w:eastAsia="zh-CN"/>
              </w:rPr>
              <w:t xml:space="preserve">    </w:t>
            </w:r>
            <w:r>
              <w:rPr>
                <w:rFonts w:hint="eastAsia" w:ascii="宋体" w:hAnsi="宋体" w:eastAsia="宋体" w:cs="宋体"/>
                <w:b w:val="0"/>
                <w:bCs w:val="0"/>
                <w:color w:val="auto"/>
                <w:spacing w:val="-1"/>
                <w:sz w:val="24"/>
                <w:szCs w:val="24"/>
                <w:highlight w:val="none"/>
                <w:lang w:eastAsia="zh-CN"/>
              </w:rPr>
              <w:t>。</w:t>
            </w:r>
          </w:p>
          <w:p w14:paraId="3656C0F1">
            <w:pPr>
              <w:pStyle w:val="23"/>
              <w:numPr>
                <w:ilvl w:val="0"/>
                <w:numId w:val="0"/>
              </w:numPr>
              <w:spacing w:before="23" w:line="230" w:lineRule="auto"/>
              <w:ind w:left="44" w:leftChars="0" w:right="1000" w:rightChars="0"/>
              <w:rPr>
                <w:color w:val="auto"/>
                <w:sz w:val="24"/>
                <w:szCs w:val="24"/>
                <w:highlight w:val="none"/>
                <w:lang w:eastAsia="zh-CN"/>
              </w:rPr>
            </w:pPr>
            <w:r>
              <w:rPr>
                <w:rFonts w:ascii="Times New Roman" w:hAnsi="Times New Roman" w:eastAsia="Times New Roman" w:cs="Times New Roman"/>
                <w:color w:val="auto"/>
                <w:spacing w:val="-2"/>
                <w:sz w:val="24"/>
                <w:szCs w:val="24"/>
                <w:highlight w:val="none"/>
                <w:lang w:eastAsia="zh-CN"/>
              </w:rPr>
              <w:t>2.</w:t>
            </w:r>
            <w:r>
              <w:rPr>
                <w:color w:val="auto"/>
                <w:spacing w:val="-2"/>
                <w:sz w:val="24"/>
                <w:szCs w:val="24"/>
                <w:highlight w:val="none"/>
                <w:lang w:eastAsia="zh-CN"/>
              </w:rPr>
              <w:t>投诉：</w:t>
            </w:r>
          </w:p>
          <w:p w14:paraId="1BFB72CD">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1）投标人或者其他利害关系人认为招标投标活动不符合法律、行政法规和招标文件规定的，可以自知道或者应当知道之日起10日内向有关行政监督部门投诉。投诉应当有明确的请求和必要的证明资料，具体要求按《工程建设项目招标投标活动投诉处理办法》规定。</w:t>
            </w:r>
          </w:p>
          <w:p w14:paraId="6571866D">
            <w:pPr>
              <w:pStyle w:val="23"/>
              <w:spacing w:before="28" w:line="211" w:lineRule="auto"/>
              <w:ind w:left="45"/>
              <w:rPr>
                <w:color w:val="auto"/>
                <w:sz w:val="24"/>
                <w:szCs w:val="24"/>
                <w:highlight w:val="none"/>
                <w:lang w:eastAsia="zh-CN"/>
              </w:rPr>
            </w:pPr>
            <w:r>
              <w:rPr>
                <w:color w:val="auto"/>
                <w:spacing w:val="-6"/>
                <w:sz w:val="24"/>
                <w:szCs w:val="24"/>
                <w:highlight w:val="none"/>
                <w:lang w:eastAsia="zh-CN"/>
              </w:rPr>
              <w:t>（</w:t>
            </w:r>
            <w:r>
              <w:rPr>
                <w:rFonts w:ascii="Times New Roman" w:hAnsi="Times New Roman" w:eastAsia="Times New Roman" w:cs="Times New Roman"/>
                <w:color w:val="auto"/>
                <w:spacing w:val="-6"/>
                <w:sz w:val="24"/>
                <w:szCs w:val="24"/>
                <w:highlight w:val="none"/>
                <w:lang w:eastAsia="zh-CN"/>
              </w:rPr>
              <w:t>2</w:t>
            </w:r>
            <w:r>
              <w:rPr>
                <w:color w:val="auto"/>
                <w:spacing w:val="-6"/>
                <w:sz w:val="24"/>
                <w:szCs w:val="24"/>
                <w:highlight w:val="none"/>
                <w:lang w:eastAsia="zh-CN"/>
              </w:rPr>
              <w:t>）其他</w:t>
            </w:r>
            <w:r>
              <w:rPr>
                <w:color w:val="auto"/>
                <w:spacing w:val="11"/>
                <w:sz w:val="24"/>
                <w:szCs w:val="24"/>
                <w:highlight w:val="none"/>
                <w:lang w:eastAsia="zh-CN"/>
              </w:rPr>
              <w:t>：</w:t>
            </w:r>
            <w:r>
              <w:rPr>
                <w:rFonts w:hint="eastAsia" w:ascii="Times New Roman" w:cs="Times New Roman"/>
                <w:color w:val="auto"/>
                <w:szCs w:val="24"/>
                <w:highlight w:val="none"/>
                <w:u w:val="single"/>
                <w:lang w:val="en-US" w:eastAsia="zh-CN"/>
              </w:rPr>
              <w:t>/</w:t>
            </w:r>
            <w:r>
              <w:rPr>
                <w:rFonts w:ascii="Times New Roman" w:cs="Times New Roman"/>
                <w:color w:val="auto"/>
                <w:szCs w:val="24"/>
                <w:highlight w:val="none"/>
                <w:u w:val="single"/>
              </w:rPr>
              <w:t xml:space="preserve">    </w:t>
            </w:r>
            <w:r>
              <w:rPr>
                <w:rFonts w:ascii="Times New Roman" w:cs="Times New Roman"/>
                <w:color w:val="auto"/>
                <w:szCs w:val="24"/>
                <w:highlight w:val="none"/>
              </w:rPr>
              <w:t>。</w:t>
            </w:r>
          </w:p>
          <w:p w14:paraId="23EB1370">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ascii="Times New Roman" w:hAnsi="Times New Roman" w:eastAsia="Times New Roman" w:cs="Times New Roman"/>
                <w:color w:val="auto"/>
                <w:spacing w:val="-1"/>
                <w:sz w:val="24"/>
                <w:szCs w:val="24"/>
                <w:highlight w:val="none"/>
                <w:lang w:eastAsia="zh-CN"/>
              </w:rPr>
              <w:t>3</w:t>
            </w:r>
            <w:r>
              <w:rPr>
                <w:rFonts w:hint="eastAsia" w:ascii="宋体" w:hAnsi="宋体" w:eastAsia="宋体" w:cs="宋体"/>
                <w:b w:val="0"/>
                <w:bCs w:val="0"/>
                <w:color w:val="auto"/>
                <w:spacing w:val="-1"/>
                <w:sz w:val="24"/>
                <w:szCs w:val="24"/>
                <w:highlight w:val="none"/>
                <w:lang w:eastAsia="zh-CN"/>
              </w:rPr>
              <w:t>.上述时限最后一日如遇国家法定节假日的，顺延至法定节假日后的第一个工作日。</w:t>
            </w:r>
          </w:p>
          <w:p w14:paraId="0DAB4E8C">
            <w:pPr>
              <w:pStyle w:val="23"/>
              <w:keepNext w:val="0"/>
              <w:keepLines w:val="0"/>
              <w:pageBreakBefore w:val="0"/>
              <w:widowControl w:val="0"/>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提出投诉的应当知道起始时间界定为：（1）对招标文件 公告资格条件的投诉以下载招标文件的第一天为准；</w:t>
            </w:r>
          </w:p>
          <w:p w14:paraId="470C9AEF">
            <w:pPr>
              <w:pStyle w:val="23"/>
              <w:keepNext w:val="0"/>
              <w:keepLines w:val="0"/>
              <w:pageBreakBefore w:val="0"/>
              <w:widowControl w:val="0"/>
              <w:numPr>
                <w:ilvl w:val="0"/>
                <w:numId w:val="8"/>
              </w:numPr>
              <w:wordWrap/>
              <w:overflowPunct/>
              <w:topLinePunct w:val="0"/>
              <w:autoSpaceDE w:val="0"/>
              <w:autoSpaceDN w:val="0"/>
              <w:bidi w:val="0"/>
              <w:adjustRightInd w:val="0"/>
              <w:snapToGrid/>
              <w:spacing w:line="440" w:lineRule="exact"/>
              <w:ind w:left="31"/>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对除公告资格条件外招标文件其他内容的投诉以招标文件下载最后一天为准；</w:t>
            </w:r>
          </w:p>
          <w:p w14:paraId="1F5F7332">
            <w:pPr>
              <w:pStyle w:val="23"/>
              <w:keepNext w:val="0"/>
              <w:keepLines w:val="0"/>
              <w:pageBreakBefore w:val="0"/>
              <w:widowControl w:val="0"/>
              <w:numPr>
                <w:ilvl w:val="0"/>
                <w:numId w:val="8"/>
              </w:numPr>
              <w:wordWrap/>
              <w:overflowPunct/>
              <w:topLinePunct w:val="0"/>
              <w:autoSpaceDE w:val="0"/>
              <w:autoSpaceDN w:val="0"/>
              <w:bidi w:val="0"/>
              <w:adjustRightInd w:val="0"/>
              <w:snapToGrid/>
              <w:spacing w:line="440" w:lineRule="exact"/>
              <w:ind w:left="31" w:leftChars="0" w:firstLine="0" w:firstLineChars="0"/>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对开标的投诉以开标时 间为准；</w:t>
            </w:r>
          </w:p>
          <w:p w14:paraId="25101A1C">
            <w:pPr>
              <w:pStyle w:val="23"/>
              <w:keepNext w:val="0"/>
              <w:keepLines w:val="0"/>
              <w:pageBreakBefore w:val="0"/>
              <w:widowControl w:val="0"/>
              <w:numPr>
                <w:ilvl w:val="0"/>
                <w:numId w:val="0"/>
              </w:numPr>
              <w:wordWrap/>
              <w:overflowPunct/>
              <w:topLinePunct w:val="0"/>
              <w:autoSpaceDE w:val="0"/>
              <w:autoSpaceDN w:val="0"/>
              <w:bidi w:val="0"/>
              <w:adjustRightInd w:val="0"/>
              <w:snapToGrid/>
              <w:spacing w:line="440" w:lineRule="exact"/>
              <w:ind w:left="31" w:leftChars="0"/>
              <w:textAlignment w:val="auto"/>
              <w:rPr>
                <w:color w:val="auto"/>
                <w:spacing w:val="3"/>
                <w:sz w:val="24"/>
                <w:szCs w:val="24"/>
                <w:highlight w:val="none"/>
                <w:lang w:eastAsia="zh-CN"/>
              </w:rPr>
            </w:pPr>
            <w:r>
              <w:rPr>
                <w:rFonts w:hint="eastAsia" w:ascii="宋体" w:hAnsi="宋体" w:eastAsia="宋体" w:cs="宋体"/>
                <w:b w:val="0"/>
                <w:bCs w:val="0"/>
                <w:color w:val="auto"/>
                <w:spacing w:val="-1"/>
                <w:sz w:val="24"/>
                <w:szCs w:val="24"/>
                <w:highlight w:val="none"/>
                <w:lang w:eastAsia="zh-CN"/>
              </w:rPr>
              <w:t>（4）对评标结果的投诉以中标候选人公示期的 起始时间为准。</w:t>
            </w:r>
          </w:p>
        </w:tc>
      </w:tr>
      <w:tr w14:paraId="7BCA8A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080" w:type="dxa"/>
            <w:vAlign w:val="top"/>
          </w:tcPr>
          <w:p w14:paraId="693BBE49">
            <w:pPr>
              <w:spacing w:line="275" w:lineRule="auto"/>
              <w:rPr>
                <w:color w:val="auto"/>
                <w:highlight w:val="none"/>
              </w:rPr>
            </w:pPr>
          </w:p>
          <w:p w14:paraId="67E55FB6">
            <w:pPr>
              <w:spacing w:line="275" w:lineRule="auto"/>
              <w:rPr>
                <w:color w:val="auto"/>
                <w:highlight w:val="none"/>
              </w:rPr>
            </w:pPr>
          </w:p>
          <w:p w14:paraId="314F1790">
            <w:pPr>
              <w:spacing w:line="275" w:lineRule="auto"/>
              <w:rPr>
                <w:color w:val="auto"/>
                <w:highlight w:val="none"/>
              </w:rPr>
            </w:pPr>
          </w:p>
          <w:p w14:paraId="7FD7BD86">
            <w:pPr>
              <w:spacing w:line="276" w:lineRule="auto"/>
              <w:rPr>
                <w:color w:val="auto"/>
                <w:highlight w:val="none"/>
              </w:rPr>
            </w:pPr>
          </w:p>
          <w:p w14:paraId="2CC649C6">
            <w:pPr>
              <w:spacing w:before="69" w:line="188" w:lineRule="auto"/>
              <w:ind w:left="285" w:leftChars="0"/>
              <w:rPr>
                <w:rFonts w:ascii="Times New Roman" w:hAnsi="Times New Roman" w:eastAsia="Times New Roman" w:cs="Times New Roman"/>
                <w:color w:val="auto"/>
                <w:spacing w:val="-8"/>
                <w:sz w:val="24"/>
                <w:szCs w:val="24"/>
                <w:highlight w:val="none"/>
              </w:rPr>
            </w:pPr>
            <w:r>
              <w:rPr>
                <w:rFonts w:ascii="Times New Roman" w:hAnsi="Times New Roman" w:eastAsia="Times New Roman" w:cs="Times New Roman"/>
                <w:color w:val="auto"/>
                <w:spacing w:val="-8"/>
                <w:sz w:val="24"/>
                <w:szCs w:val="24"/>
                <w:highlight w:val="none"/>
              </w:rPr>
              <w:t>10.3</w:t>
            </w:r>
          </w:p>
        </w:tc>
        <w:tc>
          <w:tcPr>
            <w:tcW w:w="1305" w:type="dxa"/>
            <w:vAlign w:val="top"/>
          </w:tcPr>
          <w:p w14:paraId="12DAE250">
            <w:pPr>
              <w:spacing w:line="263" w:lineRule="auto"/>
              <w:rPr>
                <w:color w:val="auto"/>
                <w:highlight w:val="none"/>
              </w:rPr>
            </w:pPr>
          </w:p>
          <w:p w14:paraId="7DC03EE0">
            <w:pPr>
              <w:spacing w:line="263" w:lineRule="auto"/>
              <w:rPr>
                <w:color w:val="auto"/>
                <w:highlight w:val="none"/>
              </w:rPr>
            </w:pPr>
          </w:p>
          <w:p w14:paraId="0949BC01">
            <w:pPr>
              <w:spacing w:line="263" w:lineRule="auto"/>
              <w:rPr>
                <w:color w:val="auto"/>
                <w:highlight w:val="none"/>
              </w:rPr>
            </w:pPr>
          </w:p>
          <w:p w14:paraId="1B759FBB">
            <w:pPr>
              <w:spacing w:line="263" w:lineRule="auto"/>
              <w:rPr>
                <w:color w:val="auto"/>
                <w:highlight w:val="none"/>
              </w:rPr>
            </w:pPr>
          </w:p>
          <w:p w14:paraId="4193BC2B">
            <w:pPr>
              <w:pStyle w:val="23"/>
              <w:spacing w:before="78" w:line="219" w:lineRule="auto"/>
              <w:ind w:left="38" w:leftChars="0"/>
              <w:rPr>
                <w:color w:val="auto"/>
                <w:spacing w:val="-3"/>
                <w:sz w:val="24"/>
                <w:szCs w:val="24"/>
                <w:highlight w:val="none"/>
              </w:rPr>
            </w:pPr>
            <w:r>
              <w:rPr>
                <w:color w:val="auto"/>
                <w:spacing w:val="-4"/>
                <w:sz w:val="24"/>
                <w:szCs w:val="24"/>
                <w:highlight w:val="none"/>
              </w:rPr>
              <w:t>定标前核查</w:t>
            </w:r>
          </w:p>
        </w:tc>
        <w:tc>
          <w:tcPr>
            <w:tcW w:w="7229" w:type="dxa"/>
            <w:vAlign w:val="top"/>
          </w:tcPr>
          <w:p w14:paraId="2B094588">
            <w:pPr>
              <w:pStyle w:val="23"/>
              <w:keepNext w:val="0"/>
              <w:keepLines w:val="0"/>
              <w:pageBreakBefore w:val="0"/>
              <w:widowControl w:val="0"/>
              <w:kinsoku/>
              <w:wordWrap/>
              <w:overflowPunct/>
              <w:topLinePunct w:val="0"/>
              <w:autoSpaceDE w:val="0"/>
              <w:autoSpaceDN w:val="0"/>
              <w:bidi w:val="0"/>
              <w:adjustRightInd w:val="0"/>
              <w:snapToGrid/>
              <w:spacing w:line="440" w:lineRule="exact"/>
              <w:ind w:left="52"/>
              <w:textAlignment w:val="auto"/>
              <w:rPr>
                <w:rFonts w:hint="eastAsia" w:ascii="宋体" w:hAnsi="宋体" w:eastAsia="宋体" w:cs="宋体"/>
                <w:color w:val="auto"/>
                <w:spacing w:val="-1"/>
                <w:sz w:val="24"/>
                <w:szCs w:val="24"/>
                <w:highlight w:val="none"/>
                <w:lang w:val="en-US" w:eastAsia="zh-CN" w:bidi="ar-SA"/>
              </w:rPr>
            </w:pPr>
            <w:r>
              <w:rPr>
                <w:rFonts w:hint="eastAsia" w:ascii="宋体" w:hAnsi="宋体" w:eastAsia="宋体" w:cs="宋体"/>
                <w:color w:val="auto"/>
                <w:spacing w:val="-1"/>
                <w:sz w:val="24"/>
                <w:szCs w:val="24"/>
                <w:highlight w:val="none"/>
                <w:lang w:val="en-US" w:eastAsia="zh-CN" w:bidi="ar-SA"/>
              </w:rPr>
              <w:t>1.招标人定标前，将组织:</w:t>
            </w:r>
          </w:p>
          <w:p w14:paraId="14B8FC0D">
            <w:pPr>
              <w:pStyle w:val="23"/>
              <w:keepNext w:val="0"/>
              <w:keepLines w:val="0"/>
              <w:pageBreakBefore w:val="0"/>
              <w:widowControl w:val="0"/>
              <w:kinsoku/>
              <w:wordWrap/>
              <w:overflowPunct/>
              <w:topLinePunct w:val="0"/>
              <w:autoSpaceDE w:val="0"/>
              <w:autoSpaceDN w:val="0"/>
              <w:bidi w:val="0"/>
              <w:adjustRightInd w:val="0"/>
              <w:snapToGrid/>
              <w:spacing w:line="440" w:lineRule="exact"/>
              <w:ind w:left="22" w:right="55" w:firstLine="23"/>
              <w:textAlignment w:val="auto"/>
              <w:rPr>
                <w:rFonts w:hint="eastAsia" w:ascii="宋体" w:hAnsi="宋体" w:eastAsia="宋体" w:cs="宋体"/>
                <w:color w:val="auto"/>
                <w:spacing w:val="-1"/>
                <w:sz w:val="24"/>
                <w:szCs w:val="24"/>
                <w:highlight w:val="none"/>
                <w:lang w:val="en-US" w:eastAsia="zh-CN" w:bidi="ar-SA"/>
              </w:rPr>
            </w:pPr>
            <w:r>
              <w:rPr>
                <w:rFonts w:hint="eastAsia" w:ascii="宋体" w:hAnsi="宋体" w:eastAsia="宋体" w:cs="宋体"/>
                <w:color w:val="auto"/>
                <w:spacing w:val="-1"/>
                <w:sz w:val="24"/>
                <w:szCs w:val="24"/>
                <w:highlight w:val="none"/>
                <w:lang w:val="en-US" w:eastAsia="zh-CN" w:bidi="ar-SA"/>
              </w:rPr>
              <w:t>（1）核验《安全生产许可证》和有效的安全生产考核合格证书；“浙江省建筑市场监管公共服务系统”上最新资质动态核查结果处于“合格”状态。</w:t>
            </w:r>
          </w:p>
          <w:p w14:paraId="0101DDB2">
            <w:pPr>
              <w:pStyle w:val="23"/>
              <w:keepNext w:val="0"/>
              <w:keepLines w:val="0"/>
              <w:pageBreakBefore w:val="0"/>
              <w:widowControl w:val="0"/>
              <w:kinsoku/>
              <w:wordWrap/>
              <w:overflowPunct/>
              <w:topLinePunct w:val="0"/>
              <w:autoSpaceDE w:val="0"/>
              <w:autoSpaceDN w:val="0"/>
              <w:bidi w:val="0"/>
              <w:adjustRightInd w:val="0"/>
              <w:snapToGrid/>
              <w:spacing w:line="440" w:lineRule="exact"/>
              <w:ind w:left="39" w:right="241" w:firstLine="5"/>
              <w:textAlignment w:val="auto"/>
              <w:rPr>
                <w:rFonts w:hint="eastAsia" w:ascii="宋体" w:hAnsi="宋体" w:eastAsia="宋体" w:cs="宋体"/>
                <w:color w:val="auto"/>
                <w:spacing w:val="-1"/>
                <w:sz w:val="24"/>
                <w:szCs w:val="24"/>
                <w:highlight w:val="none"/>
                <w:lang w:val="en-US" w:eastAsia="zh-CN" w:bidi="ar-SA"/>
              </w:rPr>
            </w:pPr>
            <w:r>
              <w:rPr>
                <w:rFonts w:hint="eastAsia" w:ascii="宋体" w:hAnsi="宋体" w:eastAsia="宋体" w:cs="宋体"/>
                <w:color w:val="auto"/>
                <w:spacing w:val="-1"/>
                <w:sz w:val="24"/>
                <w:szCs w:val="24"/>
                <w:highlight w:val="none"/>
                <w:lang w:val="en-US" w:eastAsia="zh-CN" w:bidi="ar-SA"/>
              </w:rPr>
              <w:t>（2）查询拟中标人及拟派项目负责人等是否符合招标公告“（三）其他”的要求。</w:t>
            </w:r>
          </w:p>
          <w:p w14:paraId="1C1C9BA1">
            <w:pPr>
              <w:pStyle w:val="23"/>
              <w:spacing w:before="28" w:line="227" w:lineRule="auto"/>
              <w:ind w:left="33" w:leftChars="0" w:right="241" w:rightChars="0" w:firstLine="25" w:firstLineChars="0"/>
              <w:rPr>
                <w:color w:val="auto"/>
                <w:spacing w:val="-1"/>
                <w:sz w:val="24"/>
                <w:szCs w:val="24"/>
                <w:highlight w:val="none"/>
                <w:lang w:eastAsia="zh-CN"/>
              </w:rPr>
            </w:pPr>
            <w:r>
              <w:rPr>
                <w:rFonts w:hint="eastAsia" w:ascii="宋体" w:hAnsi="宋体" w:eastAsia="宋体" w:cs="宋体"/>
                <w:color w:val="auto"/>
                <w:spacing w:val="-1"/>
                <w:sz w:val="24"/>
                <w:szCs w:val="24"/>
                <w:highlight w:val="none"/>
                <w:lang w:val="en-US" w:eastAsia="zh-CN" w:bidi="ar-SA"/>
              </w:rPr>
              <w:t>□（3）面向中小企业招标的，核验中标候选人的中小企业身份</w:t>
            </w:r>
          </w:p>
        </w:tc>
      </w:tr>
      <w:tr w14:paraId="38FB45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080" w:type="dxa"/>
            <w:vAlign w:val="top"/>
          </w:tcPr>
          <w:p w14:paraId="4D0FE759">
            <w:pPr>
              <w:spacing w:line="249" w:lineRule="auto"/>
              <w:rPr>
                <w:color w:val="auto"/>
                <w:highlight w:val="none"/>
                <w:lang w:eastAsia="zh-CN"/>
              </w:rPr>
            </w:pPr>
          </w:p>
          <w:p w14:paraId="327846F0">
            <w:pPr>
              <w:spacing w:line="249" w:lineRule="auto"/>
              <w:rPr>
                <w:color w:val="auto"/>
                <w:highlight w:val="none"/>
                <w:lang w:eastAsia="zh-CN"/>
              </w:rPr>
            </w:pPr>
          </w:p>
          <w:p w14:paraId="3CF6734E">
            <w:pPr>
              <w:spacing w:line="249" w:lineRule="auto"/>
              <w:rPr>
                <w:color w:val="auto"/>
                <w:highlight w:val="none"/>
                <w:lang w:eastAsia="zh-CN"/>
              </w:rPr>
            </w:pPr>
          </w:p>
          <w:p w14:paraId="1E78B5A7">
            <w:pPr>
              <w:spacing w:line="249" w:lineRule="auto"/>
              <w:rPr>
                <w:color w:val="auto"/>
                <w:highlight w:val="none"/>
                <w:lang w:eastAsia="zh-CN"/>
              </w:rPr>
            </w:pPr>
          </w:p>
          <w:p w14:paraId="3BA98629">
            <w:pPr>
              <w:spacing w:line="249" w:lineRule="auto"/>
              <w:rPr>
                <w:color w:val="auto"/>
                <w:highlight w:val="none"/>
                <w:lang w:eastAsia="zh-CN"/>
              </w:rPr>
            </w:pPr>
          </w:p>
          <w:p w14:paraId="08FD4FB9">
            <w:pPr>
              <w:spacing w:line="249" w:lineRule="auto"/>
              <w:rPr>
                <w:color w:val="auto"/>
                <w:highlight w:val="none"/>
                <w:lang w:eastAsia="zh-CN"/>
              </w:rPr>
            </w:pPr>
          </w:p>
          <w:p w14:paraId="17E3D672">
            <w:pPr>
              <w:spacing w:line="249" w:lineRule="auto"/>
              <w:rPr>
                <w:color w:val="auto"/>
                <w:highlight w:val="none"/>
                <w:lang w:eastAsia="zh-CN"/>
              </w:rPr>
            </w:pPr>
          </w:p>
          <w:p w14:paraId="00DFF750">
            <w:pPr>
              <w:spacing w:line="249" w:lineRule="auto"/>
              <w:rPr>
                <w:color w:val="auto"/>
                <w:highlight w:val="none"/>
                <w:lang w:eastAsia="zh-CN"/>
              </w:rPr>
            </w:pPr>
          </w:p>
          <w:p w14:paraId="25A498C3">
            <w:pPr>
              <w:spacing w:line="249" w:lineRule="auto"/>
              <w:rPr>
                <w:color w:val="auto"/>
                <w:highlight w:val="none"/>
                <w:lang w:eastAsia="zh-CN"/>
              </w:rPr>
            </w:pPr>
          </w:p>
          <w:p w14:paraId="567B0A3C">
            <w:pPr>
              <w:spacing w:line="249" w:lineRule="auto"/>
              <w:rPr>
                <w:color w:val="auto"/>
                <w:highlight w:val="none"/>
                <w:lang w:eastAsia="zh-CN"/>
              </w:rPr>
            </w:pPr>
          </w:p>
          <w:p w14:paraId="78298D27">
            <w:pPr>
              <w:spacing w:line="249" w:lineRule="auto"/>
              <w:rPr>
                <w:color w:val="auto"/>
                <w:highlight w:val="none"/>
                <w:lang w:eastAsia="zh-CN"/>
              </w:rPr>
            </w:pPr>
          </w:p>
          <w:p w14:paraId="454BA54C">
            <w:pPr>
              <w:spacing w:line="249" w:lineRule="auto"/>
              <w:rPr>
                <w:color w:val="auto"/>
                <w:highlight w:val="none"/>
                <w:lang w:eastAsia="zh-CN"/>
              </w:rPr>
            </w:pPr>
          </w:p>
          <w:p w14:paraId="1955261E">
            <w:pPr>
              <w:spacing w:line="249" w:lineRule="auto"/>
              <w:rPr>
                <w:color w:val="auto"/>
                <w:highlight w:val="none"/>
                <w:lang w:eastAsia="zh-CN"/>
              </w:rPr>
            </w:pPr>
          </w:p>
          <w:p w14:paraId="0F80FEB5">
            <w:pPr>
              <w:spacing w:line="250" w:lineRule="auto"/>
              <w:rPr>
                <w:color w:val="auto"/>
                <w:highlight w:val="none"/>
                <w:lang w:eastAsia="zh-CN"/>
              </w:rPr>
            </w:pPr>
          </w:p>
          <w:p w14:paraId="7A37E291">
            <w:pPr>
              <w:spacing w:line="250" w:lineRule="auto"/>
              <w:rPr>
                <w:color w:val="auto"/>
                <w:highlight w:val="none"/>
                <w:lang w:eastAsia="zh-CN"/>
              </w:rPr>
            </w:pPr>
          </w:p>
          <w:p w14:paraId="7401FAA0">
            <w:pPr>
              <w:spacing w:line="250" w:lineRule="auto"/>
              <w:rPr>
                <w:color w:val="auto"/>
                <w:highlight w:val="none"/>
                <w:lang w:eastAsia="zh-CN"/>
              </w:rPr>
            </w:pPr>
          </w:p>
          <w:p w14:paraId="28394F35">
            <w:pPr>
              <w:spacing w:line="250" w:lineRule="auto"/>
              <w:rPr>
                <w:color w:val="auto"/>
                <w:highlight w:val="none"/>
                <w:lang w:eastAsia="zh-CN"/>
              </w:rPr>
            </w:pPr>
          </w:p>
          <w:p w14:paraId="0BECB4FE">
            <w:pPr>
              <w:spacing w:line="250" w:lineRule="auto"/>
              <w:rPr>
                <w:color w:val="auto"/>
                <w:highlight w:val="none"/>
                <w:lang w:eastAsia="zh-CN"/>
              </w:rPr>
            </w:pPr>
          </w:p>
          <w:p w14:paraId="75B5E25E">
            <w:pPr>
              <w:spacing w:line="250" w:lineRule="auto"/>
              <w:rPr>
                <w:color w:val="auto"/>
                <w:highlight w:val="none"/>
                <w:lang w:eastAsia="zh-CN"/>
              </w:rPr>
            </w:pPr>
          </w:p>
          <w:p w14:paraId="2BF281AF">
            <w:pPr>
              <w:spacing w:line="250" w:lineRule="auto"/>
              <w:rPr>
                <w:color w:val="auto"/>
                <w:highlight w:val="none"/>
                <w:lang w:eastAsia="zh-CN"/>
              </w:rPr>
            </w:pPr>
          </w:p>
          <w:p w14:paraId="521CA2C1">
            <w:pPr>
              <w:spacing w:line="250" w:lineRule="auto"/>
              <w:rPr>
                <w:color w:val="auto"/>
                <w:highlight w:val="none"/>
                <w:lang w:eastAsia="zh-CN"/>
              </w:rPr>
            </w:pPr>
          </w:p>
          <w:p w14:paraId="01814618">
            <w:pPr>
              <w:spacing w:before="69" w:line="188" w:lineRule="auto"/>
              <w:ind w:left="285" w:leftChars="0"/>
              <w:rPr>
                <w:rFonts w:ascii="Times New Roman" w:hAnsi="Times New Roman" w:eastAsia="Times New Roman" w:cs="Times New Roman"/>
                <w:color w:val="auto"/>
                <w:spacing w:val="-8"/>
                <w:sz w:val="24"/>
                <w:szCs w:val="24"/>
                <w:highlight w:val="none"/>
              </w:rPr>
            </w:pPr>
            <w:r>
              <w:rPr>
                <w:rFonts w:ascii="Times New Roman" w:hAnsi="Times New Roman" w:eastAsia="Times New Roman" w:cs="Times New Roman"/>
                <w:color w:val="auto"/>
                <w:spacing w:val="-8"/>
                <w:sz w:val="24"/>
                <w:szCs w:val="24"/>
                <w:highlight w:val="none"/>
              </w:rPr>
              <w:t>10.4</w:t>
            </w:r>
          </w:p>
        </w:tc>
        <w:tc>
          <w:tcPr>
            <w:tcW w:w="1305" w:type="dxa"/>
            <w:vAlign w:val="top"/>
          </w:tcPr>
          <w:p w14:paraId="5622C01C">
            <w:pPr>
              <w:spacing w:line="251" w:lineRule="auto"/>
              <w:rPr>
                <w:color w:val="auto"/>
                <w:highlight w:val="none"/>
                <w:lang w:eastAsia="zh-CN"/>
              </w:rPr>
            </w:pPr>
          </w:p>
          <w:p w14:paraId="615A73C5">
            <w:pPr>
              <w:spacing w:line="251" w:lineRule="auto"/>
              <w:rPr>
                <w:color w:val="auto"/>
                <w:highlight w:val="none"/>
                <w:lang w:eastAsia="zh-CN"/>
              </w:rPr>
            </w:pPr>
          </w:p>
          <w:p w14:paraId="7828D725">
            <w:pPr>
              <w:spacing w:line="251" w:lineRule="auto"/>
              <w:rPr>
                <w:color w:val="auto"/>
                <w:highlight w:val="none"/>
                <w:lang w:eastAsia="zh-CN"/>
              </w:rPr>
            </w:pPr>
          </w:p>
          <w:p w14:paraId="6A149640">
            <w:pPr>
              <w:spacing w:line="251" w:lineRule="auto"/>
              <w:rPr>
                <w:color w:val="auto"/>
                <w:highlight w:val="none"/>
                <w:lang w:eastAsia="zh-CN"/>
              </w:rPr>
            </w:pPr>
          </w:p>
          <w:p w14:paraId="24E07B77">
            <w:pPr>
              <w:spacing w:line="251" w:lineRule="auto"/>
              <w:rPr>
                <w:color w:val="auto"/>
                <w:highlight w:val="none"/>
                <w:lang w:eastAsia="zh-CN"/>
              </w:rPr>
            </w:pPr>
          </w:p>
          <w:p w14:paraId="7FE4A3C4">
            <w:pPr>
              <w:spacing w:line="251" w:lineRule="auto"/>
              <w:rPr>
                <w:color w:val="auto"/>
                <w:highlight w:val="none"/>
                <w:lang w:eastAsia="zh-CN"/>
              </w:rPr>
            </w:pPr>
          </w:p>
          <w:p w14:paraId="2A78C4D8">
            <w:pPr>
              <w:spacing w:line="251" w:lineRule="auto"/>
              <w:rPr>
                <w:color w:val="auto"/>
                <w:highlight w:val="none"/>
                <w:lang w:eastAsia="zh-CN"/>
              </w:rPr>
            </w:pPr>
          </w:p>
          <w:p w14:paraId="4CC66320">
            <w:pPr>
              <w:spacing w:line="252" w:lineRule="auto"/>
              <w:rPr>
                <w:color w:val="auto"/>
                <w:highlight w:val="none"/>
                <w:lang w:eastAsia="zh-CN"/>
              </w:rPr>
            </w:pPr>
          </w:p>
          <w:p w14:paraId="6EB40E6B">
            <w:pPr>
              <w:spacing w:line="252" w:lineRule="auto"/>
              <w:rPr>
                <w:color w:val="auto"/>
                <w:highlight w:val="none"/>
                <w:lang w:eastAsia="zh-CN"/>
              </w:rPr>
            </w:pPr>
          </w:p>
          <w:p w14:paraId="0427CC95">
            <w:pPr>
              <w:spacing w:line="252" w:lineRule="auto"/>
              <w:rPr>
                <w:color w:val="auto"/>
                <w:highlight w:val="none"/>
                <w:lang w:eastAsia="zh-CN"/>
              </w:rPr>
            </w:pPr>
          </w:p>
          <w:p w14:paraId="4F7E888E">
            <w:pPr>
              <w:spacing w:line="252" w:lineRule="auto"/>
              <w:rPr>
                <w:color w:val="auto"/>
                <w:highlight w:val="none"/>
                <w:lang w:eastAsia="zh-CN"/>
              </w:rPr>
            </w:pPr>
          </w:p>
          <w:p w14:paraId="35922295">
            <w:pPr>
              <w:spacing w:line="252" w:lineRule="auto"/>
              <w:rPr>
                <w:color w:val="auto"/>
                <w:highlight w:val="none"/>
                <w:lang w:eastAsia="zh-CN"/>
              </w:rPr>
            </w:pPr>
          </w:p>
          <w:p w14:paraId="2D25A5D7">
            <w:pPr>
              <w:spacing w:line="252" w:lineRule="auto"/>
              <w:rPr>
                <w:color w:val="auto"/>
                <w:highlight w:val="none"/>
                <w:lang w:eastAsia="zh-CN"/>
              </w:rPr>
            </w:pPr>
          </w:p>
          <w:p w14:paraId="2C99D5B0">
            <w:pPr>
              <w:spacing w:line="252" w:lineRule="auto"/>
              <w:rPr>
                <w:color w:val="auto"/>
                <w:highlight w:val="none"/>
                <w:lang w:eastAsia="zh-CN"/>
              </w:rPr>
            </w:pPr>
          </w:p>
          <w:p w14:paraId="39DBAB08">
            <w:pPr>
              <w:spacing w:line="252" w:lineRule="auto"/>
              <w:rPr>
                <w:color w:val="auto"/>
                <w:highlight w:val="none"/>
                <w:lang w:eastAsia="zh-CN"/>
              </w:rPr>
            </w:pPr>
          </w:p>
          <w:p w14:paraId="374520D4">
            <w:pPr>
              <w:spacing w:line="252" w:lineRule="auto"/>
              <w:rPr>
                <w:color w:val="auto"/>
                <w:highlight w:val="none"/>
                <w:lang w:eastAsia="zh-CN"/>
              </w:rPr>
            </w:pPr>
          </w:p>
          <w:p w14:paraId="5DCB4FBB">
            <w:pPr>
              <w:spacing w:line="252" w:lineRule="auto"/>
              <w:rPr>
                <w:color w:val="auto"/>
                <w:highlight w:val="none"/>
                <w:lang w:eastAsia="zh-CN"/>
              </w:rPr>
            </w:pPr>
          </w:p>
          <w:p w14:paraId="1087F9B5">
            <w:pPr>
              <w:spacing w:line="252" w:lineRule="auto"/>
              <w:rPr>
                <w:color w:val="auto"/>
                <w:highlight w:val="none"/>
                <w:lang w:eastAsia="zh-CN"/>
              </w:rPr>
            </w:pPr>
          </w:p>
          <w:p w14:paraId="417E2766">
            <w:pPr>
              <w:spacing w:line="252" w:lineRule="auto"/>
              <w:rPr>
                <w:color w:val="auto"/>
                <w:highlight w:val="none"/>
                <w:lang w:eastAsia="zh-CN"/>
              </w:rPr>
            </w:pPr>
          </w:p>
          <w:p w14:paraId="2F39D17B">
            <w:pPr>
              <w:spacing w:line="252" w:lineRule="auto"/>
              <w:rPr>
                <w:color w:val="auto"/>
                <w:highlight w:val="none"/>
                <w:lang w:eastAsia="zh-CN"/>
              </w:rPr>
            </w:pPr>
          </w:p>
          <w:p w14:paraId="6954EB2D">
            <w:pPr>
              <w:pStyle w:val="23"/>
              <w:spacing w:before="78" w:line="229" w:lineRule="auto"/>
              <w:ind w:left="49" w:leftChars="0" w:right="44" w:rightChars="0"/>
              <w:rPr>
                <w:color w:val="auto"/>
                <w:spacing w:val="-3"/>
                <w:sz w:val="24"/>
                <w:szCs w:val="24"/>
                <w:highlight w:val="none"/>
              </w:rPr>
            </w:pPr>
            <w:r>
              <w:rPr>
                <w:color w:val="auto"/>
                <w:spacing w:val="-2"/>
                <w:sz w:val="24"/>
                <w:szCs w:val="24"/>
                <w:highlight w:val="none"/>
                <w:lang w:eastAsia="zh-CN"/>
              </w:rPr>
              <w:t>在建合同工程的认定及变更证明</w:t>
            </w:r>
          </w:p>
        </w:tc>
        <w:tc>
          <w:tcPr>
            <w:tcW w:w="7229" w:type="dxa"/>
            <w:vAlign w:val="top"/>
          </w:tcPr>
          <w:p w14:paraId="1D9FEE4A">
            <w:pPr>
              <w:pStyle w:val="23"/>
              <w:spacing w:before="48" w:line="219" w:lineRule="auto"/>
              <w:ind w:left="52"/>
              <w:rPr>
                <w:color w:val="auto"/>
                <w:sz w:val="24"/>
                <w:szCs w:val="24"/>
                <w:highlight w:val="none"/>
                <w:lang w:eastAsia="zh-CN"/>
              </w:rPr>
            </w:pPr>
            <w:r>
              <w:rPr>
                <w:rFonts w:ascii="Times New Roman" w:hAnsi="Times New Roman" w:eastAsia="Times New Roman" w:cs="Times New Roman"/>
                <w:color w:val="auto"/>
                <w:spacing w:val="-3"/>
                <w:sz w:val="24"/>
                <w:szCs w:val="24"/>
                <w:highlight w:val="none"/>
                <w:lang w:eastAsia="zh-CN"/>
              </w:rPr>
              <w:t>1.</w:t>
            </w:r>
            <w:r>
              <w:rPr>
                <w:color w:val="auto"/>
                <w:spacing w:val="-3"/>
                <w:sz w:val="24"/>
                <w:szCs w:val="24"/>
                <w:highlight w:val="none"/>
                <w:lang w:eastAsia="zh-CN"/>
              </w:rPr>
              <w:t>对项目负责人“有在建合同工程”的认定标准：</w:t>
            </w:r>
          </w:p>
          <w:p w14:paraId="5E4B2F71">
            <w:pPr>
              <w:pStyle w:val="23"/>
              <w:spacing w:before="27" w:line="231" w:lineRule="auto"/>
              <w:ind w:left="79" w:right="27" w:hanging="34"/>
              <w:rPr>
                <w:color w:val="auto"/>
                <w:sz w:val="24"/>
                <w:szCs w:val="24"/>
                <w:highlight w:val="none"/>
                <w:lang w:eastAsia="zh-CN"/>
              </w:rPr>
            </w:pPr>
            <w:r>
              <w:rPr>
                <w:color w:val="auto"/>
                <w:spacing w:val="7"/>
                <w:sz w:val="24"/>
                <w:szCs w:val="24"/>
                <w:highlight w:val="none"/>
                <w:lang w:eastAsia="zh-CN"/>
              </w:rPr>
              <w:t>（</w:t>
            </w:r>
            <w:r>
              <w:rPr>
                <w:rFonts w:ascii="Times New Roman" w:hAnsi="Times New Roman" w:eastAsia="Times New Roman" w:cs="Times New Roman"/>
                <w:color w:val="auto"/>
                <w:spacing w:val="7"/>
                <w:sz w:val="24"/>
                <w:szCs w:val="24"/>
                <w:highlight w:val="none"/>
                <w:lang w:eastAsia="zh-CN"/>
              </w:rPr>
              <w:t>1</w:t>
            </w:r>
            <w:r>
              <w:rPr>
                <w:color w:val="auto"/>
                <w:spacing w:val="7"/>
                <w:sz w:val="24"/>
                <w:szCs w:val="24"/>
                <w:highlight w:val="none"/>
                <w:lang w:eastAsia="zh-CN"/>
              </w:rPr>
              <w:t>）拟派项目负责人以注册建造师身份承接工程建设项</w:t>
            </w:r>
            <w:r>
              <w:rPr>
                <w:color w:val="auto"/>
                <w:spacing w:val="-19"/>
                <w:sz w:val="24"/>
                <w:szCs w:val="24"/>
                <w:highlight w:val="none"/>
                <w:lang w:eastAsia="zh-CN"/>
              </w:rPr>
              <w:t>目的。</w:t>
            </w:r>
          </w:p>
          <w:p w14:paraId="7324CE65">
            <w:pPr>
              <w:pStyle w:val="23"/>
              <w:spacing w:before="22" w:line="233" w:lineRule="auto"/>
              <w:ind w:left="32" w:right="27" w:firstLine="13"/>
              <w:rPr>
                <w:color w:val="auto"/>
                <w:sz w:val="24"/>
                <w:szCs w:val="24"/>
                <w:highlight w:val="none"/>
                <w:lang w:eastAsia="zh-CN"/>
              </w:rPr>
            </w:pPr>
            <w:r>
              <w:rPr>
                <w:color w:val="auto"/>
                <w:spacing w:val="7"/>
                <w:sz w:val="24"/>
                <w:szCs w:val="24"/>
                <w:highlight w:val="none"/>
                <w:lang w:eastAsia="zh-CN"/>
              </w:rPr>
              <w:t>（</w:t>
            </w:r>
            <w:r>
              <w:rPr>
                <w:rFonts w:ascii="Times New Roman" w:hAnsi="Times New Roman" w:eastAsia="Times New Roman" w:cs="Times New Roman"/>
                <w:color w:val="auto"/>
                <w:spacing w:val="7"/>
                <w:sz w:val="24"/>
                <w:szCs w:val="24"/>
                <w:highlight w:val="none"/>
                <w:lang w:eastAsia="zh-CN"/>
              </w:rPr>
              <w:t>2</w:t>
            </w:r>
            <w:r>
              <w:rPr>
                <w:color w:val="auto"/>
                <w:spacing w:val="7"/>
                <w:sz w:val="24"/>
                <w:szCs w:val="24"/>
                <w:highlight w:val="none"/>
                <w:lang w:eastAsia="zh-CN"/>
              </w:rPr>
              <w:t>）拟派项目负责人在投标截止时间尚有在中华人民共</w:t>
            </w:r>
            <w:r>
              <w:rPr>
                <w:color w:val="auto"/>
                <w:spacing w:val="3"/>
                <w:sz w:val="24"/>
                <w:szCs w:val="24"/>
                <w:highlight w:val="none"/>
                <w:lang w:eastAsia="zh-CN"/>
              </w:rPr>
              <w:t>和国境内其他在建合同工程建设项目中担任项目负责人的</w:t>
            </w:r>
            <w:r>
              <w:rPr>
                <w:color w:val="auto"/>
                <w:spacing w:val="-1"/>
                <w:sz w:val="24"/>
                <w:szCs w:val="24"/>
                <w:highlight w:val="none"/>
                <w:lang w:eastAsia="zh-CN"/>
              </w:rPr>
              <w:t>情形为</w:t>
            </w:r>
            <w:r>
              <w:rPr>
                <w:rFonts w:ascii="Times New Roman" w:hAnsi="Times New Roman" w:eastAsia="Times New Roman" w:cs="Times New Roman"/>
                <w:color w:val="auto"/>
                <w:spacing w:val="-1"/>
                <w:sz w:val="24"/>
                <w:szCs w:val="24"/>
                <w:highlight w:val="none"/>
                <w:lang w:eastAsia="zh-CN"/>
              </w:rPr>
              <w:t>“</w:t>
            </w:r>
            <w:r>
              <w:rPr>
                <w:color w:val="auto"/>
                <w:spacing w:val="-1"/>
                <w:sz w:val="24"/>
                <w:szCs w:val="24"/>
                <w:highlight w:val="none"/>
                <w:lang w:eastAsia="zh-CN"/>
              </w:rPr>
              <w:t>有在建合同工程</w:t>
            </w:r>
            <w:r>
              <w:rPr>
                <w:rFonts w:ascii="Times New Roman" w:hAnsi="Times New Roman" w:eastAsia="Times New Roman" w:cs="Times New Roman"/>
                <w:color w:val="auto"/>
                <w:spacing w:val="-1"/>
                <w:sz w:val="24"/>
                <w:szCs w:val="24"/>
                <w:highlight w:val="none"/>
                <w:lang w:eastAsia="zh-CN"/>
              </w:rPr>
              <w:t>”</w:t>
            </w:r>
            <w:r>
              <w:rPr>
                <w:color w:val="auto"/>
                <w:spacing w:val="-1"/>
                <w:sz w:val="24"/>
                <w:szCs w:val="24"/>
                <w:highlight w:val="none"/>
                <w:lang w:eastAsia="zh-CN"/>
              </w:rPr>
              <w:t>。</w:t>
            </w:r>
          </w:p>
          <w:p w14:paraId="3804ECE2">
            <w:pPr>
              <w:pStyle w:val="23"/>
              <w:spacing w:before="25" w:line="234" w:lineRule="auto"/>
              <w:ind w:left="33" w:right="27" w:firstLine="12"/>
              <w:rPr>
                <w:color w:val="auto"/>
                <w:sz w:val="24"/>
                <w:szCs w:val="24"/>
                <w:highlight w:val="none"/>
                <w:lang w:eastAsia="zh-CN"/>
              </w:rPr>
            </w:pPr>
            <w:r>
              <w:rPr>
                <w:color w:val="auto"/>
                <w:spacing w:val="7"/>
                <w:sz w:val="24"/>
                <w:szCs w:val="24"/>
                <w:highlight w:val="none"/>
                <w:lang w:eastAsia="zh-CN"/>
              </w:rPr>
              <w:t>（</w:t>
            </w:r>
            <w:r>
              <w:rPr>
                <w:rFonts w:ascii="Times New Roman" w:hAnsi="Times New Roman" w:eastAsia="Times New Roman" w:cs="Times New Roman"/>
                <w:color w:val="auto"/>
                <w:spacing w:val="7"/>
                <w:sz w:val="24"/>
                <w:szCs w:val="24"/>
                <w:highlight w:val="none"/>
                <w:lang w:eastAsia="zh-CN"/>
              </w:rPr>
              <w:t>3</w:t>
            </w:r>
            <w:r>
              <w:rPr>
                <w:color w:val="auto"/>
                <w:spacing w:val="7"/>
                <w:sz w:val="24"/>
                <w:szCs w:val="24"/>
                <w:highlight w:val="none"/>
                <w:lang w:eastAsia="zh-CN"/>
              </w:rPr>
              <w:t>）在建合同工程的时间界定：在建合同工程的开始时</w:t>
            </w:r>
            <w:r>
              <w:rPr>
                <w:color w:val="auto"/>
                <w:spacing w:val="3"/>
                <w:sz w:val="24"/>
                <w:szCs w:val="24"/>
                <w:highlight w:val="none"/>
                <w:lang w:eastAsia="zh-CN"/>
              </w:rPr>
              <w:t>间为合同工程中标通知书发出日期，或者不通过招标方式的则以合同签订日期为开始时间，结束时间为该合同工程</w:t>
            </w:r>
            <w:r>
              <w:rPr>
                <w:color w:val="auto"/>
                <w:spacing w:val="-1"/>
                <w:sz w:val="24"/>
                <w:szCs w:val="24"/>
                <w:highlight w:val="none"/>
                <w:lang w:eastAsia="zh-CN"/>
              </w:rPr>
              <w:t>验收合格或合同解除日期）。</w:t>
            </w:r>
          </w:p>
          <w:p w14:paraId="74495770">
            <w:pPr>
              <w:pStyle w:val="23"/>
              <w:spacing w:before="28" w:line="219" w:lineRule="auto"/>
              <w:ind w:left="59"/>
              <w:rPr>
                <w:color w:val="auto"/>
                <w:sz w:val="24"/>
                <w:szCs w:val="24"/>
                <w:highlight w:val="none"/>
                <w:lang w:eastAsia="zh-CN"/>
              </w:rPr>
            </w:pPr>
            <w:r>
              <w:rPr>
                <w:color w:val="auto"/>
                <w:spacing w:val="-3"/>
                <w:sz w:val="24"/>
                <w:szCs w:val="24"/>
                <w:highlight w:val="none"/>
                <w:lang w:eastAsia="zh-CN"/>
              </w:rPr>
              <w:t>以下情形视为“有在建合同工程”：</w:t>
            </w:r>
          </w:p>
          <w:p w14:paraId="46AAE345">
            <w:pPr>
              <w:pStyle w:val="23"/>
              <w:spacing w:before="27" w:line="232" w:lineRule="auto"/>
              <w:ind w:left="36" w:right="27" w:hanging="3"/>
              <w:rPr>
                <w:color w:val="auto"/>
                <w:sz w:val="24"/>
                <w:szCs w:val="24"/>
                <w:highlight w:val="none"/>
                <w:lang w:eastAsia="zh-CN"/>
              </w:rPr>
            </w:pPr>
            <w:r>
              <w:rPr>
                <w:color w:val="auto"/>
                <w:spacing w:val="3"/>
                <w:sz w:val="24"/>
                <w:szCs w:val="24"/>
                <w:highlight w:val="none"/>
                <w:lang w:eastAsia="zh-CN"/>
              </w:rPr>
              <w:t>拟派项目负责人在投标截止期前承接的原项目（中标通知书或合同协议书中载明项目负责人的项目）中发生项目负</w:t>
            </w:r>
            <w:r>
              <w:rPr>
                <w:color w:val="auto"/>
                <w:spacing w:val="13"/>
                <w:sz w:val="24"/>
                <w:szCs w:val="24"/>
                <w:highlight w:val="none"/>
                <w:lang w:eastAsia="zh-CN"/>
              </w:rPr>
              <w:t>责人变更的，并在投标截止时间前未通过工程竣工验收</w:t>
            </w:r>
            <w:r>
              <w:rPr>
                <w:color w:val="auto"/>
                <w:spacing w:val="-8"/>
                <w:sz w:val="24"/>
                <w:szCs w:val="24"/>
                <w:highlight w:val="none"/>
                <w:lang w:eastAsia="zh-CN"/>
              </w:rPr>
              <w:t>的，视为“有在建合同工程”。</w:t>
            </w:r>
            <w:r>
              <w:rPr>
                <w:color w:val="auto"/>
                <w:spacing w:val="-2"/>
                <w:sz w:val="24"/>
                <w:szCs w:val="24"/>
                <w:highlight w:val="none"/>
                <w:lang w:eastAsia="zh-CN"/>
              </w:rPr>
              <w:t>发生下列情形之一的除外：</w:t>
            </w:r>
          </w:p>
          <w:p w14:paraId="55F97D22">
            <w:pPr>
              <w:pStyle w:val="23"/>
              <w:spacing w:before="37" w:line="264" w:lineRule="auto"/>
              <w:ind w:left="37" w:right="27" w:firstLine="478"/>
              <w:rPr>
                <w:color w:val="auto"/>
                <w:sz w:val="24"/>
                <w:szCs w:val="24"/>
                <w:highlight w:val="none"/>
                <w:lang w:eastAsia="zh-CN"/>
              </w:rPr>
            </w:pPr>
            <w:r>
              <w:rPr>
                <w:color w:val="auto"/>
                <w:spacing w:val="3"/>
                <w:sz w:val="24"/>
                <w:szCs w:val="24"/>
                <w:highlight w:val="none"/>
                <w:lang w:eastAsia="zh-CN"/>
              </w:rPr>
              <w:t>a.原承接的项目与本工程属于同一工程相邻分段发包</w:t>
            </w:r>
            <w:r>
              <w:rPr>
                <w:color w:val="auto"/>
                <w:spacing w:val="-2"/>
                <w:sz w:val="24"/>
                <w:szCs w:val="24"/>
                <w:highlight w:val="none"/>
                <w:lang w:eastAsia="zh-CN"/>
              </w:rPr>
              <w:t>或分期施工的；</w:t>
            </w:r>
          </w:p>
          <w:p w14:paraId="010BD6A9">
            <w:pPr>
              <w:pStyle w:val="23"/>
              <w:spacing w:before="33" w:line="264" w:lineRule="auto"/>
              <w:ind w:left="45" w:right="27" w:firstLine="464"/>
              <w:rPr>
                <w:color w:val="auto"/>
                <w:sz w:val="24"/>
                <w:szCs w:val="24"/>
                <w:highlight w:val="none"/>
                <w:lang w:eastAsia="zh-CN"/>
              </w:rPr>
            </w:pPr>
            <w:r>
              <w:rPr>
                <w:color w:val="auto"/>
                <w:spacing w:val="4"/>
                <w:sz w:val="24"/>
                <w:szCs w:val="24"/>
                <w:highlight w:val="none"/>
                <w:lang w:eastAsia="zh-CN"/>
              </w:rPr>
              <w:t>b.因非承包方原因致使工程项目停工超过120天</w:t>
            </w:r>
            <w:r>
              <w:rPr>
                <w:color w:val="auto"/>
                <w:spacing w:val="-3"/>
                <w:sz w:val="24"/>
                <w:szCs w:val="24"/>
                <w:highlight w:val="none"/>
                <w:lang w:eastAsia="zh-CN"/>
              </w:rPr>
              <w:t>（含</w:t>
            </w:r>
            <w:r>
              <w:rPr>
                <w:color w:val="auto"/>
                <w:spacing w:val="7"/>
                <w:sz w:val="24"/>
                <w:szCs w:val="24"/>
                <w:highlight w:val="none"/>
                <w:lang w:eastAsia="zh-CN"/>
              </w:rPr>
              <w:t>），</w:t>
            </w:r>
            <w:r>
              <w:rPr>
                <w:color w:val="auto"/>
                <w:spacing w:val="-3"/>
                <w:sz w:val="24"/>
                <w:szCs w:val="24"/>
                <w:highlight w:val="none"/>
                <w:lang w:eastAsia="zh-CN"/>
              </w:rPr>
              <w:t>经原建设单位同意的；</w:t>
            </w:r>
          </w:p>
          <w:p w14:paraId="4AC853C4">
            <w:pPr>
              <w:pStyle w:val="23"/>
              <w:spacing w:before="34" w:line="263" w:lineRule="auto"/>
              <w:ind w:left="37" w:right="27" w:firstLine="481"/>
              <w:rPr>
                <w:color w:val="auto"/>
                <w:sz w:val="24"/>
                <w:szCs w:val="24"/>
                <w:highlight w:val="none"/>
                <w:lang w:eastAsia="zh-CN"/>
              </w:rPr>
            </w:pPr>
            <w:r>
              <w:rPr>
                <w:color w:val="auto"/>
                <w:spacing w:val="3"/>
                <w:sz w:val="24"/>
                <w:szCs w:val="24"/>
                <w:highlight w:val="none"/>
                <w:lang w:eastAsia="zh-CN"/>
              </w:rPr>
              <w:t>c.合同约定的工程已完工，承包方向建设单位提交竣</w:t>
            </w:r>
            <w:r>
              <w:rPr>
                <w:color w:val="auto"/>
                <w:spacing w:val="-1"/>
                <w:sz w:val="24"/>
                <w:szCs w:val="24"/>
                <w:highlight w:val="none"/>
                <w:lang w:eastAsia="zh-CN"/>
              </w:rPr>
              <w:t>工报告时间已超过120天（含</w:t>
            </w:r>
            <w:r>
              <w:rPr>
                <w:color w:val="auto"/>
                <w:spacing w:val="5"/>
                <w:sz w:val="24"/>
                <w:szCs w:val="24"/>
                <w:highlight w:val="none"/>
                <w:lang w:eastAsia="zh-CN"/>
              </w:rPr>
              <w:t>），</w:t>
            </w:r>
            <w:r>
              <w:rPr>
                <w:color w:val="auto"/>
                <w:spacing w:val="-1"/>
                <w:sz w:val="24"/>
                <w:szCs w:val="24"/>
                <w:highlight w:val="none"/>
                <w:lang w:eastAsia="zh-CN"/>
              </w:rPr>
              <w:t>经原建设单位同意的。</w:t>
            </w:r>
          </w:p>
          <w:p w14:paraId="05AA11C2">
            <w:pPr>
              <w:pStyle w:val="23"/>
              <w:spacing w:before="35" w:line="268" w:lineRule="auto"/>
              <w:ind w:left="33" w:right="27" w:firstLine="482"/>
              <w:rPr>
                <w:color w:val="auto"/>
                <w:sz w:val="24"/>
                <w:szCs w:val="24"/>
                <w:highlight w:val="none"/>
                <w:lang w:eastAsia="zh-CN"/>
              </w:rPr>
            </w:pPr>
            <w:r>
              <w:rPr>
                <w:color w:val="auto"/>
                <w:spacing w:val="8"/>
                <w:sz w:val="24"/>
                <w:szCs w:val="24"/>
                <w:highlight w:val="none"/>
                <w:lang w:eastAsia="zh-CN"/>
              </w:rPr>
              <w:t>如发生以上a、b、c情形的，投标人应在投标文件中</w:t>
            </w:r>
            <w:r>
              <w:rPr>
                <w:color w:val="auto"/>
                <w:spacing w:val="3"/>
                <w:sz w:val="24"/>
                <w:szCs w:val="24"/>
                <w:highlight w:val="none"/>
                <w:lang w:eastAsia="zh-CN"/>
              </w:rPr>
              <w:t>提交有关书面证明材料（以电子文档形式随资格标上传，</w:t>
            </w:r>
            <w:r>
              <w:rPr>
                <w:color w:val="auto"/>
                <w:spacing w:val="2"/>
                <w:sz w:val="24"/>
                <w:szCs w:val="24"/>
                <w:highlight w:val="none"/>
                <w:lang w:eastAsia="zh-CN"/>
              </w:rPr>
              <w:t>招标文件提供证明格式的须按照该格式提交</w:t>
            </w:r>
            <w:r>
              <w:rPr>
                <w:color w:val="auto"/>
                <w:spacing w:val="19"/>
                <w:sz w:val="24"/>
                <w:szCs w:val="24"/>
                <w:highlight w:val="none"/>
                <w:lang w:eastAsia="zh-CN"/>
              </w:rPr>
              <w:t>），</w:t>
            </w:r>
            <w:r>
              <w:rPr>
                <w:color w:val="auto"/>
                <w:spacing w:val="2"/>
                <w:sz w:val="24"/>
                <w:szCs w:val="24"/>
                <w:highlight w:val="none"/>
                <w:lang w:eastAsia="zh-CN"/>
              </w:rPr>
              <w:t>投标截止</w:t>
            </w:r>
            <w:r>
              <w:rPr>
                <w:color w:val="auto"/>
                <w:spacing w:val="-1"/>
                <w:sz w:val="24"/>
                <w:szCs w:val="24"/>
                <w:highlight w:val="none"/>
                <w:lang w:eastAsia="zh-CN"/>
              </w:rPr>
              <w:t>时间后提供的证明材料视为瞒报、漏报，将不予认可。</w:t>
            </w:r>
          </w:p>
          <w:p w14:paraId="386E4908">
            <w:pPr>
              <w:pStyle w:val="23"/>
              <w:spacing w:before="2" w:line="228" w:lineRule="auto"/>
              <w:ind w:left="35" w:right="27"/>
              <w:rPr>
                <w:color w:val="auto"/>
                <w:sz w:val="24"/>
                <w:szCs w:val="24"/>
                <w:highlight w:val="none"/>
                <w:lang w:eastAsia="zh-CN"/>
              </w:rPr>
            </w:pPr>
            <w:r>
              <w:rPr>
                <w:color w:val="auto"/>
                <w:spacing w:val="3"/>
                <w:sz w:val="24"/>
                <w:szCs w:val="24"/>
                <w:highlight w:val="none"/>
                <w:lang w:eastAsia="zh-CN"/>
              </w:rPr>
              <w:t>若是年度招标项目则以具体项目的承接作为是否已承接该</w:t>
            </w:r>
            <w:r>
              <w:rPr>
                <w:color w:val="auto"/>
                <w:spacing w:val="-2"/>
                <w:sz w:val="24"/>
                <w:szCs w:val="24"/>
                <w:highlight w:val="none"/>
                <w:lang w:eastAsia="zh-CN"/>
              </w:rPr>
              <w:t>项目的判断依据。</w:t>
            </w:r>
          </w:p>
          <w:p w14:paraId="030990F1">
            <w:pPr>
              <w:pStyle w:val="23"/>
              <w:spacing w:before="31" w:line="234" w:lineRule="auto"/>
              <w:ind w:left="33" w:leftChars="0" w:right="27" w:rightChars="0" w:firstLine="3" w:firstLineChars="0"/>
              <w:jc w:val="both"/>
              <w:rPr>
                <w:color w:val="auto"/>
                <w:spacing w:val="-1"/>
                <w:sz w:val="24"/>
                <w:szCs w:val="24"/>
                <w:highlight w:val="none"/>
                <w:lang w:eastAsia="zh-CN"/>
              </w:rPr>
            </w:pPr>
            <w:r>
              <w:rPr>
                <w:color w:val="auto"/>
                <w:spacing w:val="3"/>
                <w:sz w:val="24"/>
                <w:szCs w:val="24"/>
                <w:highlight w:val="none"/>
                <w:lang w:eastAsia="zh-CN"/>
              </w:rPr>
              <w:t>2.在建合同工程和人员信息可参照全国和浙江省建筑市场监管公共服务系统发布的信息。若全国和浙江省建筑市场监管公共服务系统上的工程和人员信息为在建状态但该工程已通过工程竣工验收的：a.已取得《工程竣工验收备案表》的，需提供由该工程备案机关在《工程竣工验收备案表》复印件上盖章确认，随资格标上传；b.未取得《工程竣工验收备案表》的，需按附件格式十五随资格标上传工程竣工验收证明。投标截止时间后提供的证明材料视为瞒</w:t>
            </w:r>
            <w:r>
              <w:rPr>
                <w:color w:val="auto"/>
                <w:spacing w:val="-1"/>
                <w:sz w:val="24"/>
                <w:szCs w:val="24"/>
                <w:highlight w:val="none"/>
                <w:lang w:eastAsia="zh-CN"/>
              </w:rPr>
              <w:t>报、漏报，将不予认可。</w:t>
            </w:r>
          </w:p>
        </w:tc>
      </w:tr>
      <w:tr w14:paraId="7A11E2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080" w:type="dxa"/>
            <w:vAlign w:val="top"/>
          </w:tcPr>
          <w:p w14:paraId="2199C013">
            <w:pPr>
              <w:spacing w:line="251" w:lineRule="auto"/>
              <w:rPr>
                <w:color w:val="auto"/>
                <w:highlight w:val="none"/>
                <w:lang w:eastAsia="zh-CN"/>
              </w:rPr>
            </w:pPr>
          </w:p>
          <w:p w14:paraId="720DE5AF">
            <w:pPr>
              <w:spacing w:line="251" w:lineRule="auto"/>
              <w:rPr>
                <w:color w:val="auto"/>
                <w:highlight w:val="none"/>
                <w:lang w:eastAsia="zh-CN"/>
              </w:rPr>
            </w:pPr>
          </w:p>
          <w:p w14:paraId="6818F0F5">
            <w:pPr>
              <w:spacing w:line="251" w:lineRule="auto"/>
              <w:rPr>
                <w:color w:val="auto"/>
                <w:highlight w:val="none"/>
                <w:lang w:eastAsia="zh-CN"/>
              </w:rPr>
            </w:pPr>
          </w:p>
          <w:p w14:paraId="56A3B787">
            <w:pPr>
              <w:spacing w:line="252" w:lineRule="auto"/>
              <w:rPr>
                <w:color w:val="auto"/>
                <w:highlight w:val="none"/>
                <w:lang w:eastAsia="zh-CN"/>
              </w:rPr>
            </w:pPr>
          </w:p>
          <w:p w14:paraId="638CB786">
            <w:pPr>
              <w:spacing w:line="252" w:lineRule="auto"/>
              <w:rPr>
                <w:color w:val="auto"/>
                <w:highlight w:val="none"/>
                <w:lang w:eastAsia="zh-CN"/>
              </w:rPr>
            </w:pPr>
          </w:p>
          <w:p w14:paraId="0CB1946F">
            <w:pPr>
              <w:spacing w:before="69" w:line="188" w:lineRule="auto"/>
              <w:ind w:left="285" w:leftChars="0"/>
              <w:rPr>
                <w:rFonts w:ascii="Times New Roman" w:hAnsi="Times New Roman" w:eastAsia="Times New Roman" w:cs="Times New Roman"/>
                <w:color w:val="auto"/>
                <w:spacing w:val="-8"/>
                <w:sz w:val="24"/>
                <w:szCs w:val="24"/>
                <w:highlight w:val="none"/>
              </w:rPr>
            </w:pPr>
            <w:r>
              <w:rPr>
                <w:rFonts w:ascii="Times New Roman" w:hAnsi="Times New Roman" w:eastAsia="Times New Roman" w:cs="Times New Roman"/>
                <w:color w:val="auto"/>
                <w:spacing w:val="-8"/>
                <w:sz w:val="24"/>
                <w:szCs w:val="24"/>
                <w:highlight w:val="none"/>
              </w:rPr>
              <w:t>10.5</w:t>
            </w:r>
          </w:p>
        </w:tc>
        <w:tc>
          <w:tcPr>
            <w:tcW w:w="1305" w:type="dxa"/>
            <w:vAlign w:val="top"/>
          </w:tcPr>
          <w:p w14:paraId="1453A69F">
            <w:pPr>
              <w:spacing w:line="263" w:lineRule="auto"/>
              <w:rPr>
                <w:color w:val="auto"/>
                <w:highlight w:val="none"/>
                <w:lang w:eastAsia="zh-CN"/>
              </w:rPr>
            </w:pPr>
          </w:p>
          <w:p w14:paraId="3111CAFD">
            <w:pPr>
              <w:spacing w:line="263" w:lineRule="auto"/>
              <w:rPr>
                <w:color w:val="auto"/>
                <w:highlight w:val="none"/>
                <w:lang w:eastAsia="zh-CN"/>
              </w:rPr>
            </w:pPr>
          </w:p>
          <w:p w14:paraId="68D09097">
            <w:pPr>
              <w:spacing w:line="264" w:lineRule="auto"/>
              <w:rPr>
                <w:color w:val="auto"/>
                <w:highlight w:val="none"/>
                <w:lang w:eastAsia="zh-CN"/>
              </w:rPr>
            </w:pPr>
          </w:p>
          <w:p w14:paraId="0C0BE43F">
            <w:pPr>
              <w:spacing w:line="264" w:lineRule="auto"/>
              <w:rPr>
                <w:color w:val="auto"/>
                <w:highlight w:val="none"/>
                <w:lang w:eastAsia="zh-CN"/>
              </w:rPr>
            </w:pPr>
          </w:p>
          <w:p w14:paraId="5B249808">
            <w:pPr>
              <w:pStyle w:val="23"/>
              <w:spacing w:before="78" w:line="229" w:lineRule="auto"/>
              <w:ind w:left="48" w:leftChars="0" w:right="44" w:rightChars="0" w:firstLine="120" w:firstLineChars="0"/>
              <w:rPr>
                <w:color w:val="auto"/>
                <w:spacing w:val="-3"/>
                <w:sz w:val="24"/>
                <w:szCs w:val="24"/>
                <w:highlight w:val="none"/>
              </w:rPr>
            </w:pPr>
            <w:r>
              <w:rPr>
                <w:color w:val="auto"/>
                <w:spacing w:val="-2"/>
                <w:sz w:val="24"/>
                <w:szCs w:val="24"/>
                <w:highlight w:val="none"/>
                <w:lang w:eastAsia="zh-CN"/>
              </w:rPr>
              <w:t>投标文件的澄清、说明、补正</w:t>
            </w:r>
          </w:p>
        </w:tc>
        <w:tc>
          <w:tcPr>
            <w:tcW w:w="7229" w:type="dxa"/>
            <w:vAlign w:val="top"/>
          </w:tcPr>
          <w:p w14:paraId="56ECBA29">
            <w:pPr>
              <w:pStyle w:val="23"/>
              <w:spacing w:before="50" w:line="234" w:lineRule="auto"/>
              <w:ind w:left="33" w:right="27" w:firstLine="19"/>
              <w:jc w:val="both"/>
              <w:rPr>
                <w:color w:val="auto"/>
                <w:sz w:val="24"/>
                <w:szCs w:val="24"/>
                <w:highlight w:val="none"/>
                <w:lang w:eastAsia="zh-CN"/>
              </w:rPr>
            </w:pPr>
            <w:r>
              <w:rPr>
                <w:rFonts w:ascii="Times New Roman" w:hAnsi="Times New Roman" w:eastAsia="Times New Roman" w:cs="Times New Roman"/>
                <w:color w:val="auto"/>
                <w:spacing w:val="1"/>
                <w:sz w:val="24"/>
                <w:szCs w:val="24"/>
                <w:highlight w:val="none"/>
                <w:lang w:eastAsia="zh-CN"/>
              </w:rPr>
              <w:t>1.</w:t>
            </w:r>
            <w:r>
              <w:rPr>
                <w:color w:val="auto"/>
                <w:spacing w:val="1"/>
                <w:sz w:val="24"/>
                <w:szCs w:val="24"/>
                <w:highlight w:val="none"/>
                <w:lang w:eastAsia="zh-CN"/>
              </w:rPr>
              <w:t>澄清回复时间不得超过在发出通知后</w:t>
            </w:r>
            <w:r>
              <w:rPr>
                <w:rFonts w:hint="eastAsia"/>
                <w:color w:val="auto"/>
                <w:spacing w:val="1"/>
                <w:sz w:val="24"/>
                <w:szCs w:val="24"/>
                <w:highlight w:val="none"/>
                <w:u w:val="single"/>
                <w:lang w:val="en-US" w:eastAsia="zh-CN"/>
              </w:rPr>
              <w:t>30</w:t>
            </w:r>
            <w:r>
              <w:rPr>
                <w:color w:val="auto"/>
                <w:spacing w:val="1"/>
                <w:sz w:val="24"/>
                <w:szCs w:val="24"/>
                <w:highlight w:val="none"/>
                <w:lang w:eastAsia="zh-CN"/>
              </w:rPr>
              <w:t>分钟，投标人逾</w:t>
            </w:r>
            <w:r>
              <w:rPr>
                <w:color w:val="auto"/>
                <w:spacing w:val="3"/>
                <w:sz w:val="24"/>
                <w:szCs w:val="24"/>
                <w:highlight w:val="none"/>
                <w:lang w:eastAsia="zh-CN"/>
              </w:rPr>
              <w:t>期或未按要求澄清回复的，将视为不予回复或确认，评标委员会有权否决其投标。投标人通讯不畅通，导致不能及</w:t>
            </w:r>
            <w:r>
              <w:rPr>
                <w:color w:val="auto"/>
                <w:spacing w:val="-1"/>
                <w:sz w:val="24"/>
                <w:szCs w:val="24"/>
                <w:highlight w:val="none"/>
                <w:lang w:eastAsia="zh-CN"/>
              </w:rPr>
              <w:t>时联系的，视作为投标人不予回复或确认。</w:t>
            </w:r>
          </w:p>
          <w:p w14:paraId="740E7E98">
            <w:pPr>
              <w:pStyle w:val="23"/>
              <w:spacing w:before="25" w:line="233" w:lineRule="auto"/>
              <w:ind w:left="32" w:right="27" w:hanging="3"/>
              <w:jc w:val="both"/>
              <w:rPr>
                <w:color w:val="auto"/>
                <w:sz w:val="24"/>
                <w:szCs w:val="24"/>
                <w:highlight w:val="none"/>
                <w:lang w:eastAsia="zh-CN"/>
              </w:rPr>
            </w:pPr>
            <w:r>
              <w:rPr>
                <w:rFonts w:ascii="Times New Roman" w:hAnsi="Times New Roman" w:eastAsia="Times New Roman" w:cs="Times New Roman"/>
                <w:color w:val="auto"/>
                <w:spacing w:val="14"/>
                <w:sz w:val="24"/>
                <w:szCs w:val="24"/>
                <w:highlight w:val="none"/>
                <w:lang w:eastAsia="zh-CN"/>
              </w:rPr>
              <w:t>2.</w:t>
            </w:r>
            <w:r>
              <w:rPr>
                <w:color w:val="auto"/>
                <w:spacing w:val="14"/>
                <w:sz w:val="24"/>
                <w:szCs w:val="24"/>
                <w:highlight w:val="none"/>
                <w:lang w:eastAsia="zh-CN"/>
              </w:rPr>
              <w:t>评标委员会对投标人提交的澄清、说明或补正有疑问</w:t>
            </w:r>
            <w:r>
              <w:rPr>
                <w:color w:val="auto"/>
                <w:spacing w:val="3"/>
                <w:sz w:val="24"/>
                <w:szCs w:val="24"/>
                <w:highlight w:val="none"/>
                <w:lang w:eastAsia="zh-CN"/>
              </w:rPr>
              <w:t>的，可以要求投标人进一步澄清、说明或补正，直至满足</w:t>
            </w:r>
            <w:r>
              <w:rPr>
                <w:color w:val="auto"/>
                <w:spacing w:val="-1"/>
                <w:sz w:val="24"/>
                <w:szCs w:val="24"/>
                <w:highlight w:val="none"/>
                <w:lang w:eastAsia="zh-CN"/>
              </w:rPr>
              <w:t>评标委员会的要求。</w:t>
            </w:r>
          </w:p>
          <w:p w14:paraId="64654F74">
            <w:pPr>
              <w:pStyle w:val="23"/>
              <w:spacing w:before="25" w:line="227" w:lineRule="auto"/>
              <w:ind w:left="39" w:leftChars="0" w:right="30" w:rightChars="0" w:hanging="5" w:firstLineChars="0"/>
              <w:rPr>
                <w:color w:val="auto"/>
                <w:spacing w:val="-1"/>
                <w:sz w:val="24"/>
                <w:szCs w:val="24"/>
                <w:highlight w:val="none"/>
                <w:lang w:eastAsia="zh-CN"/>
              </w:rPr>
            </w:pPr>
            <w:r>
              <w:rPr>
                <w:rFonts w:ascii="Times New Roman" w:hAnsi="Times New Roman" w:eastAsia="Times New Roman" w:cs="Times New Roman"/>
                <w:color w:val="auto"/>
                <w:spacing w:val="5"/>
                <w:sz w:val="24"/>
                <w:szCs w:val="24"/>
                <w:highlight w:val="none"/>
                <w:lang w:eastAsia="zh-CN"/>
              </w:rPr>
              <w:t>3.</w:t>
            </w:r>
            <w:r>
              <w:rPr>
                <w:color w:val="auto"/>
                <w:spacing w:val="5"/>
                <w:sz w:val="24"/>
                <w:szCs w:val="24"/>
                <w:highlight w:val="none"/>
                <w:lang w:eastAsia="zh-CN"/>
              </w:rPr>
              <w:t>投标人拒不按照要求对投标文件进行澄清、说明或者补</w:t>
            </w:r>
            <w:r>
              <w:rPr>
                <w:color w:val="auto"/>
                <w:spacing w:val="-1"/>
                <w:sz w:val="24"/>
                <w:szCs w:val="24"/>
                <w:highlight w:val="none"/>
                <w:lang w:eastAsia="zh-CN"/>
              </w:rPr>
              <w:t>正的，评标委员会可以否决其投标。</w:t>
            </w:r>
          </w:p>
        </w:tc>
      </w:tr>
      <w:tr w14:paraId="12B7A7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080" w:type="dxa"/>
            <w:vAlign w:val="center"/>
          </w:tcPr>
          <w:p w14:paraId="1E795091">
            <w:pPr>
              <w:pStyle w:val="27"/>
              <w:keepNext w:val="0"/>
              <w:keepLines w:val="0"/>
              <w:pageBreakBefore w:val="0"/>
              <w:wordWrap/>
              <w:overflowPunct/>
              <w:bidi w:val="0"/>
              <w:snapToGrid w:val="0"/>
              <w:spacing w:line="320" w:lineRule="exact"/>
              <w:jc w:val="center"/>
              <w:rPr>
                <w:rFonts w:ascii="Times New Roman" w:hAnsi="Times New Roman" w:eastAsia="Times New Roman" w:cs="Times New Roman"/>
                <w:color w:val="auto"/>
                <w:spacing w:val="-8"/>
                <w:sz w:val="24"/>
                <w:szCs w:val="24"/>
                <w:highlight w:val="none"/>
              </w:rPr>
            </w:pPr>
            <w:r>
              <w:rPr>
                <w:rFonts w:ascii="Times New Roman" w:hAnsi="Times New Roman"/>
                <w:color w:val="auto"/>
                <w:sz w:val="24"/>
                <w:szCs w:val="24"/>
                <w:highlight w:val="none"/>
              </w:rPr>
              <w:t>10.</w:t>
            </w:r>
            <w:r>
              <w:rPr>
                <w:rFonts w:hint="eastAsia" w:ascii="Times New Roman" w:hAnsi="Times New Roman"/>
                <w:color w:val="auto"/>
                <w:sz w:val="24"/>
                <w:szCs w:val="24"/>
                <w:highlight w:val="none"/>
                <w:lang w:val="en-US" w:eastAsia="zh-CN"/>
              </w:rPr>
              <w:t>6</w:t>
            </w:r>
          </w:p>
        </w:tc>
        <w:tc>
          <w:tcPr>
            <w:tcW w:w="1305" w:type="dxa"/>
            <w:vAlign w:val="center"/>
          </w:tcPr>
          <w:p w14:paraId="159ED7E0">
            <w:pPr>
              <w:pStyle w:val="27"/>
              <w:keepNext w:val="0"/>
              <w:keepLines w:val="0"/>
              <w:pageBreakBefore w:val="0"/>
              <w:wordWrap/>
              <w:overflowPunct/>
              <w:bidi w:val="0"/>
              <w:snapToGrid w:val="0"/>
              <w:spacing w:line="320" w:lineRule="exact"/>
              <w:jc w:val="center"/>
              <w:rPr>
                <w:color w:val="auto"/>
                <w:spacing w:val="-3"/>
                <w:sz w:val="24"/>
                <w:szCs w:val="24"/>
                <w:highlight w:val="none"/>
              </w:rPr>
            </w:pPr>
            <w:r>
              <w:rPr>
                <w:rFonts w:ascii="Times New Roman" w:hAnsi="宋体"/>
                <w:color w:val="auto"/>
                <w:sz w:val="24"/>
                <w:szCs w:val="24"/>
                <w:highlight w:val="none"/>
              </w:rPr>
              <w:t>特别说明</w:t>
            </w:r>
          </w:p>
        </w:tc>
        <w:tc>
          <w:tcPr>
            <w:tcW w:w="7229" w:type="dxa"/>
            <w:vAlign w:val="center"/>
          </w:tcPr>
          <w:p w14:paraId="39118F4F">
            <w:pPr>
              <w:keepNext w:val="0"/>
              <w:keepLines w:val="0"/>
              <w:pageBreakBefore w:val="0"/>
              <w:tabs>
                <w:tab w:val="left" w:pos="9360"/>
              </w:tabs>
              <w:wordWrap/>
              <w:overflowPunct/>
              <w:bidi w:val="0"/>
              <w:snapToGrid w:val="0"/>
              <w:spacing w:line="320" w:lineRule="exact"/>
              <w:jc w:val="both"/>
              <w:rPr>
                <w:rFonts w:ascii="Times New Roman" w:hAnsi="宋体"/>
                <w:iCs/>
                <w:color w:val="auto"/>
                <w:sz w:val="24"/>
                <w:szCs w:val="24"/>
                <w:highlight w:val="none"/>
              </w:rPr>
            </w:pPr>
            <w:r>
              <w:rPr>
                <w:rFonts w:ascii="Times New Roman" w:hAnsi="Times New Roman"/>
                <w:iCs/>
                <w:color w:val="auto"/>
                <w:sz w:val="24"/>
                <w:szCs w:val="24"/>
                <w:highlight w:val="none"/>
              </w:rPr>
              <w:t>1.</w:t>
            </w:r>
            <w:r>
              <w:rPr>
                <w:rFonts w:ascii="Times New Roman" w:hAnsi="宋体"/>
                <w:iCs/>
                <w:color w:val="auto"/>
                <w:sz w:val="24"/>
                <w:szCs w:val="24"/>
                <w:highlight w:val="none"/>
              </w:rPr>
              <w:t>本前附表是投标人须知正文内容的补充和细化，应当与正文内容一致。如本前附表与正文内容表述不一，以本前附表为准。</w:t>
            </w:r>
          </w:p>
          <w:p w14:paraId="3C2D6F85">
            <w:pPr>
              <w:pStyle w:val="15"/>
              <w:keepNext w:val="0"/>
              <w:keepLines w:val="0"/>
              <w:pageBreakBefore w:val="0"/>
              <w:wordWrap/>
              <w:overflowPunct/>
              <w:bidi w:val="0"/>
              <w:spacing w:line="320" w:lineRule="exact"/>
              <w:rPr>
                <w:color w:val="auto"/>
                <w:sz w:val="24"/>
                <w:szCs w:val="24"/>
                <w:highlight w:val="none"/>
              </w:rPr>
            </w:pPr>
            <w:r>
              <w:rPr>
                <w:rFonts w:ascii="Times New Roman" w:hAnsi="Times New Roman" w:eastAsia="宋体"/>
                <w:iCs/>
                <w:color w:val="auto"/>
                <w:sz w:val="24"/>
                <w:szCs w:val="24"/>
                <w:highlight w:val="none"/>
              </w:rPr>
              <w:t>2.</w:t>
            </w:r>
            <w:r>
              <w:rPr>
                <w:rFonts w:hint="eastAsia" w:ascii="Calibri" w:hAnsi="Calibri" w:eastAsia="宋体"/>
                <w:color w:val="auto"/>
                <w:sz w:val="24"/>
                <w:szCs w:val="24"/>
                <w:highlight w:val="none"/>
              </w:rPr>
              <w:t>当word招标文件与电子招标文件不一致时，以word招标文件为准。</w:t>
            </w:r>
          </w:p>
          <w:p w14:paraId="0E079BB3">
            <w:pPr>
              <w:keepNext w:val="0"/>
              <w:keepLines w:val="0"/>
              <w:pageBreakBefore w:val="0"/>
              <w:wordWrap/>
              <w:overflowPunct/>
              <w:bidi w:val="0"/>
              <w:snapToGrid w:val="0"/>
              <w:spacing w:line="320" w:lineRule="exact"/>
              <w:jc w:val="both"/>
              <w:rPr>
                <w:rFonts w:ascii="Times New Roman" w:hAnsi="Times New Roman"/>
                <w:color w:val="auto"/>
                <w:sz w:val="24"/>
                <w:szCs w:val="24"/>
                <w:highlight w:val="none"/>
              </w:rPr>
            </w:pPr>
            <w:r>
              <w:rPr>
                <w:rFonts w:hint="eastAsia"/>
                <w:color w:val="auto"/>
                <w:sz w:val="24"/>
                <w:szCs w:val="24"/>
                <w:highlight w:val="none"/>
              </w:rPr>
              <w:t>3.商务标编制：</w:t>
            </w:r>
            <w:r>
              <w:rPr>
                <w:rFonts w:ascii="Times New Roman" w:hAnsi="宋体"/>
                <w:color w:val="auto"/>
                <w:sz w:val="24"/>
                <w:szCs w:val="24"/>
                <w:highlight w:val="none"/>
              </w:rPr>
              <w:t>根据住房和城乡建设部、省建设主管部门对造价从业人员执业管理的相关法律法规规定以及《建设工程工程量清单计价规范》（</w:t>
            </w:r>
            <w:r>
              <w:rPr>
                <w:rFonts w:ascii="Times New Roman" w:hAnsi="Times New Roman"/>
                <w:color w:val="auto"/>
                <w:sz w:val="24"/>
                <w:szCs w:val="24"/>
                <w:highlight w:val="none"/>
              </w:rPr>
              <w:t>GB50500-2013</w:t>
            </w:r>
            <w:r>
              <w:rPr>
                <w:rFonts w:ascii="Times New Roman" w:hAnsi="宋体"/>
                <w:color w:val="auto"/>
                <w:sz w:val="24"/>
                <w:szCs w:val="24"/>
                <w:highlight w:val="none"/>
              </w:rPr>
              <w:t>）的规定，投标报价的编制必须遵守以下规定：</w:t>
            </w:r>
          </w:p>
          <w:p w14:paraId="01752EB8">
            <w:pPr>
              <w:keepNext w:val="0"/>
              <w:keepLines w:val="0"/>
              <w:pageBreakBefore w:val="0"/>
              <w:wordWrap/>
              <w:overflowPunct/>
              <w:bidi w:val="0"/>
              <w:snapToGrid w:val="0"/>
              <w:spacing w:line="320" w:lineRule="exact"/>
              <w:jc w:val="both"/>
              <w:rPr>
                <w:rFonts w:ascii="Times New Roman" w:hAnsi="Times New Roman"/>
                <w:color w:val="auto"/>
                <w:sz w:val="24"/>
                <w:szCs w:val="24"/>
                <w:highlight w:val="none"/>
              </w:rPr>
            </w:pPr>
            <w:r>
              <w:rPr>
                <w:rFonts w:hint="eastAsia" w:ascii="Times New Roman" w:hAnsi="Times New Roman"/>
                <w:color w:val="auto"/>
                <w:sz w:val="24"/>
                <w:szCs w:val="24"/>
                <w:highlight w:val="none"/>
              </w:rPr>
              <w:t>（1）</w:t>
            </w:r>
            <w:r>
              <w:rPr>
                <w:rFonts w:ascii="Times New Roman" w:hAnsi="宋体"/>
                <w:color w:val="auto"/>
                <w:sz w:val="24"/>
                <w:szCs w:val="24"/>
                <w:highlight w:val="none"/>
              </w:rPr>
              <w:t>投标报价应由投标人或受其委托具有相应能力的工程造价咨询人编制。</w:t>
            </w:r>
          </w:p>
          <w:p w14:paraId="684523FA">
            <w:pPr>
              <w:pStyle w:val="15"/>
              <w:keepNext w:val="0"/>
              <w:keepLines w:val="0"/>
              <w:pageBreakBefore w:val="0"/>
              <w:wordWrap/>
              <w:overflowPunct/>
              <w:bidi w:val="0"/>
              <w:spacing w:after="0" w:line="320" w:lineRule="exact"/>
              <w:rPr>
                <w:rFonts w:ascii="Times New Roman" w:hAnsi="宋体" w:eastAsia="宋体"/>
                <w:color w:val="auto"/>
                <w:sz w:val="24"/>
                <w:szCs w:val="24"/>
                <w:highlight w:val="none"/>
              </w:rPr>
            </w:pPr>
            <w:r>
              <w:rPr>
                <w:rFonts w:ascii="Times New Roman" w:hAnsi="宋体" w:eastAsia="宋体"/>
                <w:color w:val="auto"/>
                <w:sz w:val="24"/>
                <w:szCs w:val="24"/>
                <w:highlight w:val="none"/>
              </w:rPr>
              <w:t>（</w:t>
            </w:r>
            <w:r>
              <w:rPr>
                <w:rFonts w:hint="eastAsia" w:ascii="Times New Roman" w:hAnsi="宋体" w:eastAsia="宋体"/>
                <w:color w:val="auto"/>
                <w:sz w:val="24"/>
                <w:szCs w:val="24"/>
                <w:highlight w:val="none"/>
              </w:rPr>
              <w:t>2</w:t>
            </w:r>
            <w:r>
              <w:rPr>
                <w:rFonts w:ascii="Times New Roman" w:hAnsi="宋体" w:eastAsia="宋体"/>
                <w:color w:val="auto"/>
                <w:sz w:val="24"/>
                <w:szCs w:val="24"/>
                <w:highlight w:val="none"/>
              </w:rPr>
              <w:t>）投标文件的编制人不得接受同一工程招标人委托编制招标文件（含招标控制价），并不得接受其他投标人委托编制投标文件</w:t>
            </w:r>
          </w:p>
          <w:p w14:paraId="138CEF0A">
            <w:pPr>
              <w:keepNext w:val="0"/>
              <w:keepLines w:val="0"/>
              <w:pageBreakBefore w:val="0"/>
              <w:wordWrap/>
              <w:overflowPunct/>
              <w:bidi w:val="0"/>
              <w:spacing w:line="320" w:lineRule="exact"/>
              <w:rPr>
                <w:rFonts w:hint="eastAsia" w:ascii="Times New Roman" w:hAnsi="宋体"/>
                <w:color w:val="auto"/>
                <w:sz w:val="24"/>
                <w:szCs w:val="24"/>
                <w:highlight w:val="none"/>
              </w:rPr>
            </w:pPr>
            <w:r>
              <w:rPr>
                <w:rFonts w:ascii="宋体" w:hAnsi="宋体"/>
                <w:color w:val="auto"/>
                <w:sz w:val="24"/>
                <w:szCs w:val="24"/>
                <w:highlight w:val="none"/>
              </w:rPr>
              <w:t>□</w:t>
            </w:r>
            <w:r>
              <w:rPr>
                <w:rFonts w:hint="eastAsia" w:ascii="Times New Roman" w:hAnsi="宋体"/>
                <w:color w:val="auto"/>
                <w:sz w:val="24"/>
                <w:szCs w:val="24"/>
                <w:highlight w:val="none"/>
              </w:rPr>
              <w:t>3.暂估价：</w:t>
            </w:r>
          </w:p>
          <w:p w14:paraId="2BF69ADD">
            <w:pPr>
              <w:keepNext w:val="0"/>
              <w:keepLines w:val="0"/>
              <w:pageBreakBefore w:val="0"/>
              <w:tabs>
                <w:tab w:val="left" w:pos="9360"/>
              </w:tabs>
              <w:wordWrap/>
              <w:overflowPunct/>
              <w:bidi w:val="0"/>
              <w:spacing w:line="320" w:lineRule="exact"/>
              <w:rPr>
                <w:rFonts w:ascii="Times New Roman" w:hAnsi="宋体"/>
                <w:iCs/>
                <w:color w:val="auto"/>
                <w:sz w:val="24"/>
                <w:szCs w:val="24"/>
                <w:highlight w:val="none"/>
              </w:rPr>
            </w:pPr>
            <w:r>
              <w:rPr>
                <w:rFonts w:ascii="Times New Roman" w:hAnsi="宋体"/>
                <w:iCs/>
                <w:color w:val="auto"/>
                <w:sz w:val="24"/>
                <w:szCs w:val="24"/>
                <w:highlight w:val="none"/>
              </w:rPr>
              <w:t>（1） 内容</w:t>
            </w:r>
            <w:r>
              <w:rPr>
                <w:rFonts w:hint="eastAsia" w:ascii="Times New Roman" w:hAnsi="宋体"/>
                <w:iCs/>
                <w:color w:val="auto"/>
                <w:sz w:val="24"/>
                <w:szCs w:val="24"/>
                <w:highlight w:val="none"/>
              </w:rPr>
              <w:t>：</w:t>
            </w:r>
            <w:r>
              <w:rPr>
                <w:rFonts w:hint="eastAsia" w:ascii="Times New Roman" w:hAnsi="宋体"/>
                <w:iCs/>
                <w:color w:val="auto"/>
                <w:sz w:val="24"/>
                <w:szCs w:val="24"/>
                <w:highlight w:val="none"/>
                <w:u w:val="single"/>
              </w:rPr>
              <w:t xml:space="preserve">                                            </w:t>
            </w:r>
            <w:r>
              <w:rPr>
                <w:rFonts w:hint="eastAsia" w:ascii="Times New Roman" w:hAnsi="宋体"/>
                <w:iCs/>
                <w:color w:val="auto"/>
                <w:sz w:val="24"/>
                <w:szCs w:val="24"/>
                <w:highlight w:val="none"/>
              </w:rPr>
              <w:t>；</w:t>
            </w:r>
            <w:r>
              <w:rPr>
                <w:rFonts w:ascii="Times New Roman" w:hAnsi="宋体"/>
                <w:iCs/>
                <w:color w:val="auto"/>
                <w:sz w:val="24"/>
                <w:szCs w:val="24"/>
                <w:highlight w:val="none"/>
              </w:rPr>
              <w:t xml:space="preserve">  </w:t>
            </w:r>
          </w:p>
          <w:p w14:paraId="1546B111">
            <w:pPr>
              <w:keepNext w:val="0"/>
              <w:keepLines w:val="0"/>
              <w:pageBreakBefore w:val="0"/>
              <w:numPr>
                <w:ilvl w:val="0"/>
                <w:numId w:val="9"/>
              </w:numPr>
              <w:wordWrap/>
              <w:overflowPunct/>
              <w:bidi w:val="0"/>
              <w:spacing w:line="320" w:lineRule="exact"/>
              <w:rPr>
                <w:rFonts w:ascii="Times New Roman" w:hAnsi="宋体"/>
                <w:iCs/>
                <w:color w:val="auto"/>
                <w:sz w:val="24"/>
                <w:szCs w:val="24"/>
                <w:highlight w:val="none"/>
              </w:rPr>
            </w:pPr>
            <w:r>
              <w:rPr>
                <w:rFonts w:hint="eastAsia" w:ascii="Times New Roman" w:hAnsi="宋体"/>
                <w:iCs/>
                <w:color w:val="auto"/>
                <w:sz w:val="24"/>
                <w:szCs w:val="24"/>
                <w:highlight w:val="none"/>
              </w:rPr>
              <w:t>金额：</w:t>
            </w:r>
            <w:r>
              <w:rPr>
                <w:rFonts w:hint="eastAsia" w:ascii="Times New Roman" w:hAnsi="宋体"/>
                <w:iCs/>
                <w:color w:val="auto"/>
                <w:sz w:val="24"/>
                <w:szCs w:val="24"/>
                <w:highlight w:val="none"/>
                <w:u w:val="single"/>
              </w:rPr>
              <w:t xml:space="preserve">                                             </w:t>
            </w:r>
            <w:r>
              <w:rPr>
                <w:rFonts w:hint="eastAsia" w:ascii="Times New Roman" w:hAnsi="宋体"/>
                <w:iCs/>
                <w:color w:val="auto"/>
                <w:sz w:val="24"/>
                <w:szCs w:val="24"/>
                <w:highlight w:val="none"/>
              </w:rPr>
              <w:t>；</w:t>
            </w:r>
            <w:r>
              <w:rPr>
                <w:rFonts w:ascii="Times New Roman" w:hAnsi="宋体"/>
                <w:iCs/>
                <w:color w:val="auto"/>
                <w:sz w:val="24"/>
                <w:szCs w:val="24"/>
                <w:highlight w:val="none"/>
              </w:rPr>
              <w:t xml:space="preserve">  </w:t>
            </w:r>
          </w:p>
          <w:p w14:paraId="370C5320">
            <w:pPr>
              <w:keepNext w:val="0"/>
              <w:keepLines w:val="0"/>
              <w:pageBreakBefore w:val="0"/>
              <w:numPr>
                <w:ilvl w:val="0"/>
                <w:numId w:val="9"/>
              </w:numPr>
              <w:wordWrap/>
              <w:overflowPunct/>
              <w:bidi w:val="0"/>
              <w:spacing w:line="320" w:lineRule="exact"/>
              <w:rPr>
                <w:rFonts w:ascii="Times New Roman" w:hAnsi="宋体"/>
                <w:iCs/>
                <w:color w:val="auto"/>
                <w:sz w:val="24"/>
                <w:szCs w:val="24"/>
                <w:highlight w:val="none"/>
              </w:rPr>
            </w:pPr>
            <w:r>
              <w:rPr>
                <w:rFonts w:hint="eastAsia" w:ascii="Times New Roman" w:hAnsi="宋体"/>
                <w:iCs/>
                <w:color w:val="auto"/>
                <w:sz w:val="24"/>
                <w:szCs w:val="24"/>
                <w:highlight w:val="none"/>
              </w:rPr>
              <w:t>占招标控制价比例：</w:t>
            </w:r>
            <w:r>
              <w:rPr>
                <w:rFonts w:hint="eastAsia" w:ascii="Times New Roman" w:hAnsi="宋体"/>
                <w:iCs/>
                <w:color w:val="auto"/>
                <w:sz w:val="24"/>
                <w:szCs w:val="24"/>
                <w:highlight w:val="none"/>
                <w:u w:val="single"/>
              </w:rPr>
              <w:t xml:space="preserve">                     </w:t>
            </w:r>
            <w:r>
              <w:rPr>
                <w:rFonts w:hint="eastAsia" w:ascii="Times New Roman" w:hAnsi="宋体"/>
                <w:iCs/>
                <w:color w:val="auto"/>
                <w:sz w:val="24"/>
                <w:szCs w:val="24"/>
                <w:highlight w:val="none"/>
              </w:rPr>
              <w:t>；</w:t>
            </w:r>
          </w:p>
          <w:p w14:paraId="16E4C1FF">
            <w:pPr>
              <w:keepNext w:val="0"/>
              <w:keepLines w:val="0"/>
              <w:pageBreakBefore w:val="0"/>
              <w:wordWrap/>
              <w:overflowPunct/>
              <w:bidi w:val="0"/>
              <w:spacing w:line="320" w:lineRule="exact"/>
              <w:rPr>
                <w:color w:val="auto"/>
                <w:sz w:val="24"/>
                <w:szCs w:val="24"/>
                <w:highlight w:val="none"/>
              </w:rPr>
            </w:pPr>
            <w:r>
              <w:rPr>
                <w:rFonts w:ascii="宋体" w:hAnsi="宋体"/>
                <w:color w:val="auto"/>
                <w:sz w:val="24"/>
                <w:szCs w:val="24"/>
                <w:highlight w:val="none"/>
              </w:rPr>
              <w:t>□</w:t>
            </w:r>
            <w:r>
              <w:rPr>
                <w:rFonts w:ascii="Times New Roman" w:hAnsi="宋体"/>
                <w:iCs/>
                <w:color w:val="auto"/>
                <w:sz w:val="24"/>
                <w:szCs w:val="24"/>
                <w:highlight w:val="none"/>
              </w:rPr>
              <w:t>（</w:t>
            </w:r>
            <w:r>
              <w:rPr>
                <w:rFonts w:hint="eastAsia" w:ascii="Times New Roman" w:hAnsi="宋体"/>
                <w:iCs/>
                <w:color w:val="auto"/>
                <w:sz w:val="24"/>
                <w:szCs w:val="24"/>
                <w:highlight w:val="none"/>
              </w:rPr>
              <w:t>4</w:t>
            </w:r>
            <w:r>
              <w:rPr>
                <w:rFonts w:ascii="Times New Roman" w:hAnsi="宋体"/>
                <w:iCs/>
                <w:color w:val="auto"/>
                <w:sz w:val="24"/>
                <w:szCs w:val="24"/>
                <w:highlight w:val="none"/>
              </w:rPr>
              <w:t>）</w:t>
            </w:r>
            <w:r>
              <w:rPr>
                <w:rFonts w:hint="eastAsia" w:ascii="Times New Roman" w:hAnsi="宋体"/>
                <w:iCs/>
                <w:color w:val="auto"/>
                <w:sz w:val="24"/>
                <w:szCs w:val="24"/>
                <w:highlight w:val="none"/>
              </w:rPr>
              <w:t>招标计划及内容：</w:t>
            </w:r>
            <w:r>
              <w:rPr>
                <w:rFonts w:hint="eastAsia" w:ascii="Times New Roman" w:hAnsi="宋体"/>
                <w:iCs/>
                <w:color w:val="auto"/>
                <w:sz w:val="24"/>
                <w:szCs w:val="24"/>
                <w:highlight w:val="none"/>
                <w:u w:val="single"/>
              </w:rPr>
              <w:t xml:space="preserve">                     </w:t>
            </w:r>
            <w:r>
              <w:rPr>
                <w:rFonts w:hint="eastAsia" w:ascii="Times New Roman" w:hAnsi="宋体"/>
                <w:iCs/>
                <w:color w:val="auto"/>
                <w:sz w:val="24"/>
                <w:szCs w:val="24"/>
                <w:highlight w:val="none"/>
              </w:rPr>
              <w:t>。</w:t>
            </w:r>
            <w:r>
              <w:rPr>
                <w:rFonts w:ascii="Times New Roman" w:hAnsi="宋体"/>
                <w:iCs/>
                <w:color w:val="auto"/>
                <w:sz w:val="24"/>
                <w:szCs w:val="24"/>
                <w:highlight w:val="none"/>
              </w:rPr>
              <w:t xml:space="preserve">  </w:t>
            </w:r>
          </w:p>
          <w:p w14:paraId="1D492B0F">
            <w:pPr>
              <w:keepNext w:val="0"/>
              <w:keepLines w:val="0"/>
              <w:pageBreakBefore w:val="0"/>
              <w:tabs>
                <w:tab w:val="left" w:pos="9360"/>
              </w:tabs>
              <w:wordWrap/>
              <w:overflowPunct/>
              <w:bidi w:val="0"/>
              <w:spacing w:line="320" w:lineRule="exact"/>
              <w:rPr>
                <w:rFonts w:ascii="Times New Roman" w:hAnsi="Times New Roman"/>
                <w:iCs/>
                <w:color w:val="auto"/>
                <w:sz w:val="24"/>
                <w:szCs w:val="24"/>
                <w:highlight w:val="none"/>
              </w:rPr>
            </w:pPr>
            <w:r>
              <w:rPr>
                <w:rFonts w:ascii="宋体" w:hAnsi="宋体"/>
                <w:color w:val="auto"/>
                <w:sz w:val="24"/>
                <w:szCs w:val="24"/>
                <w:highlight w:val="none"/>
              </w:rPr>
              <w:t>□</w:t>
            </w:r>
            <w:r>
              <w:rPr>
                <w:rFonts w:hint="eastAsia" w:ascii="Times New Roman" w:hAnsi="Times New Roman"/>
                <w:iCs/>
                <w:color w:val="auto"/>
                <w:sz w:val="24"/>
                <w:szCs w:val="24"/>
                <w:highlight w:val="none"/>
              </w:rPr>
              <w:t>4</w:t>
            </w:r>
            <w:r>
              <w:rPr>
                <w:rFonts w:ascii="Times New Roman" w:hAnsi="Times New Roman"/>
                <w:iCs/>
                <w:color w:val="auto"/>
                <w:sz w:val="24"/>
                <w:szCs w:val="24"/>
                <w:highlight w:val="none"/>
              </w:rPr>
              <w:t>.</w:t>
            </w:r>
            <w:r>
              <w:rPr>
                <w:rFonts w:ascii="宋体" w:hAnsi="宋体"/>
                <w:iCs/>
                <w:color w:val="auto"/>
                <w:sz w:val="24"/>
                <w:szCs w:val="24"/>
                <w:highlight w:val="none"/>
              </w:rPr>
              <w:t>监测设施经费</w:t>
            </w:r>
            <w:r>
              <w:rPr>
                <w:rFonts w:ascii="Times New Roman" w:hAnsi="宋体"/>
                <w:iCs/>
                <w:color w:val="auto"/>
                <w:sz w:val="24"/>
                <w:szCs w:val="24"/>
                <w:highlight w:val="none"/>
              </w:rPr>
              <w:t>保障要求：本工程处于安装监测设施工程范围，投标人扬尘控制及在线监测设施安装、运行费用应充分考虑并列入报价，在合同签订前应向招标人提供对应的实施方案。</w:t>
            </w:r>
          </w:p>
          <w:p w14:paraId="4523FB7C">
            <w:pPr>
              <w:keepNext w:val="0"/>
              <w:keepLines w:val="0"/>
              <w:pageBreakBefore w:val="0"/>
              <w:tabs>
                <w:tab w:val="left" w:pos="9360"/>
              </w:tabs>
              <w:wordWrap/>
              <w:overflowPunct/>
              <w:bidi w:val="0"/>
              <w:snapToGrid w:val="0"/>
              <w:spacing w:line="320" w:lineRule="exact"/>
              <w:jc w:val="both"/>
              <w:rPr>
                <w:rFonts w:hint="eastAsia" w:ascii="Times New Roman" w:hAnsi="Times New Roman"/>
                <w:iCs/>
                <w:color w:val="auto"/>
                <w:sz w:val="24"/>
                <w:szCs w:val="24"/>
                <w:highlight w:val="none"/>
                <w:u w:val="single"/>
              </w:rPr>
            </w:pPr>
            <w:r>
              <w:rPr>
                <w:rFonts w:hint="eastAsia" w:ascii="Times New Roman" w:hAnsi="Times New Roman"/>
                <w:iCs/>
                <w:color w:val="auto"/>
                <w:sz w:val="24"/>
                <w:szCs w:val="24"/>
                <w:highlight w:val="none"/>
              </w:rPr>
              <w:t>5</w:t>
            </w:r>
            <w:r>
              <w:rPr>
                <w:rFonts w:ascii="Times New Roman" w:hAnsi="Times New Roman"/>
                <w:iCs/>
                <w:color w:val="auto"/>
                <w:sz w:val="24"/>
                <w:szCs w:val="24"/>
                <w:highlight w:val="none"/>
              </w:rPr>
              <w:t>.</w:t>
            </w:r>
            <w:r>
              <w:rPr>
                <w:rFonts w:ascii="Times New Roman" w:hAnsi="宋体"/>
                <w:iCs/>
                <w:color w:val="auto"/>
                <w:sz w:val="24"/>
                <w:szCs w:val="24"/>
                <w:highlight w:val="none"/>
              </w:rPr>
              <w:t>建筑工人实名制管理和经费保障要求：</w:t>
            </w:r>
            <w:r>
              <w:rPr>
                <w:rFonts w:ascii="Times New Roman" w:hAnsi="Times New Roman"/>
                <w:iCs/>
                <w:color w:val="auto"/>
                <w:sz w:val="24"/>
                <w:szCs w:val="24"/>
                <w:highlight w:val="none"/>
                <w:u w:val="single"/>
              </w:rPr>
              <w:t xml:space="preserve">              </w:t>
            </w:r>
            <w:r>
              <w:rPr>
                <w:rFonts w:ascii="Times New Roman" w:hAnsi="Times New Roman"/>
                <w:iCs/>
                <w:color w:val="auto"/>
                <w:sz w:val="24"/>
                <w:szCs w:val="24"/>
                <w:highlight w:val="none"/>
              </w:rPr>
              <w:t xml:space="preserve"> </w:t>
            </w:r>
            <w:r>
              <w:rPr>
                <w:rFonts w:hint="eastAsia" w:ascii="Times New Roman" w:hAnsi="Times New Roman"/>
                <w:iCs/>
                <w:color w:val="auto"/>
                <w:sz w:val="24"/>
                <w:szCs w:val="24"/>
                <w:highlight w:val="none"/>
              </w:rPr>
              <w:t>。</w:t>
            </w:r>
          </w:p>
          <w:p w14:paraId="3AB738B3">
            <w:pPr>
              <w:keepNext w:val="0"/>
              <w:keepLines w:val="0"/>
              <w:pageBreakBefore w:val="0"/>
              <w:tabs>
                <w:tab w:val="left" w:pos="9360"/>
              </w:tabs>
              <w:wordWrap/>
              <w:overflowPunct/>
              <w:bidi w:val="0"/>
              <w:snapToGrid w:val="0"/>
              <w:spacing w:line="320" w:lineRule="exact"/>
              <w:jc w:val="both"/>
              <w:rPr>
                <w:rFonts w:ascii="Times New Roman" w:hAnsi="Times New Roman"/>
                <w:iCs/>
                <w:color w:val="auto"/>
                <w:sz w:val="24"/>
                <w:szCs w:val="24"/>
                <w:highlight w:val="none"/>
              </w:rPr>
            </w:pPr>
            <w:r>
              <w:rPr>
                <w:rFonts w:hint="eastAsia" w:ascii="Times New Roman" w:hAnsi="Times New Roman"/>
                <w:iCs/>
                <w:color w:val="auto"/>
                <w:sz w:val="24"/>
                <w:szCs w:val="24"/>
                <w:highlight w:val="none"/>
              </w:rPr>
              <w:t>6</w:t>
            </w:r>
            <w:r>
              <w:rPr>
                <w:rFonts w:ascii="Times New Roman" w:hAnsi="Times New Roman"/>
                <w:iCs/>
                <w:color w:val="auto"/>
                <w:sz w:val="24"/>
                <w:szCs w:val="24"/>
                <w:highlight w:val="none"/>
              </w:rPr>
              <w:t>.</w:t>
            </w:r>
            <w:r>
              <w:rPr>
                <w:rFonts w:ascii="Times New Roman" w:hAnsi="宋体"/>
                <w:color w:val="auto"/>
                <w:sz w:val="24"/>
                <w:szCs w:val="24"/>
                <w:highlight w:val="none"/>
              </w:rPr>
              <w:t>价款结算方式</w:t>
            </w:r>
            <w:r>
              <w:rPr>
                <w:rFonts w:ascii="Times New Roman" w:hAnsi="宋体"/>
                <w:iCs/>
                <w:color w:val="auto"/>
                <w:sz w:val="24"/>
                <w:szCs w:val="24"/>
                <w:highlight w:val="none"/>
              </w:rPr>
              <w:t>：</w:t>
            </w:r>
          </w:p>
          <w:p w14:paraId="5D4C3731">
            <w:pPr>
              <w:keepNext w:val="0"/>
              <w:keepLines w:val="0"/>
              <w:pageBreakBefore w:val="0"/>
              <w:tabs>
                <w:tab w:val="left" w:pos="9360"/>
              </w:tabs>
              <w:wordWrap/>
              <w:overflowPunct/>
              <w:bidi w:val="0"/>
              <w:snapToGrid w:val="0"/>
              <w:spacing w:line="320" w:lineRule="exact"/>
              <w:jc w:val="both"/>
              <w:rPr>
                <w:rFonts w:ascii="宋体" w:hAnsi="宋体"/>
                <w:color w:val="auto"/>
                <w:sz w:val="24"/>
                <w:szCs w:val="24"/>
                <w:highlight w:val="none"/>
              </w:rPr>
            </w:pPr>
            <w:r>
              <w:rPr>
                <w:rFonts w:hint="eastAsia" w:ascii="宋体" w:hAnsi="宋体"/>
                <w:color w:val="auto"/>
                <w:sz w:val="24"/>
                <w:szCs w:val="24"/>
                <w:highlight w:val="none"/>
                <w:lang w:eastAsia="zh-CN"/>
              </w:rPr>
              <w:t>☑</w:t>
            </w:r>
            <w:r>
              <w:rPr>
                <w:rFonts w:ascii="宋体" w:hAnsi="宋体"/>
                <w:color w:val="auto"/>
                <w:sz w:val="24"/>
                <w:szCs w:val="24"/>
                <w:highlight w:val="none"/>
              </w:rPr>
              <w:t>竣工后一次性结算</w:t>
            </w:r>
          </w:p>
          <w:p w14:paraId="7607461B">
            <w:pPr>
              <w:keepNext w:val="0"/>
              <w:keepLines w:val="0"/>
              <w:pageBreakBefore w:val="0"/>
              <w:tabs>
                <w:tab w:val="left" w:pos="9360"/>
              </w:tabs>
              <w:wordWrap/>
              <w:overflowPunct/>
              <w:bidi w:val="0"/>
              <w:snapToGrid w:val="0"/>
              <w:spacing w:line="320" w:lineRule="exact"/>
              <w:jc w:val="both"/>
              <w:rPr>
                <w:rFonts w:ascii="Times New Roman" w:hAnsi="Times New Roman"/>
                <w:color w:val="auto"/>
                <w:sz w:val="24"/>
                <w:szCs w:val="24"/>
                <w:highlight w:val="none"/>
              </w:rPr>
            </w:pPr>
            <w:r>
              <w:rPr>
                <w:rFonts w:hint="eastAsia" w:ascii="宋体" w:hAnsi="宋体"/>
                <w:color w:val="auto"/>
                <w:sz w:val="24"/>
                <w:szCs w:val="24"/>
                <w:highlight w:val="none"/>
                <w:lang w:eastAsia="zh-CN"/>
              </w:rPr>
              <w:t>□</w:t>
            </w:r>
            <w:r>
              <w:rPr>
                <w:rFonts w:ascii="宋体" w:hAnsi="宋体"/>
                <w:color w:val="auto"/>
                <w:sz w:val="24"/>
                <w:szCs w:val="24"/>
                <w:highlight w:val="none"/>
              </w:rPr>
              <w:t>施工过程分段结算：□房建</w:t>
            </w:r>
            <w:r>
              <w:rPr>
                <w:rFonts w:ascii="Times New Roman" w:hAnsi="宋体"/>
                <w:color w:val="auto"/>
                <w:sz w:val="24"/>
                <w:szCs w:val="24"/>
                <w:highlight w:val="none"/>
              </w:rPr>
              <w:t>工程分段节点</w:t>
            </w:r>
            <w:r>
              <w:rPr>
                <w:rFonts w:ascii="Times New Roman" w:hAnsi="Times New Roman"/>
                <w:color w:val="auto"/>
                <w:sz w:val="24"/>
                <w:szCs w:val="24"/>
                <w:highlight w:val="none"/>
                <w:u w:val="single"/>
              </w:rPr>
              <w:t xml:space="preserve">                </w:t>
            </w:r>
            <w:r>
              <w:rPr>
                <w:rFonts w:ascii="Times New Roman" w:hAnsi="宋体"/>
                <w:color w:val="auto"/>
                <w:sz w:val="24"/>
                <w:szCs w:val="24"/>
                <w:highlight w:val="none"/>
              </w:rPr>
              <w:t>（如可按桩基工程、地下室工程、地上主体结构工程和装饰装修工程划分，或分专业、分单项等）；</w:t>
            </w:r>
            <w:r>
              <w:rPr>
                <w:rFonts w:ascii="宋体" w:hAnsi="宋体"/>
                <w:color w:val="auto"/>
                <w:sz w:val="24"/>
                <w:szCs w:val="24"/>
                <w:highlight w:val="none"/>
              </w:rPr>
              <w:t>□市政工程分段节点按</w:t>
            </w:r>
            <w:r>
              <w:rPr>
                <w:rFonts w:ascii="宋体" w:hAnsi="宋体"/>
                <w:color w:val="auto"/>
                <w:sz w:val="24"/>
                <w:szCs w:val="24"/>
                <w:highlight w:val="none"/>
                <w:u w:val="single"/>
              </w:rPr>
              <w:t xml:space="preserve">                   </w:t>
            </w:r>
            <w:r>
              <w:rPr>
                <w:rFonts w:ascii="宋体" w:hAnsi="宋体"/>
                <w:color w:val="auto"/>
                <w:sz w:val="24"/>
                <w:szCs w:val="24"/>
                <w:highlight w:val="none"/>
              </w:rPr>
              <w:t>划分（节点划分：如道路工程、给排水燃气工程、隧道工程、河道护岸工程、综合管廊工程等市政工程可按施工段合理划分过程结算周期节点；水处理构筑物工程和生活垃圾处理工程可参照建筑工程划分过程结算周期节点；桥梁工程可按下部结构、上部结构、</w:t>
            </w:r>
            <w:r>
              <w:rPr>
                <w:rFonts w:ascii="Times New Roman" w:hAnsi="宋体"/>
                <w:color w:val="auto"/>
                <w:sz w:val="24"/>
                <w:szCs w:val="24"/>
                <w:highlight w:val="none"/>
              </w:rPr>
              <w:t>附属工程划分过程结算周期节点。）。</w:t>
            </w:r>
          </w:p>
          <w:p w14:paraId="7DC93252">
            <w:pPr>
              <w:keepNext w:val="0"/>
              <w:keepLines w:val="0"/>
              <w:pageBreakBefore w:val="0"/>
              <w:tabs>
                <w:tab w:val="left" w:pos="9360"/>
              </w:tabs>
              <w:wordWrap/>
              <w:overflowPunct/>
              <w:bidi w:val="0"/>
              <w:snapToGrid w:val="0"/>
              <w:spacing w:line="320" w:lineRule="exact"/>
              <w:jc w:val="both"/>
              <w:rPr>
                <w:rFonts w:ascii="Times New Roman" w:hAnsi="Times New Roman"/>
                <w:color w:val="auto"/>
                <w:sz w:val="24"/>
                <w:szCs w:val="24"/>
                <w:highlight w:val="none"/>
              </w:rPr>
            </w:pPr>
            <w:r>
              <w:rPr>
                <w:rFonts w:hint="eastAsia" w:ascii="Times New Roman" w:hAnsi="Times New Roman"/>
                <w:color w:val="auto"/>
                <w:sz w:val="24"/>
                <w:szCs w:val="24"/>
                <w:highlight w:val="none"/>
              </w:rPr>
              <w:t>7</w:t>
            </w:r>
            <w:r>
              <w:rPr>
                <w:rFonts w:ascii="Times New Roman" w:hAnsi="Times New Roman"/>
                <w:color w:val="auto"/>
                <w:sz w:val="24"/>
                <w:szCs w:val="24"/>
                <w:highlight w:val="none"/>
              </w:rPr>
              <w:t>.</w:t>
            </w:r>
            <w:r>
              <w:rPr>
                <w:rFonts w:ascii="Times New Roman" w:hAnsi="宋体"/>
                <w:color w:val="auto"/>
                <w:sz w:val="24"/>
                <w:szCs w:val="24"/>
                <w:highlight w:val="none"/>
              </w:rPr>
              <w:t>农民工工资保证金：</w:t>
            </w:r>
          </w:p>
          <w:p w14:paraId="2BFDF940">
            <w:pPr>
              <w:keepNext w:val="0"/>
              <w:keepLines w:val="0"/>
              <w:pageBreakBefore w:val="0"/>
              <w:tabs>
                <w:tab w:val="left" w:pos="9360"/>
              </w:tabs>
              <w:wordWrap/>
              <w:overflowPunct/>
              <w:bidi w:val="0"/>
              <w:snapToGrid w:val="0"/>
              <w:spacing w:line="320" w:lineRule="exact"/>
              <w:jc w:val="both"/>
              <w:rPr>
                <w:rFonts w:ascii="Times New Roman" w:hAnsi="宋体"/>
                <w:color w:val="auto"/>
                <w:spacing w:val="-7"/>
                <w:sz w:val="24"/>
                <w:szCs w:val="24"/>
                <w:highlight w:val="none"/>
              </w:rPr>
            </w:pPr>
            <w:r>
              <w:rPr>
                <w:rFonts w:ascii="Times New Roman" w:hAnsi="宋体"/>
                <w:color w:val="auto"/>
                <w:sz w:val="24"/>
                <w:szCs w:val="24"/>
                <w:highlight w:val="none"/>
              </w:rPr>
              <w:t>（</w:t>
            </w:r>
            <w:r>
              <w:rPr>
                <w:rFonts w:ascii="Times New Roman" w:hAnsi="Times New Roman"/>
                <w:color w:val="auto"/>
                <w:sz w:val="24"/>
                <w:szCs w:val="24"/>
                <w:highlight w:val="none"/>
              </w:rPr>
              <w:t>1</w:t>
            </w:r>
            <w:r>
              <w:rPr>
                <w:rFonts w:ascii="Times New Roman" w:hAnsi="宋体"/>
                <w:color w:val="auto"/>
                <w:sz w:val="24"/>
                <w:szCs w:val="24"/>
                <w:highlight w:val="none"/>
              </w:rPr>
              <w:t>）投标</w:t>
            </w:r>
            <w:r>
              <w:rPr>
                <w:rFonts w:ascii="Times New Roman" w:hAnsi="宋体"/>
                <w:color w:val="auto"/>
                <w:spacing w:val="-7"/>
                <w:sz w:val="24"/>
                <w:szCs w:val="24"/>
                <w:highlight w:val="none"/>
              </w:rPr>
              <w:t>人应在投标前仔细核查本企业农民工工资保证金缴纳情况，应按当地有关农民工工资保证金管理制度执行。</w:t>
            </w:r>
          </w:p>
          <w:p w14:paraId="73F8F03F">
            <w:pPr>
              <w:keepNext w:val="0"/>
              <w:keepLines w:val="0"/>
              <w:pageBreakBefore w:val="0"/>
              <w:tabs>
                <w:tab w:val="left" w:pos="9360"/>
              </w:tabs>
              <w:wordWrap/>
              <w:overflowPunct/>
              <w:bidi w:val="0"/>
              <w:snapToGrid w:val="0"/>
              <w:spacing w:line="320" w:lineRule="exact"/>
              <w:jc w:val="both"/>
              <w:rPr>
                <w:rFonts w:ascii="Times New Roman" w:hAnsi="宋体"/>
                <w:color w:val="auto"/>
                <w:sz w:val="24"/>
                <w:szCs w:val="24"/>
                <w:highlight w:val="none"/>
              </w:rPr>
            </w:pPr>
            <w:r>
              <w:rPr>
                <w:rFonts w:ascii="Times New Roman" w:hAnsi="宋体"/>
                <w:color w:val="auto"/>
                <w:sz w:val="24"/>
                <w:szCs w:val="24"/>
                <w:highlight w:val="none"/>
              </w:rPr>
              <w:t>（</w:t>
            </w:r>
            <w:r>
              <w:rPr>
                <w:rFonts w:ascii="Times New Roman" w:hAnsi="Times New Roman"/>
                <w:color w:val="auto"/>
                <w:sz w:val="24"/>
                <w:szCs w:val="24"/>
                <w:highlight w:val="none"/>
              </w:rPr>
              <w:t>2</w:t>
            </w:r>
            <w:r>
              <w:rPr>
                <w:rFonts w:ascii="Times New Roman" w:hAnsi="宋体"/>
                <w:color w:val="auto"/>
                <w:sz w:val="24"/>
                <w:szCs w:val="24"/>
                <w:highlight w:val="none"/>
              </w:rPr>
              <w:t>）农民工工资支付按照当地相关文件执行，具体在合同专用条款中明确。</w:t>
            </w:r>
          </w:p>
          <w:p w14:paraId="25DC0B48">
            <w:pPr>
              <w:keepNext w:val="0"/>
              <w:keepLines w:val="0"/>
              <w:pageBreakBefore w:val="0"/>
              <w:tabs>
                <w:tab w:val="left" w:pos="9360"/>
              </w:tabs>
              <w:wordWrap/>
              <w:overflowPunct/>
              <w:bidi w:val="0"/>
              <w:snapToGrid w:val="0"/>
              <w:spacing w:line="320" w:lineRule="exact"/>
              <w:jc w:val="both"/>
              <w:rPr>
                <w:rFonts w:hint="eastAsia" w:ascii="Times New Roman" w:hAnsi="宋体"/>
                <w:color w:val="auto"/>
                <w:sz w:val="24"/>
                <w:szCs w:val="24"/>
                <w:highlight w:val="none"/>
              </w:rPr>
            </w:pPr>
            <w:r>
              <w:rPr>
                <w:rFonts w:hint="eastAsia" w:ascii="Times New Roman" w:hAnsi="宋体"/>
                <w:color w:val="auto"/>
                <w:sz w:val="24"/>
                <w:szCs w:val="24"/>
                <w:highlight w:val="none"/>
              </w:rPr>
              <w:t>8.招标人</w:t>
            </w:r>
            <w:r>
              <w:rPr>
                <w:rFonts w:ascii="Times New Roman" w:hAnsi="宋体"/>
                <w:color w:val="auto"/>
                <w:spacing w:val="-7"/>
                <w:sz w:val="24"/>
                <w:szCs w:val="24"/>
                <w:highlight w:val="none"/>
              </w:rPr>
              <w:t>应当</w:t>
            </w:r>
            <w:r>
              <w:rPr>
                <w:rFonts w:hint="eastAsia" w:ascii="Times New Roman" w:hAnsi="宋体"/>
                <w:color w:val="auto"/>
                <w:spacing w:val="-7"/>
                <w:sz w:val="24"/>
                <w:szCs w:val="24"/>
                <w:highlight w:val="none"/>
              </w:rPr>
              <w:t>按规定</w:t>
            </w:r>
            <w:r>
              <w:rPr>
                <w:rFonts w:ascii="Times New Roman" w:hAnsi="宋体"/>
                <w:color w:val="auto"/>
                <w:spacing w:val="-7"/>
                <w:sz w:val="24"/>
                <w:szCs w:val="24"/>
                <w:highlight w:val="none"/>
              </w:rPr>
              <w:t>向</w:t>
            </w:r>
            <w:r>
              <w:rPr>
                <w:rFonts w:hint="eastAsia" w:ascii="Times New Roman" w:hAnsi="宋体"/>
                <w:color w:val="auto"/>
                <w:spacing w:val="-7"/>
                <w:sz w:val="24"/>
                <w:szCs w:val="24"/>
                <w:highlight w:val="none"/>
              </w:rPr>
              <w:t>中标人</w:t>
            </w:r>
            <w:r>
              <w:rPr>
                <w:rFonts w:ascii="Times New Roman" w:hAnsi="宋体"/>
                <w:color w:val="auto"/>
                <w:spacing w:val="-7"/>
                <w:sz w:val="24"/>
                <w:szCs w:val="24"/>
                <w:highlight w:val="none"/>
              </w:rPr>
              <w:t>提供工程款支付担保</w:t>
            </w:r>
            <w:r>
              <w:rPr>
                <w:rFonts w:hint="eastAsia" w:ascii="Times New Roman" w:hAnsi="宋体"/>
                <w:color w:val="auto"/>
                <w:spacing w:val="-7"/>
                <w:sz w:val="24"/>
                <w:szCs w:val="24"/>
                <w:highlight w:val="none"/>
              </w:rPr>
              <w:t>。</w:t>
            </w:r>
          </w:p>
          <w:p w14:paraId="3EE82604">
            <w:pPr>
              <w:keepNext w:val="0"/>
              <w:keepLines w:val="0"/>
              <w:pageBreakBefore w:val="0"/>
              <w:tabs>
                <w:tab w:val="left" w:pos="9360"/>
              </w:tabs>
              <w:wordWrap/>
              <w:overflowPunct/>
              <w:bidi w:val="0"/>
              <w:snapToGrid w:val="0"/>
              <w:spacing w:line="320" w:lineRule="exact"/>
              <w:jc w:val="both"/>
              <w:rPr>
                <w:rFonts w:ascii="Times New Roman" w:hAnsi="Times New Roman"/>
                <w:color w:val="auto"/>
                <w:sz w:val="24"/>
                <w:szCs w:val="24"/>
                <w:highlight w:val="none"/>
                <w:u w:val="single"/>
              </w:rPr>
            </w:pPr>
            <w:r>
              <w:rPr>
                <w:rFonts w:ascii="宋体" w:hAnsi="宋体"/>
                <w:color w:val="auto"/>
                <w:sz w:val="24"/>
                <w:szCs w:val="24"/>
                <w:highlight w:val="none"/>
              </w:rPr>
              <w:t>□</w:t>
            </w:r>
            <w:r>
              <w:rPr>
                <w:rFonts w:ascii="Times New Roman" w:hAnsi="Times New Roman"/>
                <w:color w:val="auto"/>
                <w:sz w:val="24"/>
                <w:szCs w:val="24"/>
                <w:highlight w:val="none"/>
                <w:lang w:val="en"/>
              </w:rPr>
              <w:t>9</w:t>
            </w:r>
            <w:r>
              <w:rPr>
                <w:rFonts w:ascii="Times New Roman" w:hAnsi="Times New Roman"/>
                <w:color w:val="auto"/>
                <w:sz w:val="24"/>
                <w:szCs w:val="24"/>
                <w:highlight w:val="none"/>
              </w:rPr>
              <w:t>.</w:t>
            </w:r>
            <w:r>
              <w:rPr>
                <w:rFonts w:ascii="宋体" w:hAnsi="宋体"/>
                <w:color w:val="auto"/>
                <w:sz w:val="24"/>
                <w:szCs w:val="24"/>
                <w:highlight w:val="none"/>
              </w:rPr>
              <w:t>实</w:t>
            </w:r>
            <w:r>
              <w:rPr>
                <w:rFonts w:ascii="Times New Roman" w:hAnsi="宋体"/>
                <w:color w:val="auto"/>
                <w:sz w:val="24"/>
                <w:szCs w:val="24"/>
                <w:highlight w:val="none"/>
              </w:rPr>
              <w:t>施</w:t>
            </w:r>
            <w:r>
              <w:rPr>
                <w:rFonts w:ascii="Times New Roman" w:hAnsi="Times New Roman"/>
                <w:color w:val="auto"/>
                <w:sz w:val="24"/>
                <w:szCs w:val="24"/>
                <w:highlight w:val="none"/>
              </w:rPr>
              <w:t>BIM</w:t>
            </w:r>
            <w:r>
              <w:rPr>
                <w:rFonts w:ascii="Times New Roman" w:hAnsi="宋体"/>
                <w:color w:val="auto"/>
                <w:sz w:val="24"/>
                <w:szCs w:val="24"/>
                <w:highlight w:val="none"/>
              </w:rPr>
              <w:t>的内容：</w:t>
            </w:r>
            <w:r>
              <w:rPr>
                <w:rFonts w:ascii="Times New Roman" w:hAnsi="Times New Roman"/>
                <w:color w:val="auto"/>
                <w:sz w:val="24"/>
                <w:szCs w:val="24"/>
                <w:highlight w:val="none"/>
                <w:u w:val="single"/>
              </w:rPr>
              <w:t xml:space="preserve">                              </w:t>
            </w:r>
            <w:r>
              <w:rPr>
                <w:rFonts w:ascii="Times New Roman" w:hAnsi="宋体"/>
                <w:color w:val="auto"/>
                <w:sz w:val="24"/>
                <w:szCs w:val="24"/>
                <w:highlight w:val="none"/>
              </w:rPr>
              <w:t>。</w:t>
            </w:r>
          </w:p>
          <w:p w14:paraId="032EBC08">
            <w:pPr>
              <w:keepNext w:val="0"/>
              <w:keepLines w:val="0"/>
              <w:pageBreakBefore w:val="0"/>
              <w:wordWrap/>
              <w:overflowPunct/>
              <w:bidi w:val="0"/>
              <w:snapToGrid w:val="0"/>
              <w:spacing w:line="320" w:lineRule="exact"/>
              <w:jc w:val="both"/>
              <w:rPr>
                <w:rFonts w:ascii="Times New Roman" w:hAnsi="宋体"/>
                <w:color w:val="auto"/>
                <w:sz w:val="24"/>
                <w:szCs w:val="24"/>
                <w:highlight w:val="none"/>
              </w:rPr>
            </w:pPr>
            <w:r>
              <w:rPr>
                <w:rFonts w:hint="eastAsia" w:ascii="宋体" w:hAnsi="宋体"/>
                <w:color w:val="auto"/>
                <w:sz w:val="24"/>
                <w:szCs w:val="24"/>
                <w:highlight w:val="none"/>
                <w:lang w:eastAsia="zh-CN"/>
              </w:rPr>
              <w:t>☑</w:t>
            </w:r>
            <w:r>
              <w:rPr>
                <w:rFonts w:ascii="Times New Roman" w:hAnsi="Times New Roman"/>
                <w:color w:val="auto"/>
                <w:sz w:val="24"/>
                <w:szCs w:val="24"/>
                <w:highlight w:val="none"/>
                <w:lang w:val="en"/>
              </w:rPr>
              <w:t>10</w:t>
            </w:r>
            <w:r>
              <w:rPr>
                <w:rFonts w:ascii="Times New Roman" w:hAnsi="Times New Roman"/>
                <w:color w:val="auto"/>
                <w:sz w:val="24"/>
                <w:szCs w:val="24"/>
                <w:highlight w:val="none"/>
              </w:rPr>
              <w:t>.</w:t>
            </w:r>
            <w:r>
              <w:rPr>
                <w:rFonts w:ascii="宋体" w:hAnsi="宋体"/>
                <w:color w:val="auto"/>
                <w:sz w:val="24"/>
                <w:szCs w:val="24"/>
                <w:highlight w:val="none"/>
              </w:rPr>
              <w:t>投标人</w:t>
            </w:r>
            <w:r>
              <w:rPr>
                <w:rFonts w:ascii="Times New Roman" w:hAnsi="宋体"/>
                <w:color w:val="auto"/>
                <w:sz w:val="24"/>
                <w:szCs w:val="24"/>
                <w:highlight w:val="none"/>
              </w:rPr>
              <w:t>存在撤销投标文件和无正当理由放弃中标、不与招标人签订书面合同等情形或被行政部门查实存在违法行为，招标人重新招标的，招标人可以拒绝投标人再次投标该项目。</w:t>
            </w:r>
          </w:p>
          <w:p w14:paraId="5B5FC435">
            <w:pPr>
              <w:keepNext w:val="0"/>
              <w:keepLines w:val="0"/>
              <w:pageBreakBefore w:val="0"/>
              <w:wordWrap/>
              <w:overflowPunct/>
              <w:bidi w:val="0"/>
              <w:snapToGrid w:val="0"/>
              <w:spacing w:line="320" w:lineRule="exact"/>
              <w:jc w:val="both"/>
              <w:rPr>
                <w:rFonts w:ascii="Times New Roman" w:hAnsi="宋体"/>
                <w:color w:val="auto"/>
                <w:sz w:val="24"/>
                <w:szCs w:val="24"/>
                <w:highlight w:val="none"/>
                <w:u w:val="single"/>
              </w:rPr>
            </w:pPr>
            <w:r>
              <w:rPr>
                <w:rFonts w:hint="eastAsia" w:ascii="Times New Roman" w:hAnsi="宋体"/>
                <w:color w:val="auto"/>
                <w:sz w:val="24"/>
                <w:szCs w:val="24"/>
                <w:highlight w:val="none"/>
              </w:rPr>
              <w:t>11.创安全文明标准化工地等级要求：</w:t>
            </w:r>
            <w:r>
              <w:rPr>
                <w:rFonts w:hint="eastAsia" w:ascii="Times New Roman" w:hAnsi="宋体"/>
                <w:color w:val="auto"/>
                <w:sz w:val="24"/>
                <w:szCs w:val="24"/>
                <w:highlight w:val="none"/>
                <w:u w:val="single"/>
              </w:rPr>
              <w:t xml:space="preserve">                        </w:t>
            </w:r>
            <w:r>
              <w:rPr>
                <w:rFonts w:hint="eastAsia" w:ascii="Times New Roman" w:hAnsi="宋体"/>
                <w:color w:val="auto"/>
                <w:sz w:val="24"/>
                <w:szCs w:val="24"/>
                <w:highlight w:val="none"/>
              </w:rPr>
              <w:t xml:space="preserve"> 。</w:t>
            </w:r>
          </w:p>
          <w:p w14:paraId="58ABF62B">
            <w:pPr>
              <w:pStyle w:val="28"/>
              <w:keepNext w:val="0"/>
              <w:keepLines w:val="0"/>
              <w:pageBreakBefore w:val="0"/>
              <w:wordWrap/>
              <w:overflowPunct/>
              <w:bidi w:val="0"/>
              <w:snapToGrid w:val="0"/>
              <w:spacing w:line="320" w:lineRule="exact"/>
              <w:jc w:val="both"/>
              <w:rPr>
                <w:rFonts w:ascii="Times New Roman" w:hAnsi="Times New Roman"/>
                <w:color w:val="auto"/>
                <w:sz w:val="24"/>
                <w:szCs w:val="24"/>
                <w:highlight w:val="none"/>
              </w:rPr>
            </w:pPr>
            <w:r>
              <w:rPr>
                <w:rFonts w:hint="eastAsia" w:ascii="Times New Roman" w:hAnsi="Times New Roman"/>
                <w:color w:val="auto"/>
                <w:sz w:val="24"/>
                <w:szCs w:val="24"/>
                <w:highlight w:val="none"/>
              </w:rPr>
              <w:t>12</w:t>
            </w:r>
            <w:r>
              <w:rPr>
                <w:rFonts w:ascii="Times New Roman" w:hAnsi="Times New Roman"/>
                <w:color w:val="auto"/>
                <w:sz w:val="24"/>
                <w:szCs w:val="24"/>
                <w:highlight w:val="none"/>
              </w:rPr>
              <w:t>.</w:t>
            </w:r>
            <w:r>
              <w:rPr>
                <w:rFonts w:ascii="Times New Roman" w:hAnsi="宋体"/>
                <w:color w:val="auto"/>
                <w:sz w:val="24"/>
                <w:szCs w:val="24"/>
                <w:highlight w:val="none"/>
              </w:rPr>
              <w:t>本招标文件项目负责人一般情况下是指</w:t>
            </w:r>
            <w:r>
              <w:rPr>
                <w:rFonts w:ascii="宋体" w:hAnsi="宋体"/>
                <w:color w:val="auto"/>
                <w:sz w:val="24"/>
                <w:szCs w:val="24"/>
                <w:highlight w:val="none"/>
              </w:rPr>
              <w:t>项目经理</w:t>
            </w:r>
            <w:r>
              <w:rPr>
                <w:rFonts w:ascii="Times New Roman" w:hAnsi="宋体"/>
                <w:color w:val="auto"/>
                <w:sz w:val="24"/>
                <w:szCs w:val="24"/>
                <w:highlight w:val="none"/>
              </w:rPr>
              <w:t>。</w:t>
            </w:r>
          </w:p>
          <w:p w14:paraId="6437EC5F">
            <w:pPr>
              <w:pStyle w:val="28"/>
              <w:keepNext w:val="0"/>
              <w:keepLines w:val="0"/>
              <w:pageBreakBefore w:val="0"/>
              <w:wordWrap/>
              <w:overflowPunct/>
              <w:bidi w:val="0"/>
              <w:snapToGrid w:val="0"/>
              <w:spacing w:line="320" w:lineRule="exact"/>
              <w:jc w:val="both"/>
              <w:rPr>
                <w:rFonts w:hint="eastAsia" w:ascii="Times New Roman" w:hAnsi="宋体"/>
                <w:color w:val="auto"/>
                <w:sz w:val="24"/>
                <w:szCs w:val="24"/>
                <w:highlight w:val="none"/>
              </w:rPr>
            </w:pPr>
            <w:r>
              <w:rPr>
                <w:rFonts w:hint="eastAsia" w:ascii="Times New Roman" w:hAnsi="宋体"/>
                <w:color w:val="auto"/>
                <w:sz w:val="24"/>
                <w:szCs w:val="24"/>
                <w:highlight w:val="none"/>
              </w:rPr>
              <w:t>13.中标价如出现《浙江省建设工程计价规则》（2018 版）（以下简称《2018 版计价规则》）所列的异常报价情形，招标人可与中标人协商确定合理单价，并在合同中明确约定。协商确定的单价仅用于工程量调整和变更后综合单价的确定。</w:t>
            </w:r>
          </w:p>
          <w:p w14:paraId="1600E6BB">
            <w:pPr>
              <w:pStyle w:val="28"/>
              <w:keepNext w:val="0"/>
              <w:keepLines w:val="0"/>
              <w:pageBreakBefore w:val="0"/>
              <w:wordWrap/>
              <w:overflowPunct/>
              <w:bidi w:val="0"/>
              <w:snapToGrid w:val="0"/>
              <w:spacing w:line="320" w:lineRule="exact"/>
              <w:jc w:val="both"/>
              <w:rPr>
                <w:rFonts w:hint="eastAsia" w:ascii="Times New Roman" w:hAnsi="宋体"/>
                <w:color w:val="auto"/>
                <w:sz w:val="24"/>
                <w:szCs w:val="24"/>
                <w:highlight w:val="none"/>
              </w:rPr>
            </w:pPr>
            <w:r>
              <w:rPr>
                <w:rFonts w:hint="eastAsia" w:ascii="Times New Roman" w:hAnsi="宋体"/>
                <w:color w:val="auto"/>
                <w:sz w:val="24"/>
                <w:szCs w:val="24"/>
                <w:highlight w:val="none"/>
              </w:rPr>
              <w:t>14.工伤保险按相关规定要求执行。</w:t>
            </w:r>
          </w:p>
          <w:p w14:paraId="702D3C58">
            <w:pPr>
              <w:pStyle w:val="28"/>
              <w:keepNext w:val="0"/>
              <w:keepLines w:val="0"/>
              <w:pageBreakBefore w:val="0"/>
              <w:wordWrap/>
              <w:overflowPunct/>
              <w:bidi w:val="0"/>
              <w:snapToGrid w:val="0"/>
              <w:spacing w:line="320" w:lineRule="exact"/>
              <w:jc w:val="both"/>
              <w:rPr>
                <w:rFonts w:hint="eastAsia" w:ascii="Times New Roman" w:hAnsi="宋体"/>
                <w:color w:val="auto"/>
                <w:sz w:val="24"/>
                <w:szCs w:val="24"/>
                <w:highlight w:val="none"/>
              </w:rPr>
            </w:pPr>
            <w:r>
              <w:rPr>
                <w:rFonts w:hint="eastAsia" w:ascii="Times New Roman" w:hAnsi="宋体"/>
                <w:color w:val="auto"/>
                <w:sz w:val="24"/>
                <w:szCs w:val="24"/>
                <w:highlight w:val="none"/>
              </w:rPr>
              <w:t>15.本招标文件信用评价执行《浙江省建筑施工企业信用评价的实施意见》 《浙江省注册建造师信用评价的实施意见》。</w:t>
            </w:r>
          </w:p>
          <w:p w14:paraId="3C22C2B1">
            <w:pPr>
              <w:pStyle w:val="28"/>
              <w:keepNext w:val="0"/>
              <w:keepLines w:val="0"/>
              <w:pageBreakBefore w:val="0"/>
              <w:wordWrap/>
              <w:overflowPunct/>
              <w:bidi w:val="0"/>
              <w:snapToGrid w:val="0"/>
              <w:spacing w:line="320" w:lineRule="exact"/>
              <w:jc w:val="both"/>
              <w:rPr>
                <w:rFonts w:ascii="Times New Roman" w:hAnsi="宋体"/>
                <w:color w:val="auto"/>
                <w:sz w:val="24"/>
                <w:szCs w:val="24"/>
                <w:highlight w:val="none"/>
              </w:rPr>
            </w:pPr>
            <w:r>
              <w:rPr>
                <w:rFonts w:hint="eastAsia" w:ascii="Times New Roman" w:hAnsi="宋体"/>
                <w:color w:val="auto"/>
                <w:sz w:val="24"/>
                <w:szCs w:val="24"/>
                <w:highlight w:val="none"/>
              </w:rPr>
              <w:t>16.投标人应在投标前自行做好“浙江省建筑市场监管公共服务系统”相关信息的维护工作，并对企业资质、人员资格、项目状况、信用评价等信息的真实性、准确性、完整性负责。</w:t>
            </w:r>
          </w:p>
          <w:p w14:paraId="6139E75A">
            <w:pPr>
              <w:keepNext w:val="0"/>
              <w:keepLines w:val="0"/>
              <w:pageBreakBefore w:val="0"/>
              <w:tabs>
                <w:tab w:val="left" w:pos="9360"/>
              </w:tabs>
              <w:wordWrap/>
              <w:overflowPunct/>
              <w:bidi w:val="0"/>
              <w:snapToGrid w:val="0"/>
              <w:spacing w:line="320" w:lineRule="exact"/>
              <w:jc w:val="both"/>
              <w:rPr>
                <w:color w:val="auto"/>
                <w:spacing w:val="-1"/>
                <w:sz w:val="24"/>
                <w:szCs w:val="24"/>
                <w:highlight w:val="none"/>
                <w:lang w:eastAsia="zh-CN"/>
              </w:rPr>
            </w:pPr>
            <w:r>
              <w:rPr>
                <w:rFonts w:ascii="Times New Roman" w:hAnsi="Times New Roman"/>
                <w:color w:val="auto"/>
                <w:sz w:val="24"/>
                <w:szCs w:val="24"/>
                <w:highlight w:val="none"/>
              </w:rPr>
              <w:t>1</w:t>
            </w:r>
            <w:r>
              <w:rPr>
                <w:rFonts w:hint="eastAsia" w:ascii="Times New Roman" w:hAnsi="Times New Roman"/>
                <w:color w:val="auto"/>
                <w:sz w:val="24"/>
                <w:szCs w:val="24"/>
                <w:highlight w:val="none"/>
              </w:rPr>
              <w:t>7</w:t>
            </w:r>
            <w:r>
              <w:rPr>
                <w:rFonts w:ascii="Times New Roman" w:hAnsi="Times New Roman"/>
                <w:color w:val="auto"/>
                <w:sz w:val="24"/>
                <w:szCs w:val="24"/>
                <w:highlight w:val="none"/>
              </w:rPr>
              <w:t>.</w:t>
            </w:r>
            <w:r>
              <w:rPr>
                <w:rFonts w:ascii="Times New Roman" w:hAnsi="宋体"/>
                <w:color w:val="auto"/>
                <w:sz w:val="24"/>
                <w:szCs w:val="24"/>
                <w:highlight w:val="none"/>
              </w:rPr>
              <w:t>其他：</w:t>
            </w:r>
            <w:r>
              <w:rPr>
                <w:rFonts w:ascii="Times New Roman" w:hAnsi="Times New Roman"/>
                <w:color w:val="auto"/>
                <w:sz w:val="24"/>
                <w:szCs w:val="24"/>
                <w:highlight w:val="none"/>
                <w:u w:val="single"/>
              </w:rPr>
              <w:t xml:space="preserve">            </w:t>
            </w:r>
            <w:r>
              <w:rPr>
                <w:rFonts w:hint="eastAsia" w:ascii="Times New Roman" w:hAnsi="Times New Roman"/>
                <w:color w:val="auto"/>
                <w:sz w:val="24"/>
                <w:szCs w:val="24"/>
                <w:highlight w:val="none"/>
                <w:u w:val="single"/>
                <w:lang w:val="en-US" w:eastAsia="zh-CN"/>
              </w:rPr>
              <w:t>/</w:t>
            </w:r>
            <w:r>
              <w:rPr>
                <w:rFonts w:ascii="Times New Roman" w:hAnsi="Times New Roman"/>
                <w:color w:val="auto"/>
                <w:sz w:val="24"/>
                <w:szCs w:val="24"/>
                <w:highlight w:val="none"/>
                <w:u w:val="single"/>
              </w:rPr>
              <w:t xml:space="preserve">           </w:t>
            </w:r>
            <w:r>
              <w:rPr>
                <w:rFonts w:ascii="Times New Roman" w:hAnsi="宋体"/>
                <w:color w:val="auto"/>
                <w:sz w:val="24"/>
                <w:szCs w:val="24"/>
                <w:highlight w:val="none"/>
              </w:rPr>
              <w:t>。</w:t>
            </w:r>
          </w:p>
        </w:tc>
      </w:tr>
      <w:tr w14:paraId="5BD6BA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080" w:type="dxa"/>
            <w:shd w:val="clear" w:color="auto" w:fill="auto"/>
            <w:vAlign w:val="center"/>
          </w:tcPr>
          <w:p w14:paraId="6AFD2453">
            <w:pPr>
              <w:pStyle w:val="27"/>
              <w:keepNext w:val="0"/>
              <w:keepLines w:val="0"/>
              <w:pageBreakBefore w:val="0"/>
              <w:kinsoku w:val="0"/>
              <w:wordWrap/>
              <w:topLinePunct w:val="0"/>
              <w:bidi w:val="0"/>
              <w:snapToGrid/>
              <w:spacing w:line="440" w:lineRule="exact"/>
              <w:jc w:val="center"/>
              <w:rPr>
                <w:rFonts w:hint="eastAsia"/>
                <w:color w:val="auto"/>
                <w:sz w:val="24"/>
                <w:szCs w:val="24"/>
                <w:highlight w:val="none"/>
                <w:lang w:eastAsia="zh-CN"/>
              </w:rPr>
            </w:pPr>
            <w:r>
              <w:rPr>
                <w:rFonts w:hint="eastAsia" w:ascii="宋体" w:hAnsi="宋体" w:eastAsia="宋体" w:cs="宋体"/>
                <w:color w:val="auto"/>
                <w:sz w:val="24"/>
                <w:szCs w:val="24"/>
                <w:highlight w:val="none"/>
              </w:rPr>
              <w:t>10.</w:t>
            </w:r>
            <w:r>
              <w:rPr>
                <w:rFonts w:hint="eastAsia" w:ascii="宋体" w:hAnsi="宋体" w:cs="宋体"/>
                <w:color w:val="auto"/>
                <w:sz w:val="24"/>
                <w:szCs w:val="24"/>
                <w:highlight w:val="none"/>
                <w:lang w:val="en-US" w:eastAsia="zh-CN"/>
              </w:rPr>
              <w:t>7</w:t>
            </w:r>
          </w:p>
        </w:tc>
        <w:tc>
          <w:tcPr>
            <w:tcW w:w="1305" w:type="dxa"/>
            <w:shd w:val="clear" w:color="auto" w:fill="auto"/>
            <w:vAlign w:val="center"/>
          </w:tcPr>
          <w:p w14:paraId="0A5CA409">
            <w:pPr>
              <w:keepNext w:val="0"/>
              <w:keepLines w:val="0"/>
              <w:pageBreakBefore w:val="0"/>
              <w:wordWrap/>
              <w:topLinePunct w:val="0"/>
              <w:bidi w:val="0"/>
              <w:snapToGrid/>
              <w:spacing w:line="440" w:lineRule="exact"/>
              <w:jc w:val="center"/>
              <w:rPr>
                <w:color w:val="auto"/>
                <w:sz w:val="24"/>
                <w:szCs w:val="24"/>
                <w:highlight w:val="none"/>
              </w:rPr>
            </w:pPr>
            <w:r>
              <w:rPr>
                <w:rFonts w:hint="eastAsia" w:ascii="宋体" w:hAnsi="宋体" w:eastAsia="宋体" w:cs="宋体"/>
                <w:bCs/>
                <w:color w:val="auto"/>
                <w:sz w:val="24"/>
                <w:szCs w:val="24"/>
                <w:highlight w:val="none"/>
              </w:rPr>
              <w:t>电子投标文件编制</w:t>
            </w:r>
          </w:p>
        </w:tc>
        <w:tc>
          <w:tcPr>
            <w:tcW w:w="7229" w:type="dxa"/>
            <w:shd w:val="clear" w:color="auto" w:fill="auto"/>
            <w:vAlign w:val="center"/>
          </w:tcPr>
          <w:p w14:paraId="2E765834">
            <w:pPr>
              <w:keepNext w:val="0"/>
              <w:keepLines w:val="0"/>
              <w:pageBreakBefore w:val="0"/>
              <w:wordWrap/>
              <w:topLinePunct w:val="0"/>
              <w:bidi w:val="0"/>
              <w:snapToGrid/>
              <w:spacing w:line="440" w:lineRule="exact"/>
              <w:ind w:firstLine="470" w:firstLineChars="196"/>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本工程的投标文件必须使用投标工具安装程序（</w:t>
            </w:r>
            <w:r>
              <w:rPr>
                <w:rFonts w:hint="eastAsia" w:ascii="宋体" w:hAnsi="宋体" w:eastAsia="宋体" w:cs="宋体"/>
                <w:b w:val="0"/>
                <w:bCs w:val="0"/>
                <w:color w:val="auto"/>
                <w:sz w:val="24"/>
                <w:szCs w:val="24"/>
                <w:highlight w:val="none"/>
              </w:rPr>
              <w:t>三门施工投标工具</w:t>
            </w:r>
            <w:r>
              <w:rPr>
                <w:rFonts w:hint="eastAsia" w:ascii="宋体" w:hAnsi="宋体" w:eastAsia="宋体" w:cs="宋体"/>
                <w:b w:val="0"/>
                <w:bCs w:val="0"/>
                <w:color w:val="auto"/>
                <w:sz w:val="24"/>
                <w:szCs w:val="24"/>
                <w:highlight w:val="none"/>
                <w:lang w:eastAsia="zh-CN"/>
              </w:rPr>
              <w:t>4.5</w:t>
            </w:r>
            <w:r>
              <w:rPr>
                <w:rFonts w:hint="eastAsia" w:ascii="宋体" w:hAnsi="宋体" w:eastAsia="宋体" w:cs="宋体"/>
                <w:b w:val="0"/>
                <w:bCs w:val="0"/>
                <w:color w:val="auto"/>
                <w:sz w:val="24"/>
                <w:szCs w:val="24"/>
                <w:highlight w:val="none"/>
              </w:rPr>
              <w:t>版本</w:t>
            </w:r>
            <w:r>
              <w:rPr>
                <w:rFonts w:hint="eastAsia" w:ascii="宋体" w:hAnsi="宋体" w:eastAsia="宋体" w:cs="宋体"/>
                <w:bCs/>
                <w:color w:val="auto"/>
                <w:sz w:val="24"/>
                <w:szCs w:val="24"/>
                <w:highlight w:val="none"/>
              </w:rPr>
              <w:t>）编制，下载地址及”建设工程电子投标编制操作手册”</w:t>
            </w:r>
            <w:r>
              <w:rPr>
                <w:rFonts w:hint="eastAsia" w:ascii="宋体" w:hAnsi="宋体" w:cs="宋体"/>
                <w:bCs/>
                <w:color w:val="auto"/>
                <w:sz w:val="24"/>
                <w:szCs w:val="24"/>
                <w:highlight w:val="none"/>
                <w:lang w:val="en-US" w:eastAsia="zh-CN"/>
              </w:rPr>
              <w:t>详见三门县公共资源交易中心网站</w:t>
            </w:r>
            <w:r>
              <w:rPr>
                <w:rFonts w:hint="eastAsia" w:ascii="宋体" w:hAnsi="宋体" w:eastAsia="宋体" w:cs="宋体"/>
                <w:bCs/>
                <w:color w:val="auto"/>
                <w:sz w:val="24"/>
                <w:szCs w:val="24"/>
                <w:highlight w:val="none"/>
              </w:rPr>
              <w:t>。电子投标文件的编制和递交，应依照招标文件的规定进行。如未按招标文件要求编制、递交电子投标文件，将可能导致无效标，其后果由投标人自负。投标工具的开发商可根据投标人的要求，提供必要的培训和技术指导。</w:t>
            </w:r>
          </w:p>
          <w:p w14:paraId="2A558640">
            <w:pPr>
              <w:keepNext w:val="0"/>
              <w:keepLines w:val="0"/>
              <w:pageBreakBefore w:val="0"/>
              <w:wordWrap/>
              <w:topLinePunct w:val="0"/>
              <w:bidi w:val="0"/>
              <w:snapToGrid/>
              <w:spacing w:line="440" w:lineRule="exact"/>
              <w:ind w:firstLine="470" w:firstLineChars="196"/>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投标工具开发商：杭州品茗信息技术有限公司</w:t>
            </w:r>
          </w:p>
          <w:p w14:paraId="5295FCE3">
            <w:pPr>
              <w:keepNext w:val="0"/>
              <w:keepLines w:val="0"/>
              <w:pageBreakBefore w:val="0"/>
              <w:wordWrap/>
              <w:topLinePunct w:val="0"/>
              <w:bidi w:val="0"/>
              <w:snapToGrid/>
              <w:spacing w:line="440" w:lineRule="exact"/>
              <w:ind w:firstLine="470" w:firstLineChars="196"/>
              <w:rPr>
                <w:color w:val="auto"/>
                <w:sz w:val="24"/>
                <w:szCs w:val="24"/>
                <w:highlight w:val="none"/>
                <w:lang w:eastAsia="zh-CN"/>
              </w:rPr>
            </w:pPr>
            <w:r>
              <w:rPr>
                <w:rFonts w:hint="eastAsia" w:ascii="宋体" w:hAnsi="宋体" w:eastAsia="宋体" w:cs="宋体"/>
                <w:bCs/>
                <w:color w:val="auto"/>
                <w:sz w:val="24"/>
                <w:szCs w:val="24"/>
                <w:highlight w:val="none"/>
              </w:rPr>
              <w:t>联系电话：章宏涛13968512856， 周辉15606579820</w:t>
            </w:r>
          </w:p>
        </w:tc>
      </w:tr>
      <w:tr w14:paraId="4FDF43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080" w:type="dxa"/>
            <w:shd w:val="clear" w:color="auto" w:fill="auto"/>
            <w:vAlign w:val="center"/>
          </w:tcPr>
          <w:p w14:paraId="3A5135CD">
            <w:pPr>
              <w:bidi w:val="0"/>
              <w:spacing w:line="360" w:lineRule="auto"/>
              <w:jc w:val="center"/>
              <w:rPr>
                <w:rFonts w:hint="default"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10.8</w:t>
            </w:r>
          </w:p>
        </w:tc>
        <w:tc>
          <w:tcPr>
            <w:tcW w:w="1305" w:type="dxa"/>
            <w:shd w:val="clear" w:color="auto" w:fill="auto"/>
            <w:vAlign w:val="center"/>
          </w:tcPr>
          <w:p w14:paraId="0D220548">
            <w:pPr>
              <w:pStyle w:val="27"/>
              <w:keepNext w:val="0"/>
              <w:keepLines w:val="0"/>
              <w:pageBreakBefore w:val="0"/>
              <w:kinsoku w:val="0"/>
              <w:wordWrap/>
              <w:overflowPunct w:val="0"/>
              <w:topLinePunct w:val="0"/>
              <w:bidi w:val="0"/>
              <w:snapToGrid/>
              <w:spacing w:line="440" w:lineRule="exact"/>
              <w:ind w:right="255" w:rightChars="0"/>
              <w:jc w:val="center"/>
              <w:rPr>
                <w:color w:val="auto"/>
                <w:sz w:val="24"/>
                <w:szCs w:val="24"/>
                <w:highlight w:val="none"/>
              </w:rPr>
            </w:pPr>
            <w:r>
              <w:rPr>
                <w:rFonts w:hint="eastAsia" w:ascii="宋体" w:hAnsi="宋体" w:eastAsia="宋体" w:cs="宋体"/>
                <w:b/>
                <w:bCs/>
                <w:color w:val="auto"/>
                <w:sz w:val="24"/>
                <w:szCs w:val="24"/>
                <w:highlight w:val="none"/>
              </w:rPr>
              <w:t>中标后提交投标文件份数</w:t>
            </w:r>
          </w:p>
        </w:tc>
        <w:tc>
          <w:tcPr>
            <w:tcW w:w="7229" w:type="dxa"/>
            <w:shd w:val="clear" w:color="auto" w:fill="auto"/>
            <w:vAlign w:val="top"/>
          </w:tcPr>
          <w:p w14:paraId="44242370">
            <w:pPr>
              <w:pStyle w:val="27"/>
              <w:keepNext w:val="0"/>
              <w:keepLines w:val="0"/>
              <w:pageBreakBefore w:val="0"/>
              <w:kinsoku w:val="0"/>
              <w:wordWrap/>
              <w:overflowPunct w:val="0"/>
              <w:topLinePunct w:val="0"/>
              <w:bidi w:val="0"/>
              <w:snapToGrid/>
              <w:spacing w:line="440" w:lineRule="exact"/>
              <w:ind w:firstLine="414" w:firstLineChars="0"/>
              <w:rPr>
                <w:color w:val="auto"/>
                <w:sz w:val="24"/>
                <w:szCs w:val="24"/>
                <w:highlight w:val="none"/>
                <w:lang w:eastAsia="zh-CN"/>
              </w:rPr>
            </w:pPr>
            <w:r>
              <w:rPr>
                <w:rFonts w:hint="eastAsia" w:ascii="宋体" w:hAnsi="宋体" w:eastAsia="宋体" w:cs="宋体"/>
                <w:b/>
                <w:bCs/>
                <w:color w:val="auto"/>
                <w:kern w:val="2"/>
                <w:sz w:val="24"/>
                <w:szCs w:val="24"/>
                <w:highlight w:val="none"/>
              </w:rPr>
              <w:t>中标候选人在领取中标通知书前，需向招标人提供纸质投标文件（资信标、商务标分册装订）正本各1份、副本各4份（投标工具中所有内容打印成纸质文件，纸质文件上的水印码须与上传至“电子交易平台”上的投标文件的水印码一致）。</w:t>
            </w:r>
          </w:p>
        </w:tc>
      </w:tr>
      <w:tr w14:paraId="224AB3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080" w:type="dxa"/>
            <w:shd w:val="clear" w:color="auto" w:fill="auto"/>
            <w:vAlign w:val="center"/>
          </w:tcPr>
          <w:p w14:paraId="17EE5962">
            <w:pPr>
              <w:bidi w:val="0"/>
              <w:spacing w:line="360" w:lineRule="auto"/>
              <w:jc w:val="center"/>
              <w:rPr>
                <w:rFonts w:hint="default"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10.9</w:t>
            </w:r>
          </w:p>
        </w:tc>
        <w:tc>
          <w:tcPr>
            <w:tcW w:w="1305" w:type="dxa"/>
            <w:shd w:val="clear" w:color="auto" w:fill="auto"/>
            <w:vAlign w:val="center"/>
          </w:tcPr>
          <w:p w14:paraId="747DB49A">
            <w:pPr>
              <w:pStyle w:val="27"/>
              <w:keepNext w:val="0"/>
              <w:keepLines w:val="0"/>
              <w:pageBreakBefore w:val="0"/>
              <w:kinsoku w:val="0"/>
              <w:wordWrap/>
              <w:overflowPunct w:val="0"/>
              <w:topLinePunct w:val="0"/>
              <w:bidi w:val="0"/>
              <w:snapToGrid/>
              <w:spacing w:line="440" w:lineRule="exact"/>
              <w:ind w:left="141" w:leftChars="0" w:right="136" w:rightChars="0"/>
              <w:jc w:val="center"/>
              <w:rPr>
                <w:color w:val="auto"/>
                <w:sz w:val="24"/>
                <w:szCs w:val="24"/>
                <w:highlight w:val="none"/>
              </w:rPr>
            </w:pPr>
            <w:r>
              <w:rPr>
                <w:rFonts w:hint="eastAsia" w:ascii="宋体" w:hAnsi="宋体" w:eastAsia="宋体" w:cs="宋体"/>
                <w:b/>
                <w:bCs/>
                <w:color w:val="auto"/>
                <w:sz w:val="24"/>
                <w:szCs w:val="24"/>
                <w:highlight w:val="none"/>
              </w:rPr>
              <w:t>温馨提示</w:t>
            </w:r>
          </w:p>
        </w:tc>
        <w:tc>
          <w:tcPr>
            <w:tcW w:w="7229" w:type="dxa"/>
            <w:shd w:val="clear" w:color="auto" w:fill="auto"/>
            <w:vAlign w:val="top"/>
          </w:tcPr>
          <w:p w14:paraId="2A0F82E4">
            <w:pPr>
              <w:pStyle w:val="27"/>
              <w:keepNext w:val="0"/>
              <w:keepLines w:val="0"/>
              <w:pageBreakBefore w:val="0"/>
              <w:kinsoku w:val="0"/>
              <w:wordWrap/>
              <w:overflowPunct w:val="0"/>
              <w:topLinePunct w:val="0"/>
              <w:bidi w:val="0"/>
              <w:snapToGrid/>
              <w:spacing w:line="440" w:lineRule="exact"/>
              <w:ind w:firstLine="414" w:firstLineChars="0"/>
              <w:rPr>
                <w:color w:val="auto"/>
                <w:sz w:val="24"/>
                <w:szCs w:val="24"/>
                <w:highlight w:val="none"/>
                <w:lang w:eastAsia="zh-CN"/>
              </w:rPr>
            </w:pPr>
            <w:r>
              <w:rPr>
                <w:rFonts w:hint="eastAsia" w:ascii="宋体" w:hAnsi="宋体" w:eastAsia="宋体" w:cs="宋体"/>
                <w:b/>
                <w:bCs/>
                <w:color w:val="auto"/>
                <w:kern w:val="2"/>
                <w:sz w:val="24"/>
                <w:szCs w:val="24"/>
                <w:highlight w:val="none"/>
                <w:lang w:val="en-US" w:eastAsia="zh-CN" w:bidi="ar-SA"/>
              </w:rPr>
              <w:t>投标人须在递交投标保证金前在三门县工程建设电子交易平台中注册并核验通过。</w:t>
            </w:r>
          </w:p>
        </w:tc>
      </w:tr>
    </w:tbl>
    <w:p w14:paraId="4AC2CE52">
      <w:pPr>
        <w:pStyle w:val="8"/>
        <w:rPr>
          <w:color w:val="auto"/>
          <w:highlight w:val="none"/>
          <w:lang w:eastAsia="zh-CN"/>
        </w:rPr>
      </w:pPr>
    </w:p>
    <w:p w14:paraId="7D124869">
      <w:pPr>
        <w:pStyle w:val="8"/>
        <w:rPr>
          <w:color w:val="auto"/>
          <w:highlight w:val="none"/>
          <w:lang w:eastAsia="zh-CN"/>
        </w:rPr>
      </w:pPr>
    </w:p>
    <w:p w14:paraId="226F6A15">
      <w:pPr>
        <w:rPr>
          <w:color w:val="auto"/>
          <w:highlight w:val="none"/>
          <w:lang w:eastAsia="zh-CN"/>
        </w:rPr>
        <w:sectPr>
          <w:footerReference r:id="rId6" w:type="default"/>
          <w:pgSz w:w="11906" w:h="16839"/>
          <w:pgMar w:top="1418" w:right="1519" w:bottom="1147" w:left="1518" w:header="0" w:footer="960" w:gutter="0"/>
          <w:pgNumType w:fmt="decimal"/>
          <w:cols w:space="720" w:num="1"/>
          <w:docGrid w:linePitch="0" w:charSpace="0"/>
        </w:sectPr>
      </w:pPr>
    </w:p>
    <w:p w14:paraId="10419E77">
      <w:pPr>
        <w:spacing w:before="88" w:line="225" w:lineRule="auto"/>
        <w:ind w:left="3270"/>
        <w:rPr>
          <w:rFonts w:ascii="黑体" w:hAnsi="黑体" w:eastAsia="黑体" w:cs="黑体"/>
          <w:color w:val="auto"/>
          <w:sz w:val="43"/>
          <w:szCs w:val="43"/>
          <w:highlight w:val="none"/>
          <w:lang w:eastAsia="zh-CN"/>
        </w:rPr>
      </w:pPr>
      <w:r>
        <w:rPr>
          <w:rFonts w:ascii="黑体" w:hAnsi="黑体" w:eastAsia="黑体" w:cs="黑体"/>
          <w:color w:val="auto"/>
          <w:spacing w:val="6"/>
          <w:sz w:val="43"/>
          <w:szCs w:val="43"/>
          <w:highlight w:val="none"/>
          <w:lang w:eastAsia="zh-CN"/>
        </w:rPr>
        <w:t>投标人须知</w:t>
      </w:r>
    </w:p>
    <w:p w14:paraId="773F0AC6">
      <w:pPr>
        <w:keepNext w:val="0"/>
        <w:keepLines w:val="0"/>
        <w:pageBreakBefore w:val="0"/>
        <w:widowControl/>
        <w:kinsoku w:val="0"/>
        <w:wordWrap/>
        <w:overflowPunct/>
        <w:topLinePunct w:val="0"/>
        <w:autoSpaceDE w:val="0"/>
        <w:autoSpaceDN w:val="0"/>
        <w:bidi w:val="0"/>
        <w:adjustRightInd w:val="0"/>
        <w:snapToGrid w:val="0"/>
        <w:spacing w:before="163" w:line="460" w:lineRule="exact"/>
        <w:ind w:left="13"/>
        <w:textAlignment w:val="auto"/>
        <w:rPr>
          <w:rFonts w:ascii="宋体" w:hAnsi="宋体" w:eastAsia="宋体" w:cs="宋体"/>
          <w:color w:val="auto"/>
          <w:sz w:val="31"/>
          <w:szCs w:val="31"/>
          <w:highlight w:val="none"/>
          <w:lang w:eastAsia="zh-CN"/>
        </w:rPr>
      </w:pPr>
      <w:r>
        <w:rPr>
          <w:rFonts w:ascii="Times New Roman" w:hAnsi="Times New Roman" w:eastAsia="Times New Roman" w:cs="Times New Roman"/>
          <w:b/>
          <w:bCs/>
          <w:color w:val="auto"/>
          <w:sz w:val="31"/>
          <w:szCs w:val="31"/>
          <w:highlight w:val="none"/>
          <w:lang w:eastAsia="zh-CN"/>
        </w:rPr>
        <w:t>1.</w:t>
      </w:r>
      <w:r>
        <w:rPr>
          <w:rFonts w:ascii="宋体" w:hAnsi="宋体" w:eastAsia="宋体" w:cs="宋体"/>
          <w:b/>
          <w:bCs/>
          <w:color w:val="auto"/>
          <w:sz w:val="31"/>
          <w:szCs w:val="31"/>
          <w:highlight w:val="none"/>
          <w:lang w:eastAsia="zh-CN"/>
        </w:rPr>
        <w:t>总则</w:t>
      </w:r>
    </w:p>
    <w:p w14:paraId="53DAC848">
      <w:pPr>
        <w:keepNext w:val="0"/>
        <w:keepLines w:val="0"/>
        <w:pageBreakBefore w:val="0"/>
        <w:widowControl/>
        <w:kinsoku w:val="0"/>
        <w:wordWrap/>
        <w:overflowPunct/>
        <w:topLinePunct w:val="0"/>
        <w:autoSpaceDE w:val="0"/>
        <w:autoSpaceDN w:val="0"/>
        <w:bidi w:val="0"/>
        <w:adjustRightInd w:val="0"/>
        <w:snapToGrid w:val="0"/>
        <w:spacing w:before="262" w:line="460" w:lineRule="exact"/>
        <w:ind w:left="500"/>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4"/>
          <w:sz w:val="28"/>
          <w:szCs w:val="28"/>
          <w:highlight w:val="none"/>
          <w:lang w:eastAsia="zh-CN"/>
        </w:rPr>
        <w:t>1.1</w:t>
      </w:r>
      <w:r>
        <w:rPr>
          <w:rFonts w:ascii="宋体" w:hAnsi="宋体" w:eastAsia="宋体" w:cs="宋体"/>
          <w:b/>
          <w:bCs/>
          <w:color w:val="auto"/>
          <w:spacing w:val="-4"/>
          <w:sz w:val="28"/>
          <w:szCs w:val="28"/>
          <w:highlight w:val="none"/>
          <w:lang w:eastAsia="zh-CN"/>
        </w:rPr>
        <w:t>招标项目概况</w:t>
      </w:r>
    </w:p>
    <w:p w14:paraId="61C73159">
      <w:pPr>
        <w:keepNext w:val="0"/>
        <w:keepLines w:val="0"/>
        <w:pageBreakBefore w:val="0"/>
        <w:widowControl/>
        <w:kinsoku w:val="0"/>
        <w:wordWrap/>
        <w:overflowPunct/>
        <w:topLinePunct w:val="0"/>
        <w:autoSpaceDE w:val="0"/>
        <w:autoSpaceDN w:val="0"/>
        <w:bidi w:val="0"/>
        <w:adjustRightInd w:val="0"/>
        <w:snapToGrid w:val="0"/>
        <w:spacing w:before="158" w:line="460" w:lineRule="exact"/>
        <w:ind w:firstLine="466"/>
        <w:textAlignment w:val="auto"/>
        <w:rPr>
          <w:rFonts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1.1.1 根据《中华人民共和国招标投标法》《中华人民共和国招标投标法实施条</w:t>
      </w:r>
      <w:r>
        <w:rPr>
          <w:rFonts w:ascii="宋体" w:hAnsi="宋体" w:eastAsia="宋体" w:cs="宋体"/>
          <w:color w:val="auto"/>
          <w:spacing w:val="2"/>
          <w:sz w:val="24"/>
          <w:szCs w:val="24"/>
          <w:highlight w:val="none"/>
          <w:lang w:eastAsia="zh-CN"/>
        </w:rPr>
        <w:t>例》等有关法律、法规和规章的规定，本招标项目已具备招标条件，现对项目施工</w:t>
      </w:r>
      <w:r>
        <w:rPr>
          <w:rFonts w:ascii="宋体" w:hAnsi="宋体" w:eastAsia="宋体" w:cs="宋体"/>
          <w:color w:val="auto"/>
          <w:spacing w:val="-2"/>
          <w:sz w:val="24"/>
          <w:szCs w:val="24"/>
          <w:highlight w:val="none"/>
          <w:lang w:eastAsia="zh-CN"/>
        </w:rPr>
        <w:t>进行招标。</w:t>
      </w:r>
    </w:p>
    <w:p w14:paraId="2650A0CC">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1.1.2 招标人：见投标人须知前附表。</w:t>
      </w:r>
    </w:p>
    <w:p w14:paraId="4E8A4D60">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1.1.3 招标代理机构：见投标人须知前附表。</w:t>
      </w:r>
    </w:p>
    <w:p w14:paraId="61584826">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1.1.4 工程名称：见投标人须知前附表。</w:t>
      </w:r>
    </w:p>
    <w:p w14:paraId="4345B2E1">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1.1.5 工程建设地点：见投标人须知前附表。</w:t>
      </w:r>
    </w:p>
    <w:p w14:paraId="5B213BC3">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1.1.6 工程承包方式：见投标人须知前附表。</w:t>
      </w:r>
    </w:p>
    <w:p w14:paraId="29B35405">
      <w:pPr>
        <w:keepNext w:val="0"/>
        <w:keepLines w:val="0"/>
        <w:pageBreakBefore w:val="0"/>
        <w:widowControl/>
        <w:kinsoku w:val="0"/>
        <w:wordWrap/>
        <w:overflowPunct/>
        <w:topLinePunct w:val="0"/>
        <w:autoSpaceDE w:val="0"/>
        <w:autoSpaceDN w:val="0"/>
        <w:bidi w:val="0"/>
        <w:adjustRightInd w:val="0"/>
        <w:snapToGrid w:val="0"/>
        <w:spacing w:before="163" w:line="460" w:lineRule="exact"/>
        <w:ind w:left="500"/>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3"/>
          <w:sz w:val="28"/>
          <w:szCs w:val="28"/>
          <w:highlight w:val="none"/>
          <w:lang w:eastAsia="zh-CN"/>
        </w:rPr>
        <w:t>1.2</w:t>
      </w:r>
      <w:r>
        <w:rPr>
          <w:rFonts w:ascii="宋体" w:hAnsi="宋体" w:eastAsia="宋体" w:cs="宋体"/>
          <w:b/>
          <w:bCs/>
          <w:color w:val="auto"/>
          <w:spacing w:val="-3"/>
          <w:sz w:val="28"/>
          <w:szCs w:val="28"/>
          <w:highlight w:val="none"/>
          <w:lang w:eastAsia="zh-CN"/>
        </w:rPr>
        <w:t>招标项目的资金来源和落实情况</w:t>
      </w:r>
    </w:p>
    <w:p w14:paraId="63D4C0C9">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1.2.1 资金来源及比例：见投标人须</w:t>
      </w:r>
      <w:r>
        <w:rPr>
          <w:rFonts w:ascii="宋体" w:hAnsi="宋体" w:eastAsia="宋体" w:cs="宋体"/>
          <w:color w:val="auto"/>
          <w:spacing w:val="-2"/>
          <w:sz w:val="24"/>
          <w:szCs w:val="24"/>
          <w:highlight w:val="none"/>
          <w:lang w:eastAsia="zh-CN"/>
        </w:rPr>
        <w:t>知前附表。</w:t>
      </w:r>
    </w:p>
    <w:p w14:paraId="09B11D91">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1.2.2 资金落实情况：见投标人须知前附表。</w:t>
      </w:r>
    </w:p>
    <w:p w14:paraId="5D0D6BCB">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500"/>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3"/>
          <w:sz w:val="28"/>
          <w:szCs w:val="28"/>
          <w:highlight w:val="none"/>
          <w:lang w:eastAsia="zh-CN"/>
        </w:rPr>
        <w:t>1.3</w:t>
      </w:r>
      <w:r>
        <w:rPr>
          <w:rFonts w:ascii="宋体" w:hAnsi="宋体" w:eastAsia="宋体" w:cs="宋体"/>
          <w:b/>
          <w:bCs/>
          <w:color w:val="auto"/>
          <w:spacing w:val="-3"/>
          <w:sz w:val="28"/>
          <w:szCs w:val="28"/>
          <w:highlight w:val="none"/>
          <w:lang w:eastAsia="zh-CN"/>
        </w:rPr>
        <w:t>招标范围、计划工期和质量要求</w:t>
      </w:r>
    </w:p>
    <w:p w14:paraId="6D8B0C96">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1.3.1 招标范围：见投标人须知前附表。</w:t>
      </w:r>
    </w:p>
    <w:p w14:paraId="7588760A">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1.3.2 计划工期：见投标人须知前附表。</w:t>
      </w:r>
    </w:p>
    <w:p w14:paraId="40E0F6B0">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1.3.3 质量要求：见投标人须知前附表。</w:t>
      </w:r>
    </w:p>
    <w:p w14:paraId="31468D02">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500"/>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4"/>
          <w:sz w:val="28"/>
          <w:szCs w:val="28"/>
          <w:highlight w:val="none"/>
          <w:lang w:eastAsia="zh-CN"/>
        </w:rPr>
        <w:t>1.4</w:t>
      </w:r>
      <w:r>
        <w:rPr>
          <w:rFonts w:ascii="宋体" w:hAnsi="宋体" w:eastAsia="宋体" w:cs="宋体"/>
          <w:b/>
          <w:bCs/>
          <w:color w:val="auto"/>
          <w:spacing w:val="-4"/>
          <w:sz w:val="28"/>
          <w:szCs w:val="28"/>
          <w:highlight w:val="none"/>
          <w:lang w:eastAsia="zh-CN"/>
        </w:rPr>
        <w:t>投标人资格要求</w:t>
      </w:r>
    </w:p>
    <w:p w14:paraId="76C7A9FB">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500"/>
        <w:textAlignment w:val="auto"/>
        <w:rPr>
          <w:rFonts w:ascii="宋体" w:hAnsi="宋体" w:eastAsia="宋体" w:cs="宋体"/>
          <w:color w:val="auto"/>
          <w:sz w:val="24"/>
          <w:szCs w:val="24"/>
          <w:highlight w:val="none"/>
          <w:lang w:eastAsia="zh-CN"/>
        </w:rPr>
      </w:pPr>
      <w:r>
        <w:rPr>
          <w:rFonts w:ascii="Times New Roman" w:hAnsi="Times New Roman" w:eastAsia="Times New Roman" w:cs="Times New Roman"/>
          <w:color w:val="auto"/>
          <w:spacing w:val="-1"/>
          <w:sz w:val="24"/>
          <w:szCs w:val="24"/>
          <w:highlight w:val="none"/>
          <w:lang w:eastAsia="zh-CN"/>
        </w:rPr>
        <w:t xml:space="preserve">1.4.1 </w:t>
      </w:r>
      <w:r>
        <w:rPr>
          <w:rFonts w:ascii="宋体" w:hAnsi="宋体" w:eastAsia="宋体" w:cs="宋体"/>
          <w:color w:val="auto"/>
          <w:spacing w:val="-1"/>
          <w:sz w:val="24"/>
          <w:szCs w:val="24"/>
          <w:highlight w:val="none"/>
          <w:lang w:eastAsia="zh-CN"/>
        </w:rPr>
        <w:t>投标人应具备承担本招标项目资质条件、能力和信誉：</w:t>
      </w:r>
    </w:p>
    <w:p w14:paraId="232BDC76">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93"/>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1</w:t>
      </w:r>
      <w:r>
        <w:rPr>
          <w:rFonts w:ascii="宋体" w:hAnsi="宋体" w:eastAsia="宋体" w:cs="宋体"/>
          <w:color w:val="auto"/>
          <w:spacing w:val="-2"/>
          <w:sz w:val="24"/>
          <w:szCs w:val="24"/>
          <w:highlight w:val="none"/>
          <w:lang w:eastAsia="zh-CN"/>
        </w:rPr>
        <w:t>）资质要求：见投标人须知前附表；</w:t>
      </w:r>
    </w:p>
    <w:p w14:paraId="035249BB">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3"/>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2</w:t>
      </w:r>
      <w:r>
        <w:rPr>
          <w:rFonts w:ascii="宋体" w:hAnsi="宋体" w:eastAsia="宋体" w:cs="宋体"/>
          <w:color w:val="auto"/>
          <w:spacing w:val="-2"/>
          <w:sz w:val="24"/>
          <w:szCs w:val="24"/>
          <w:highlight w:val="none"/>
          <w:lang w:eastAsia="zh-CN"/>
        </w:rPr>
        <w:t>）业绩要求：见投标人须知前附表；</w:t>
      </w:r>
    </w:p>
    <w:p w14:paraId="783F12E0">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93"/>
        <w:textAlignment w:val="auto"/>
        <w:rPr>
          <w:rFonts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w:t>
      </w:r>
      <w:r>
        <w:rPr>
          <w:rFonts w:ascii="Times New Roman" w:hAnsi="Times New Roman" w:eastAsia="Times New Roman" w:cs="Times New Roman"/>
          <w:color w:val="auto"/>
          <w:spacing w:val="-3"/>
          <w:sz w:val="24"/>
          <w:szCs w:val="24"/>
          <w:highlight w:val="none"/>
          <w:lang w:eastAsia="zh-CN"/>
        </w:rPr>
        <w:t>3</w:t>
      </w:r>
      <w:r>
        <w:rPr>
          <w:rFonts w:ascii="宋体" w:hAnsi="宋体" w:eastAsia="宋体" w:cs="宋体"/>
          <w:color w:val="auto"/>
          <w:spacing w:val="-3"/>
          <w:sz w:val="24"/>
          <w:szCs w:val="24"/>
          <w:highlight w:val="none"/>
          <w:lang w:eastAsia="zh-CN"/>
        </w:rPr>
        <w:t>）拟派项目负责人的资格要求：见投标人须知前附表；</w:t>
      </w:r>
    </w:p>
    <w:p w14:paraId="79EB77C3">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3"/>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4</w:t>
      </w:r>
      <w:r>
        <w:rPr>
          <w:rFonts w:ascii="宋体" w:hAnsi="宋体" w:eastAsia="宋体" w:cs="宋体"/>
          <w:color w:val="auto"/>
          <w:spacing w:val="-2"/>
          <w:sz w:val="24"/>
          <w:szCs w:val="24"/>
          <w:highlight w:val="none"/>
          <w:lang w:eastAsia="zh-CN"/>
        </w:rPr>
        <w:t>）其他要求：见投标人须知前附表。</w:t>
      </w:r>
    </w:p>
    <w:p w14:paraId="5BF57D38">
      <w:pPr>
        <w:keepNext w:val="0"/>
        <w:keepLines w:val="0"/>
        <w:pageBreakBefore w:val="0"/>
        <w:widowControl/>
        <w:kinsoku w:val="0"/>
        <w:wordWrap/>
        <w:overflowPunct/>
        <w:topLinePunct w:val="0"/>
        <w:autoSpaceDE w:val="0"/>
        <w:autoSpaceDN w:val="0"/>
        <w:bidi w:val="0"/>
        <w:adjustRightInd w:val="0"/>
        <w:snapToGrid w:val="0"/>
        <w:spacing w:before="29" w:line="460" w:lineRule="exact"/>
        <w:ind w:left="1" w:right="6" w:firstLine="498"/>
        <w:textAlignment w:val="auto"/>
        <w:rPr>
          <w:rFonts w:ascii="宋体" w:hAnsi="宋体" w:eastAsia="宋体" w:cs="宋体"/>
          <w:color w:val="auto"/>
          <w:sz w:val="24"/>
          <w:szCs w:val="24"/>
          <w:highlight w:val="none"/>
          <w:lang w:eastAsia="zh-CN"/>
        </w:rPr>
      </w:pPr>
      <w:r>
        <w:rPr>
          <w:rFonts w:ascii="Times New Roman" w:hAnsi="Times New Roman" w:eastAsia="Times New Roman" w:cs="Times New Roman"/>
          <w:color w:val="auto"/>
          <w:spacing w:val="-1"/>
          <w:sz w:val="24"/>
          <w:szCs w:val="24"/>
          <w:highlight w:val="none"/>
          <w:lang w:eastAsia="zh-CN"/>
        </w:rPr>
        <w:t xml:space="preserve">1.4.2 </w:t>
      </w:r>
      <w:r>
        <w:rPr>
          <w:rFonts w:ascii="宋体" w:hAnsi="宋体" w:eastAsia="宋体" w:cs="宋体"/>
          <w:color w:val="auto"/>
          <w:spacing w:val="-1"/>
          <w:sz w:val="24"/>
          <w:szCs w:val="24"/>
          <w:highlight w:val="none"/>
          <w:lang w:eastAsia="zh-CN"/>
        </w:rPr>
        <w:t>投标人须知前附表规定接受联合体投标的，联合体除应符合本章第</w:t>
      </w:r>
      <w:r>
        <w:rPr>
          <w:rFonts w:ascii="Times New Roman" w:hAnsi="Times New Roman" w:eastAsia="Times New Roman" w:cs="Times New Roman"/>
          <w:color w:val="auto"/>
          <w:spacing w:val="-1"/>
          <w:sz w:val="24"/>
          <w:szCs w:val="24"/>
          <w:highlight w:val="none"/>
          <w:lang w:eastAsia="zh-CN"/>
        </w:rPr>
        <w:t>1.4.1</w:t>
      </w:r>
      <w:r>
        <w:rPr>
          <w:rFonts w:ascii="宋体" w:hAnsi="宋体" w:eastAsia="宋体" w:cs="宋体"/>
          <w:color w:val="auto"/>
          <w:spacing w:val="-1"/>
          <w:sz w:val="24"/>
          <w:szCs w:val="24"/>
          <w:highlight w:val="none"/>
          <w:lang w:eastAsia="zh-CN"/>
        </w:rPr>
        <w:t>项和投标人须知前附表的要求外，还应遵守以下规定：</w:t>
      </w:r>
    </w:p>
    <w:p w14:paraId="3722E127">
      <w:pPr>
        <w:keepNext w:val="0"/>
        <w:keepLines w:val="0"/>
        <w:pageBreakBefore w:val="0"/>
        <w:widowControl/>
        <w:kinsoku w:val="0"/>
        <w:wordWrap/>
        <w:overflowPunct/>
        <w:topLinePunct w:val="0"/>
        <w:autoSpaceDE w:val="0"/>
        <w:autoSpaceDN w:val="0"/>
        <w:bidi w:val="0"/>
        <w:adjustRightInd w:val="0"/>
        <w:snapToGrid w:val="0"/>
        <w:spacing w:before="30" w:line="460" w:lineRule="exact"/>
        <w:ind w:left="5" w:right="7" w:firstLine="487"/>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w:t>
      </w:r>
      <w:r>
        <w:rPr>
          <w:rFonts w:ascii="Times New Roman" w:hAnsi="Times New Roman" w:eastAsia="Times New Roman" w:cs="Times New Roman"/>
          <w:color w:val="auto"/>
          <w:spacing w:val="5"/>
          <w:sz w:val="24"/>
          <w:szCs w:val="24"/>
          <w:highlight w:val="none"/>
          <w:lang w:eastAsia="zh-CN"/>
        </w:rPr>
        <w:t>1</w:t>
      </w:r>
      <w:r>
        <w:rPr>
          <w:rFonts w:ascii="宋体" w:hAnsi="宋体" w:eastAsia="宋体" w:cs="宋体"/>
          <w:color w:val="auto"/>
          <w:spacing w:val="5"/>
          <w:sz w:val="24"/>
          <w:szCs w:val="24"/>
          <w:highlight w:val="none"/>
          <w:lang w:eastAsia="zh-CN"/>
        </w:rPr>
        <w:t>）联合体各方应按招标文件提供的格式签订联合体协议书，明确联合体牵</w:t>
      </w:r>
      <w:r>
        <w:rPr>
          <w:rFonts w:ascii="宋体" w:hAnsi="宋体" w:eastAsia="宋体" w:cs="宋体"/>
          <w:color w:val="auto"/>
          <w:spacing w:val="-2"/>
          <w:sz w:val="24"/>
          <w:szCs w:val="24"/>
          <w:highlight w:val="none"/>
          <w:lang w:eastAsia="zh-CN"/>
        </w:rPr>
        <w:t>头人和各方权利义务；</w:t>
      </w:r>
    </w:p>
    <w:p w14:paraId="0EBED37E">
      <w:pPr>
        <w:keepNext w:val="0"/>
        <w:keepLines w:val="0"/>
        <w:pageBreakBefore w:val="0"/>
        <w:widowControl/>
        <w:kinsoku w:val="0"/>
        <w:wordWrap/>
        <w:overflowPunct/>
        <w:topLinePunct w:val="0"/>
        <w:autoSpaceDE w:val="0"/>
        <w:autoSpaceDN w:val="0"/>
        <w:bidi w:val="0"/>
        <w:adjustRightInd w:val="0"/>
        <w:snapToGrid w:val="0"/>
        <w:spacing w:before="28" w:line="460" w:lineRule="exact"/>
        <w:ind w:left="2" w:right="7" w:firstLine="490"/>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w:t>
      </w:r>
      <w:r>
        <w:rPr>
          <w:rFonts w:ascii="Times New Roman" w:hAnsi="Times New Roman" w:eastAsia="Times New Roman" w:cs="Times New Roman"/>
          <w:color w:val="auto"/>
          <w:spacing w:val="5"/>
          <w:sz w:val="24"/>
          <w:szCs w:val="24"/>
          <w:highlight w:val="none"/>
          <w:lang w:eastAsia="zh-CN"/>
        </w:rPr>
        <w:t>2</w:t>
      </w:r>
      <w:r>
        <w:rPr>
          <w:rFonts w:ascii="宋体" w:hAnsi="宋体" w:eastAsia="宋体" w:cs="宋体"/>
          <w:color w:val="auto"/>
          <w:spacing w:val="5"/>
          <w:sz w:val="24"/>
          <w:szCs w:val="24"/>
          <w:highlight w:val="none"/>
          <w:lang w:eastAsia="zh-CN"/>
        </w:rPr>
        <w:t>）联合体的各专业资质等级，根据联合体协议约定的专业分工，分别按照</w:t>
      </w:r>
      <w:r>
        <w:rPr>
          <w:rFonts w:ascii="宋体" w:hAnsi="宋体" w:eastAsia="宋体" w:cs="宋体"/>
          <w:color w:val="auto"/>
          <w:spacing w:val="-1"/>
          <w:sz w:val="24"/>
          <w:szCs w:val="24"/>
          <w:highlight w:val="none"/>
          <w:lang w:eastAsia="zh-CN"/>
        </w:rPr>
        <w:t>承担相应专业工作的资质等级较低的单位确定；</w:t>
      </w:r>
    </w:p>
    <w:p w14:paraId="6139955C">
      <w:pPr>
        <w:keepNext w:val="0"/>
        <w:keepLines w:val="0"/>
        <w:pageBreakBefore w:val="0"/>
        <w:widowControl/>
        <w:kinsoku w:val="0"/>
        <w:wordWrap/>
        <w:overflowPunct/>
        <w:topLinePunct w:val="0"/>
        <w:autoSpaceDE w:val="0"/>
        <w:autoSpaceDN w:val="0"/>
        <w:bidi w:val="0"/>
        <w:adjustRightInd w:val="0"/>
        <w:snapToGrid w:val="0"/>
        <w:spacing w:before="27" w:line="460" w:lineRule="exact"/>
        <w:ind w:left="2" w:right="7" w:firstLine="490"/>
        <w:textAlignment w:val="auto"/>
        <w:rPr>
          <w:rFonts w:ascii="宋体" w:hAnsi="宋体" w:eastAsia="宋体" w:cs="宋体"/>
          <w:color w:val="auto"/>
          <w:sz w:val="24"/>
          <w:szCs w:val="24"/>
          <w:highlight w:val="none"/>
          <w:lang w:eastAsia="zh-CN"/>
        </w:rPr>
      </w:pPr>
      <w:r>
        <w:rPr>
          <w:rFonts w:ascii="宋体" w:hAnsi="宋体" w:eastAsia="宋体" w:cs="宋体"/>
          <w:color w:val="auto"/>
          <w:spacing w:val="11"/>
          <w:sz w:val="24"/>
          <w:szCs w:val="24"/>
          <w:highlight w:val="none"/>
          <w:lang w:eastAsia="zh-CN"/>
        </w:rPr>
        <w:t>（</w:t>
      </w:r>
      <w:r>
        <w:rPr>
          <w:rFonts w:ascii="Times New Roman" w:hAnsi="Times New Roman" w:eastAsia="Times New Roman" w:cs="Times New Roman"/>
          <w:color w:val="auto"/>
          <w:spacing w:val="11"/>
          <w:sz w:val="24"/>
          <w:szCs w:val="24"/>
          <w:highlight w:val="none"/>
          <w:lang w:eastAsia="zh-CN"/>
        </w:rPr>
        <w:t>3</w:t>
      </w:r>
      <w:r>
        <w:rPr>
          <w:rFonts w:ascii="宋体" w:hAnsi="宋体" w:eastAsia="宋体" w:cs="宋体"/>
          <w:color w:val="auto"/>
          <w:spacing w:val="11"/>
          <w:sz w:val="24"/>
          <w:szCs w:val="24"/>
          <w:highlight w:val="none"/>
          <w:lang w:eastAsia="zh-CN"/>
        </w:rPr>
        <w:t>）联合体各方不得再以自己名义单独或参加其他联合体在同一标段中投</w:t>
      </w:r>
      <w:r>
        <w:rPr>
          <w:rFonts w:ascii="宋体" w:hAnsi="宋体" w:eastAsia="宋体" w:cs="宋体"/>
          <w:color w:val="auto"/>
          <w:spacing w:val="-6"/>
          <w:sz w:val="24"/>
          <w:szCs w:val="24"/>
          <w:highlight w:val="none"/>
          <w:lang w:eastAsia="zh-CN"/>
        </w:rPr>
        <w:t>标；</w:t>
      </w:r>
    </w:p>
    <w:p w14:paraId="20B77263">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3"/>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w:t>
      </w:r>
      <w:r>
        <w:rPr>
          <w:rFonts w:ascii="Times New Roman" w:hAnsi="Times New Roman" w:eastAsia="Times New Roman" w:cs="Times New Roman"/>
          <w:color w:val="auto"/>
          <w:spacing w:val="-1"/>
          <w:sz w:val="24"/>
          <w:szCs w:val="24"/>
          <w:highlight w:val="none"/>
          <w:lang w:eastAsia="zh-CN"/>
        </w:rPr>
        <w:t>4</w:t>
      </w:r>
      <w:r>
        <w:rPr>
          <w:rFonts w:ascii="宋体" w:hAnsi="宋体" w:eastAsia="宋体" w:cs="宋体"/>
          <w:color w:val="auto"/>
          <w:spacing w:val="-1"/>
          <w:sz w:val="24"/>
          <w:szCs w:val="24"/>
          <w:highlight w:val="none"/>
          <w:lang w:eastAsia="zh-CN"/>
        </w:rPr>
        <w:t>）联合体投标其他要求见投标人须知前附表。</w:t>
      </w:r>
    </w:p>
    <w:p w14:paraId="4AD6AE00">
      <w:pPr>
        <w:keepNext w:val="0"/>
        <w:keepLines w:val="0"/>
        <w:pageBreakBefore w:val="0"/>
        <w:widowControl/>
        <w:kinsoku w:val="0"/>
        <w:wordWrap/>
        <w:overflowPunct/>
        <w:topLinePunct w:val="0"/>
        <w:autoSpaceDE w:val="0"/>
        <w:autoSpaceDN w:val="0"/>
        <w:bidi w:val="0"/>
        <w:adjustRightInd w:val="0"/>
        <w:snapToGrid w:val="0"/>
        <w:spacing w:before="28" w:line="460" w:lineRule="exact"/>
        <w:ind w:left="500"/>
        <w:textAlignment w:val="auto"/>
        <w:rPr>
          <w:rFonts w:ascii="宋体" w:hAnsi="宋体" w:eastAsia="宋体" w:cs="宋体"/>
          <w:color w:val="auto"/>
          <w:sz w:val="24"/>
          <w:szCs w:val="24"/>
          <w:highlight w:val="none"/>
          <w:lang w:eastAsia="zh-CN"/>
        </w:rPr>
      </w:pPr>
      <w:r>
        <w:rPr>
          <w:rFonts w:ascii="Times New Roman" w:hAnsi="Times New Roman" w:eastAsia="Times New Roman" w:cs="Times New Roman"/>
          <w:color w:val="auto"/>
          <w:spacing w:val="-1"/>
          <w:sz w:val="24"/>
          <w:szCs w:val="24"/>
          <w:highlight w:val="none"/>
          <w:lang w:eastAsia="zh-CN"/>
        </w:rPr>
        <w:t xml:space="preserve">1.4.3 </w:t>
      </w:r>
      <w:r>
        <w:rPr>
          <w:rFonts w:ascii="宋体" w:hAnsi="宋体" w:eastAsia="宋体" w:cs="宋体"/>
          <w:color w:val="auto"/>
          <w:spacing w:val="-1"/>
          <w:sz w:val="24"/>
          <w:szCs w:val="24"/>
          <w:highlight w:val="none"/>
          <w:lang w:eastAsia="zh-CN"/>
        </w:rPr>
        <w:t>投标人的资格审查方式：见投标人须知前</w:t>
      </w:r>
      <w:r>
        <w:rPr>
          <w:rFonts w:ascii="宋体" w:hAnsi="宋体" w:eastAsia="宋体" w:cs="宋体"/>
          <w:color w:val="auto"/>
          <w:spacing w:val="-2"/>
          <w:sz w:val="24"/>
          <w:szCs w:val="24"/>
          <w:highlight w:val="none"/>
          <w:lang w:eastAsia="zh-CN"/>
        </w:rPr>
        <w:t>附表。</w:t>
      </w:r>
    </w:p>
    <w:p w14:paraId="418AE58B">
      <w:pPr>
        <w:keepNext w:val="0"/>
        <w:keepLines w:val="0"/>
        <w:pageBreakBefore w:val="0"/>
        <w:widowControl/>
        <w:kinsoku w:val="0"/>
        <w:wordWrap/>
        <w:overflowPunct/>
        <w:topLinePunct w:val="0"/>
        <w:autoSpaceDE w:val="0"/>
        <w:autoSpaceDN w:val="0"/>
        <w:bidi w:val="0"/>
        <w:adjustRightInd w:val="0"/>
        <w:snapToGrid w:val="0"/>
        <w:spacing w:before="29" w:line="460" w:lineRule="exact"/>
        <w:ind w:left="500"/>
        <w:textAlignment w:val="auto"/>
        <w:rPr>
          <w:rFonts w:ascii="宋体" w:hAnsi="宋体" w:eastAsia="宋体" w:cs="宋体"/>
          <w:color w:val="auto"/>
          <w:sz w:val="24"/>
          <w:szCs w:val="24"/>
          <w:highlight w:val="none"/>
          <w:lang w:eastAsia="zh-CN"/>
        </w:rPr>
      </w:pPr>
      <w:r>
        <w:rPr>
          <w:rFonts w:ascii="Times New Roman" w:hAnsi="Times New Roman" w:eastAsia="Times New Roman" w:cs="Times New Roman"/>
          <w:color w:val="auto"/>
          <w:spacing w:val="-2"/>
          <w:sz w:val="24"/>
          <w:szCs w:val="24"/>
          <w:highlight w:val="none"/>
          <w:lang w:eastAsia="zh-CN"/>
        </w:rPr>
        <w:t xml:space="preserve">1.4.4 </w:t>
      </w:r>
      <w:r>
        <w:rPr>
          <w:rFonts w:ascii="宋体" w:hAnsi="宋体" w:eastAsia="宋体" w:cs="宋体"/>
          <w:color w:val="auto"/>
          <w:spacing w:val="-2"/>
          <w:sz w:val="24"/>
          <w:szCs w:val="24"/>
          <w:highlight w:val="none"/>
          <w:lang w:eastAsia="zh-CN"/>
        </w:rPr>
        <w:t>投标人不得存在下列情形之一：</w:t>
      </w:r>
    </w:p>
    <w:p w14:paraId="2EB5BA3C">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3"/>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w:t>
      </w:r>
      <w:r>
        <w:rPr>
          <w:rFonts w:ascii="Times New Roman" w:hAnsi="Times New Roman" w:eastAsia="Times New Roman" w:cs="Times New Roman"/>
          <w:color w:val="auto"/>
          <w:spacing w:val="-1"/>
          <w:sz w:val="24"/>
          <w:szCs w:val="24"/>
          <w:highlight w:val="none"/>
          <w:lang w:eastAsia="zh-CN"/>
        </w:rPr>
        <w:t>1</w:t>
      </w:r>
      <w:r>
        <w:rPr>
          <w:rFonts w:ascii="宋体" w:hAnsi="宋体" w:eastAsia="宋体" w:cs="宋体"/>
          <w:color w:val="auto"/>
          <w:spacing w:val="-1"/>
          <w:sz w:val="24"/>
          <w:szCs w:val="24"/>
          <w:highlight w:val="none"/>
          <w:lang w:eastAsia="zh-CN"/>
        </w:rPr>
        <w:t>）为招标人不具有独立法人资格的附属机构（单位</w:t>
      </w:r>
      <w:r>
        <w:rPr>
          <w:rFonts w:ascii="宋体" w:hAnsi="宋体" w:eastAsia="宋体" w:cs="宋体"/>
          <w:color w:val="auto"/>
          <w:spacing w:val="1"/>
          <w:sz w:val="24"/>
          <w:szCs w:val="24"/>
          <w:highlight w:val="none"/>
          <w:lang w:eastAsia="zh-CN"/>
        </w:rPr>
        <w:t>）；</w:t>
      </w:r>
    </w:p>
    <w:p w14:paraId="05AE3ED8">
      <w:pPr>
        <w:keepNext w:val="0"/>
        <w:keepLines w:val="0"/>
        <w:pageBreakBefore w:val="0"/>
        <w:widowControl/>
        <w:kinsoku w:val="0"/>
        <w:wordWrap/>
        <w:overflowPunct/>
        <w:topLinePunct w:val="0"/>
        <w:autoSpaceDE w:val="0"/>
        <w:autoSpaceDN w:val="0"/>
        <w:bidi w:val="0"/>
        <w:adjustRightInd w:val="0"/>
        <w:snapToGrid w:val="0"/>
        <w:spacing w:before="30" w:line="460" w:lineRule="exact"/>
        <w:ind w:left="2" w:right="2" w:firstLine="490"/>
        <w:textAlignment w:val="auto"/>
        <w:rPr>
          <w:rFonts w:ascii="宋体" w:hAnsi="宋体" w:eastAsia="宋体" w:cs="宋体"/>
          <w:color w:val="auto"/>
          <w:sz w:val="24"/>
          <w:szCs w:val="24"/>
          <w:highlight w:val="none"/>
          <w:lang w:eastAsia="zh-CN"/>
        </w:rPr>
      </w:pPr>
      <w:r>
        <w:rPr>
          <w:rFonts w:ascii="宋体" w:hAnsi="宋体" w:eastAsia="宋体" w:cs="宋体"/>
          <w:color w:val="auto"/>
          <w:spacing w:val="6"/>
          <w:sz w:val="24"/>
          <w:szCs w:val="24"/>
          <w:highlight w:val="none"/>
          <w:lang w:eastAsia="zh-CN"/>
        </w:rPr>
        <w:t>（</w:t>
      </w:r>
      <w:r>
        <w:rPr>
          <w:rFonts w:ascii="Times New Roman" w:hAnsi="Times New Roman" w:eastAsia="Times New Roman" w:cs="Times New Roman"/>
          <w:color w:val="auto"/>
          <w:spacing w:val="6"/>
          <w:sz w:val="24"/>
          <w:szCs w:val="24"/>
          <w:highlight w:val="none"/>
          <w:lang w:eastAsia="zh-CN"/>
        </w:rPr>
        <w:t>2</w:t>
      </w:r>
      <w:r>
        <w:rPr>
          <w:rFonts w:ascii="宋体" w:hAnsi="宋体" w:eastAsia="宋体" w:cs="宋体"/>
          <w:color w:val="auto"/>
          <w:spacing w:val="6"/>
          <w:sz w:val="24"/>
          <w:szCs w:val="24"/>
          <w:highlight w:val="none"/>
          <w:lang w:eastAsia="zh-CN"/>
        </w:rPr>
        <w:t>）为与招标人存在利害关系可能影响招标公</w:t>
      </w:r>
      <w:r>
        <w:rPr>
          <w:rFonts w:ascii="宋体" w:hAnsi="宋体" w:eastAsia="宋体" w:cs="宋体"/>
          <w:color w:val="auto"/>
          <w:spacing w:val="5"/>
          <w:sz w:val="24"/>
          <w:szCs w:val="24"/>
          <w:highlight w:val="none"/>
          <w:lang w:eastAsia="zh-CN"/>
        </w:rPr>
        <w:t>正性的法人、其他组织或者个</w:t>
      </w:r>
      <w:r>
        <w:rPr>
          <w:rFonts w:ascii="宋体" w:hAnsi="宋体" w:eastAsia="宋体" w:cs="宋体"/>
          <w:color w:val="auto"/>
          <w:spacing w:val="-6"/>
          <w:sz w:val="24"/>
          <w:szCs w:val="24"/>
          <w:highlight w:val="none"/>
          <w:lang w:eastAsia="zh-CN"/>
        </w:rPr>
        <w:t>人；</w:t>
      </w:r>
    </w:p>
    <w:p w14:paraId="0B0713E7">
      <w:pPr>
        <w:keepNext w:val="0"/>
        <w:keepLines w:val="0"/>
        <w:pageBreakBefore w:val="0"/>
        <w:widowControl/>
        <w:kinsoku w:val="0"/>
        <w:wordWrap/>
        <w:overflowPunct/>
        <w:topLinePunct w:val="0"/>
        <w:autoSpaceDE w:val="0"/>
        <w:autoSpaceDN w:val="0"/>
        <w:bidi w:val="0"/>
        <w:adjustRightInd w:val="0"/>
        <w:snapToGrid w:val="0"/>
        <w:spacing w:before="47" w:line="460" w:lineRule="exact"/>
        <w:ind w:left="505"/>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w:t>
      </w:r>
      <w:r>
        <w:rPr>
          <w:rFonts w:ascii="Times New Roman" w:hAnsi="Times New Roman" w:eastAsia="Times New Roman" w:cs="Times New Roman"/>
          <w:color w:val="auto"/>
          <w:spacing w:val="-1"/>
          <w:sz w:val="24"/>
          <w:szCs w:val="24"/>
          <w:highlight w:val="none"/>
          <w:lang w:eastAsia="zh-CN"/>
        </w:rPr>
        <w:t>3</w:t>
      </w:r>
      <w:r>
        <w:rPr>
          <w:rFonts w:ascii="宋体" w:hAnsi="宋体" w:eastAsia="宋体" w:cs="宋体"/>
          <w:color w:val="auto"/>
          <w:spacing w:val="-1"/>
          <w:sz w:val="24"/>
          <w:szCs w:val="24"/>
          <w:highlight w:val="none"/>
          <w:lang w:eastAsia="zh-CN"/>
        </w:rPr>
        <w:t>）不同投标人的单位负责人为同一人或者互相存在控股、管理关系的；</w:t>
      </w:r>
    </w:p>
    <w:p w14:paraId="165B28C1">
      <w:pPr>
        <w:keepNext w:val="0"/>
        <w:keepLines w:val="0"/>
        <w:pageBreakBefore w:val="0"/>
        <w:widowControl/>
        <w:kinsoku w:val="0"/>
        <w:wordWrap/>
        <w:overflowPunct/>
        <w:topLinePunct w:val="0"/>
        <w:autoSpaceDE w:val="0"/>
        <w:autoSpaceDN w:val="0"/>
        <w:bidi w:val="0"/>
        <w:adjustRightInd w:val="0"/>
        <w:snapToGrid w:val="0"/>
        <w:spacing w:before="27" w:line="460" w:lineRule="exact"/>
        <w:ind w:left="505"/>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w:t>
      </w:r>
      <w:r>
        <w:rPr>
          <w:rFonts w:ascii="Times New Roman" w:hAnsi="Times New Roman" w:eastAsia="Times New Roman" w:cs="Times New Roman"/>
          <w:color w:val="auto"/>
          <w:spacing w:val="-1"/>
          <w:sz w:val="24"/>
          <w:szCs w:val="24"/>
          <w:highlight w:val="none"/>
          <w:lang w:eastAsia="zh-CN"/>
        </w:rPr>
        <w:t>4</w:t>
      </w:r>
      <w:r>
        <w:rPr>
          <w:rFonts w:ascii="宋体" w:hAnsi="宋体" w:eastAsia="宋体" w:cs="宋体"/>
          <w:color w:val="auto"/>
          <w:spacing w:val="-1"/>
          <w:sz w:val="24"/>
          <w:szCs w:val="24"/>
          <w:highlight w:val="none"/>
          <w:lang w:eastAsia="zh-CN"/>
        </w:rPr>
        <w:t>）为本标段前期准备提供设计或咨询服务的；</w:t>
      </w:r>
    </w:p>
    <w:p w14:paraId="71F4B354">
      <w:pPr>
        <w:keepNext w:val="0"/>
        <w:keepLines w:val="0"/>
        <w:pageBreakBefore w:val="0"/>
        <w:widowControl/>
        <w:kinsoku w:val="0"/>
        <w:wordWrap/>
        <w:overflowPunct/>
        <w:topLinePunct w:val="0"/>
        <w:autoSpaceDE w:val="0"/>
        <w:autoSpaceDN w:val="0"/>
        <w:bidi w:val="0"/>
        <w:adjustRightInd w:val="0"/>
        <w:snapToGrid w:val="0"/>
        <w:spacing w:before="28" w:line="460" w:lineRule="exact"/>
        <w:ind w:left="505"/>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5</w:t>
      </w:r>
      <w:r>
        <w:rPr>
          <w:rFonts w:ascii="宋体" w:hAnsi="宋体" w:eastAsia="宋体" w:cs="宋体"/>
          <w:color w:val="auto"/>
          <w:spacing w:val="-2"/>
          <w:sz w:val="24"/>
          <w:szCs w:val="24"/>
          <w:highlight w:val="none"/>
          <w:lang w:eastAsia="zh-CN"/>
        </w:rPr>
        <w:t>）为本标段的监理人；</w:t>
      </w:r>
    </w:p>
    <w:p w14:paraId="6BBAE309">
      <w:pPr>
        <w:keepNext w:val="0"/>
        <w:keepLines w:val="0"/>
        <w:pageBreakBefore w:val="0"/>
        <w:widowControl/>
        <w:kinsoku w:val="0"/>
        <w:wordWrap/>
        <w:overflowPunct/>
        <w:topLinePunct w:val="0"/>
        <w:autoSpaceDE w:val="0"/>
        <w:autoSpaceDN w:val="0"/>
        <w:bidi w:val="0"/>
        <w:adjustRightInd w:val="0"/>
        <w:snapToGrid w:val="0"/>
        <w:spacing w:before="28" w:line="460" w:lineRule="exact"/>
        <w:ind w:left="505"/>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6</w:t>
      </w:r>
      <w:r>
        <w:rPr>
          <w:rFonts w:ascii="宋体" w:hAnsi="宋体" w:eastAsia="宋体" w:cs="宋体"/>
          <w:color w:val="auto"/>
          <w:spacing w:val="-2"/>
          <w:sz w:val="24"/>
          <w:szCs w:val="24"/>
          <w:highlight w:val="none"/>
          <w:lang w:eastAsia="zh-CN"/>
        </w:rPr>
        <w:t>）为本标段的代建人；</w:t>
      </w:r>
    </w:p>
    <w:p w14:paraId="37816172">
      <w:pPr>
        <w:keepNext w:val="0"/>
        <w:keepLines w:val="0"/>
        <w:pageBreakBefore w:val="0"/>
        <w:widowControl/>
        <w:kinsoku w:val="0"/>
        <w:wordWrap/>
        <w:overflowPunct/>
        <w:topLinePunct w:val="0"/>
        <w:autoSpaceDE w:val="0"/>
        <w:autoSpaceDN w:val="0"/>
        <w:bidi w:val="0"/>
        <w:adjustRightInd w:val="0"/>
        <w:snapToGrid w:val="0"/>
        <w:spacing w:before="28" w:line="460" w:lineRule="exact"/>
        <w:ind w:left="505"/>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7</w:t>
      </w:r>
      <w:r>
        <w:rPr>
          <w:rFonts w:ascii="宋体" w:hAnsi="宋体" w:eastAsia="宋体" w:cs="宋体"/>
          <w:color w:val="auto"/>
          <w:spacing w:val="-2"/>
          <w:sz w:val="24"/>
          <w:szCs w:val="24"/>
          <w:highlight w:val="none"/>
          <w:lang w:eastAsia="zh-CN"/>
        </w:rPr>
        <w:t>）为本标段提供招标代理服务的；</w:t>
      </w:r>
    </w:p>
    <w:p w14:paraId="7DE73961">
      <w:pPr>
        <w:keepNext w:val="0"/>
        <w:keepLines w:val="0"/>
        <w:pageBreakBefore w:val="0"/>
        <w:widowControl/>
        <w:kinsoku w:val="0"/>
        <w:wordWrap/>
        <w:overflowPunct/>
        <w:topLinePunct w:val="0"/>
        <w:autoSpaceDE w:val="0"/>
        <w:autoSpaceDN w:val="0"/>
        <w:bidi w:val="0"/>
        <w:adjustRightInd w:val="0"/>
        <w:snapToGrid w:val="0"/>
        <w:spacing w:before="29" w:line="460" w:lineRule="exact"/>
        <w:ind w:left="505"/>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w:t>
      </w:r>
      <w:r>
        <w:rPr>
          <w:rFonts w:ascii="Times New Roman" w:hAnsi="Times New Roman" w:eastAsia="Times New Roman" w:cs="Times New Roman"/>
          <w:color w:val="auto"/>
          <w:spacing w:val="-1"/>
          <w:sz w:val="24"/>
          <w:szCs w:val="24"/>
          <w:highlight w:val="none"/>
          <w:lang w:eastAsia="zh-CN"/>
        </w:rPr>
        <w:t>8</w:t>
      </w:r>
      <w:r>
        <w:rPr>
          <w:rFonts w:ascii="宋体" w:hAnsi="宋体" w:eastAsia="宋体" w:cs="宋体"/>
          <w:color w:val="auto"/>
          <w:spacing w:val="-1"/>
          <w:sz w:val="24"/>
          <w:szCs w:val="24"/>
          <w:highlight w:val="none"/>
          <w:lang w:eastAsia="zh-CN"/>
        </w:rPr>
        <w:t>）与本标段的监理人或代建人或招标代理机构同为一个法定代表人的；</w:t>
      </w:r>
    </w:p>
    <w:p w14:paraId="6CF48D42">
      <w:pPr>
        <w:keepNext w:val="0"/>
        <w:keepLines w:val="0"/>
        <w:pageBreakBefore w:val="0"/>
        <w:widowControl/>
        <w:kinsoku w:val="0"/>
        <w:wordWrap/>
        <w:overflowPunct/>
        <w:topLinePunct w:val="0"/>
        <w:autoSpaceDE w:val="0"/>
        <w:autoSpaceDN w:val="0"/>
        <w:bidi w:val="0"/>
        <w:adjustRightInd w:val="0"/>
        <w:snapToGrid w:val="0"/>
        <w:spacing w:before="28" w:line="460" w:lineRule="exact"/>
        <w:ind w:left="505"/>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w:t>
      </w:r>
      <w:r>
        <w:rPr>
          <w:rFonts w:ascii="Times New Roman" w:hAnsi="Times New Roman" w:eastAsia="Times New Roman" w:cs="Times New Roman"/>
          <w:color w:val="auto"/>
          <w:spacing w:val="-1"/>
          <w:sz w:val="24"/>
          <w:szCs w:val="24"/>
          <w:highlight w:val="none"/>
          <w:lang w:eastAsia="zh-CN"/>
        </w:rPr>
        <w:t>9</w:t>
      </w:r>
      <w:r>
        <w:rPr>
          <w:rFonts w:ascii="宋体" w:hAnsi="宋体" w:eastAsia="宋体" w:cs="宋体"/>
          <w:color w:val="auto"/>
          <w:spacing w:val="-1"/>
          <w:sz w:val="24"/>
          <w:szCs w:val="24"/>
          <w:highlight w:val="none"/>
          <w:lang w:eastAsia="zh-CN"/>
        </w:rPr>
        <w:t>）与本标段的监理人或代建人或招标代理机构相互控股或参股的；</w:t>
      </w:r>
    </w:p>
    <w:p w14:paraId="164FB14E">
      <w:pPr>
        <w:keepNext w:val="0"/>
        <w:keepLines w:val="0"/>
        <w:pageBreakBefore w:val="0"/>
        <w:widowControl/>
        <w:kinsoku w:val="0"/>
        <w:wordWrap/>
        <w:overflowPunct/>
        <w:topLinePunct w:val="0"/>
        <w:autoSpaceDE w:val="0"/>
        <w:autoSpaceDN w:val="0"/>
        <w:bidi w:val="0"/>
        <w:adjustRightInd w:val="0"/>
        <w:snapToGrid w:val="0"/>
        <w:spacing w:before="29" w:line="460" w:lineRule="exact"/>
        <w:ind w:left="505"/>
        <w:textAlignment w:val="auto"/>
        <w:rPr>
          <w:rFonts w:ascii="宋体" w:hAnsi="宋体" w:eastAsia="宋体" w:cs="宋体"/>
          <w:color w:val="auto"/>
          <w:spacing w:val="-1"/>
          <w:sz w:val="24"/>
          <w:szCs w:val="24"/>
          <w:highlight w:val="none"/>
          <w:lang w:eastAsia="zh-CN"/>
        </w:rPr>
      </w:pPr>
      <w:r>
        <w:rPr>
          <w:rFonts w:ascii="宋体" w:hAnsi="宋体" w:eastAsia="宋体" w:cs="宋体"/>
          <w:color w:val="auto"/>
          <w:spacing w:val="-1"/>
          <w:sz w:val="24"/>
          <w:szCs w:val="24"/>
          <w:highlight w:val="none"/>
          <w:lang w:eastAsia="zh-CN"/>
        </w:rPr>
        <w:t>（10）与本标段的监理人或代建人或招标代理机构相互任职或工作的；</w:t>
      </w:r>
    </w:p>
    <w:p w14:paraId="5EE86D91">
      <w:pPr>
        <w:keepNext w:val="0"/>
        <w:keepLines w:val="0"/>
        <w:pageBreakBefore w:val="0"/>
        <w:widowControl/>
        <w:kinsoku w:val="0"/>
        <w:wordWrap/>
        <w:overflowPunct/>
        <w:topLinePunct w:val="0"/>
        <w:autoSpaceDE w:val="0"/>
        <w:autoSpaceDN w:val="0"/>
        <w:bidi w:val="0"/>
        <w:adjustRightInd w:val="0"/>
        <w:snapToGrid w:val="0"/>
        <w:spacing w:before="29" w:line="460" w:lineRule="exact"/>
        <w:ind w:left="505"/>
        <w:textAlignment w:val="auto"/>
        <w:rPr>
          <w:rFonts w:ascii="宋体" w:hAnsi="宋体" w:eastAsia="宋体" w:cs="宋体"/>
          <w:color w:val="auto"/>
          <w:spacing w:val="-1"/>
          <w:sz w:val="24"/>
          <w:szCs w:val="24"/>
          <w:highlight w:val="none"/>
          <w:lang w:eastAsia="zh-CN"/>
        </w:rPr>
      </w:pPr>
      <w:r>
        <w:rPr>
          <w:rFonts w:ascii="宋体" w:hAnsi="宋体" w:eastAsia="宋体" w:cs="宋体"/>
          <w:color w:val="auto"/>
          <w:spacing w:val="-1"/>
          <w:sz w:val="24"/>
          <w:szCs w:val="24"/>
          <w:highlight w:val="none"/>
          <w:lang w:eastAsia="zh-CN"/>
        </w:rPr>
        <w:t>（11）被责令停产停业、暂扣或者吊销许可证、暂扣或者吊销执照；</w:t>
      </w:r>
    </w:p>
    <w:p w14:paraId="00D6F78D">
      <w:pPr>
        <w:keepNext w:val="0"/>
        <w:keepLines w:val="0"/>
        <w:pageBreakBefore w:val="0"/>
        <w:widowControl/>
        <w:kinsoku w:val="0"/>
        <w:wordWrap/>
        <w:overflowPunct/>
        <w:topLinePunct w:val="0"/>
        <w:autoSpaceDE w:val="0"/>
        <w:autoSpaceDN w:val="0"/>
        <w:bidi w:val="0"/>
        <w:adjustRightInd w:val="0"/>
        <w:snapToGrid w:val="0"/>
        <w:spacing w:before="29" w:line="460" w:lineRule="exact"/>
        <w:ind w:left="505"/>
        <w:textAlignment w:val="auto"/>
        <w:rPr>
          <w:rFonts w:ascii="宋体" w:hAnsi="宋体" w:eastAsia="宋体" w:cs="宋体"/>
          <w:color w:val="auto"/>
          <w:spacing w:val="-1"/>
          <w:sz w:val="24"/>
          <w:szCs w:val="24"/>
          <w:highlight w:val="none"/>
          <w:lang w:eastAsia="zh-CN"/>
        </w:rPr>
      </w:pPr>
      <w:r>
        <w:rPr>
          <w:rFonts w:ascii="宋体" w:hAnsi="宋体" w:eastAsia="宋体" w:cs="宋体"/>
          <w:color w:val="auto"/>
          <w:spacing w:val="-1"/>
          <w:sz w:val="24"/>
          <w:szCs w:val="24"/>
          <w:highlight w:val="none"/>
          <w:lang w:eastAsia="zh-CN"/>
        </w:rPr>
        <w:t>（12）进入清算程序，或被宣告破产；</w:t>
      </w:r>
    </w:p>
    <w:p w14:paraId="08317989">
      <w:pPr>
        <w:keepNext w:val="0"/>
        <w:keepLines w:val="0"/>
        <w:pageBreakBefore w:val="0"/>
        <w:widowControl/>
        <w:kinsoku w:val="0"/>
        <w:wordWrap/>
        <w:overflowPunct/>
        <w:topLinePunct w:val="0"/>
        <w:autoSpaceDE w:val="0"/>
        <w:autoSpaceDN w:val="0"/>
        <w:bidi w:val="0"/>
        <w:adjustRightInd w:val="0"/>
        <w:snapToGrid w:val="0"/>
        <w:spacing w:before="29" w:line="460" w:lineRule="exact"/>
        <w:ind w:left="505"/>
        <w:textAlignment w:val="auto"/>
        <w:rPr>
          <w:rFonts w:ascii="宋体" w:hAnsi="宋体" w:eastAsia="宋体" w:cs="宋体"/>
          <w:color w:val="auto"/>
          <w:spacing w:val="-1"/>
          <w:sz w:val="24"/>
          <w:szCs w:val="24"/>
          <w:highlight w:val="none"/>
          <w:lang w:eastAsia="zh-CN"/>
        </w:rPr>
      </w:pPr>
      <w:r>
        <w:rPr>
          <w:rFonts w:ascii="宋体" w:hAnsi="宋体" w:eastAsia="宋体" w:cs="宋体"/>
          <w:color w:val="auto"/>
          <w:spacing w:val="-1"/>
          <w:sz w:val="24"/>
          <w:szCs w:val="24"/>
          <w:highlight w:val="none"/>
          <w:lang w:eastAsia="zh-CN"/>
        </w:rPr>
        <w:t>（13）被依法暂停或取消投标资格的；</w:t>
      </w:r>
    </w:p>
    <w:p w14:paraId="776D904A">
      <w:pPr>
        <w:keepNext w:val="0"/>
        <w:keepLines w:val="0"/>
        <w:pageBreakBefore w:val="0"/>
        <w:widowControl/>
        <w:kinsoku w:val="0"/>
        <w:wordWrap/>
        <w:overflowPunct/>
        <w:topLinePunct w:val="0"/>
        <w:autoSpaceDE w:val="0"/>
        <w:autoSpaceDN w:val="0"/>
        <w:bidi w:val="0"/>
        <w:adjustRightInd w:val="0"/>
        <w:snapToGrid w:val="0"/>
        <w:spacing w:before="183" w:line="460" w:lineRule="exact"/>
        <w:ind w:left="17" w:right="4" w:firstLine="487"/>
        <w:textAlignment w:val="auto"/>
        <w:rPr>
          <w:rFonts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（14）法律法规或投标人须知前附表规定的其他情形；</w:t>
      </w:r>
    </w:p>
    <w:p w14:paraId="38BD56BA">
      <w:pPr>
        <w:keepNext w:val="0"/>
        <w:keepLines w:val="0"/>
        <w:pageBreakBefore w:val="0"/>
        <w:widowControl/>
        <w:kinsoku w:val="0"/>
        <w:wordWrap/>
        <w:overflowPunct/>
        <w:topLinePunct w:val="0"/>
        <w:autoSpaceDE w:val="0"/>
        <w:autoSpaceDN w:val="0"/>
        <w:bidi w:val="0"/>
        <w:adjustRightInd w:val="0"/>
        <w:snapToGrid w:val="0"/>
        <w:spacing w:before="183" w:line="460" w:lineRule="exact"/>
        <w:ind w:left="17" w:right="4" w:firstLine="487"/>
        <w:textAlignment w:val="auto"/>
        <w:rPr>
          <w:rFonts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（15）安全生产许可证超出有效期或处于暂扣时限内的；</w:t>
      </w:r>
    </w:p>
    <w:p w14:paraId="544630C8">
      <w:pPr>
        <w:keepNext w:val="0"/>
        <w:keepLines w:val="0"/>
        <w:pageBreakBefore w:val="0"/>
        <w:widowControl/>
        <w:kinsoku w:val="0"/>
        <w:wordWrap/>
        <w:overflowPunct/>
        <w:topLinePunct w:val="0"/>
        <w:autoSpaceDE w:val="0"/>
        <w:autoSpaceDN w:val="0"/>
        <w:bidi w:val="0"/>
        <w:adjustRightInd w:val="0"/>
        <w:snapToGrid w:val="0"/>
        <w:spacing w:before="183" w:line="460" w:lineRule="exact"/>
        <w:ind w:left="17" w:right="4" w:firstLine="487"/>
        <w:textAlignment w:val="auto"/>
        <w:rPr>
          <w:rFonts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（16）投标人及相关管理人员（包括项目负责人）安全生产任职资格不符合相关规定；</w:t>
      </w:r>
    </w:p>
    <w:p w14:paraId="6B8A4277">
      <w:pPr>
        <w:keepNext w:val="0"/>
        <w:keepLines w:val="0"/>
        <w:pageBreakBefore w:val="0"/>
        <w:widowControl/>
        <w:kinsoku w:val="0"/>
        <w:wordWrap/>
        <w:overflowPunct/>
        <w:topLinePunct w:val="0"/>
        <w:autoSpaceDE w:val="0"/>
        <w:autoSpaceDN w:val="0"/>
        <w:bidi w:val="0"/>
        <w:adjustRightInd w:val="0"/>
        <w:snapToGrid w:val="0"/>
        <w:spacing w:before="183" w:line="460" w:lineRule="exact"/>
        <w:ind w:left="17" w:right="4" w:firstLine="487"/>
        <w:textAlignment w:val="auto"/>
        <w:rPr>
          <w:rFonts w:hint="default"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17）</w:t>
      </w:r>
      <w:r>
        <w:rPr>
          <w:rFonts w:ascii="宋体" w:hAnsi="宋体" w:eastAsia="宋体" w:cs="宋体"/>
          <w:color w:val="auto"/>
          <w:spacing w:val="2"/>
          <w:sz w:val="24"/>
          <w:szCs w:val="24"/>
          <w:highlight w:val="none"/>
          <w:lang w:eastAsia="zh-CN"/>
        </w:rPr>
        <w:t>投标人（包括法定代表人）和项目负责人其一有行贿犯罪记录的（追溯</w:t>
      </w:r>
    </w:p>
    <w:p w14:paraId="1CD991E0">
      <w:pPr>
        <w:keepNext w:val="0"/>
        <w:keepLines w:val="0"/>
        <w:pageBreakBefore w:val="0"/>
        <w:widowControl/>
        <w:kinsoku w:val="0"/>
        <w:wordWrap/>
        <w:overflowPunct/>
        <w:topLinePunct w:val="0"/>
        <w:autoSpaceDE w:val="0"/>
        <w:autoSpaceDN w:val="0"/>
        <w:bidi w:val="0"/>
        <w:adjustRightInd w:val="0"/>
        <w:snapToGrid w:val="0"/>
        <w:spacing w:before="183" w:line="460" w:lineRule="exact"/>
        <w:ind w:right="4"/>
        <w:textAlignment w:val="auto"/>
        <w:rPr>
          <w:rFonts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期由招标公告或投标邀请书3.11条款约定，行贿犯罪记录日期以法院判决生效日期为准）；</w:t>
      </w:r>
    </w:p>
    <w:p w14:paraId="3F2A21CC">
      <w:pPr>
        <w:keepNext w:val="0"/>
        <w:keepLines w:val="0"/>
        <w:pageBreakBefore w:val="0"/>
        <w:widowControl/>
        <w:kinsoku w:val="0"/>
        <w:wordWrap/>
        <w:overflowPunct/>
        <w:topLinePunct w:val="0"/>
        <w:autoSpaceDE w:val="0"/>
        <w:autoSpaceDN w:val="0"/>
        <w:bidi w:val="0"/>
        <w:adjustRightInd w:val="0"/>
        <w:snapToGrid w:val="0"/>
        <w:spacing w:before="183" w:line="460" w:lineRule="exact"/>
        <w:ind w:left="17" w:right="4" w:firstLine="487"/>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（18）浙江省外企业《省外企业进浙承接业务备案证明》超出有效期</w:t>
      </w:r>
      <w:r>
        <w:rPr>
          <w:rFonts w:ascii="宋体" w:hAnsi="宋体" w:eastAsia="宋体" w:cs="宋体"/>
          <w:color w:val="auto"/>
          <w:spacing w:val="1"/>
          <w:sz w:val="24"/>
          <w:szCs w:val="24"/>
          <w:highlight w:val="none"/>
          <w:lang w:eastAsia="zh-CN"/>
        </w:rPr>
        <w:t>或未能在</w:t>
      </w:r>
      <w:r>
        <w:rPr>
          <w:rFonts w:ascii="宋体" w:hAnsi="宋体" w:eastAsia="宋体" w:cs="宋体"/>
          <w:color w:val="auto"/>
          <w:spacing w:val="2"/>
          <w:sz w:val="24"/>
          <w:szCs w:val="24"/>
          <w:highlight w:val="none"/>
          <w:lang w:eastAsia="zh-CN"/>
        </w:rPr>
        <w:t>“浙江省建筑市场监管公共服务系统”对外</w:t>
      </w:r>
      <w:r>
        <w:rPr>
          <w:rFonts w:ascii="宋体" w:hAnsi="宋体" w:eastAsia="宋体" w:cs="宋体"/>
          <w:color w:val="auto"/>
          <w:spacing w:val="1"/>
          <w:sz w:val="24"/>
          <w:szCs w:val="24"/>
          <w:highlight w:val="none"/>
          <w:lang w:eastAsia="zh-CN"/>
        </w:rPr>
        <w:t>发布形成的备案信息中显示的或已注销</w:t>
      </w:r>
      <w:r>
        <w:rPr>
          <w:rFonts w:ascii="宋体" w:hAnsi="宋体" w:eastAsia="宋体" w:cs="宋体"/>
          <w:color w:val="auto"/>
          <w:spacing w:val="2"/>
          <w:sz w:val="24"/>
          <w:szCs w:val="24"/>
          <w:highlight w:val="none"/>
          <w:lang w:eastAsia="zh-CN"/>
        </w:rPr>
        <w:t>的；</w:t>
      </w:r>
    </w:p>
    <w:p w14:paraId="27F7695C">
      <w:pPr>
        <w:keepNext w:val="0"/>
        <w:keepLines w:val="0"/>
        <w:pageBreakBefore w:val="0"/>
        <w:widowControl/>
        <w:kinsoku w:val="0"/>
        <w:wordWrap/>
        <w:overflowPunct/>
        <w:topLinePunct w:val="0"/>
        <w:autoSpaceDE w:val="0"/>
        <w:autoSpaceDN w:val="0"/>
        <w:bidi w:val="0"/>
        <w:adjustRightInd w:val="0"/>
        <w:snapToGrid w:val="0"/>
        <w:spacing w:before="182" w:line="460" w:lineRule="exact"/>
        <w:ind w:left="13" w:right="7" w:firstLine="491"/>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19</w:t>
      </w:r>
      <w:r>
        <w:rPr>
          <w:rFonts w:ascii="宋体" w:hAnsi="宋体" w:eastAsia="宋体" w:cs="宋体"/>
          <w:color w:val="auto"/>
          <w:spacing w:val="2"/>
          <w:sz w:val="24"/>
          <w:szCs w:val="24"/>
          <w:highlight w:val="none"/>
          <w:lang w:eastAsia="zh-CN"/>
        </w:rPr>
        <w:t>）投标人（包括法定代表人）和项目负责人其一被人民法院</w:t>
      </w:r>
      <w:r>
        <w:rPr>
          <w:rFonts w:ascii="宋体" w:hAnsi="宋体" w:eastAsia="宋体" w:cs="宋体"/>
          <w:color w:val="auto"/>
          <w:spacing w:val="1"/>
          <w:sz w:val="24"/>
          <w:szCs w:val="24"/>
          <w:highlight w:val="none"/>
          <w:lang w:eastAsia="zh-CN"/>
        </w:rPr>
        <w:t>列入限制失信</w:t>
      </w:r>
      <w:r>
        <w:rPr>
          <w:rFonts w:ascii="宋体" w:hAnsi="宋体" w:eastAsia="宋体" w:cs="宋体"/>
          <w:color w:val="auto"/>
          <w:spacing w:val="-2"/>
          <w:sz w:val="24"/>
          <w:szCs w:val="24"/>
          <w:highlight w:val="none"/>
          <w:lang w:eastAsia="zh-CN"/>
        </w:rPr>
        <w:t>被执行人名单。</w:t>
      </w:r>
    </w:p>
    <w:p w14:paraId="65E3ADD5">
      <w:pPr>
        <w:keepNext w:val="0"/>
        <w:keepLines w:val="0"/>
        <w:pageBreakBefore w:val="0"/>
        <w:widowControl/>
        <w:kinsoku w:val="0"/>
        <w:wordWrap/>
        <w:overflowPunct/>
        <w:topLinePunct w:val="0"/>
        <w:autoSpaceDE w:val="0"/>
        <w:autoSpaceDN w:val="0"/>
        <w:bidi w:val="0"/>
        <w:adjustRightInd w:val="0"/>
        <w:snapToGrid w:val="0"/>
        <w:spacing w:before="240" w:line="460" w:lineRule="exact"/>
        <w:ind w:left="512"/>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4"/>
          <w:sz w:val="28"/>
          <w:szCs w:val="28"/>
          <w:highlight w:val="none"/>
          <w:lang w:eastAsia="zh-CN"/>
        </w:rPr>
        <w:t>1.5</w:t>
      </w:r>
      <w:r>
        <w:rPr>
          <w:rFonts w:ascii="宋体" w:hAnsi="宋体" w:eastAsia="宋体" w:cs="宋体"/>
          <w:b/>
          <w:bCs/>
          <w:color w:val="auto"/>
          <w:spacing w:val="-4"/>
          <w:sz w:val="28"/>
          <w:szCs w:val="28"/>
          <w:highlight w:val="none"/>
          <w:lang w:eastAsia="zh-CN"/>
        </w:rPr>
        <w:t>费用承担</w:t>
      </w:r>
    </w:p>
    <w:p w14:paraId="34A121BB">
      <w:pPr>
        <w:keepNext w:val="0"/>
        <w:keepLines w:val="0"/>
        <w:pageBreakBefore w:val="0"/>
        <w:widowControl/>
        <w:kinsoku w:val="0"/>
        <w:wordWrap/>
        <w:overflowPunct/>
        <w:topLinePunct w:val="0"/>
        <w:autoSpaceDE w:val="0"/>
        <w:autoSpaceDN w:val="0"/>
        <w:bidi w:val="0"/>
        <w:adjustRightInd w:val="0"/>
        <w:snapToGrid w:val="0"/>
        <w:spacing w:before="159"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投标人准备和参加投标活动发生的费用自理。</w:t>
      </w:r>
    </w:p>
    <w:p w14:paraId="04AF850C">
      <w:pPr>
        <w:keepNext w:val="0"/>
        <w:keepLines w:val="0"/>
        <w:pageBreakBefore w:val="0"/>
        <w:widowControl/>
        <w:kinsoku w:val="0"/>
        <w:wordWrap/>
        <w:overflowPunct/>
        <w:topLinePunct w:val="0"/>
        <w:autoSpaceDE w:val="0"/>
        <w:autoSpaceDN w:val="0"/>
        <w:bidi w:val="0"/>
        <w:adjustRightInd w:val="0"/>
        <w:snapToGrid w:val="0"/>
        <w:spacing w:before="160" w:line="460" w:lineRule="exact"/>
        <w:ind w:left="512"/>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5"/>
          <w:sz w:val="28"/>
          <w:szCs w:val="28"/>
          <w:highlight w:val="none"/>
          <w:lang w:eastAsia="zh-CN"/>
        </w:rPr>
        <w:t>1.6</w:t>
      </w:r>
      <w:r>
        <w:rPr>
          <w:rFonts w:ascii="宋体" w:hAnsi="宋体" w:eastAsia="宋体" w:cs="宋体"/>
          <w:b/>
          <w:bCs/>
          <w:color w:val="auto"/>
          <w:spacing w:val="-5"/>
          <w:sz w:val="28"/>
          <w:szCs w:val="28"/>
          <w:highlight w:val="none"/>
          <w:lang w:eastAsia="zh-CN"/>
        </w:rPr>
        <w:t>保密</w:t>
      </w:r>
    </w:p>
    <w:p w14:paraId="54F7FC10">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15" w:right="2" w:firstLine="475"/>
        <w:textAlignment w:val="auto"/>
        <w:rPr>
          <w:rFonts w:ascii="宋体" w:hAnsi="宋体" w:eastAsia="宋体" w:cs="宋体"/>
          <w:color w:val="auto"/>
          <w:sz w:val="24"/>
          <w:szCs w:val="24"/>
          <w:highlight w:val="none"/>
          <w:lang w:eastAsia="zh-CN"/>
        </w:rPr>
      </w:pPr>
      <w:r>
        <w:rPr>
          <w:rFonts w:ascii="宋体" w:hAnsi="宋体" w:eastAsia="宋体" w:cs="宋体"/>
          <w:color w:val="auto"/>
          <w:spacing w:val="10"/>
          <w:sz w:val="24"/>
          <w:szCs w:val="24"/>
          <w:highlight w:val="none"/>
          <w:lang w:eastAsia="zh-CN"/>
        </w:rPr>
        <w:t>参与招标投标活动的各方应对招标文件和投标文件中的商业</w:t>
      </w:r>
      <w:r>
        <w:rPr>
          <w:rFonts w:ascii="宋体" w:hAnsi="宋体" w:eastAsia="宋体" w:cs="宋体"/>
          <w:color w:val="auto"/>
          <w:spacing w:val="9"/>
          <w:sz w:val="24"/>
          <w:szCs w:val="24"/>
          <w:highlight w:val="none"/>
          <w:lang w:eastAsia="zh-CN"/>
        </w:rPr>
        <w:t>和技术等秘密保</w:t>
      </w:r>
      <w:r>
        <w:rPr>
          <w:rFonts w:ascii="宋体" w:hAnsi="宋体" w:eastAsia="宋体" w:cs="宋体"/>
          <w:color w:val="auto"/>
          <w:spacing w:val="-2"/>
          <w:sz w:val="24"/>
          <w:szCs w:val="24"/>
          <w:highlight w:val="none"/>
          <w:lang w:eastAsia="zh-CN"/>
        </w:rPr>
        <w:t>密，否则应承担相应的法律责任。</w:t>
      </w:r>
    </w:p>
    <w:p w14:paraId="79EE224F">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512"/>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4"/>
          <w:sz w:val="28"/>
          <w:szCs w:val="28"/>
          <w:highlight w:val="none"/>
          <w:lang w:eastAsia="zh-CN"/>
        </w:rPr>
        <w:t>1.7</w:t>
      </w:r>
      <w:r>
        <w:rPr>
          <w:rFonts w:ascii="宋体" w:hAnsi="宋体" w:eastAsia="宋体" w:cs="宋体"/>
          <w:b/>
          <w:bCs/>
          <w:color w:val="auto"/>
          <w:spacing w:val="-4"/>
          <w:sz w:val="28"/>
          <w:szCs w:val="28"/>
          <w:highlight w:val="none"/>
          <w:lang w:eastAsia="zh-CN"/>
        </w:rPr>
        <w:t>语言文字</w:t>
      </w:r>
    </w:p>
    <w:p w14:paraId="026F91A9">
      <w:pPr>
        <w:keepNext w:val="0"/>
        <w:keepLines w:val="0"/>
        <w:pageBreakBefore w:val="0"/>
        <w:widowControl/>
        <w:kinsoku w:val="0"/>
        <w:wordWrap/>
        <w:overflowPunct/>
        <w:topLinePunct w:val="0"/>
        <w:autoSpaceDE w:val="0"/>
        <w:autoSpaceDN w:val="0"/>
        <w:bidi w:val="0"/>
        <w:adjustRightInd w:val="0"/>
        <w:snapToGrid w:val="0"/>
        <w:spacing w:before="160" w:line="460" w:lineRule="exact"/>
        <w:ind w:left="12" w:firstLine="481"/>
        <w:textAlignment w:val="auto"/>
        <w:rPr>
          <w:rFonts w:ascii="宋体" w:hAnsi="宋体" w:eastAsia="宋体" w:cs="宋体"/>
          <w:color w:val="auto"/>
          <w:sz w:val="24"/>
          <w:szCs w:val="24"/>
          <w:highlight w:val="none"/>
          <w:lang w:eastAsia="zh-CN"/>
        </w:rPr>
      </w:pPr>
      <w:r>
        <w:rPr>
          <w:rFonts w:ascii="宋体" w:hAnsi="宋体" w:eastAsia="宋体" w:cs="宋体"/>
          <w:color w:val="auto"/>
          <w:spacing w:val="10"/>
          <w:sz w:val="24"/>
          <w:szCs w:val="24"/>
          <w:highlight w:val="none"/>
          <w:lang w:eastAsia="zh-CN"/>
        </w:rPr>
        <w:t>招标投标文件使用的语言文字为中文。专用术语使用外文</w:t>
      </w:r>
      <w:r>
        <w:rPr>
          <w:rFonts w:ascii="宋体" w:hAnsi="宋体" w:eastAsia="宋体" w:cs="宋体"/>
          <w:color w:val="auto"/>
          <w:spacing w:val="9"/>
          <w:sz w:val="24"/>
          <w:szCs w:val="24"/>
          <w:highlight w:val="none"/>
          <w:lang w:eastAsia="zh-CN"/>
        </w:rPr>
        <w:t>的，应附有中文注</w:t>
      </w:r>
      <w:r>
        <w:rPr>
          <w:rFonts w:ascii="宋体" w:hAnsi="宋体" w:eastAsia="宋体" w:cs="宋体"/>
          <w:color w:val="auto"/>
          <w:spacing w:val="-5"/>
          <w:sz w:val="24"/>
          <w:szCs w:val="24"/>
          <w:highlight w:val="none"/>
          <w:lang w:eastAsia="zh-CN"/>
        </w:rPr>
        <w:t>释。</w:t>
      </w:r>
    </w:p>
    <w:p w14:paraId="181EDAD8">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512"/>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4"/>
          <w:sz w:val="28"/>
          <w:szCs w:val="28"/>
          <w:highlight w:val="none"/>
          <w:lang w:eastAsia="zh-CN"/>
        </w:rPr>
        <w:t>1.8</w:t>
      </w:r>
      <w:r>
        <w:rPr>
          <w:rFonts w:ascii="宋体" w:hAnsi="宋体" w:eastAsia="宋体" w:cs="宋体"/>
          <w:b/>
          <w:bCs/>
          <w:color w:val="auto"/>
          <w:spacing w:val="-4"/>
          <w:sz w:val="28"/>
          <w:szCs w:val="28"/>
          <w:highlight w:val="none"/>
          <w:lang w:eastAsia="zh-CN"/>
        </w:rPr>
        <w:t>计量单位</w:t>
      </w:r>
    </w:p>
    <w:p w14:paraId="7FB848CF">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493"/>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所有计量均采用中华人民共和国法定计量单位。</w:t>
      </w:r>
    </w:p>
    <w:p w14:paraId="52C0A4B6">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512"/>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4"/>
          <w:sz w:val="28"/>
          <w:szCs w:val="28"/>
          <w:highlight w:val="none"/>
          <w:lang w:eastAsia="zh-CN"/>
        </w:rPr>
        <w:t>1.9</w:t>
      </w:r>
      <w:r>
        <w:rPr>
          <w:rFonts w:ascii="宋体" w:hAnsi="宋体" w:eastAsia="宋体" w:cs="宋体"/>
          <w:b/>
          <w:bCs/>
          <w:color w:val="auto"/>
          <w:spacing w:val="-4"/>
          <w:sz w:val="28"/>
          <w:szCs w:val="28"/>
          <w:highlight w:val="none"/>
          <w:lang w:eastAsia="zh-CN"/>
        </w:rPr>
        <w:t>踏勘现场</w:t>
      </w:r>
    </w:p>
    <w:p w14:paraId="1A2E5304">
      <w:pPr>
        <w:keepNext w:val="0"/>
        <w:keepLines w:val="0"/>
        <w:pageBreakBefore w:val="0"/>
        <w:widowControl/>
        <w:kinsoku w:val="0"/>
        <w:wordWrap/>
        <w:overflowPunct/>
        <w:topLinePunct w:val="0"/>
        <w:autoSpaceDE w:val="0"/>
        <w:autoSpaceDN w:val="0"/>
        <w:bidi w:val="0"/>
        <w:adjustRightInd w:val="0"/>
        <w:snapToGrid w:val="0"/>
        <w:spacing w:before="47" w:line="460" w:lineRule="exact"/>
        <w:ind w:firstLine="482"/>
        <w:textAlignment w:val="auto"/>
        <w:rPr>
          <w:rFonts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1.9.1 投标人须知前附表规定组织踏勘现场的，招标人按投标人须</w:t>
      </w:r>
      <w:r>
        <w:rPr>
          <w:rFonts w:ascii="宋体" w:hAnsi="宋体" w:eastAsia="宋体" w:cs="宋体"/>
          <w:color w:val="auto"/>
          <w:spacing w:val="-5"/>
          <w:sz w:val="24"/>
          <w:szCs w:val="24"/>
          <w:highlight w:val="none"/>
          <w:lang w:eastAsia="zh-CN"/>
        </w:rPr>
        <w:t>知前附表规定</w:t>
      </w:r>
      <w:r>
        <w:rPr>
          <w:rFonts w:ascii="宋体" w:hAnsi="宋体" w:eastAsia="宋体" w:cs="宋体"/>
          <w:color w:val="auto"/>
          <w:spacing w:val="-4"/>
          <w:sz w:val="24"/>
          <w:szCs w:val="24"/>
          <w:highlight w:val="none"/>
          <w:lang w:eastAsia="zh-CN"/>
        </w:rPr>
        <w:t>的时间、地点组织投标人踏勘项目现场。部分投标人未按时参加踏勘现场</w:t>
      </w:r>
      <w:r>
        <w:rPr>
          <w:rFonts w:ascii="宋体" w:hAnsi="宋体" w:eastAsia="宋体" w:cs="宋体"/>
          <w:color w:val="auto"/>
          <w:spacing w:val="-5"/>
          <w:sz w:val="24"/>
          <w:szCs w:val="24"/>
          <w:highlight w:val="none"/>
          <w:lang w:eastAsia="zh-CN"/>
        </w:rPr>
        <w:t>的，不影响</w:t>
      </w:r>
      <w:r>
        <w:rPr>
          <w:rFonts w:ascii="宋体" w:hAnsi="宋体" w:eastAsia="宋体" w:cs="宋体"/>
          <w:color w:val="auto"/>
          <w:spacing w:val="-6"/>
          <w:sz w:val="24"/>
          <w:szCs w:val="24"/>
          <w:highlight w:val="none"/>
          <w:lang w:eastAsia="zh-CN"/>
        </w:rPr>
        <w:t>踏勘现场的正常进行。</w:t>
      </w:r>
    </w:p>
    <w:p w14:paraId="6A58085F">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1.9.2 投标人踏勘现场发生的费用自理。</w:t>
      </w:r>
    </w:p>
    <w:p w14:paraId="3D943025">
      <w:pPr>
        <w:keepNext w:val="0"/>
        <w:keepLines w:val="0"/>
        <w:pageBreakBefore w:val="0"/>
        <w:widowControl/>
        <w:kinsoku w:val="0"/>
        <w:wordWrap/>
        <w:overflowPunct/>
        <w:topLinePunct w:val="0"/>
        <w:autoSpaceDE w:val="0"/>
        <w:autoSpaceDN w:val="0"/>
        <w:bidi w:val="0"/>
        <w:adjustRightInd w:val="0"/>
        <w:snapToGrid w:val="0"/>
        <w:spacing w:before="28" w:line="460" w:lineRule="exact"/>
        <w:ind w:left="2" w:right="7" w:firstLine="496"/>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1.9.3 除招标人的原因外，投标人自行负责在</w:t>
      </w:r>
      <w:r>
        <w:rPr>
          <w:rFonts w:ascii="宋体" w:hAnsi="宋体" w:eastAsia="宋体" w:cs="宋体"/>
          <w:color w:val="auto"/>
          <w:spacing w:val="1"/>
          <w:sz w:val="24"/>
          <w:szCs w:val="24"/>
          <w:highlight w:val="none"/>
          <w:lang w:eastAsia="zh-CN"/>
        </w:rPr>
        <w:t>踏勘现场中所发生的人员伤亡和</w:t>
      </w:r>
      <w:r>
        <w:rPr>
          <w:rFonts w:ascii="宋体" w:hAnsi="宋体" w:eastAsia="宋体" w:cs="宋体"/>
          <w:color w:val="auto"/>
          <w:spacing w:val="-3"/>
          <w:sz w:val="24"/>
          <w:szCs w:val="24"/>
          <w:highlight w:val="none"/>
          <w:lang w:eastAsia="zh-CN"/>
        </w:rPr>
        <w:t>财产损失。</w:t>
      </w:r>
    </w:p>
    <w:p w14:paraId="2A1EBE32">
      <w:pPr>
        <w:keepNext w:val="0"/>
        <w:keepLines w:val="0"/>
        <w:pageBreakBefore w:val="0"/>
        <w:widowControl/>
        <w:kinsoku w:val="0"/>
        <w:wordWrap/>
        <w:overflowPunct/>
        <w:topLinePunct w:val="0"/>
        <w:autoSpaceDE w:val="0"/>
        <w:autoSpaceDN w:val="0"/>
        <w:bidi w:val="0"/>
        <w:adjustRightInd w:val="0"/>
        <w:snapToGrid w:val="0"/>
        <w:spacing w:before="28" w:line="460" w:lineRule="exact"/>
        <w:ind w:left="1" w:right="2" w:firstLine="480"/>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1.9.4 招标人在踏勘现场中介绍的工程场地和相关的周边环境情况，供投标人</w:t>
      </w:r>
      <w:r>
        <w:rPr>
          <w:rFonts w:ascii="宋体" w:hAnsi="宋体" w:eastAsia="宋体" w:cs="宋体"/>
          <w:color w:val="auto"/>
          <w:spacing w:val="-1"/>
          <w:sz w:val="24"/>
          <w:szCs w:val="24"/>
          <w:highlight w:val="none"/>
          <w:lang w:eastAsia="zh-CN"/>
        </w:rPr>
        <w:t>在编制投标文件时参考，招标人不对投标人据此作出的判断和决策</w:t>
      </w:r>
      <w:r>
        <w:rPr>
          <w:rFonts w:ascii="宋体" w:hAnsi="宋体" w:eastAsia="宋体" w:cs="宋体"/>
          <w:color w:val="auto"/>
          <w:spacing w:val="-2"/>
          <w:sz w:val="24"/>
          <w:szCs w:val="24"/>
          <w:highlight w:val="none"/>
          <w:lang w:eastAsia="zh-CN"/>
        </w:rPr>
        <w:t>负责。</w:t>
      </w:r>
    </w:p>
    <w:p w14:paraId="7FB82956">
      <w:pPr>
        <w:keepNext w:val="0"/>
        <w:keepLines w:val="0"/>
        <w:pageBreakBefore w:val="0"/>
        <w:widowControl/>
        <w:kinsoku w:val="0"/>
        <w:wordWrap/>
        <w:overflowPunct/>
        <w:topLinePunct w:val="0"/>
        <w:autoSpaceDE w:val="0"/>
        <w:autoSpaceDN w:val="0"/>
        <w:bidi w:val="0"/>
        <w:adjustRightInd w:val="0"/>
        <w:snapToGrid w:val="0"/>
        <w:spacing w:before="160" w:line="460" w:lineRule="exact"/>
        <w:ind w:left="500"/>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4"/>
          <w:sz w:val="28"/>
          <w:szCs w:val="28"/>
          <w:highlight w:val="none"/>
          <w:lang w:eastAsia="zh-CN"/>
        </w:rPr>
        <w:t>1.10</w:t>
      </w:r>
      <w:r>
        <w:rPr>
          <w:rFonts w:ascii="宋体" w:hAnsi="宋体" w:eastAsia="宋体" w:cs="宋体"/>
          <w:b/>
          <w:bCs/>
          <w:color w:val="auto"/>
          <w:spacing w:val="-4"/>
          <w:sz w:val="28"/>
          <w:szCs w:val="28"/>
          <w:highlight w:val="none"/>
          <w:lang w:eastAsia="zh-CN"/>
        </w:rPr>
        <w:t>投标预备会</w:t>
      </w:r>
    </w:p>
    <w:p w14:paraId="6047BCCE">
      <w:pPr>
        <w:keepNext w:val="0"/>
        <w:keepLines w:val="0"/>
        <w:pageBreakBefore w:val="0"/>
        <w:widowControl/>
        <w:kinsoku w:val="0"/>
        <w:wordWrap/>
        <w:overflowPunct/>
        <w:topLinePunct w:val="0"/>
        <w:autoSpaceDE w:val="0"/>
        <w:autoSpaceDN w:val="0"/>
        <w:bidi w:val="0"/>
        <w:adjustRightInd w:val="0"/>
        <w:snapToGrid w:val="0"/>
        <w:spacing w:before="159" w:line="460" w:lineRule="exact"/>
        <w:ind w:right="7" w:firstLine="498"/>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1.10.1 投标人须知前附表规定召开投标预备会的，招标人按投标</w:t>
      </w:r>
      <w:r>
        <w:rPr>
          <w:rFonts w:ascii="宋体" w:hAnsi="宋体" w:eastAsia="宋体" w:cs="宋体"/>
          <w:color w:val="auto"/>
          <w:spacing w:val="4"/>
          <w:sz w:val="24"/>
          <w:szCs w:val="24"/>
          <w:highlight w:val="none"/>
          <w:lang w:eastAsia="zh-CN"/>
        </w:rPr>
        <w:t>人须知前附</w:t>
      </w:r>
      <w:r>
        <w:rPr>
          <w:rFonts w:ascii="宋体" w:hAnsi="宋体" w:eastAsia="宋体" w:cs="宋体"/>
          <w:color w:val="auto"/>
          <w:spacing w:val="-1"/>
          <w:sz w:val="24"/>
          <w:szCs w:val="24"/>
          <w:highlight w:val="none"/>
          <w:lang w:eastAsia="zh-CN"/>
        </w:rPr>
        <w:t>表规定的时间和地点召开投标预备会，澄清投标人提出的问题。</w:t>
      </w:r>
    </w:p>
    <w:p w14:paraId="40B8CD0E">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500"/>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4"/>
          <w:sz w:val="28"/>
          <w:szCs w:val="28"/>
          <w:highlight w:val="none"/>
          <w:lang w:eastAsia="zh-CN"/>
        </w:rPr>
        <w:t>1.11</w:t>
      </w:r>
      <w:r>
        <w:rPr>
          <w:rFonts w:ascii="宋体" w:hAnsi="宋体" w:eastAsia="宋体" w:cs="宋体"/>
          <w:b/>
          <w:bCs/>
          <w:color w:val="auto"/>
          <w:spacing w:val="-4"/>
          <w:sz w:val="28"/>
          <w:szCs w:val="28"/>
          <w:highlight w:val="none"/>
          <w:lang w:eastAsia="zh-CN"/>
        </w:rPr>
        <w:t>分包</w:t>
      </w:r>
    </w:p>
    <w:p w14:paraId="7AB57E21">
      <w:pPr>
        <w:keepNext w:val="0"/>
        <w:keepLines w:val="0"/>
        <w:pageBreakBefore w:val="0"/>
        <w:widowControl/>
        <w:kinsoku w:val="0"/>
        <w:wordWrap/>
        <w:overflowPunct/>
        <w:topLinePunct w:val="0"/>
        <w:autoSpaceDE w:val="0"/>
        <w:autoSpaceDN w:val="0"/>
        <w:bidi w:val="0"/>
        <w:adjustRightInd w:val="0"/>
        <w:snapToGrid w:val="0"/>
        <w:spacing w:before="159" w:line="460" w:lineRule="exact"/>
        <w:ind w:left="5" w:right="7" w:firstLine="475"/>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投标人拟在中标后将中标项目的非主体、非关键性工作进行分包的，应符合相</w:t>
      </w:r>
      <w:r>
        <w:rPr>
          <w:rFonts w:ascii="宋体" w:hAnsi="宋体" w:eastAsia="宋体" w:cs="宋体"/>
          <w:color w:val="auto"/>
          <w:spacing w:val="-2"/>
          <w:sz w:val="24"/>
          <w:szCs w:val="24"/>
          <w:highlight w:val="none"/>
          <w:lang w:eastAsia="zh-CN"/>
        </w:rPr>
        <w:t>关法律法规规定。</w:t>
      </w:r>
    </w:p>
    <w:p w14:paraId="3A76B5BD">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500"/>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4"/>
          <w:sz w:val="28"/>
          <w:szCs w:val="28"/>
          <w:highlight w:val="none"/>
          <w:lang w:eastAsia="zh-CN"/>
        </w:rPr>
        <w:t>1.12</w:t>
      </w:r>
      <w:r>
        <w:rPr>
          <w:rFonts w:ascii="宋体" w:hAnsi="宋体" w:eastAsia="宋体" w:cs="宋体"/>
          <w:b/>
          <w:bCs/>
          <w:color w:val="auto"/>
          <w:spacing w:val="-4"/>
          <w:sz w:val="28"/>
          <w:szCs w:val="28"/>
          <w:highlight w:val="none"/>
          <w:lang w:eastAsia="zh-CN"/>
        </w:rPr>
        <w:t>偏差</w:t>
      </w:r>
    </w:p>
    <w:p w14:paraId="75D83EFC">
      <w:pPr>
        <w:keepNext w:val="0"/>
        <w:keepLines w:val="0"/>
        <w:pageBreakBefore w:val="0"/>
        <w:widowControl/>
        <w:kinsoku w:val="0"/>
        <w:wordWrap/>
        <w:overflowPunct/>
        <w:topLinePunct w:val="0"/>
        <w:autoSpaceDE w:val="0"/>
        <w:autoSpaceDN w:val="0"/>
        <w:bidi w:val="0"/>
        <w:adjustRightInd w:val="0"/>
        <w:snapToGrid w:val="0"/>
        <w:spacing w:before="160" w:line="460" w:lineRule="exact"/>
        <w:ind w:right="2" w:firstLine="498"/>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1.12.1 投标文件应当对招标文件的实质性要求和条件作出满足性或更有利于招</w:t>
      </w:r>
      <w:r>
        <w:rPr>
          <w:rFonts w:ascii="宋体" w:hAnsi="宋体" w:eastAsia="宋体" w:cs="宋体"/>
          <w:color w:val="auto"/>
          <w:spacing w:val="2"/>
          <w:sz w:val="24"/>
          <w:szCs w:val="24"/>
          <w:highlight w:val="none"/>
          <w:lang w:eastAsia="zh-CN"/>
        </w:rPr>
        <w:t>标人的响应，否则，投标人的投标将被否决。实质性要求和条件见投标人须知前附</w:t>
      </w:r>
      <w:r>
        <w:rPr>
          <w:rFonts w:ascii="宋体" w:hAnsi="宋体" w:eastAsia="宋体" w:cs="宋体"/>
          <w:color w:val="auto"/>
          <w:spacing w:val="-5"/>
          <w:sz w:val="24"/>
          <w:szCs w:val="24"/>
          <w:highlight w:val="none"/>
          <w:lang w:eastAsia="zh-CN"/>
        </w:rPr>
        <w:t>表。</w:t>
      </w:r>
    </w:p>
    <w:p w14:paraId="40B85936">
      <w:pPr>
        <w:keepNext w:val="0"/>
        <w:keepLines w:val="0"/>
        <w:pageBreakBefore w:val="0"/>
        <w:widowControl/>
        <w:kinsoku w:val="0"/>
        <w:wordWrap/>
        <w:overflowPunct/>
        <w:topLinePunct w:val="0"/>
        <w:autoSpaceDE w:val="0"/>
        <w:autoSpaceDN w:val="0"/>
        <w:bidi w:val="0"/>
        <w:adjustRightInd w:val="0"/>
        <w:snapToGrid w:val="0"/>
        <w:spacing w:before="25" w:line="460" w:lineRule="exact"/>
        <w:ind w:left="1" w:right="7" w:firstLine="497"/>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1.12.2 投标人须知前附表允许投标文件偏差招标文件某些要求的</w:t>
      </w:r>
      <w:r>
        <w:rPr>
          <w:rFonts w:ascii="宋体" w:hAnsi="宋体" w:eastAsia="宋体" w:cs="宋体"/>
          <w:color w:val="auto"/>
          <w:spacing w:val="4"/>
          <w:sz w:val="24"/>
          <w:szCs w:val="24"/>
          <w:highlight w:val="none"/>
          <w:lang w:eastAsia="zh-CN"/>
        </w:rPr>
        <w:t>，偏离应当</w:t>
      </w:r>
      <w:r>
        <w:rPr>
          <w:rFonts w:ascii="宋体" w:hAnsi="宋体" w:eastAsia="宋体" w:cs="宋体"/>
          <w:color w:val="auto"/>
          <w:spacing w:val="2"/>
          <w:sz w:val="24"/>
          <w:szCs w:val="24"/>
          <w:highlight w:val="none"/>
          <w:lang w:eastAsia="zh-CN"/>
        </w:rPr>
        <w:t>符合招标文件规定的偏差范围和幅度。投标人应响应评标委员会要求，对存在的细微偏差在评标结束前予以补正。拒不补正的，在详细评审时可以细微偏差作不利于</w:t>
      </w:r>
      <w:r>
        <w:rPr>
          <w:rFonts w:ascii="宋体" w:hAnsi="宋体" w:eastAsia="宋体" w:cs="宋体"/>
          <w:color w:val="auto"/>
          <w:spacing w:val="-2"/>
          <w:sz w:val="24"/>
          <w:szCs w:val="24"/>
          <w:highlight w:val="none"/>
          <w:lang w:eastAsia="zh-CN"/>
        </w:rPr>
        <w:t>该投标人的量化。</w:t>
      </w:r>
    </w:p>
    <w:p w14:paraId="6AF5AB22">
      <w:pPr>
        <w:keepNext w:val="0"/>
        <w:keepLines w:val="0"/>
        <w:pageBreakBefore w:val="0"/>
        <w:widowControl/>
        <w:kinsoku w:val="0"/>
        <w:wordWrap/>
        <w:overflowPunct/>
        <w:topLinePunct w:val="0"/>
        <w:autoSpaceDE w:val="0"/>
        <w:autoSpaceDN w:val="0"/>
        <w:bidi w:val="0"/>
        <w:adjustRightInd w:val="0"/>
        <w:snapToGrid w:val="0"/>
        <w:spacing w:before="144" w:line="460" w:lineRule="exact"/>
        <w:textAlignment w:val="auto"/>
        <w:rPr>
          <w:rFonts w:ascii="宋体" w:hAnsi="宋体" w:eastAsia="宋体" w:cs="宋体"/>
          <w:color w:val="auto"/>
          <w:sz w:val="31"/>
          <w:szCs w:val="31"/>
          <w:highlight w:val="none"/>
          <w:lang w:eastAsia="zh-CN"/>
        </w:rPr>
      </w:pPr>
      <w:r>
        <w:rPr>
          <w:rFonts w:ascii="Times New Roman" w:hAnsi="Times New Roman" w:eastAsia="Times New Roman" w:cs="Times New Roman"/>
          <w:b/>
          <w:bCs/>
          <w:color w:val="auto"/>
          <w:spacing w:val="5"/>
          <w:sz w:val="31"/>
          <w:szCs w:val="31"/>
          <w:highlight w:val="none"/>
          <w:lang w:eastAsia="zh-CN"/>
        </w:rPr>
        <w:t>2.</w:t>
      </w:r>
      <w:r>
        <w:rPr>
          <w:rFonts w:ascii="宋体" w:hAnsi="宋体" w:eastAsia="宋体" w:cs="宋体"/>
          <w:b/>
          <w:bCs/>
          <w:color w:val="auto"/>
          <w:spacing w:val="5"/>
          <w:sz w:val="31"/>
          <w:szCs w:val="31"/>
          <w:highlight w:val="none"/>
          <w:lang w:eastAsia="zh-CN"/>
        </w:rPr>
        <w:t>招标文件</w:t>
      </w:r>
    </w:p>
    <w:p w14:paraId="663776A7">
      <w:pPr>
        <w:keepNext w:val="0"/>
        <w:keepLines w:val="0"/>
        <w:pageBreakBefore w:val="0"/>
        <w:widowControl/>
        <w:kinsoku w:val="0"/>
        <w:wordWrap/>
        <w:overflowPunct/>
        <w:topLinePunct w:val="0"/>
        <w:autoSpaceDE w:val="0"/>
        <w:autoSpaceDN w:val="0"/>
        <w:bidi w:val="0"/>
        <w:adjustRightInd w:val="0"/>
        <w:snapToGrid w:val="0"/>
        <w:spacing w:before="264" w:line="460" w:lineRule="exact"/>
        <w:ind w:left="488"/>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2"/>
          <w:sz w:val="28"/>
          <w:szCs w:val="28"/>
          <w:highlight w:val="none"/>
          <w:lang w:eastAsia="zh-CN"/>
        </w:rPr>
        <w:t>2.1</w:t>
      </w:r>
      <w:r>
        <w:rPr>
          <w:rFonts w:ascii="宋体" w:hAnsi="宋体" w:eastAsia="宋体" w:cs="宋体"/>
          <w:b/>
          <w:bCs/>
          <w:color w:val="auto"/>
          <w:spacing w:val="-2"/>
          <w:sz w:val="28"/>
          <w:szCs w:val="28"/>
          <w:highlight w:val="none"/>
          <w:lang w:eastAsia="zh-CN"/>
        </w:rPr>
        <w:t>招标文件的组成</w:t>
      </w:r>
    </w:p>
    <w:p w14:paraId="7A8970C9">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482"/>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本招标文件包括：</w:t>
      </w:r>
    </w:p>
    <w:p w14:paraId="7A09FAA0">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w:t>
      </w:r>
      <w:r>
        <w:rPr>
          <w:rFonts w:ascii="Times New Roman" w:hAnsi="Times New Roman" w:eastAsia="Times New Roman" w:cs="Times New Roman"/>
          <w:color w:val="auto"/>
          <w:spacing w:val="-9"/>
          <w:sz w:val="24"/>
          <w:szCs w:val="24"/>
          <w:highlight w:val="none"/>
          <w:lang w:eastAsia="zh-CN"/>
        </w:rPr>
        <w:t>1</w:t>
      </w:r>
      <w:r>
        <w:rPr>
          <w:rFonts w:ascii="宋体" w:hAnsi="宋体" w:eastAsia="宋体" w:cs="宋体"/>
          <w:color w:val="auto"/>
          <w:spacing w:val="-9"/>
          <w:sz w:val="24"/>
          <w:szCs w:val="24"/>
          <w:highlight w:val="none"/>
          <w:lang w:eastAsia="zh-CN"/>
        </w:rPr>
        <w:t>）招标公告（或投标邀请书</w:t>
      </w:r>
      <w:r>
        <w:rPr>
          <w:rFonts w:ascii="宋体" w:hAnsi="宋体" w:eastAsia="宋体" w:cs="宋体"/>
          <w:color w:val="auto"/>
          <w:spacing w:val="-5"/>
          <w:sz w:val="24"/>
          <w:szCs w:val="24"/>
          <w:highlight w:val="none"/>
          <w:lang w:eastAsia="zh-CN"/>
        </w:rPr>
        <w:t>）；</w:t>
      </w:r>
    </w:p>
    <w:p w14:paraId="02B24BFA">
      <w:pPr>
        <w:keepNext w:val="0"/>
        <w:keepLines w:val="0"/>
        <w:pageBreakBefore w:val="0"/>
        <w:widowControl/>
        <w:kinsoku w:val="0"/>
        <w:wordWrap/>
        <w:overflowPunct/>
        <w:topLinePunct w:val="0"/>
        <w:autoSpaceDE w:val="0"/>
        <w:autoSpaceDN w:val="0"/>
        <w:bidi w:val="0"/>
        <w:adjustRightInd w:val="0"/>
        <w:snapToGrid w:val="0"/>
        <w:spacing w:before="30" w:line="460" w:lineRule="exact"/>
        <w:ind w:left="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w:t>
      </w:r>
      <w:r>
        <w:rPr>
          <w:rFonts w:ascii="Times New Roman" w:hAnsi="Times New Roman" w:eastAsia="Times New Roman" w:cs="Times New Roman"/>
          <w:color w:val="auto"/>
          <w:spacing w:val="-9"/>
          <w:sz w:val="24"/>
          <w:szCs w:val="24"/>
          <w:highlight w:val="none"/>
          <w:lang w:eastAsia="zh-CN"/>
        </w:rPr>
        <w:t>2</w:t>
      </w:r>
      <w:r>
        <w:rPr>
          <w:rFonts w:ascii="宋体" w:hAnsi="宋体" w:eastAsia="宋体" w:cs="宋体"/>
          <w:color w:val="auto"/>
          <w:spacing w:val="-9"/>
          <w:sz w:val="24"/>
          <w:szCs w:val="24"/>
          <w:highlight w:val="none"/>
          <w:lang w:eastAsia="zh-CN"/>
        </w:rPr>
        <w:t>）投标人须知；</w:t>
      </w:r>
    </w:p>
    <w:p w14:paraId="3D74A540">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w:t>
      </w:r>
      <w:r>
        <w:rPr>
          <w:rFonts w:ascii="Times New Roman" w:hAnsi="Times New Roman" w:eastAsia="Times New Roman" w:cs="Times New Roman"/>
          <w:color w:val="auto"/>
          <w:spacing w:val="-9"/>
          <w:sz w:val="24"/>
          <w:szCs w:val="24"/>
          <w:highlight w:val="none"/>
          <w:lang w:eastAsia="zh-CN"/>
        </w:rPr>
        <w:t>3</w:t>
      </w:r>
      <w:r>
        <w:rPr>
          <w:rFonts w:ascii="宋体" w:hAnsi="宋体" w:eastAsia="宋体" w:cs="宋体"/>
          <w:color w:val="auto"/>
          <w:spacing w:val="-9"/>
          <w:sz w:val="24"/>
          <w:szCs w:val="24"/>
          <w:highlight w:val="none"/>
          <w:lang w:eastAsia="zh-CN"/>
        </w:rPr>
        <w:t>）评标定标办法；</w:t>
      </w:r>
    </w:p>
    <w:p w14:paraId="02D2652D">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w:t>
      </w:r>
      <w:r>
        <w:rPr>
          <w:rFonts w:ascii="Times New Roman" w:hAnsi="Times New Roman" w:eastAsia="Times New Roman" w:cs="Times New Roman"/>
          <w:color w:val="auto"/>
          <w:spacing w:val="-9"/>
          <w:sz w:val="24"/>
          <w:szCs w:val="24"/>
          <w:highlight w:val="none"/>
          <w:lang w:eastAsia="zh-CN"/>
        </w:rPr>
        <w:t>4</w:t>
      </w:r>
      <w:r>
        <w:rPr>
          <w:rFonts w:ascii="宋体" w:hAnsi="宋体" w:eastAsia="宋体" w:cs="宋体"/>
          <w:color w:val="auto"/>
          <w:spacing w:val="-9"/>
          <w:sz w:val="24"/>
          <w:szCs w:val="24"/>
          <w:highlight w:val="none"/>
          <w:lang w:eastAsia="zh-CN"/>
        </w:rPr>
        <w:t>）合同条款及格式；</w:t>
      </w:r>
    </w:p>
    <w:p w14:paraId="64E2BC7A">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w:t>
      </w:r>
      <w:r>
        <w:rPr>
          <w:rFonts w:ascii="Times New Roman" w:hAnsi="Times New Roman" w:eastAsia="Times New Roman" w:cs="Times New Roman"/>
          <w:color w:val="auto"/>
          <w:spacing w:val="-9"/>
          <w:sz w:val="24"/>
          <w:szCs w:val="24"/>
          <w:highlight w:val="none"/>
          <w:lang w:eastAsia="zh-CN"/>
        </w:rPr>
        <w:t>5</w:t>
      </w:r>
      <w:r>
        <w:rPr>
          <w:rFonts w:ascii="宋体" w:hAnsi="宋体" w:eastAsia="宋体" w:cs="宋体"/>
          <w:color w:val="auto"/>
          <w:spacing w:val="-9"/>
          <w:sz w:val="24"/>
          <w:szCs w:val="24"/>
          <w:highlight w:val="none"/>
          <w:lang w:eastAsia="zh-CN"/>
        </w:rPr>
        <w:t>）工程量清单编制；</w:t>
      </w:r>
    </w:p>
    <w:p w14:paraId="37ECEF71">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w:t>
      </w:r>
      <w:r>
        <w:rPr>
          <w:rFonts w:ascii="Times New Roman" w:hAnsi="Times New Roman" w:eastAsia="Times New Roman" w:cs="Times New Roman"/>
          <w:color w:val="auto"/>
          <w:spacing w:val="-9"/>
          <w:sz w:val="24"/>
          <w:szCs w:val="24"/>
          <w:highlight w:val="none"/>
          <w:lang w:eastAsia="zh-CN"/>
        </w:rPr>
        <w:t>6</w:t>
      </w:r>
      <w:r>
        <w:rPr>
          <w:rFonts w:ascii="宋体" w:hAnsi="宋体" w:eastAsia="宋体" w:cs="宋体"/>
          <w:color w:val="auto"/>
          <w:spacing w:val="-9"/>
          <w:sz w:val="24"/>
          <w:szCs w:val="24"/>
          <w:highlight w:val="none"/>
          <w:lang w:eastAsia="zh-CN"/>
        </w:rPr>
        <w:t>）技术标准和要求；</w:t>
      </w:r>
    </w:p>
    <w:p w14:paraId="3870CF44">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w:t>
      </w:r>
      <w:r>
        <w:rPr>
          <w:rFonts w:ascii="Times New Roman" w:hAnsi="Times New Roman" w:eastAsia="Times New Roman" w:cs="Times New Roman"/>
          <w:color w:val="auto"/>
          <w:spacing w:val="-9"/>
          <w:sz w:val="24"/>
          <w:szCs w:val="24"/>
          <w:highlight w:val="none"/>
          <w:lang w:eastAsia="zh-CN"/>
        </w:rPr>
        <w:t>7</w:t>
      </w:r>
      <w:r>
        <w:rPr>
          <w:rFonts w:ascii="宋体" w:hAnsi="宋体" w:eastAsia="宋体" w:cs="宋体"/>
          <w:color w:val="auto"/>
          <w:spacing w:val="-9"/>
          <w:sz w:val="24"/>
          <w:szCs w:val="24"/>
          <w:highlight w:val="none"/>
          <w:lang w:eastAsia="zh-CN"/>
        </w:rPr>
        <w:t>）图纸及其他资料；</w:t>
      </w:r>
    </w:p>
    <w:p w14:paraId="2A3F64E6">
      <w:pPr>
        <w:keepNext w:val="0"/>
        <w:keepLines w:val="0"/>
        <w:pageBreakBefore w:val="0"/>
        <w:widowControl/>
        <w:kinsoku w:val="0"/>
        <w:wordWrap/>
        <w:overflowPunct/>
        <w:topLinePunct w:val="0"/>
        <w:autoSpaceDE w:val="0"/>
        <w:autoSpaceDN w:val="0"/>
        <w:bidi w:val="0"/>
        <w:adjustRightInd w:val="0"/>
        <w:snapToGrid w:val="0"/>
        <w:spacing w:before="26" w:line="460" w:lineRule="exact"/>
        <w:ind w:left="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w:t>
      </w:r>
      <w:r>
        <w:rPr>
          <w:rFonts w:ascii="Times New Roman" w:hAnsi="Times New Roman" w:eastAsia="Times New Roman" w:cs="Times New Roman"/>
          <w:color w:val="auto"/>
          <w:spacing w:val="-9"/>
          <w:sz w:val="24"/>
          <w:szCs w:val="24"/>
          <w:highlight w:val="none"/>
          <w:lang w:eastAsia="zh-CN"/>
        </w:rPr>
        <w:t>8</w:t>
      </w:r>
      <w:r>
        <w:rPr>
          <w:rFonts w:ascii="宋体" w:hAnsi="宋体" w:eastAsia="宋体" w:cs="宋体"/>
          <w:color w:val="auto"/>
          <w:spacing w:val="-9"/>
          <w:sz w:val="24"/>
          <w:szCs w:val="24"/>
          <w:highlight w:val="none"/>
          <w:lang w:eastAsia="zh-CN"/>
        </w:rPr>
        <w:t>）投标文件格式；</w:t>
      </w:r>
    </w:p>
    <w:p w14:paraId="1E52D17D">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w:t>
      </w:r>
      <w:r>
        <w:rPr>
          <w:rFonts w:ascii="Times New Roman" w:hAnsi="Times New Roman" w:eastAsia="Times New Roman" w:cs="Times New Roman"/>
          <w:color w:val="auto"/>
          <w:spacing w:val="-9"/>
          <w:sz w:val="24"/>
          <w:szCs w:val="24"/>
          <w:highlight w:val="none"/>
          <w:lang w:eastAsia="zh-CN"/>
        </w:rPr>
        <w:t>9</w:t>
      </w:r>
      <w:r>
        <w:rPr>
          <w:rFonts w:ascii="宋体" w:hAnsi="宋体" w:eastAsia="宋体" w:cs="宋体"/>
          <w:color w:val="auto"/>
          <w:spacing w:val="-9"/>
          <w:sz w:val="24"/>
          <w:szCs w:val="24"/>
          <w:highlight w:val="none"/>
          <w:lang w:eastAsia="zh-CN"/>
        </w:rPr>
        <w:t>）投标人须知前附表规定的其他材料。</w:t>
      </w:r>
    </w:p>
    <w:p w14:paraId="014ED603">
      <w:pPr>
        <w:keepNext w:val="0"/>
        <w:keepLines w:val="0"/>
        <w:pageBreakBefore w:val="0"/>
        <w:widowControl/>
        <w:kinsoku w:val="0"/>
        <w:wordWrap/>
        <w:overflowPunct/>
        <w:topLinePunct w:val="0"/>
        <w:autoSpaceDE w:val="0"/>
        <w:autoSpaceDN w:val="0"/>
        <w:bidi w:val="0"/>
        <w:adjustRightInd w:val="0"/>
        <w:snapToGrid w:val="0"/>
        <w:spacing w:before="29" w:line="460" w:lineRule="exact"/>
        <w:ind w:left="3" w:right="6" w:firstLine="478"/>
        <w:textAlignment w:val="auto"/>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根据本章第</w:t>
      </w:r>
      <w:r>
        <w:rPr>
          <w:rFonts w:ascii="Times New Roman" w:hAnsi="Times New Roman" w:eastAsia="Times New Roman" w:cs="Times New Roman"/>
          <w:color w:val="auto"/>
          <w:sz w:val="24"/>
          <w:szCs w:val="24"/>
          <w:highlight w:val="none"/>
          <w:lang w:eastAsia="zh-CN"/>
        </w:rPr>
        <w:t>1.10</w:t>
      </w:r>
      <w:r>
        <w:rPr>
          <w:rFonts w:ascii="宋体" w:hAnsi="宋体" w:eastAsia="宋体" w:cs="宋体"/>
          <w:color w:val="auto"/>
          <w:sz w:val="24"/>
          <w:szCs w:val="24"/>
          <w:highlight w:val="none"/>
          <w:lang w:eastAsia="zh-CN"/>
        </w:rPr>
        <w:t>款、第</w:t>
      </w:r>
      <w:r>
        <w:rPr>
          <w:rFonts w:ascii="Times New Roman" w:hAnsi="Times New Roman" w:eastAsia="Times New Roman" w:cs="Times New Roman"/>
          <w:color w:val="auto"/>
          <w:sz w:val="24"/>
          <w:szCs w:val="24"/>
          <w:highlight w:val="none"/>
          <w:lang w:eastAsia="zh-CN"/>
        </w:rPr>
        <w:t>2.2</w:t>
      </w:r>
      <w:r>
        <w:rPr>
          <w:rFonts w:ascii="宋体" w:hAnsi="宋体" w:eastAsia="宋体" w:cs="宋体"/>
          <w:color w:val="auto"/>
          <w:sz w:val="24"/>
          <w:szCs w:val="24"/>
          <w:highlight w:val="none"/>
          <w:lang w:eastAsia="zh-CN"/>
        </w:rPr>
        <w:t>款和第</w:t>
      </w:r>
      <w:r>
        <w:rPr>
          <w:rFonts w:ascii="Times New Roman" w:hAnsi="Times New Roman" w:eastAsia="Times New Roman" w:cs="Times New Roman"/>
          <w:color w:val="auto"/>
          <w:sz w:val="24"/>
          <w:szCs w:val="24"/>
          <w:highlight w:val="none"/>
          <w:lang w:eastAsia="zh-CN"/>
        </w:rPr>
        <w:t>2.3</w:t>
      </w:r>
      <w:r>
        <w:rPr>
          <w:rFonts w:ascii="宋体" w:hAnsi="宋体" w:eastAsia="宋体" w:cs="宋体"/>
          <w:color w:val="auto"/>
          <w:sz w:val="24"/>
          <w:szCs w:val="24"/>
          <w:highlight w:val="none"/>
          <w:lang w:eastAsia="zh-CN"/>
        </w:rPr>
        <w:t>款对招标文件所作的</w:t>
      </w:r>
      <w:r>
        <w:rPr>
          <w:rFonts w:ascii="宋体" w:hAnsi="宋体" w:eastAsia="宋体" w:cs="宋体"/>
          <w:color w:val="auto"/>
          <w:spacing w:val="-1"/>
          <w:sz w:val="24"/>
          <w:szCs w:val="24"/>
          <w:highlight w:val="none"/>
          <w:lang w:eastAsia="zh-CN"/>
        </w:rPr>
        <w:t>澄清、修改，构成招标</w:t>
      </w:r>
      <w:r>
        <w:rPr>
          <w:rFonts w:ascii="宋体" w:hAnsi="宋体" w:eastAsia="宋体" w:cs="宋体"/>
          <w:color w:val="auto"/>
          <w:spacing w:val="-2"/>
          <w:sz w:val="24"/>
          <w:szCs w:val="24"/>
          <w:highlight w:val="none"/>
          <w:lang w:eastAsia="zh-CN"/>
        </w:rPr>
        <w:t>文件的组成部分。</w:t>
      </w:r>
    </w:p>
    <w:p w14:paraId="4197831E">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488"/>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2"/>
          <w:sz w:val="28"/>
          <w:szCs w:val="28"/>
          <w:highlight w:val="none"/>
          <w:lang w:eastAsia="zh-CN"/>
        </w:rPr>
        <w:t>2.2</w:t>
      </w:r>
      <w:r>
        <w:rPr>
          <w:rFonts w:ascii="宋体" w:hAnsi="宋体" w:eastAsia="宋体" w:cs="宋体"/>
          <w:b/>
          <w:bCs/>
          <w:color w:val="auto"/>
          <w:spacing w:val="-2"/>
          <w:sz w:val="28"/>
          <w:szCs w:val="28"/>
          <w:highlight w:val="none"/>
          <w:lang w:eastAsia="zh-CN"/>
        </w:rPr>
        <w:t>招标文件的澄清</w:t>
      </w:r>
    </w:p>
    <w:p w14:paraId="0E722460">
      <w:pPr>
        <w:keepNext w:val="0"/>
        <w:keepLines w:val="0"/>
        <w:pageBreakBefore w:val="0"/>
        <w:widowControl/>
        <w:kinsoku w:val="0"/>
        <w:wordWrap/>
        <w:overflowPunct/>
        <w:topLinePunct w:val="0"/>
        <w:autoSpaceDE w:val="0"/>
        <w:autoSpaceDN w:val="0"/>
        <w:bidi w:val="0"/>
        <w:adjustRightInd w:val="0"/>
        <w:snapToGrid w:val="0"/>
        <w:spacing w:before="159" w:line="460" w:lineRule="exact"/>
        <w:ind w:right="6"/>
        <w:jc w:val="right"/>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2.2.1 投标人应仔细阅读和检查招标文件的全部内容。</w:t>
      </w:r>
      <w:r>
        <w:rPr>
          <w:rFonts w:ascii="宋体" w:hAnsi="宋体" w:eastAsia="宋体" w:cs="宋体"/>
          <w:color w:val="auto"/>
          <w:spacing w:val="8"/>
          <w:sz w:val="24"/>
          <w:szCs w:val="24"/>
          <w:highlight w:val="none"/>
          <w:lang w:eastAsia="zh-CN"/>
        </w:rPr>
        <w:t>如发现缺页或附件不</w:t>
      </w:r>
    </w:p>
    <w:p w14:paraId="797419E4">
      <w:pPr>
        <w:keepNext w:val="0"/>
        <w:keepLines w:val="0"/>
        <w:pageBreakBefore w:val="0"/>
        <w:widowControl/>
        <w:kinsoku w:val="0"/>
        <w:wordWrap/>
        <w:overflowPunct/>
        <w:topLinePunct w:val="0"/>
        <w:autoSpaceDE w:val="0"/>
        <w:autoSpaceDN w:val="0"/>
        <w:bidi w:val="0"/>
        <w:adjustRightInd w:val="0"/>
        <w:snapToGrid w:val="0"/>
        <w:spacing w:before="50" w:line="460" w:lineRule="exact"/>
        <w:ind w:left="4" w:right="115"/>
        <w:jc w:val="both"/>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全，应及时向招标人提出，以便补齐。如有疑问，应按投标人须知前附表规定的要求提疑，要求招标人对招标文件予以澄清。招标文件的澄清将按前附表规定的时间和方式发布，但不指明澄清问题的来源。当招标文件的澄清内容与招标文件相互矛</w:t>
      </w:r>
      <w:r>
        <w:rPr>
          <w:rFonts w:ascii="宋体" w:hAnsi="宋体" w:eastAsia="宋体" w:cs="宋体"/>
          <w:color w:val="auto"/>
          <w:spacing w:val="-1"/>
          <w:sz w:val="24"/>
          <w:szCs w:val="24"/>
          <w:highlight w:val="none"/>
          <w:lang w:eastAsia="zh-CN"/>
        </w:rPr>
        <w:t>盾时，以最后发出的补充文件为准。</w:t>
      </w:r>
    </w:p>
    <w:p w14:paraId="1F9CAFFD">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91"/>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2"/>
          <w:sz w:val="28"/>
          <w:szCs w:val="28"/>
          <w:highlight w:val="none"/>
          <w:lang w:eastAsia="zh-CN"/>
        </w:rPr>
        <w:t>2.3</w:t>
      </w:r>
      <w:r>
        <w:rPr>
          <w:rFonts w:ascii="宋体" w:hAnsi="宋体" w:eastAsia="宋体" w:cs="宋体"/>
          <w:b/>
          <w:bCs/>
          <w:color w:val="auto"/>
          <w:spacing w:val="-2"/>
          <w:sz w:val="28"/>
          <w:szCs w:val="28"/>
          <w:highlight w:val="none"/>
          <w:lang w:eastAsia="zh-CN"/>
        </w:rPr>
        <w:t>招标文件的修改</w:t>
      </w:r>
    </w:p>
    <w:p w14:paraId="02FB0AE2">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3" w:right="110" w:firstLine="471"/>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2.3.1 招标人以投标人须知前附表规定的形式修改招标文件，并通知所有潜在投标人。修改的内容可能影响投标文件编制的，招标人将在投标截止时间至少</w:t>
      </w:r>
      <w:r>
        <w:rPr>
          <w:rFonts w:ascii="Times New Roman" w:hAnsi="Times New Roman" w:eastAsia="Times New Roman" w:cs="Times New Roman"/>
          <w:color w:val="auto"/>
          <w:spacing w:val="2"/>
          <w:sz w:val="24"/>
          <w:szCs w:val="24"/>
          <w:highlight w:val="none"/>
          <w:lang w:eastAsia="zh-CN"/>
        </w:rPr>
        <w:t>15</w:t>
      </w:r>
      <w:r>
        <w:rPr>
          <w:rFonts w:ascii="宋体" w:hAnsi="宋体" w:eastAsia="宋体" w:cs="宋体"/>
          <w:color w:val="auto"/>
          <w:spacing w:val="2"/>
          <w:sz w:val="24"/>
          <w:szCs w:val="24"/>
          <w:highlight w:val="none"/>
          <w:lang w:eastAsia="zh-CN"/>
        </w:rPr>
        <w:t>日</w:t>
      </w:r>
      <w:r>
        <w:rPr>
          <w:rFonts w:ascii="宋体" w:hAnsi="宋体" w:eastAsia="宋体" w:cs="宋体"/>
          <w:color w:val="auto"/>
          <w:sz w:val="24"/>
          <w:szCs w:val="24"/>
          <w:highlight w:val="none"/>
          <w:lang w:eastAsia="zh-CN"/>
        </w:rPr>
        <w:t>前发布修改文件；不足</w:t>
      </w:r>
      <w:r>
        <w:rPr>
          <w:rFonts w:ascii="Times New Roman" w:hAnsi="Times New Roman" w:eastAsia="Times New Roman" w:cs="Times New Roman"/>
          <w:color w:val="auto"/>
          <w:sz w:val="24"/>
          <w:szCs w:val="24"/>
          <w:highlight w:val="none"/>
          <w:lang w:eastAsia="zh-CN"/>
        </w:rPr>
        <w:t>15</w:t>
      </w:r>
      <w:r>
        <w:rPr>
          <w:rFonts w:ascii="宋体" w:hAnsi="宋体" w:eastAsia="宋体" w:cs="宋体"/>
          <w:color w:val="auto"/>
          <w:sz w:val="24"/>
          <w:szCs w:val="24"/>
          <w:highlight w:val="none"/>
          <w:lang w:eastAsia="zh-CN"/>
        </w:rPr>
        <w:t>日的，招标人应当顺延提交</w:t>
      </w:r>
      <w:r>
        <w:rPr>
          <w:rFonts w:ascii="宋体" w:hAnsi="宋体" w:eastAsia="宋体" w:cs="宋体"/>
          <w:color w:val="auto"/>
          <w:spacing w:val="-1"/>
          <w:sz w:val="24"/>
          <w:szCs w:val="24"/>
          <w:highlight w:val="none"/>
          <w:lang w:eastAsia="zh-CN"/>
        </w:rPr>
        <w:t>投标文件的截止时间。</w:t>
      </w:r>
    </w:p>
    <w:p w14:paraId="59927DED">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 w:right="108" w:firstLine="482"/>
        <w:textAlignment w:val="auto"/>
        <w:rPr>
          <w:rFonts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2.3.2 当招标文件的修改内容与招标文件相互矛盾时，以最后发出</w:t>
      </w:r>
      <w:r>
        <w:rPr>
          <w:rFonts w:ascii="宋体" w:hAnsi="宋体" w:eastAsia="宋体" w:cs="宋体"/>
          <w:color w:val="auto"/>
          <w:spacing w:val="-5"/>
          <w:sz w:val="24"/>
          <w:szCs w:val="24"/>
          <w:highlight w:val="none"/>
          <w:lang w:eastAsia="zh-CN"/>
        </w:rPr>
        <w:t>的补充文件为准。</w:t>
      </w:r>
    </w:p>
    <w:p w14:paraId="25779606">
      <w:pPr>
        <w:keepNext w:val="0"/>
        <w:keepLines w:val="0"/>
        <w:pageBreakBefore w:val="0"/>
        <w:widowControl/>
        <w:kinsoku w:val="0"/>
        <w:wordWrap/>
        <w:overflowPunct/>
        <w:topLinePunct w:val="0"/>
        <w:autoSpaceDE w:val="0"/>
        <w:autoSpaceDN w:val="0"/>
        <w:bidi w:val="0"/>
        <w:adjustRightInd w:val="0"/>
        <w:snapToGrid w:val="0"/>
        <w:spacing w:before="143" w:line="460" w:lineRule="exact"/>
        <w:textAlignment w:val="auto"/>
        <w:rPr>
          <w:rFonts w:ascii="宋体" w:hAnsi="宋体" w:eastAsia="宋体" w:cs="宋体"/>
          <w:color w:val="auto"/>
          <w:sz w:val="31"/>
          <w:szCs w:val="31"/>
          <w:highlight w:val="none"/>
          <w:lang w:eastAsia="zh-CN"/>
        </w:rPr>
      </w:pPr>
      <w:r>
        <w:rPr>
          <w:rFonts w:ascii="Times New Roman" w:hAnsi="Times New Roman" w:eastAsia="Times New Roman" w:cs="Times New Roman"/>
          <w:b/>
          <w:bCs/>
          <w:color w:val="auto"/>
          <w:spacing w:val="5"/>
          <w:sz w:val="31"/>
          <w:szCs w:val="31"/>
          <w:highlight w:val="none"/>
          <w:lang w:eastAsia="zh-CN"/>
        </w:rPr>
        <w:t>3.</w:t>
      </w:r>
      <w:r>
        <w:rPr>
          <w:rFonts w:ascii="宋体" w:hAnsi="宋体" w:eastAsia="宋体" w:cs="宋体"/>
          <w:b/>
          <w:bCs/>
          <w:color w:val="auto"/>
          <w:spacing w:val="5"/>
          <w:sz w:val="31"/>
          <w:szCs w:val="31"/>
          <w:highlight w:val="none"/>
          <w:lang w:eastAsia="zh-CN"/>
        </w:rPr>
        <w:t>投标文件</w:t>
      </w:r>
    </w:p>
    <w:p w14:paraId="19C85034">
      <w:pPr>
        <w:keepNext w:val="0"/>
        <w:keepLines w:val="0"/>
        <w:pageBreakBefore w:val="0"/>
        <w:widowControl/>
        <w:kinsoku w:val="0"/>
        <w:wordWrap/>
        <w:overflowPunct/>
        <w:topLinePunct w:val="0"/>
        <w:autoSpaceDE w:val="0"/>
        <w:autoSpaceDN w:val="0"/>
        <w:bidi w:val="0"/>
        <w:adjustRightInd w:val="0"/>
        <w:snapToGrid w:val="0"/>
        <w:spacing w:before="264" w:line="460" w:lineRule="exact"/>
        <w:ind w:left="488"/>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2"/>
          <w:sz w:val="28"/>
          <w:szCs w:val="28"/>
          <w:highlight w:val="none"/>
          <w:lang w:eastAsia="zh-CN"/>
        </w:rPr>
        <w:t>3.1</w:t>
      </w:r>
      <w:r>
        <w:rPr>
          <w:rFonts w:ascii="宋体" w:hAnsi="宋体" w:eastAsia="宋体" w:cs="宋体"/>
          <w:b/>
          <w:bCs/>
          <w:color w:val="auto"/>
          <w:spacing w:val="-2"/>
          <w:sz w:val="28"/>
          <w:szCs w:val="28"/>
          <w:highlight w:val="none"/>
          <w:lang w:eastAsia="zh-CN"/>
        </w:rPr>
        <w:t>投标文件的组成</w:t>
      </w:r>
    </w:p>
    <w:p w14:paraId="2AD8B798">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5" w:right="115" w:firstLine="480"/>
        <w:jc w:val="both"/>
        <w:textAlignment w:val="auto"/>
        <w:rPr>
          <w:rFonts w:ascii="宋体" w:hAnsi="宋体" w:eastAsia="宋体" w:cs="宋体"/>
          <w:color w:val="auto"/>
          <w:sz w:val="24"/>
          <w:szCs w:val="24"/>
          <w:highlight w:val="none"/>
          <w:lang w:eastAsia="zh-CN"/>
        </w:rPr>
      </w:pPr>
      <w:r>
        <w:rPr>
          <w:rFonts w:ascii="宋体" w:hAnsi="宋体" w:eastAsia="宋体" w:cs="宋体"/>
          <w:color w:val="auto"/>
          <w:spacing w:val="10"/>
          <w:sz w:val="24"/>
          <w:szCs w:val="24"/>
          <w:highlight w:val="none"/>
          <w:lang w:eastAsia="zh-CN"/>
        </w:rPr>
        <w:t>技术标打分制的综合评估法、技术标通过制的</w:t>
      </w:r>
      <w:r>
        <w:rPr>
          <w:rFonts w:ascii="宋体" w:hAnsi="宋体" w:eastAsia="宋体" w:cs="宋体"/>
          <w:color w:val="auto"/>
          <w:spacing w:val="9"/>
          <w:sz w:val="24"/>
          <w:szCs w:val="24"/>
          <w:highlight w:val="none"/>
          <w:lang w:eastAsia="zh-CN"/>
        </w:rPr>
        <w:t>综合评估法的投标文件由商务标、技术标、资信标、资格标组成，资信商务评估法的投标文件由商务标、资信</w:t>
      </w:r>
      <w:r>
        <w:rPr>
          <w:rFonts w:ascii="宋体" w:hAnsi="宋体" w:eastAsia="宋体" w:cs="宋体"/>
          <w:color w:val="auto"/>
          <w:spacing w:val="-1"/>
          <w:sz w:val="24"/>
          <w:szCs w:val="24"/>
          <w:highlight w:val="none"/>
          <w:lang w:eastAsia="zh-CN"/>
        </w:rPr>
        <w:t>标、资格标组成，详见投标人须知前附表</w:t>
      </w:r>
      <w:r>
        <w:rPr>
          <w:rFonts w:ascii="Times New Roman" w:hAnsi="Times New Roman" w:eastAsia="Times New Roman" w:cs="Times New Roman"/>
          <w:color w:val="auto"/>
          <w:spacing w:val="-1"/>
          <w:sz w:val="24"/>
          <w:szCs w:val="24"/>
          <w:highlight w:val="none"/>
          <w:lang w:eastAsia="zh-CN"/>
        </w:rPr>
        <w:t>3.1</w:t>
      </w:r>
      <w:r>
        <w:rPr>
          <w:rFonts w:ascii="宋体" w:hAnsi="宋体" w:eastAsia="宋体" w:cs="宋体"/>
          <w:color w:val="auto"/>
          <w:spacing w:val="-1"/>
          <w:sz w:val="24"/>
          <w:szCs w:val="24"/>
          <w:highlight w:val="none"/>
          <w:lang w:eastAsia="zh-CN"/>
        </w:rPr>
        <w:t>。</w:t>
      </w:r>
    </w:p>
    <w:p w14:paraId="02F726E1">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488"/>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2"/>
          <w:sz w:val="28"/>
          <w:szCs w:val="28"/>
          <w:highlight w:val="none"/>
          <w:lang w:eastAsia="zh-CN"/>
        </w:rPr>
        <w:t>3.2</w:t>
      </w:r>
      <w:r>
        <w:rPr>
          <w:rFonts w:ascii="宋体" w:hAnsi="宋体" w:eastAsia="宋体" w:cs="宋体"/>
          <w:b/>
          <w:bCs/>
          <w:color w:val="auto"/>
          <w:spacing w:val="-2"/>
          <w:sz w:val="28"/>
          <w:szCs w:val="28"/>
          <w:highlight w:val="none"/>
          <w:lang w:eastAsia="zh-CN"/>
        </w:rPr>
        <w:t>投标报价</w:t>
      </w:r>
    </w:p>
    <w:p w14:paraId="5D79651D">
      <w:pPr>
        <w:keepNext w:val="0"/>
        <w:keepLines w:val="0"/>
        <w:pageBreakBefore w:val="0"/>
        <w:widowControl/>
        <w:kinsoku w:val="0"/>
        <w:wordWrap/>
        <w:overflowPunct/>
        <w:topLinePunct w:val="0"/>
        <w:autoSpaceDE w:val="0"/>
        <w:autoSpaceDN w:val="0"/>
        <w:bidi w:val="0"/>
        <w:adjustRightInd w:val="0"/>
        <w:snapToGrid w:val="0"/>
        <w:spacing w:before="160" w:line="460" w:lineRule="exact"/>
        <w:ind w:left="48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3.2.1 投标人应按照第八章“投标文件格式”的要求填写投标报价。</w:t>
      </w:r>
    </w:p>
    <w:p w14:paraId="73B90398">
      <w:pPr>
        <w:keepNext w:val="0"/>
        <w:keepLines w:val="0"/>
        <w:pageBreakBefore w:val="0"/>
        <w:widowControl/>
        <w:kinsoku w:val="0"/>
        <w:wordWrap/>
        <w:overflowPunct/>
        <w:topLinePunct w:val="0"/>
        <w:autoSpaceDE w:val="0"/>
        <w:autoSpaceDN w:val="0"/>
        <w:bidi w:val="0"/>
        <w:adjustRightInd w:val="0"/>
        <w:snapToGrid w:val="0"/>
        <w:spacing w:before="28" w:line="460" w:lineRule="exact"/>
        <w:ind w:left="5" w:right="115" w:firstLine="483"/>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3.2.2 投标人在投标截止时间前修改投标函中的投标报价总额，应同时修改投</w:t>
      </w:r>
      <w:r>
        <w:rPr>
          <w:rFonts w:ascii="宋体" w:hAnsi="宋体" w:eastAsia="宋体" w:cs="宋体"/>
          <w:color w:val="auto"/>
          <w:spacing w:val="1"/>
          <w:sz w:val="24"/>
          <w:szCs w:val="24"/>
          <w:highlight w:val="none"/>
          <w:lang w:eastAsia="zh-CN"/>
        </w:rPr>
        <w:t>标文件“投标报价”中的相应报价，投标报价总额为各分项金额之和。此修改须符</w:t>
      </w:r>
      <w:r>
        <w:rPr>
          <w:rFonts w:ascii="宋体" w:hAnsi="宋体" w:eastAsia="宋体" w:cs="宋体"/>
          <w:color w:val="auto"/>
          <w:spacing w:val="-1"/>
          <w:sz w:val="24"/>
          <w:szCs w:val="24"/>
          <w:highlight w:val="none"/>
          <w:lang w:eastAsia="zh-CN"/>
        </w:rPr>
        <w:t>合本章第</w:t>
      </w:r>
      <w:r>
        <w:rPr>
          <w:rFonts w:ascii="Times New Roman" w:hAnsi="Times New Roman" w:eastAsia="Times New Roman" w:cs="Times New Roman"/>
          <w:color w:val="auto"/>
          <w:spacing w:val="-1"/>
          <w:sz w:val="24"/>
          <w:szCs w:val="24"/>
          <w:highlight w:val="none"/>
          <w:lang w:eastAsia="zh-CN"/>
        </w:rPr>
        <w:t>4.3</w:t>
      </w:r>
      <w:r>
        <w:rPr>
          <w:rFonts w:ascii="宋体" w:hAnsi="宋体" w:eastAsia="宋体" w:cs="宋体"/>
          <w:color w:val="auto"/>
          <w:spacing w:val="-1"/>
          <w:sz w:val="24"/>
          <w:szCs w:val="24"/>
          <w:highlight w:val="none"/>
          <w:lang w:eastAsia="zh-CN"/>
        </w:rPr>
        <w:t>款的有关要求。</w:t>
      </w:r>
    </w:p>
    <w:p w14:paraId="43CEA61F">
      <w:pPr>
        <w:keepNext w:val="0"/>
        <w:keepLines w:val="0"/>
        <w:pageBreakBefore w:val="0"/>
        <w:widowControl/>
        <w:kinsoku w:val="0"/>
        <w:wordWrap/>
        <w:overflowPunct/>
        <w:topLinePunct w:val="0"/>
        <w:autoSpaceDE w:val="0"/>
        <w:autoSpaceDN w:val="0"/>
        <w:bidi w:val="0"/>
        <w:adjustRightInd w:val="0"/>
        <w:snapToGrid w:val="0"/>
        <w:spacing w:before="31" w:line="460" w:lineRule="exact"/>
        <w:ind w:left="3" w:firstLine="485"/>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3.2.3 工程量清单计价方式：见投标人须知前附表，投标人应按第五章“工程</w:t>
      </w:r>
      <w:r>
        <w:rPr>
          <w:rFonts w:ascii="宋体" w:hAnsi="宋体" w:eastAsia="宋体" w:cs="宋体"/>
          <w:color w:val="auto"/>
          <w:spacing w:val="3"/>
          <w:sz w:val="24"/>
          <w:szCs w:val="24"/>
          <w:highlight w:val="none"/>
          <w:lang w:eastAsia="zh-CN"/>
        </w:rPr>
        <w:t>量清单编制”的要求填写相应表格，具体表式按招标文件第八章“投标文件格式”</w:t>
      </w:r>
      <w:r>
        <w:rPr>
          <w:rFonts w:ascii="宋体" w:hAnsi="宋体" w:eastAsia="宋体" w:cs="宋体"/>
          <w:color w:val="auto"/>
          <w:spacing w:val="-2"/>
          <w:sz w:val="24"/>
          <w:szCs w:val="24"/>
          <w:highlight w:val="none"/>
          <w:lang w:eastAsia="zh-CN"/>
        </w:rPr>
        <w:t>提供并报价。</w:t>
      </w:r>
    </w:p>
    <w:p w14:paraId="0963032E">
      <w:pPr>
        <w:keepNext w:val="0"/>
        <w:keepLines w:val="0"/>
        <w:pageBreakBefore w:val="0"/>
        <w:widowControl/>
        <w:kinsoku w:val="0"/>
        <w:wordWrap/>
        <w:overflowPunct/>
        <w:topLinePunct w:val="0"/>
        <w:autoSpaceDE w:val="0"/>
        <w:autoSpaceDN w:val="0"/>
        <w:bidi w:val="0"/>
        <w:adjustRightInd w:val="0"/>
        <w:snapToGrid w:val="0"/>
        <w:spacing w:before="28" w:line="460" w:lineRule="exact"/>
        <w:ind w:left="5" w:right="115" w:firstLine="483"/>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3.2.4 招标人设有最高投标限价的，投标人的投标</w:t>
      </w:r>
      <w:r>
        <w:rPr>
          <w:rFonts w:ascii="宋体" w:hAnsi="宋体" w:eastAsia="宋体" w:cs="宋体"/>
          <w:color w:val="auto"/>
          <w:spacing w:val="8"/>
          <w:sz w:val="24"/>
          <w:szCs w:val="24"/>
          <w:highlight w:val="none"/>
          <w:lang w:eastAsia="zh-CN"/>
        </w:rPr>
        <w:t>报价不得超过最高投标限</w:t>
      </w:r>
      <w:r>
        <w:rPr>
          <w:rFonts w:ascii="宋体" w:hAnsi="宋体" w:eastAsia="宋体" w:cs="宋体"/>
          <w:color w:val="auto"/>
          <w:spacing w:val="-1"/>
          <w:sz w:val="24"/>
          <w:szCs w:val="24"/>
          <w:highlight w:val="none"/>
          <w:lang w:eastAsia="zh-CN"/>
        </w:rPr>
        <w:t>价，最高投标限价或其计算方法在投标人须知前附表中载明。</w:t>
      </w:r>
    </w:p>
    <w:p w14:paraId="3FF1F792">
      <w:pPr>
        <w:keepNext w:val="0"/>
        <w:keepLines w:val="0"/>
        <w:pageBreakBefore w:val="0"/>
        <w:widowControl/>
        <w:kinsoku w:val="0"/>
        <w:wordWrap/>
        <w:overflowPunct/>
        <w:topLinePunct w:val="0"/>
        <w:autoSpaceDE w:val="0"/>
        <w:autoSpaceDN w:val="0"/>
        <w:bidi w:val="0"/>
        <w:adjustRightInd w:val="0"/>
        <w:snapToGrid w:val="0"/>
        <w:spacing w:before="30" w:line="460" w:lineRule="exact"/>
        <w:ind w:left="489"/>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3.2.5 投标报价的其他要求见投标人须知前附表。</w:t>
      </w:r>
    </w:p>
    <w:p w14:paraId="3A9DCEDD">
      <w:pPr>
        <w:keepNext w:val="0"/>
        <w:keepLines w:val="0"/>
        <w:pageBreakBefore w:val="0"/>
        <w:widowControl/>
        <w:kinsoku w:val="0"/>
        <w:wordWrap/>
        <w:overflowPunct/>
        <w:topLinePunct w:val="0"/>
        <w:autoSpaceDE w:val="0"/>
        <w:autoSpaceDN w:val="0"/>
        <w:bidi w:val="0"/>
        <w:adjustRightInd w:val="0"/>
        <w:snapToGrid w:val="0"/>
        <w:spacing w:before="163" w:line="460" w:lineRule="exact"/>
        <w:ind w:left="488"/>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2"/>
          <w:sz w:val="28"/>
          <w:szCs w:val="28"/>
          <w:highlight w:val="none"/>
          <w:lang w:eastAsia="zh-CN"/>
        </w:rPr>
        <w:t>3.3</w:t>
      </w:r>
      <w:r>
        <w:rPr>
          <w:rFonts w:ascii="宋体" w:hAnsi="宋体" w:eastAsia="宋体" w:cs="宋体"/>
          <w:b/>
          <w:bCs/>
          <w:color w:val="auto"/>
          <w:spacing w:val="-2"/>
          <w:sz w:val="28"/>
          <w:szCs w:val="28"/>
          <w:highlight w:val="none"/>
          <w:lang w:eastAsia="zh-CN"/>
        </w:rPr>
        <w:t>投标有效期</w:t>
      </w:r>
    </w:p>
    <w:p w14:paraId="067DD238">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3" w:right="115" w:firstLine="485"/>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3.3.1 在投标人须知前附表规定的投标有效期内，投标人不得要求撤销或修改</w:t>
      </w:r>
      <w:r>
        <w:rPr>
          <w:rFonts w:ascii="宋体" w:hAnsi="宋体" w:eastAsia="宋体" w:cs="宋体"/>
          <w:color w:val="auto"/>
          <w:spacing w:val="-2"/>
          <w:sz w:val="24"/>
          <w:szCs w:val="24"/>
          <w:highlight w:val="none"/>
          <w:lang w:eastAsia="zh-CN"/>
        </w:rPr>
        <w:t>其投标文件。</w:t>
      </w:r>
    </w:p>
    <w:p w14:paraId="502000AD">
      <w:pPr>
        <w:keepNext w:val="0"/>
        <w:keepLines w:val="0"/>
        <w:pageBreakBefore w:val="0"/>
        <w:widowControl/>
        <w:kinsoku w:val="0"/>
        <w:wordWrap/>
        <w:overflowPunct/>
        <w:topLinePunct w:val="0"/>
        <w:autoSpaceDE w:val="0"/>
        <w:autoSpaceDN w:val="0"/>
        <w:bidi w:val="0"/>
        <w:adjustRightInd w:val="0"/>
        <w:snapToGrid w:val="0"/>
        <w:spacing w:before="29" w:line="460" w:lineRule="exact"/>
        <w:ind w:left="23" w:right="115" w:firstLine="465"/>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3.3.2 在投标有效期内，投标人撤销投标文件的，应承担招标文件和法律规定</w:t>
      </w:r>
      <w:r>
        <w:rPr>
          <w:rFonts w:ascii="宋体" w:hAnsi="宋体" w:eastAsia="宋体" w:cs="宋体"/>
          <w:color w:val="auto"/>
          <w:spacing w:val="-8"/>
          <w:sz w:val="24"/>
          <w:szCs w:val="24"/>
          <w:highlight w:val="none"/>
          <w:lang w:eastAsia="zh-CN"/>
        </w:rPr>
        <w:t>的责任。</w:t>
      </w:r>
    </w:p>
    <w:p w14:paraId="27A4CDB9">
      <w:pPr>
        <w:keepNext w:val="0"/>
        <w:keepLines w:val="0"/>
        <w:pageBreakBefore w:val="0"/>
        <w:widowControl/>
        <w:kinsoku w:val="0"/>
        <w:wordWrap/>
        <w:overflowPunct/>
        <w:topLinePunct w:val="0"/>
        <w:autoSpaceDE w:val="0"/>
        <w:autoSpaceDN w:val="0"/>
        <w:bidi w:val="0"/>
        <w:adjustRightInd w:val="0"/>
        <w:snapToGrid w:val="0"/>
        <w:spacing w:before="26" w:line="460" w:lineRule="exact"/>
        <w:ind w:left="3" w:right="115" w:firstLine="485"/>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3.3.3出现特殊情况需要延长投标有效期的，招标人以书面形式（或电子交易</w:t>
      </w:r>
      <w:r>
        <w:rPr>
          <w:rFonts w:ascii="宋体" w:hAnsi="宋体" w:eastAsia="宋体" w:cs="宋体"/>
          <w:color w:val="auto"/>
          <w:spacing w:val="2"/>
          <w:sz w:val="24"/>
          <w:szCs w:val="24"/>
          <w:highlight w:val="none"/>
          <w:lang w:eastAsia="zh-CN"/>
        </w:rPr>
        <w:t>平台）通知所有投标人延长投标有效期。投标人应予以书面答复，同意延长的，应相应延长其投标保证金的有效期，但不得要求或被允许修改其投标文件；投标人拒</w:t>
      </w:r>
      <w:r>
        <w:rPr>
          <w:rFonts w:ascii="宋体" w:hAnsi="宋体" w:eastAsia="宋体" w:cs="宋体"/>
          <w:color w:val="auto"/>
          <w:spacing w:val="-1"/>
          <w:sz w:val="24"/>
          <w:szCs w:val="24"/>
          <w:highlight w:val="none"/>
          <w:lang w:eastAsia="zh-CN"/>
        </w:rPr>
        <w:t>绝延长的，其投标失效，但投标人有权收回其投标保证金。</w:t>
      </w:r>
    </w:p>
    <w:p w14:paraId="1874B91A">
      <w:pPr>
        <w:keepNext w:val="0"/>
        <w:keepLines w:val="0"/>
        <w:pageBreakBefore w:val="0"/>
        <w:widowControl/>
        <w:kinsoku w:val="0"/>
        <w:wordWrap/>
        <w:overflowPunct/>
        <w:topLinePunct w:val="0"/>
        <w:autoSpaceDE w:val="0"/>
        <w:autoSpaceDN w:val="0"/>
        <w:bidi w:val="0"/>
        <w:adjustRightInd w:val="0"/>
        <w:snapToGrid w:val="0"/>
        <w:spacing w:before="160" w:line="460" w:lineRule="exact"/>
        <w:ind w:left="488"/>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2"/>
          <w:sz w:val="28"/>
          <w:szCs w:val="28"/>
          <w:highlight w:val="none"/>
          <w:lang w:eastAsia="zh-CN"/>
        </w:rPr>
        <w:t>3.4</w:t>
      </w:r>
      <w:r>
        <w:rPr>
          <w:rFonts w:ascii="宋体" w:hAnsi="宋体" w:eastAsia="宋体" w:cs="宋体"/>
          <w:b/>
          <w:bCs/>
          <w:color w:val="auto"/>
          <w:spacing w:val="-2"/>
          <w:sz w:val="28"/>
          <w:szCs w:val="28"/>
          <w:highlight w:val="none"/>
          <w:lang w:eastAsia="zh-CN"/>
        </w:rPr>
        <w:t>投标保证金</w:t>
      </w:r>
    </w:p>
    <w:p w14:paraId="21DCD9E3">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5" w:right="108" w:firstLine="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3.4.1 投标人在递交投标文件的同时，应按投标人须知前附表规定的金额、形式</w:t>
      </w:r>
      <w:r>
        <w:rPr>
          <w:rFonts w:ascii="宋体" w:hAnsi="宋体" w:eastAsia="宋体" w:cs="宋体"/>
          <w:color w:val="auto"/>
          <w:spacing w:val="2"/>
          <w:sz w:val="24"/>
          <w:szCs w:val="24"/>
          <w:highlight w:val="none"/>
          <w:lang w:eastAsia="zh-CN"/>
        </w:rPr>
        <w:t>递交投标保证金，并作为其投标文件的组成部分。联合体投标的由联合体牵头人递</w:t>
      </w:r>
    </w:p>
    <w:p w14:paraId="72FDAD54">
      <w:pPr>
        <w:keepNext w:val="0"/>
        <w:keepLines w:val="0"/>
        <w:pageBreakBefore w:val="0"/>
        <w:widowControl/>
        <w:kinsoku w:val="0"/>
        <w:wordWrap/>
        <w:overflowPunct/>
        <w:topLinePunct w:val="0"/>
        <w:autoSpaceDE w:val="0"/>
        <w:autoSpaceDN w:val="0"/>
        <w:bidi w:val="0"/>
        <w:adjustRightInd w:val="0"/>
        <w:snapToGrid w:val="0"/>
        <w:spacing w:before="47" w:line="460" w:lineRule="exact"/>
        <w:ind w:left="4"/>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交投标保证金，并应符合投标人须知前附表的规定。</w:t>
      </w:r>
    </w:p>
    <w:p w14:paraId="422F0B63">
      <w:pPr>
        <w:keepNext w:val="0"/>
        <w:keepLines w:val="0"/>
        <w:pageBreakBefore w:val="0"/>
        <w:widowControl/>
        <w:kinsoku w:val="0"/>
        <w:wordWrap/>
        <w:overflowPunct/>
        <w:topLinePunct w:val="0"/>
        <w:autoSpaceDE w:val="0"/>
        <w:autoSpaceDN w:val="0"/>
        <w:bidi w:val="0"/>
        <w:adjustRightInd w:val="0"/>
        <w:snapToGrid w:val="0"/>
        <w:spacing w:before="27" w:line="460" w:lineRule="exact"/>
        <w:ind w:left="2" w:firstLine="483"/>
        <w:textAlignment w:val="auto"/>
        <w:rPr>
          <w:rFonts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3.4.2 投标人不按本章第</w:t>
      </w:r>
      <w:r>
        <w:rPr>
          <w:rFonts w:ascii="Times New Roman" w:hAnsi="Times New Roman" w:eastAsia="Times New Roman" w:cs="Times New Roman"/>
          <w:color w:val="auto"/>
          <w:spacing w:val="-4"/>
          <w:sz w:val="24"/>
          <w:szCs w:val="24"/>
          <w:highlight w:val="none"/>
          <w:lang w:eastAsia="zh-CN"/>
        </w:rPr>
        <w:t>3.4.1</w:t>
      </w:r>
      <w:r>
        <w:rPr>
          <w:rFonts w:ascii="宋体" w:hAnsi="宋体" w:eastAsia="宋体" w:cs="宋体"/>
          <w:color w:val="auto"/>
          <w:spacing w:val="-4"/>
          <w:sz w:val="24"/>
          <w:szCs w:val="24"/>
          <w:highlight w:val="none"/>
          <w:lang w:eastAsia="zh-CN"/>
        </w:rPr>
        <w:t>项要求递交投标保证金的，评标委员会将否决其投</w:t>
      </w:r>
      <w:r>
        <w:rPr>
          <w:rFonts w:ascii="宋体" w:hAnsi="宋体" w:eastAsia="宋体" w:cs="宋体"/>
          <w:color w:val="auto"/>
          <w:spacing w:val="-6"/>
          <w:sz w:val="24"/>
          <w:szCs w:val="24"/>
          <w:highlight w:val="none"/>
          <w:lang w:eastAsia="zh-CN"/>
        </w:rPr>
        <w:t>标。</w:t>
      </w:r>
    </w:p>
    <w:p w14:paraId="79275632">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3.4.3 投标保证金的退还：</w:t>
      </w:r>
    </w:p>
    <w:p w14:paraId="0C5B4C16">
      <w:pPr>
        <w:keepNext w:val="0"/>
        <w:keepLines w:val="0"/>
        <w:pageBreakBefore w:val="0"/>
        <w:widowControl/>
        <w:kinsoku w:val="0"/>
        <w:wordWrap/>
        <w:overflowPunct/>
        <w:topLinePunct w:val="0"/>
        <w:autoSpaceDE w:val="0"/>
        <w:autoSpaceDN w:val="0"/>
        <w:bidi w:val="0"/>
        <w:adjustRightInd w:val="0"/>
        <w:snapToGrid w:val="0"/>
        <w:spacing w:before="26" w:line="460" w:lineRule="exact"/>
        <w:ind w:left="486"/>
        <w:textAlignment w:val="auto"/>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"3.4.3.1" </w:instrText>
      </w:r>
      <w:r>
        <w:rPr>
          <w:color w:val="auto"/>
          <w:highlight w:val="none"/>
        </w:rPr>
        <w:fldChar w:fldCharType="separate"/>
      </w:r>
      <w:r>
        <w:rPr>
          <w:rFonts w:ascii="宋体" w:hAnsi="宋体" w:eastAsia="宋体" w:cs="宋体"/>
          <w:color w:val="auto"/>
          <w:spacing w:val="-1"/>
          <w:sz w:val="24"/>
          <w:szCs w:val="24"/>
          <w:highlight w:val="none"/>
          <w:lang w:eastAsia="zh-CN"/>
        </w:rPr>
        <w:t>3.4.3.1</w:t>
      </w:r>
      <w:r>
        <w:rPr>
          <w:rFonts w:ascii="宋体" w:hAnsi="宋体" w:eastAsia="宋体" w:cs="宋体"/>
          <w:color w:val="auto"/>
          <w:spacing w:val="-1"/>
          <w:sz w:val="24"/>
          <w:szCs w:val="24"/>
          <w:highlight w:val="none"/>
          <w:lang w:eastAsia="zh-CN"/>
        </w:rPr>
        <w:fldChar w:fldCharType="end"/>
      </w:r>
      <w:r>
        <w:rPr>
          <w:rFonts w:ascii="宋体" w:hAnsi="宋体" w:eastAsia="宋体" w:cs="宋体"/>
          <w:color w:val="auto"/>
          <w:spacing w:val="-1"/>
          <w:sz w:val="24"/>
          <w:szCs w:val="24"/>
          <w:highlight w:val="none"/>
          <w:lang w:eastAsia="zh-CN"/>
        </w:rPr>
        <w:t xml:space="preserve"> 未中标单位的在中标通知书发出后退还。</w:t>
      </w:r>
    </w:p>
    <w:p w14:paraId="5DBC96AF">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86"/>
        <w:textAlignment w:val="auto"/>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"3.4.3.2" </w:instrText>
      </w:r>
      <w:r>
        <w:rPr>
          <w:color w:val="auto"/>
          <w:highlight w:val="none"/>
        </w:rPr>
        <w:fldChar w:fldCharType="separate"/>
      </w:r>
      <w:r>
        <w:rPr>
          <w:rFonts w:ascii="宋体" w:hAnsi="宋体" w:eastAsia="宋体" w:cs="宋体"/>
          <w:color w:val="auto"/>
          <w:spacing w:val="-2"/>
          <w:sz w:val="24"/>
          <w:szCs w:val="24"/>
          <w:highlight w:val="none"/>
          <w:lang w:eastAsia="zh-CN"/>
        </w:rPr>
        <w:t>3.4.3.2</w:t>
      </w:r>
      <w:r>
        <w:rPr>
          <w:rFonts w:ascii="宋体" w:hAnsi="宋体" w:eastAsia="宋体" w:cs="宋体"/>
          <w:color w:val="auto"/>
          <w:spacing w:val="-2"/>
          <w:sz w:val="24"/>
          <w:szCs w:val="24"/>
          <w:highlight w:val="none"/>
          <w:lang w:eastAsia="zh-CN"/>
        </w:rPr>
        <w:fldChar w:fldCharType="end"/>
      </w:r>
      <w:r>
        <w:rPr>
          <w:rFonts w:ascii="宋体" w:hAnsi="宋体" w:eastAsia="宋体" w:cs="宋体"/>
          <w:color w:val="auto"/>
          <w:spacing w:val="-2"/>
          <w:sz w:val="24"/>
          <w:szCs w:val="24"/>
          <w:highlight w:val="none"/>
          <w:lang w:eastAsia="zh-CN"/>
        </w:rPr>
        <w:t xml:space="preserve"> 中标单位的在合同签订后退还。</w:t>
      </w:r>
    </w:p>
    <w:p w14:paraId="30F10FD4">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3.4.4 有下列情形之一的，投标保证金将不予退还：</w:t>
      </w:r>
    </w:p>
    <w:p w14:paraId="06C2340D">
      <w:pPr>
        <w:keepNext w:val="0"/>
        <w:keepLines w:val="0"/>
        <w:pageBreakBefore w:val="0"/>
        <w:widowControl/>
        <w:kinsoku w:val="0"/>
        <w:wordWrap/>
        <w:overflowPunct/>
        <w:topLinePunct w:val="0"/>
        <w:autoSpaceDE w:val="0"/>
        <w:autoSpaceDN w:val="0"/>
        <w:bidi w:val="0"/>
        <w:adjustRightInd w:val="0"/>
        <w:snapToGrid w:val="0"/>
        <w:spacing w:before="28" w:line="460" w:lineRule="exact"/>
        <w:ind w:left="2" w:right="7" w:firstLine="485"/>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w:t>
      </w:r>
      <w:r>
        <w:rPr>
          <w:rFonts w:ascii="Times New Roman" w:hAnsi="Times New Roman" w:eastAsia="Times New Roman" w:cs="Times New Roman"/>
          <w:color w:val="auto"/>
          <w:spacing w:val="-1"/>
          <w:sz w:val="24"/>
          <w:szCs w:val="24"/>
          <w:highlight w:val="none"/>
          <w:lang w:eastAsia="zh-CN"/>
        </w:rPr>
        <w:t>1</w:t>
      </w:r>
      <w:r>
        <w:rPr>
          <w:rFonts w:ascii="宋体" w:hAnsi="宋体" w:eastAsia="宋体" w:cs="宋体"/>
          <w:color w:val="auto"/>
          <w:spacing w:val="-1"/>
          <w:sz w:val="24"/>
          <w:szCs w:val="24"/>
          <w:highlight w:val="none"/>
          <w:lang w:eastAsia="zh-CN"/>
        </w:rPr>
        <w:t>）在提交投标文件截止时间后到招标文件规定的投</w:t>
      </w:r>
      <w:r>
        <w:rPr>
          <w:rFonts w:ascii="宋体" w:hAnsi="宋体" w:eastAsia="宋体" w:cs="宋体"/>
          <w:color w:val="auto"/>
          <w:spacing w:val="-2"/>
          <w:sz w:val="24"/>
          <w:szCs w:val="24"/>
          <w:highlight w:val="none"/>
          <w:lang w:eastAsia="zh-CN"/>
        </w:rPr>
        <w:t>标有效期终止之前，投标人撤销其投标文件的；</w:t>
      </w:r>
    </w:p>
    <w:p w14:paraId="77298A08">
      <w:pPr>
        <w:keepNext w:val="0"/>
        <w:keepLines w:val="0"/>
        <w:pageBreakBefore w:val="0"/>
        <w:widowControl/>
        <w:kinsoku w:val="0"/>
        <w:wordWrap/>
        <w:overflowPunct/>
        <w:topLinePunct w:val="0"/>
        <w:autoSpaceDE w:val="0"/>
        <w:autoSpaceDN w:val="0"/>
        <w:bidi w:val="0"/>
        <w:adjustRightInd w:val="0"/>
        <w:snapToGrid w:val="0"/>
        <w:spacing w:before="28" w:line="460" w:lineRule="exact"/>
        <w:ind w:left="24" w:right="7" w:firstLine="463"/>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w:t>
      </w:r>
      <w:r>
        <w:rPr>
          <w:rFonts w:ascii="Times New Roman" w:hAnsi="Times New Roman" w:eastAsia="Times New Roman" w:cs="Times New Roman"/>
          <w:color w:val="auto"/>
          <w:spacing w:val="-1"/>
          <w:sz w:val="24"/>
          <w:szCs w:val="24"/>
          <w:highlight w:val="none"/>
          <w:lang w:eastAsia="zh-CN"/>
        </w:rPr>
        <w:t>2</w:t>
      </w:r>
      <w:r>
        <w:rPr>
          <w:rFonts w:ascii="宋体" w:hAnsi="宋体" w:eastAsia="宋体" w:cs="宋体"/>
          <w:color w:val="auto"/>
          <w:spacing w:val="-1"/>
          <w:sz w:val="24"/>
          <w:szCs w:val="24"/>
          <w:highlight w:val="none"/>
          <w:lang w:eastAsia="zh-CN"/>
        </w:rPr>
        <w:t>）中标人在收到中标通知书后，无正当理由不与招</w:t>
      </w:r>
      <w:r>
        <w:rPr>
          <w:rFonts w:ascii="宋体" w:hAnsi="宋体" w:eastAsia="宋体" w:cs="宋体"/>
          <w:color w:val="auto"/>
          <w:spacing w:val="-2"/>
          <w:sz w:val="24"/>
          <w:szCs w:val="24"/>
          <w:highlight w:val="none"/>
          <w:lang w:eastAsia="zh-CN"/>
        </w:rPr>
        <w:t>标人订立合同，在签订合</w:t>
      </w:r>
      <w:r>
        <w:rPr>
          <w:rFonts w:ascii="宋体" w:hAnsi="宋体" w:eastAsia="宋体" w:cs="宋体"/>
          <w:color w:val="auto"/>
          <w:spacing w:val="-1"/>
          <w:sz w:val="24"/>
          <w:szCs w:val="24"/>
          <w:highlight w:val="none"/>
          <w:lang w:eastAsia="zh-CN"/>
        </w:rPr>
        <w:t>同时向招标人提出附加条件，或者不按照招标文件要</w:t>
      </w:r>
      <w:r>
        <w:rPr>
          <w:rFonts w:ascii="宋体" w:hAnsi="宋体" w:eastAsia="宋体" w:cs="宋体"/>
          <w:color w:val="auto"/>
          <w:spacing w:val="-2"/>
          <w:sz w:val="24"/>
          <w:szCs w:val="24"/>
          <w:highlight w:val="none"/>
          <w:lang w:eastAsia="zh-CN"/>
        </w:rPr>
        <w:t>求提交履约担保；</w:t>
      </w:r>
    </w:p>
    <w:p w14:paraId="303C028B">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w:t>
      </w:r>
      <w:r>
        <w:rPr>
          <w:rFonts w:ascii="Times New Roman" w:hAnsi="Times New Roman" w:eastAsia="Times New Roman" w:cs="Times New Roman"/>
          <w:color w:val="auto"/>
          <w:spacing w:val="-2"/>
          <w:sz w:val="24"/>
          <w:szCs w:val="24"/>
          <w:highlight w:val="none"/>
          <w:lang w:eastAsia="zh-CN"/>
        </w:rPr>
        <w:t>3</w:t>
      </w:r>
      <w:r>
        <w:rPr>
          <w:rFonts w:ascii="宋体" w:hAnsi="宋体" w:eastAsia="宋体" w:cs="宋体"/>
          <w:color w:val="auto"/>
          <w:spacing w:val="-2"/>
          <w:sz w:val="24"/>
          <w:szCs w:val="24"/>
          <w:highlight w:val="none"/>
          <w:lang w:eastAsia="zh-CN"/>
        </w:rPr>
        <w:t>）投标人须知前附表规定的其他情形。</w:t>
      </w:r>
    </w:p>
    <w:p w14:paraId="438AAD6A">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86"/>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2"/>
          <w:sz w:val="28"/>
          <w:szCs w:val="28"/>
          <w:highlight w:val="none"/>
          <w:lang w:eastAsia="zh-CN"/>
        </w:rPr>
        <w:t>3.6</w:t>
      </w:r>
      <w:r>
        <w:rPr>
          <w:rFonts w:ascii="宋体" w:hAnsi="宋体" w:eastAsia="宋体" w:cs="宋体"/>
          <w:b/>
          <w:bCs/>
          <w:color w:val="auto"/>
          <w:spacing w:val="-2"/>
          <w:sz w:val="28"/>
          <w:szCs w:val="28"/>
          <w:highlight w:val="none"/>
          <w:lang w:eastAsia="zh-CN"/>
        </w:rPr>
        <w:t>备选投标方案</w:t>
      </w:r>
    </w:p>
    <w:p w14:paraId="010A96FF">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3.6.1投标人不得递交备选投标方案，否则其投标将被否决。</w:t>
      </w:r>
    </w:p>
    <w:p w14:paraId="3DA793C3">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486"/>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2"/>
          <w:sz w:val="28"/>
          <w:szCs w:val="28"/>
          <w:highlight w:val="none"/>
          <w:lang w:eastAsia="zh-CN"/>
        </w:rPr>
        <w:t>3.7</w:t>
      </w:r>
      <w:r>
        <w:rPr>
          <w:rFonts w:ascii="宋体" w:hAnsi="宋体" w:eastAsia="宋体" w:cs="宋体"/>
          <w:b/>
          <w:bCs/>
          <w:color w:val="auto"/>
          <w:spacing w:val="-2"/>
          <w:sz w:val="28"/>
          <w:szCs w:val="28"/>
          <w:highlight w:val="none"/>
          <w:lang w:eastAsia="zh-CN"/>
        </w:rPr>
        <w:t>投标文件的编制</w:t>
      </w:r>
    </w:p>
    <w:p w14:paraId="401DD757">
      <w:pPr>
        <w:keepNext w:val="0"/>
        <w:keepLines w:val="0"/>
        <w:pageBreakBefore w:val="0"/>
        <w:widowControl/>
        <w:kinsoku w:val="0"/>
        <w:wordWrap/>
        <w:overflowPunct/>
        <w:topLinePunct w:val="0"/>
        <w:autoSpaceDE w:val="0"/>
        <w:autoSpaceDN w:val="0"/>
        <w:bidi w:val="0"/>
        <w:adjustRightInd w:val="0"/>
        <w:snapToGrid w:val="0"/>
        <w:spacing w:before="157" w:line="460" w:lineRule="exact"/>
        <w:ind w:right="9" w:firstLine="485"/>
        <w:textAlignment w:val="auto"/>
        <w:rPr>
          <w:rFonts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3.7.1投标文件应按第八章“投标文件格式”进行编写，如有必要，可以增加</w:t>
      </w:r>
      <w:r>
        <w:rPr>
          <w:rFonts w:ascii="宋体" w:hAnsi="宋体" w:eastAsia="宋体" w:cs="宋体"/>
          <w:color w:val="auto"/>
          <w:spacing w:val="2"/>
          <w:sz w:val="24"/>
          <w:szCs w:val="24"/>
          <w:highlight w:val="none"/>
          <w:lang w:eastAsia="zh-CN"/>
        </w:rPr>
        <w:t>附页，作为投标文件的组成部分。其中，投标函附录在满足招标文件实质性要求的基础上，可以提出比招标文件要求更有利于招标人的承诺。投标文件应尽量避免涂</w:t>
      </w:r>
      <w:r>
        <w:rPr>
          <w:rFonts w:ascii="宋体" w:hAnsi="宋体" w:eastAsia="宋体" w:cs="宋体"/>
          <w:color w:val="auto"/>
          <w:spacing w:val="-1"/>
          <w:sz w:val="24"/>
          <w:szCs w:val="24"/>
          <w:highlight w:val="none"/>
          <w:lang w:eastAsia="zh-CN"/>
        </w:rPr>
        <w:t>改、行间插字或删除。</w:t>
      </w:r>
    </w:p>
    <w:p w14:paraId="08425D6C">
      <w:pPr>
        <w:keepNext w:val="0"/>
        <w:keepLines w:val="0"/>
        <w:pageBreakBefore w:val="0"/>
        <w:widowControl/>
        <w:kinsoku w:val="0"/>
        <w:wordWrap/>
        <w:overflowPunct/>
        <w:topLinePunct w:val="0"/>
        <w:autoSpaceDE w:val="0"/>
        <w:autoSpaceDN w:val="0"/>
        <w:bidi w:val="0"/>
        <w:adjustRightInd w:val="0"/>
        <w:snapToGrid w:val="0"/>
        <w:spacing w:before="28" w:line="460" w:lineRule="exact"/>
        <w:ind w:left="1" w:right="9" w:firstLine="484"/>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3.7.2投标文件应当对招标文件有关工期、投标有效期、质量要求、技术标准</w:t>
      </w:r>
      <w:r>
        <w:rPr>
          <w:rFonts w:ascii="宋体" w:hAnsi="宋体" w:eastAsia="宋体" w:cs="宋体"/>
          <w:color w:val="auto"/>
          <w:spacing w:val="-1"/>
          <w:sz w:val="24"/>
          <w:szCs w:val="24"/>
          <w:highlight w:val="none"/>
          <w:lang w:eastAsia="zh-CN"/>
        </w:rPr>
        <w:t>和要求、招标范围等实质性内容作出响应。</w:t>
      </w:r>
    </w:p>
    <w:p w14:paraId="42874EB4">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3.7.3电子投标的要求</w:t>
      </w:r>
    </w:p>
    <w:p w14:paraId="4F3C403D">
      <w:pPr>
        <w:keepNext w:val="0"/>
        <w:keepLines w:val="0"/>
        <w:pageBreakBefore w:val="0"/>
        <w:widowControl/>
        <w:kinsoku w:val="0"/>
        <w:wordWrap/>
        <w:overflowPunct/>
        <w:topLinePunct w:val="0"/>
        <w:autoSpaceDE w:val="0"/>
        <w:autoSpaceDN w:val="0"/>
        <w:bidi w:val="0"/>
        <w:adjustRightInd w:val="0"/>
        <w:snapToGrid w:val="0"/>
        <w:spacing w:before="26"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（1）电子投标文件签字或盖章的具体要求见投标人须知前附表。</w:t>
      </w:r>
    </w:p>
    <w:p w14:paraId="1AE4985C">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（2）电子投标文件制作要求见投标人须知前附表。</w:t>
      </w:r>
    </w:p>
    <w:p w14:paraId="146EB37A">
      <w:pPr>
        <w:keepNext w:val="0"/>
        <w:keepLines w:val="0"/>
        <w:pageBreakBefore w:val="0"/>
        <w:widowControl/>
        <w:kinsoku w:val="0"/>
        <w:wordWrap/>
        <w:overflowPunct/>
        <w:topLinePunct w:val="0"/>
        <w:autoSpaceDE w:val="0"/>
        <w:autoSpaceDN w:val="0"/>
        <w:bidi w:val="0"/>
        <w:adjustRightInd w:val="0"/>
        <w:snapToGrid w:val="0"/>
        <w:spacing w:before="28" w:line="460" w:lineRule="exact"/>
        <w:ind w:left="7" w:right="4" w:firstLine="485"/>
        <w:textAlignment w:val="auto"/>
        <w:rPr>
          <w:rFonts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（3）电子投标文件所附证书证件及业绩证明文件要求见投标人须</w:t>
      </w:r>
      <w:r>
        <w:rPr>
          <w:rFonts w:ascii="宋体" w:hAnsi="宋体" w:eastAsia="宋体" w:cs="宋体"/>
          <w:color w:val="auto"/>
          <w:spacing w:val="3"/>
          <w:sz w:val="24"/>
          <w:szCs w:val="24"/>
          <w:highlight w:val="none"/>
          <w:lang w:eastAsia="zh-CN"/>
        </w:rPr>
        <w:t>知前附表规</w:t>
      </w:r>
      <w:r>
        <w:rPr>
          <w:rFonts w:ascii="宋体" w:hAnsi="宋体" w:eastAsia="宋体" w:cs="宋体"/>
          <w:color w:val="auto"/>
          <w:spacing w:val="-8"/>
          <w:sz w:val="24"/>
          <w:szCs w:val="24"/>
          <w:highlight w:val="none"/>
          <w:lang w:eastAsia="zh-CN"/>
        </w:rPr>
        <w:t>定。</w:t>
      </w:r>
    </w:p>
    <w:p w14:paraId="037474EC">
      <w:pPr>
        <w:keepNext w:val="0"/>
        <w:keepLines w:val="0"/>
        <w:pageBreakBefore w:val="0"/>
        <w:widowControl/>
        <w:kinsoku w:val="0"/>
        <w:wordWrap/>
        <w:overflowPunct/>
        <w:topLinePunct w:val="0"/>
        <w:autoSpaceDE w:val="0"/>
        <w:autoSpaceDN w:val="0"/>
        <w:bidi w:val="0"/>
        <w:adjustRightInd w:val="0"/>
        <w:snapToGrid w:val="0"/>
        <w:spacing w:before="26" w:line="460" w:lineRule="exact"/>
        <w:ind w:left="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3.7.4投标文件格式</w:t>
      </w:r>
    </w:p>
    <w:p w14:paraId="0CA5EB79">
      <w:pPr>
        <w:keepNext w:val="0"/>
        <w:keepLines w:val="0"/>
        <w:pageBreakBefore w:val="0"/>
        <w:widowControl/>
        <w:kinsoku w:val="0"/>
        <w:wordWrap/>
        <w:overflowPunct/>
        <w:topLinePunct w:val="0"/>
        <w:autoSpaceDE w:val="0"/>
        <w:autoSpaceDN w:val="0"/>
        <w:bidi w:val="0"/>
        <w:adjustRightInd w:val="0"/>
        <w:snapToGrid w:val="0"/>
        <w:spacing w:before="28" w:line="460" w:lineRule="exact"/>
        <w:ind w:left="2" w:right="9" w:firstLine="478"/>
        <w:textAlignment w:val="auto"/>
        <w:rPr>
          <w:rFonts w:ascii="宋体" w:hAnsi="宋体" w:eastAsia="宋体" w:cs="宋体"/>
          <w:color w:val="auto"/>
          <w:sz w:val="24"/>
          <w:szCs w:val="24"/>
          <w:highlight w:val="none"/>
          <w:lang w:eastAsia="zh-CN"/>
        </w:rPr>
      </w:pPr>
      <w:r>
        <w:rPr>
          <w:rFonts w:ascii="宋体" w:hAnsi="宋体" w:eastAsia="宋体" w:cs="宋体"/>
          <w:color w:val="auto"/>
          <w:spacing w:val="6"/>
          <w:sz w:val="24"/>
          <w:szCs w:val="24"/>
          <w:highlight w:val="none"/>
          <w:lang w:eastAsia="zh-CN"/>
        </w:rPr>
        <w:t>投标文件包括本须知第3.1条中规定的内容，投标人</w:t>
      </w:r>
      <w:r>
        <w:rPr>
          <w:rFonts w:ascii="宋体" w:hAnsi="宋体" w:eastAsia="宋体" w:cs="宋体"/>
          <w:color w:val="auto"/>
          <w:spacing w:val="5"/>
          <w:sz w:val="24"/>
          <w:szCs w:val="24"/>
          <w:highlight w:val="none"/>
          <w:lang w:eastAsia="zh-CN"/>
        </w:rPr>
        <w:t>提交的投标文件应使用招</w:t>
      </w:r>
      <w:r>
        <w:rPr>
          <w:rFonts w:ascii="宋体" w:hAnsi="宋体" w:eastAsia="宋体" w:cs="宋体"/>
          <w:color w:val="auto"/>
          <w:spacing w:val="-1"/>
          <w:sz w:val="24"/>
          <w:szCs w:val="24"/>
          <w:highlight w:val="none"/>
          <w:lang w:eastAsia="zh-CN"/>
        </w:rPr>
        <w:t>标文件所提供的投标文件全部格式（表格可以按同样格式扩展）。</w:t>
      </w:r>
    </w:p>
    <w:p w14:paraId="09B2DE98">
      <w:pPr>
        <w:keepNext w:val="0"/>
        <w:keepLines w:val="0"/>
        <w:pageBreakBefore w:val="0"/>
        <w:widowControl/>
        <w:kinsoku w:val="0"/>
        <w:wordWrap/>
        <w:overflowPunct/>
        <w:topLinePunct w:val="0"/>
        <w:autoSpaceDE w:val="0"/>
        <w:autoSpaceDN w:val="0"/>
        <w:bidi w:val="0"/>
        <w:adjustRightInd w:val="0"/>
        <w:snapToGrid w:val="0"/>
        <w:spacing w:before="145" w:line="460" w:lineRule="exact"/>
        <w:textAlignment w:val="auto"/>
        <w:rPr>
          <w:rFonts w:ascii="宋体" w:hAnsi="宋体" w:eastAsia="宋体" w:cs="宋体"/>
          <w:color w:val="auto"/>
          <w:sz w:val="31"/>
          <w:szCs w:val="31"/>
          <w:highlight w:val="none"/>
          <w:lang w:eastAsia="zh-CN"/>
        </w:rPr>
      </w:pPr>
      <w:r>
        <w:rPr>
          <w:rFonts w:ascii="Times New Roman" w:hAnsi="Times New Roman" w:eastAsia="Times New Roman" w:cs="Times New Roman"/>
          <w:b/>
          <w:bCs/>
          <w:color w:val="auto"/>
          <w:spacing w:val="3"/>
          <w:sz w:val="31"/>
          <w:szCs w:val="31"/>
          <w:highlight w:val="none"/>
          <w:lang w:eastAsia="zh-CN"/>
        </w:rPr>
        <w:t>4.</w:t>
      </w:r>
      <w:r>
        <w:rPr>
          <w:rFonts w:ascii="宋体" w:hAnsi="宋体" w:eastAsia="宋体" w:cs="宋体"/>
          <w:b/>
          <w:bCs/>
          <w:color w:val="auto"/>
          <w:spacing w:val="3"/>
          <w:sz w:val="31"/>
          <w:szCs w:val="31"/>
          <w:highlight w:val="none"/>
          <w:lang w:eastAsia="zh-CN"/>
        </w:rPr>
        <w:t>投标</w:t>
      </w:r>
    </w:p>
    <w:p w14:paraId="72A568C5">
      <w:pPr>
        <w:keepNext w:val="0"/>
        <w:keepLines w:val="0"/>
        <w:pageBreakBefore w:val="0"/>
        <w:widowControl/>
        <w:kinsoku w:val="0"/>
        <w:wordWrap/>
        <w:overflowPunct/>
        <w:topLinePunct w:val="0"/>
        <w:autoSpaceDE w:val="0"/>
        <w:autoSpaceDN w:val="0"/>
        <w:bidi w:val="0"/>
        <w:adjustRightInd w:val="0"/>
        <w:snapToGrid w:val="0"/>
        <w:spacing w:before="263" w:line="460" w:lineRule="exact"/>
        <w:ind w:left="491"/>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3"/>
          <w:sz w:val="28"/>
          <w:szCs w:val="28"/>
          <w:highlight w:val="none"/>
          <w:lang w:eastAsia="zh-CN"/>
        </w:rPr>
        <w:t>4.1投标文件的密封和标记</w:t>
      </w:r>
    </w:p>
    <w:p w14:paraId="179C27A6">
      <w:pPr>
        <w:keepNext w:val="0"/>
        <w:keepLines w:val="0"/>
        <w:pageBreakBefore w:val="0"/>
        <w:widowControl/>
        <w:kinsoku w:val="0"/>
        <w:wordWrap/>
        <w:overflowPunct/>
        <w:topLinePunct w:val="0"/>
        <w:autoSpaceDE w:val="0"/>
        <w:autoSpaceDN w:val="0"/>
        <w:bidi w:val="0"/>
        <w:adjustRightInd w:val="0"/>
        <w:snapToGrid w:val="0"/>
        <w:spacing w:before="159" w:line="460" w:lineRule="exact"/>
        <w:ind w:left="480"/>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4.1.1投标文件的密封、标记和电子投标</w:t>
      </w:r>
      <w:r>
        <w:rPr>
          <w:rFonts w:ascii="宋体" w:hAnsi="宋体" w:eastAsia="宋体" w:cs="宋体"/>
          <w:color w:val="auto"/>
          <w:spacing w:val="-2"/>
          <w:sz w:val="24"/>
          <w:szCs w:val="24"/>
          <w:highlight w:val="none"/>
          <w:lang w:eastAsia="zh-CN"/>
        </w:rPr>
        <w:t>加密要求见投标人须知前附表。</w:t>
      </w:r>
    </w:p>
    <w:p w14:paraId="51714A26">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91"/>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3"/>
          <w:sz w:val="28"/>
          <w:szCs w:val="28"/>
          <w:highlight w:val="none"/>
          <w:lang w:eastAsia="zh-CN"/>
        </w:rPr>
        <w:t>4.2投标文件的递交</w:t>
      </w:r>
    </w:p>
    <w:p w14:paraId="61CB5A63">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480"/>
        <w:textAlignment w:val="auto"/>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4.2.1投标人应在投标人须知前附表规定的投标截止</w:t>
      </w:r>
      <w:r>
        <w:rPr>
          <w:rFonts w:ascii="宋体" w:hAnsi="宋体" w:eastAsia="宋体" w:cs="宋体"/>
          <w:color w:val="auto"/>
          <w:spacing w:val="-1"/>
          <w:sz w:val="24"/>
          <w:szCs w:val="24"/>
          <w:highlight w:val="none"/>
          <w:lang w:eastAsia="zh-CN"/>
        </w:rPr>
        <w:t>时间前递交投标文件。</w:t>
      </w:r>
    </w:p>
    <w:p w14:paraId="41FE09DA">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80"/>
        <w:textAlignment w:val="auto"/>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4.2.2投标人通过下载招标文件的电子招标投标交易平</w:t>
      </w:r>
      <w:r>
        <w:rPr>
          <w:rFonts w:ascii="宋体" w:hAnsi="宋体" w:eastAsia="宋体" w:cs="宋体"/>
          <w:color w:val="auto"/>
          <w:spacing w:val="-1"/>
          <w:sz w:val="24"/>
          <w:szCs w:val="24"/>
          <w:highlight w:val="none"/>
          <w:lang w:eastAsia="zh-CN"/>
        </w:rPr>
        <w:t>台递交电子投标文件。</w:t>
      </w:r>
    </w:p>
    <w:p w14:paraId="09A22810">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80"/>
        <w:textAlignment w:val="auto"/>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4.2.3除投标人须知前附表另有规定外，投标人所递交</w:t>
      </w:r>
      <w:r>
        <w:rPr>
          <w:rFonts w:ascii="宋体" w:hAnsi="宋体" w:eastAsia="宋体" w:cs="宋体"/>
          <w:color w:val="auto"/>
          <w:spacing w:val="-1"/>
          <w:sz w:val="24"/>
          <w:szCs w:val="24"/>
          <w:highlight w:val="none"/>
          <w:lang w:eastAsia="zh-CN"/>
        </w:rPr>
        <w:t>的投标文件不予退还。</w:t>
      </w:r>
    </w:p>
    <w:p w14:paraId="7C345F76">
      <w:pPr>
        <w:keepNext w:val="0"/>
        <w:keepLines w:val="0"/>
        <w:pageBreakBefore w:val="0"/>
        <w:widowControl/>
        <w:kinsoku w:val="0"/>
        <w:wordWrap/>
        <w:overflowPunct/>
        <w:topLinePunct w:val="0"/>
        <w:autoSpaceDE w:val="0"/>
        <w:autoSpaceDN w:val="0"/>
        <w:bidi w:val="0"/>
        <w:adjustRightInd w:val="0"/>
        <w:snapToGrid w:val="0"/>
        <w:spacing w:before="28" w:line="460" w:lineRule="exact"/>
        <w:ind w:left="5" w:right="9" w:firstLine="475"/>
        <w:textAlignment w:val="auto"/>
        <w:rPr>
          <w:rFonts w:ascii="宋体" w:hAnsi="宋体" w:eastAsia="宋体" w:cs="宋体"/>
          <w:color w:val="auto"/>
          <w:sz w:val="24"/>
          <w:szCs w:val="24"/>
          <w:highlight w:val="none"/>
          <w:lang w:eastAsia="zh-CN"/>
        </w:rPr>
      </w:pPr>
      <w:r>
        <w:rPr>
          <w:rFonts w:ascii="宋体" w:hAnsi="宋体" w:eastAsia="宋体" w:cs="宋体"/>
          <w:color w:val="auto"/>
          <w:spacing w:val="6"/>
          <w:sz w:val="24"/>
          <w:szCs w:val="24"/>
          <w:highlight w:val="none"/>
          <w:lang w:eastAsia="zh-CN"/>
        </w:rPr>
        <w:t>4.2.4投标人完成电子投标文件上传后</w:t>
      </w:r>
      <w:r>
        <w:rPr>
          <w:rFonts w:ascii="宋体" w:hAnsi="宋体" w:eastAsia="宋体" w:cs="宋体"/>
          <w:color w:val="auto"/>
          <w:spacing w:val="5"/>
          <w:sz w:val="24"/>
          <w:szCs w:val="24"/>
          <w:highlight w:val="none"/>
          <w:lang w:eastAsia="zh-CN"/>
        </w:rPr>
        <w:t>，电子招标投标交易平台即时向投标人</w:t>
      </w:r>
      <w:r>
        <w:rPr>
          <w:rFonts w:ascii="宋体" w:hAnsi="宋体" w:eastAsia="宋体" w:cs="宋体"/>
          <w:color w:val="auto"/>
          <w:spacing w:val="-1"/>
          <w:sz w:val="24"/>
          <w:szCs w:val="24"/>
          <w:highlight w:val="none"/>
          <w:lang w:eastAsia="zh-CN"/>
        </w:rPr>
        <w:t>发出递交回执通知。递交时间以递交回执通知载明的传输完成时间为准。</w:t>
      </w:r>
    </w:p>
    <w:p w14:paraId="3EB6B3A9">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80"/>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4.2.5电子投标文件的拒收情形：见投标人须知前附表。</w:t>
      </w:r>
    </w:p>
    <w:p w14:paraId="316710E4">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491"/>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3"/>
          <w:sz w:val="28"/>
          <w:szCs w:val="28"/>
          <w:highlight w:val="none"/>
          <w:lang w:eastAsia="zh-CN"/>
        </w:rPr>
        <w:t>4.3投标文件的修改与撤回</w:t>
      </w:r>
    </w:p>
    <w:p w14:paraId="4D6E380E">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20" w:right="2" w:firstLine="45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4.3.1在本章第4.2.1项规定的投标截止时间前，投标人可以修改或撤回已递交</w:t>
      </w:r>
      <w:r>
        <w:rPr>
          <w:rFonts w:ascii="宋体" w:hAnsi="宋体" w:eastAsia="宋体" w:cs="宋体"/>
          <w:color w:val="auto"/>
          <w:spacing w:val="9"/>
          <w:sz w:val="24"/>
          <w:szCs w:val="24"/>
          <w:highlight w:val="none"/>
          <w:lang w:eastAsia="zh-CN"/>
        </w:rPr>
        <w:t>的投标文件，但应以书面形式通知招标人。投标截止</w:t>
      </w:r>
      <w:r>
        <w:rPr>
          <w:rFonts w:ascii="宋体" w:hAnsi="宋体" w:eastAsia="宋体" w:cs="宋体"/>
          <w:color w:val="auto"/>
          <w:spacing w:val="8"/>
          <w:sz w:val="24"/>
          <w:szCs w:val="24"/>
          <w:highlight w:val="none"/>
          <w:lang w:eastAsia="zh-CN"/>
        </w:rPr>
        <w:t>时间前未完成投标文件传输</w:t>
      </w:r>
      <w:r>
        <w:rPr>
          <w:rFonts w:ascii="宋体" w:hAnsi="宋体" w:eastAsia="宋体" w:cs="宋体"/>
          <w:color w:val="auto"/>
          <w:spacing w:val="-6"/>
          <w:sz w:val="24"/>
          <w:szCs w:val="24"/>
          <w:highlight w:val="none"/>
          <w:lang w:eastAsia="zh-CN"/>
        </w:rPr>
        <w:t>的，视为撤回投标文件。</w:t>
      </w:r>
    </w:p>
    <w:p w14:paraId="7545C5FA">
      <w:pPr>
        <w:keepNext w:val="0"/>
        <w:keepLines w:val="0"/>
        <w:pageBreakBefore w:val="0"/>
        <w:widowControl/>
        <w:kinsoku w:val="0"/>
        <w:wordWrap/>
        <w:overflowPunct/>
        <w:topLinePunct w:val="0"/>
        <w:autoSpaceDE w:val="0"/>
        <w:autoSpaceDN w:val="0"/>
        <w:bidi w:val="0"/>
        <w:adjustRightInd w:val="0"/>
        <w:snapToGrid w:val="0"/>
        <w:spacing w:before="26" w:line="460" w:lineRule="exact"/>
        <w:ind w:left="1" w:firstLine="478"/>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4.3.2投标人修改或撤回已递交投标文件的通知，应按照本章第3.7.3项的要求加盖电子印章。电子招标投标交易平台收到通知后，即时向投标人发出确认回执通</w:t>
      </w:r>
      <w:r>
        <w:rPr>
          <w:rFonts w:ascii="宋体" w:hAnsi="宋体" w:eastAsia="宋体" w:cs="宋体"/>
          <w:color w:val="auto"/>
          <w:spacing w:val="-6"/>
          <w:sz w:val="24"/>
          <w:szCs w:val="24"/>
          <w:highlight w:val="none"/>
          <w:lang w:eastAsia="zh-CN"/>
        </w:rPr>
        <w:t>知。</w:t>
      </w:r>
    </w:p>
    <w:p w14:paraId="0578364E">
      <w:pPr>
        <w:keepNext w:val="0"/>
        <w:keepLines w:val="0"/>
        <w:pageBreakBefore w:val="0"/>
        <w:widowControl/>
        <w:kinsoku w:val="0"/>
        <w:wordWrap/>
        <w:overflowPunct/>
        <w:topLinePunct w:val="0"/>
        <w:autoSpaceDE w:val="0"/>
        <w:autoSpaceDN w:val="0"/>
        <w:bidi w:val="0"/>
        <w:adjustRightInd w:val="0"/>
        <w:snapToGrid w:val="0"/>
        <w:spacing w:before="25" w:line="460" w:lineRule="exact"/>
        <w:ind w:left="1" w:right="7" w:firstLine="478"/>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4.3.3投标人撤回投标文件的，招标人自收到投标人书面撤回通知之日起5日内</w:t>
      </w:r>
      <w:r>
        <w:rPr>
          <w:rFonts w:ascii="宋体" w:hAnsi="宋体" w:eastAsia="宋体" w:cs="宋体"/>
          <w:color w:val="auto"/>
          <w:spacing w:val="-1"/>
          <w:sz w:val="24"/>
          <w:szCs w:val="24"/>
          <w:highlight w:val="none"/>
          <w:lang w:eastAsia="zh-CN"/>
        </w:rPr>
        <w:t>退还已收取的投标保证金。</w:t>
      </w:r>
    </w:p>
    <w:p w14:paraId="28C414A5">
      <w:pPr>
        <w:keepNext w:val="0"/>
        <w:keepLines w:val="0"/>
        <w:pageBreakBefore w:val="0"/>
        <w:widowControl/>
        <w:kinsoku w:val="0"/>
        <w:wordWrap/>
        <w:overflowPunct/>
        <w:topLinePunct w:val="0"/>
        <w:autoSpaceDE w:val="0"/>
        <w:autoSpaceDN w:val="0"/>
        <w:bidi w:val="0"/>
        <w:adjustRightInd w:val="0"/>
        <w:snapToGrid w:val="0"/>
        <w:spacing w:before="29" w:line="460" w:lineRule="exact"/>
        <w:ind w:right="32" w:firstLine="479"/>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4.3.4修改的内容为投标文件的组成部分。修改的投标文件应按照本章第3条、</w:t>
      </w:r>
      <w:r>
        <w:rPr>
          <w:rFonts w:ascii="宋体" w:hAnsi="宋体" w:eastAsia="宋体" w:cs="宋体"/>
          <w:color w:val="auto"/>
          <w:spacing w:val="-2"/>
          <w:sz w:val="24"/>
          <w:szCs w:val="24"/>
          <w:highlight w:val="none"/>
          <w:lang w:eastAsia="zh-CN"/>
        </w:rPr>
        <w:t>第4条的规定进行编制、密封、标记和递交，并标明“修改”字样。</w:t>
      </w:r>
    </w:p>
    <w:p w14:paraId="062292CF">
      <w:pPr>
        <w:keepNext w:val="0"/>
        <w:keepLines w:val="0"/>
        <w:pageBreakBefore w:val="0"/>
        <w:widowControl/>
        <w:kinsoku w:val="0"/>
        <w:wordWrap/>
        <w:overflowPunct/>
        <w:topLinePunct w:val="0"/>
        <w:autoSpaceDE w:val="0"/>
        <w:autoSpaceDN w:val="0"/>
        <w:bidi w:val="0"/>
        <w:adjustRightInd w:val="0"/>
        <w:snapToGrid w:val="0"/>
        <w:spacing w:before="144" w:line="460" w:lineRule="exact"/>
        <w:ind w:left="2"/>
        <w:textAlignment w:val="auto"/>
        <w:rPr>
          <w:rFonts w:ascii="宋体" w:hAnsi="宋体" w:eastAsia="宋体" w:cs="宋体"/>
          <w:color w:val="auto"/>
          <w:sz w:val="31"/>
          <w:szCs w:val="31"/>
          <w:highlight w:val="none"/>
          <w:lang w:eastAsia="zh-CN"/>
        </w:rPr>
      </w:pPr>
      <w:r>
        <w:rPr>
          <w:rFonts w:ascii="Times New Roman" w:hAnsi="Times New Roman" w:eastAsia="Times New Roman" w:cs="Times New Roman"/>
          <w:b/>
          <w:bCs/>
          <w:color w:val="auto"/>
          <w:spacing w:val="2"/>
          <w:sz w:val="31"/>
          <w:szCs w:val="31"/>
          <w:highlight w:val="none"/>
          <w:lang w:eastAsia="zh-CN"/>
        </w:rPr>
        <w:t>5.</w:t>
      </w:r>
      <w:r>
        <w:rPr>
          <w:rFonts w:ascii="宋体" w:hAnsi="宋体" w:eastAsia="宋体" w:cs="宋体"/>
          <w:b/>
          <w:bCs/>
          <w:color w:val="auto"/>
          <w:spacing w:val="2"/>
          <w:sz w:val="31"/>
          <w:szCs w:val="31"/>
          <w:highlight w:val="none"/>
          <w:lang w:eastAsia="zh-CN"/>
        </w:rPr>
        <w:t>开标</w:t>
      </w:r>
    </w:p>
    <w:p w14:paraId="30F733EE">
      <w:pPr>
        <w:keepNext w:val="0"/>
        <w:keepLines w:val="0"/>
        <w:pageBreakBefore w:val="0"/>
        <w:widowControl/>
        <w:kinsoku w:val="0"/>
        <w:wordWrap/>
        <w:overflowPunct/>
        <w:topLinePunct w:val="0"/>
        <w:autoSpaceDE w:val="0"/>
        <w:autoSpaceDN w:val="0"/>
        <w:bidi w:val="0"/>
        <w:adjustRightInd w:val="0"/>
        <w:snapToGrid w:val="0"/>
        <w:spacing w:before="263" w:line="460" w:lineRule="exact"/>
        <w:ind w:left="495"/>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6"/>
          <w:sz w:val="24"/>
          <w:szCs w:val="24"/>
          <w:highlight w:val="none"/>
          <w:lang w:eastAsia="zh-CN"/>
        </w:rPr>
        <w:t>5.1</w:t>
      </w:r>
      <w:r>
        <w:rPr>
          <w:rFonts w:ascii="宋体" w:hAnsi="宋体" w:eastAsia="宋体" w:cs="宋体"/>
          <w:b/>
          <w:bCs/>
          <w:color w:val="auto"/>
          <w:spacing w:val="-6"/>
          <w:sz w:val="28"/>
          <w:szCs w:val="28"/>
          <w:highlight w:val="none"/>
          <w:lang w:eastAsia="zh-CN"/>
        </w:rPr>
        <w:t>开标时间和地点</w:t>
      </w:r>
    </w:p>
    <w:p w14:paraId="18E8EA8D">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484"/>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见投标人须知前附表。</w:t>
      </w:r>
    </w:p>
    <w:p w14:paraId="58E7E376">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95"/>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7"/>
          <w:sz w:val="24"/>
          <w:szCs w:val="24"/>
          <w:highlight w:val="none"/>
          <w:lang w:eastAsia="zh-CN"/>
        </w:rPr>
        <w:t>5.2</w:t>
      </w:r>
      <w:r>
        <w:rPr>
          <w:rFonts w:ascii="宋体" w:hAnsi="宋体" w:eastAsia="宋体" w:cs="宋体"/>
          <w:b/>
          <w:bCs/>
          <w:color w:val="auto"/>
          <w:spacing w:val="-7"/>
          <w:sz w:val="28"/>
          <w:szCs w:val="28"/>
          <w:highlight w:val="none"/>
          <w:lang w:eastAsia="zh-CN"/>
        </w:rPr>
        <w:t>开标程序</w:t>
      </w:r>
    </w:p>
    <w:p w14:paraId="59273708">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484"/>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见投标人须知前附表。</w:t>
      </w:r>
    </w:p>
    <w:p w14:paraId="5ADEAD5F">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95"/>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7"/>
          <w:sz w:val="24"/>
          <w:szCs w:val="24"/>
          <w:highlight w:val="none"/>
          <w:lang w:eastAsia="zh-CN"/>
        </w:rPr>
        <w:t>5.3</w:t>
      </w:r>
      <w:r>
        <w:rPr>
          <w:rFonts w:ascii="宋体" w:hAnsi="宋体" w:eastAsia="宋体" w:cs="宋体"/>
          <w:b/>
          <w:bCs/>
          <w:color w:val="auto"/>
          <w:spacing w:val="-7"/>
          <w:sz w:val="28"/>
          <w:szCs w:val="28"/>
          <w:highlight w:val="none"/>
          <w:lang w:eastAsia="zh-CN"/>
        </w:rPr>
        <w:t>开标异议</w:t>
      </w:r>
    </w:p>
    <w:p w14:paraId="656AD193">
      <w:pPr>
        <w:keepNext w:val="0"/>
        <w:keepLines w:val="0"/>
        <w:pageBreakBefore w:val="0"/>
        <w:widowControl/>
        <w:kinsoku w:val="0"/>
        <w:wordWrap/>
        <w:overflowPunct/>
        <w:topLinePunct w:val="0"/>
        <w:autoSpaceDE w:val="0"/>
        <w:autoSpaceDN w:val="0"/>
        <w:bidi w:val="0"/>
        <w:adjustRightInd w:val="0"/>
        <w:snapToGrid w:val="0"/>
        <w:spacing w:before="160" w:line="460" w:lineRule="exact"/>
        <w:ind w:left="1" w:firstLine="478"/>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投标人对开标有异议的，应当在开标时提出，招标人当场作出答复，并制作记</w:t>
      </w:r>
      <w:r>
        <w:rPr>
          <w:rFonts w:ascii="宋体" w:hAnsi="宋体" w:eastAsia="宋体" w:cs="宋体"/>
          <w:color w:val="auto"/>
          <w:spacing w:val="-6"/>
          <w:sz w:val="24"/>
          <w:szCs w:val="24"/>
          <w:highlight w:val="none"/>
          <w:lang w:eastAsia="zh-CN"/>
        </w:rPr>
        <w:t>录。</w:t>
      </w:r>
    </w:p>
    <w:p w14:paraId="4ECC46D1">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495"/>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3"/>
          <w:sz w:val="24"/>
          <w:szCs w:val="24"/>
          <w:highlight w:val="none"/>
          <w:lang w:eastAsia="zh-CN"/>
        </w:rPr>
        <w:t>5.4</w:t>
      </w:r>
      <w:r>
        <w:rPr>
          <w:rFonts w:ascii="宋体" w:hAnsi="宋体" w:eastAsia="宋体" w:cs="宋体"/>
          <w:b/>
          <w:bCs/>
          <w:color w:val="auto"/>
          <w:spacing w:val="-3"/>
          <w:sz w:val="28"/>
          <w:szCs w:val="28"/>
          <w:highlight w:val="none"/>
          <w:lang w:eastAsia="zh-CN"/>
        </w:rPr>
        <w:t>特殊情况处置</w:t>
      </w:r>
    </w:p>
    <w:p w14:paraId="6BD466C1">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484"/>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见投标人须知前附表</w:t>
      </w:r>
    </w:p>
    <w:p w14:paraId="7F58F29A">
      <w:pPr>
        <w:keepNext w:val="0"/>
        <w:keepLines w:val="0"/>
        <w:pageBreakBefore w:val="0"/>
        <w:widowControl/>
        <w:kinsoku w:val="0"/>
        <w:wordWrap/>
        <w:overflowPunct/>
        <w:topLinePunct w:val="0"/>
        <w:autoSpaceDE w:val="0"/>
        <w:autoSpaceDN w:val="0"/>
        <w:bidi w:val="0"/>
        <w:adjustRightInd w:val="0"/>
        <w:snapToGrid w:val="0"/>
        <w:spacing w:before="146" w:line="460" w:lineRule="exact"/>
        <w:ind w:left="3"/>
        <w:textAlignment w:val="auto"/>
        <w:rPr>
          <w:rFonts w:ascii="宋体" w:hAnsi="宋体" w:eastAsia="宋体" w:cs="宋体"/>
          <w:color w:val="auto"/>
          <w:sz w:val="31"/>
          <w:szCs w:val="31"/>
          <w:highlight w:val="none"/>
          <w:lang w:eastAsia="zh-CN"/>
        </w:rPr>
      </w:pPr>
      <w:r>
        <w:rPr>
          <w:rFonts w:ascii="Times New Roman" w:hAnsi="Times New Roman" w:eastAsia="Times New Roman" w:cs="Times New Roman"/>
          <w:b/>
          <w:bCs/>
          <w:color w:val="auto"/>
          <w:spacing w:val="2"/>
          <w:sz w:val="31"/>
          <w:szCs w:val="31"/>
          <w:highlight w:val="none"/>
          <w:lang w:eastAsia="zh-CN"/>
        </w:rPr>
        <w:t>6.</w:t>
      </w:r>
      <w:r>
        <w:rPr>
          <w:rFonts w:ascii="宋体" w:hAnsi="宋体" w:eastAsia="宋体" w:cs="宋体"/>
          <w:b/>
          <w:bCs/>
          <w:color w:val="auto"/>
          <w:spacing w:val="2"/>
          <w:sz w:val="31"/>
          <w:szCs w:val="31"/>
          <w:highlight w:val="none"/>
          <w:lang w:eastAsia="zh-CN"/>
        </w:rPr>
        <w:t>评标</w:t>
      </w:r>
    </w:p>
    <w:p w14:paraId="66CBFCBE">
      <w:pPr>
        <w:keepNext w:val="0"/>
        <w:keepLines w:val="0"/>
        <w:pageBreakBefore w:val="0"/>
        <w:widowControl/>
        <w:kinsoku w:val="0"/>
        <w:wordWrap/>
        <w:overflowPunct/>
        <w:topLinePunct w:val="0"/>
        <w:autoSpaceDE w:val="0"/>
        <w:autoSpaceDN w:val="0"/>
        <w:bidi w:val="0"/>
        <w:adjustRightInd w:val="0"/>
        <w:snapToGrid w:val="0"/>
        <w:spacing w:before="261" w:line="460" w:lineRule="exact"/>
        <w:ind w:left="492"/>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3"/>
          <w:sz w:val="24"/>
          <w:szCs w:val="24"/>
          <w:highlight w:val="none"/>
          <w:lang w:eastAsia="zh-CN"/>
        </w:rPr>
        <w:t>6.1</w:t>
      </w:r>
      <w:r>
        <w:rPr>
          <w:rFonts w:ascii="宋体" w:hAnsi="宋体" w:eastAsia="宋体" w:cs="宋体"/>
          <w:b/>
          <w:bCs/>
          <w:color w:val="auto"/>
          <w:spacing w:val="-3"/>
          <w:sz w:val="28"/>
          <w:szCs w:val="28"/>
          <w:highlight w:val="none"/>
          <w:lang w:eastAsia="zh-CN"/>
        </w:rPr>
        <w:t>评标委员会</w:t>
      </w:r>
    </w:p>
    <w:p w14:paraId="613A115B">
      <w:pPr>
        <w:keepNext w:val="0"/>
        <w:keepLines w:val="0"/>
        <w:pageBreakBefore w:val="0"/>
        <w:widowControl/>
        <w:kinsoku w:val="0"/>
        <w:wordWrap/>
        <w:overflowPunct/>
        <w:topLinePunct w:val="0"/>
        <w:autoSpaceDE w:val="0"/>
        <w:autoSpaceDN w:val="0"/>
        <w:bidi w:val="0"/>
        <w:adjustRightInd w:val="0"/>
        <w:snapToGrid w:val="0"/>
        <w:spacing w:before="159" w:line="460" w:lineRule="exact"/>
        <w:ind w:left="1" w:right="2" w:firstLine="480"/>
        <w:jc w:val="both"/>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6.1.1评标由招标人依法组建的评标委员会负责。评标委员会由招标人或其</w:t>
      </w:r>
      <w:r>
        <w:rPr>
          <w:rFonts w:ascii="宋体" w:hAnsi="宋体" w:eastAsia="宋体" w:cs="宋体"/>
          <w:color w:val="auto"/>
          <w:spacing w:val="-2"/>
          <w:sz w:val="24"/>
          <w:szCs w:val="24"/>
          <w:highlight w:val="none"/>
          <w:lang w:eastAsia="zh-CN"/>
        </w:rPr>
        <w:t>委托</w:t>
      </w:r>
      <w:r>
        <w:rPr>
          <w:rFonts w:ascii="宋体" w:hAnsi="宋体" w:eastAsia="宋体" w:cs="宋体"/>
          <w:color w:val="auto"/>
          <w:spacing w:val="2"/>
          <w:sz w:val="24"/>
          <w:szCs w:val="24"/>
          <w:highlight w:val="none"/>
          <w:lang w:eastAsia="zh-CN"/>
        </w:rPr>
        <w:t>的招标代理机构熟悉相关业务的代表，以及有关技术、经济等方面的专家组成。评</w:t>
      </w:r>
      <w:r>
        <w:rPr>
          <w:rFonts w:ascii="宋体" w:hAnsi="宋体" w:eastAsia="宋体" w:cs="宋体"/>
          <w:color w:val="auto"/>
          <w:spacing w:val="-1"/>
          <w:sz w:val="24"/>
          <w:szCs w:val="24"/>
          <w:highlight w:val="none"/>
          <w:lang w:eastAsia="zh-CN"/>
        </w:rPr>
        <w:t>标委员会成员人数以及技术、经济等方面专家的确定方式见投标人须知前附表。</w:t>
      </w:r>
    </w:p>
    <w:p w14:paraId="1F838CA6">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492"/>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4"/>
          <w:sz w:val="24"/>
          <w:szCs w:val="24"/>
          <w:highlight w:val="none"/>
          <w:lang w:eastAsia="zh-CN"/>
        </w:rPr>
        <w:t>6.2</w:t>
      </w:r>
      <w:r>
        <w:rPr>
          <w:rFonts w:ascii="宋体" w:hAnsi="宋体" w:eastAsia="宋体" w:cs="宋体"/>
          <w:b/>
          <w:bCs/>
          <w:color w:val="auto"/>
          <w:spacing w:val="-4"/>
          <w:sz w:val="28"/>
          <w:szCs w:val="28"/>
          <w:highlight w:val="none"/>
          <w:lang w:eastAsia="zh-CN"/>
        </w:rPr>
        <w:t>评标原则</w:t>
      </w:r>
    </w:p>
    <w:p w14:paraId="1F955145">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480"/>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评标活动遵循公平、公正、科学和择优的原则。</w:t>
      </w:r>
    </w:p>
    <w:p w14:paraId="2A7DE31B">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92"/>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7"/>
          <w:sz w:val="24"/>
          <w:szCs w:val="24"/>
          <w:highlight w:val="none"/>
          <w:lang w:eastAsia="zh-CN"/>
        </w:rPr>
        <w:t>6.3</w:t>
      </w:r>
      <w:r>
        <w:rPr>
          <w:rFonts w:ascii="宋体" w:hAnsi="宋体" w:eastAsia="宋体" w:cs="宋体"/>
          <w:b/>
          <w:bCs/>
          <w:color w:val="auto"/>
          <w:spacing w:val="-7"/>
          <w:sz w:val="28"/>
          <w:szCs w:val="28"/>
          <w:highlight w:val="none"/>
          <w:lang w:eastAsia="zh-CN"/>
        </w:rPr>
        <w:t>评标</w:t>
      </w:r>
    </w:p>
    <w:p w14:paraId="2BB21315">
      <w:pPr>
        <w:keepNext w:val="0"/>
        <w:keepLines w:val="0"/>
        <w:pageBreakBefore w:val="0"/>
        <w:widowControl/>
        <w:kinsoku w:val="0"/>
        <w:wordWrap/>
        <w:overflowPunct/>
        <w:topLinePunct w:val="0"/>
        <w:autoSpaceDE w:val="0"/>
        <w:autoSpaceDN w:val="0"/>
        <w:bidi w:val="0"/>
        <w:adjustRightInd w:val="0"/>
        <w:snapToGrid w:val="0"/>
        <w:spacing w:before="156" w:line="460" w:lineRule="exact"/>
        <w:ind w:right="4" w:firstLine="482"/>
        <w:textAlignment w:val="auto"/>
        <w:rPr>
          <w:rFonts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6.3.1评标委员会按照第三章“评标办法”规定的方法、评审因素、标准和程</w:t>
      </w:r>
      <w:r>
        <w:rPr>
          <w:rFonts w:ascii="宋体" w:hAnsi="宋体" w:eastAsia="宋体" w:cs="宋体"/>
          <w:color w:val="auto"/>
          <w:spacing w:val="1"/>
          <w:sz w:val="24"/>
          <w:szCs w:val="24"/>
          <w:highlight w:val="none"/>
          <w:lang w:eastAsia="zh-CN"/>
        </w:rPr>
        <w:t>序对投标文件进行评审。第三章“评标办法”没有规定的方法、评审因素和标准，</w:t>
      </w:r>
      <w:r>
        <w:rPr>
          <w:rFonts w:ascii="宋体" w:hAnsi="宋体" w:eastAsia="宋体" w:cs="宋体"/>
          <w:color w:val="auto"/>
          <w:spacing w:val="-2"/>
          <w:sz w:val="24"/>
          <w:szCs w:val="24"/>
          <w:highlight w:val="none"/>
          <w:lang w:eastAsia="zh-CN"/>
        </w:rPr>
        <w:t>不作为评标依据。</w:t>
      </w:r>
    </w:p>
    <w:p w14:paraId="5F724618">
      <w:pPr>
        <w:keepNext w:val="0"/>
        <w:keepLines w:val="0"/>
        <w:pageBreakBefore w:val="0"/>
        <w:widowControl/>
        <w:kinsoku w:val="0"/>
        <w:wordWrap/>
        <w:overflowPunct/>
        <w:topLinePunct w:val="0"/>
        <w:autoSpaceDE w:val="0"/>
        <w:autoSpaceDN w:val="0"/>
        <w:bidi w:val="0"/>
        <w:adjustRightInd w:val="0"/>
        <w:snapToGrid w:val="0"/>
        <w:spacing w:before="29" w:line="460" w:lineRule="exact"/>
        <w:ind w:left="3" w:right="7" w:firstLine="479"/>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6.3.2评标完成后，评标委员会应当向招标人提交书面评标报告和中标候选人</w:t>
      </w:r>
      <w:r>
        <w:rPr>
          <w:rFonts w:ascii="宋体" w:hAnsi="宋体" w:eastAsia="宋体" w:cs="宋体"/>
          <w:color w:val="auto"/>
          <w:spacing w:val="-1"/>
          <w:sz w:val="24"/>
          <w:szCs w:val="24"/>
          <w:highlight w:val="none"/>
          <w:lang w:eastAsia="zh-CN"/>
        </w:rPr>
        <w:t>名单。评标委员会推荐中标候选人的人数见投标人须知前附表。</w:t>
      </w:r>
    </w:p>
    <w:p w14:paraId="6BDD7374">
      <w:pPr>
        <w:keepNext w:val="0"/>
        <w:keepLines w:val="0"/>
        <w:pageBreakBefore w:val="0"/>
        <w:widowControl/>
        <w:kinsoku w:val="0"/>
        <w:wordWrap/>
        <w:overflowPunct/>
        <w:topLinePunct w:val="0"/>
        <w:autoSpaceDE w:val="0"/>
        <w:autoSpaceDN w:val="0"/>
        <w:bidi w:val="0"/>
        <w:adjustRightInd w:val="0"/>
        <w:snapToGrid w:val="0"/>
        <w:spacing w:before="143" w:line="460" w:lineRule="exact"/>
        <w:ind w:left="3"/>
        <w:textAlignment w:val="auto"/>
        <w:rPr>
          <w:rFonts w:ascii="宋体" w:hAnsi="宋体" w:eastAsia="宋体" w:cs="宋体"/>
          <w:color w:val="auto"/>
          <w:sz w:val="31"/>
          <w:szCs w:val="31"/>
          <w:highlight w:val="none"/>
          <w:lang w:eastAsia="zh-CN"/>
        </w:rPr>
      </w:pPr>
      <w:r>
        <w:rPr>
          <w:rFonts w:ascii="Times New Roman" w:hAnsi="Times New Roman" w:eastAsia="Times New Roman" w:cs="Times New Roman"/>
          <w:b/>
          <w:bCs/>
          <w:color w:val="auto"/>
          <w:spacing w:val="4"/>
          <w:sz w:val="31"/>
          <w:szCs w:val="31"/>
          <w:highlight w:val="none"/>
          <w:lang w:eastAsia="zh-CN"/>
        </w:rPr>
        <w:t>7.</w:t>
      </w:r>
      <w:r>
        <w:rPr>
          <w:rFonts w:ascii="宋体" w:hAnsi="宋体" w:eastAsia="宋体" w:cs="宋体"/>
          <w:b/>
          <w:bCs/>
          <w:color w:val="auto"/>
          <w:spacing w:val="4"/>
          <w:sz w:val="31"/>
          <w:szCs w:val="31"/>
          <w:highlight w:val="none"/>
          <w:lang w:eastAsia="zh-CN"/>
        </w:rPr>
        <w:t>合同授予</w:t>
      </w:r>
    </w:p>
    <w:p w14:paraId="52F15D66">
      <w:pPr>
        <w:keepNext w:val="0"/>
        <w:keepLines w:val="0"/>
        <w:pageBreakBefore w:val="0"/>
        <w:widowControl/>
        <w:kinsoku w:val="0"/>
        <w:wordWrap/>
        <w:overflowPunct/>
        <w:topLinePunct w:val="0"/>
        <w:autoSpaceDE w:val="0"/>
        <w:autoSpaceDN w:val="0"/>
        <w:bidi w:val="0"/>
        <w:adjustRightInd w:val="0"/>
        <w:snapToGrid w:val="0"/>
        <w:spacing w:before="260" w:line="460" w:lineRule="exact"/>
        <w:ind w:left="497"/>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6"/>
          <w:sz w:val="24"/>
          <w:szCs w:val="24"/>
          <w:highlight w:val="none"/>
          <w:lang w:eastAsia="zh-CN"/>
        </w:rPr>
        <w:t>7.1</w:t>
      </w:r>
      <w:r>
        <w:rPr>
          <w:rFonts w:ascii="宋体" w:hAnsi="宋体" w:eastAsia="宋体" w:cs="宋体"/>
          <w:b/>
          <w:bCs/>
          <w:color w:val="auto"/>
          <w:spacing w:val="-6"/>
          <w:sz w:val="28"/>
          <w:szCs w:val="28"/>
          <w:highlight w:val="none"/>
          <w:lang w:eastAsia="zh-CN"/>
        </w:rPr>
        <w:t>中标候选人公示媒介及期限</w:t>
      </w:r>
    </w:p>
    <w:p w14:paraId="555765C3">
      <w:pPr>
        <w:keepNext w:val="0"/>
        <w:keepLines w:val="0"/>
        <w:pageBreakBefore w:val="0"/>
        <w:widowControl/>
        <w:kinsoku w:val="0"/>
        <w:wordWrap/>
        <w:overflowPunct/>
        <w:topLinePunct w:val="0"/>
        <w:autoSpaceDE w:val="0"/>
        <w:autoSpaceDN w:val="0"/>
        <w:bidi w:val="0"/>
        <w:adjustRightInd w:val="0"/>
        <w:snapToGrid w:val="0"/>
        <w:spacing w:before="159" w:line="460" w:lineRule="exact"/>
        <w:ind w:left="502"/>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中标候选人公示媒介及期限见投标人须知前附表。</w:t>
      </w:r>
    </w:p>
    <w:p w14:paraId="7B848549">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497"/>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7"/>
          <w:sz w:val="24"/>
          <w:szCs w:val="24"/>
          <w:highlight w:val="none"/>
          <w:lang w:eastAsia="zh-CN"/>
        </w:rPr>
        <w:t>7.2</w:t>
      </w:r>
      <w:r>
        <w:rPr>
          <w:rFonts w:ascii="宋体" w:hAnsi="宋体" w:eastAsia="宋体" w:cs="宋体"/>
          <w:b/>
          <w:bCs/>
          <w:color w:val="auto"/>
          <w:spacing w:val="-7"/>
          <w:sz w:val="28"/>
          <w:szCs w:val="28"/>
          <w:highlight w:val="none"/>
          <w:lang w:eastAsia="zh-CN"/>
        </w:rPr>
        <w:t>定标方式</w:t>
      </w:r>
    </w:p>
    <w:p w14:paraId="33108C4C">
      <w:pPr>
        <w:keepNext w:val="0"/>
        <w:keepLines w:val="0"/>
        <w:pageBreakBefore w:val="0"/>
        <w:widowControl/>
        <w:kinsoku w:val="0"/>
        <w:wordWrap/>
        <w:overflowPunct/>
        <w:topLinePunct w:val="0"/>
        <w:autoSpaceDE w:val="0"/>
        <w:autoSpaceDN w:val="0"/>
        <w:bidi w:val="0"/>
        <w:adjustRightInd w:val="0"/>
        <w:snapToGrid w:val="0"/>
        <w:spacing w:before="157" w:line="460" w:lineRule="exact"/>
        <w:ind w:firstLine="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7.2.1招标人授权评标委员会确定中标人或根据评标委员会推荐招标人确定招</w:t>
      </w:r>
      <w:r>
        <w:rPr>
          <w:rFonts w:ascii="宋体" w:hAnsi="宋体" w:eastAsia="宋体" w:cs="宋体"/>
          <w:color w:val="auto"/>
          <w:spacing w:val="1"/>
          <w:sz w:val="24"/>
          <w:szCs w:val="24"/>
          <w:highlight w:val="none"/>
          <w:lang w:eastAsia="zh-CN"/>
        </w:rPr>
        <w:t>标人的（评定分离除外</w:t>
      </w:r>
      <w:r>
        <w:rPr>
          <w:rFonts w:ascii="宋体" w:hAnsi="宋体" w:eastAsia="宋体" w:cs="宋体"/>
          <w:color w:val="auto"/>
          <w:spacing w:val="22"/>
          <w:sz w:val="24"/>
          <w:szCs w:val="24"/>
          <w:highlight w:val="none"/>
          <w:lang w:eastAsia="zh-CN"/>
        </w:rPr>
        <w:t>），</w:t>
      </w:r>
      <w:r>
        <w:rPr>
          <w:rFonts w:ascii="宋体" w:hAnsi="宋体" w:eastAsia="宋体" w:cs="宋体"/>
          <w:color w:val="auto"/>
          <w:spacing w:val="1"/>
          <w:sz w:val="24"/>
          <w:szCs w:val="24"/>
          <w:highlight w:val="none"/>
          <w:lang w:eastAsia="zh-CN"/>
        </w:rPr>
        <w:t xml:space="preserve">国有资金占控股或者主导地位的依法必须进行招标的项 </w:t>
      </w:r>
      <w:r>
        <w:rPr>
          <w:rFonts w:ascii="宋体" w:hAnsi="宋体" w:eastAsia="宋体" w:cs="宋体"/>
          <w:color w:val="auto"/>
          <w:spacing w:val="2"/>
          <w:sz w:val="24"/>
          <w:szCs w:val="24"/>
          <w:highlight w:val="none"/>
          <w:lang w:eastAsia="zh-CN"/>
        </w:rPr>
        <w:t>目，招标人应当确定排名第一的中标候选人为中标人。排名第一的中标候选人放弃中标、因不可抗力不能履行合同、不按照招标文件要求提交履约保证金，或者被查实存在影响中标结果的违法行为等情形，不符合中标条件的，招标人可以按照评标委员会提出的中标候选人名单排序依次确定其他中标候选人为中标人，也可以重新</w:t>
      </w:r>
      <w:r>
        <w:rPr>
          <w:rFonts w:ascii="宋体" w:hAnsi="宋体" w:eastAsia="宋体" w:cs="宋体"/>
          <w:color w:val="auto"/>
          <w:spacing w:val="-3"/>
          <w:sz w:val="24"/>
          <w:szCs w:val="24"/>
          <w:highlight w:val="none"/>
          <w:lang w:eastAsia="zh-CN"/>
        </w:rPr>
        <w:t>招标。</w:t>
      </w:r>
    </w:p>
    <w:p w14:paraId="7A802EB6">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87"/>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7.2.2 定标原则：招标人负责制、公开透明、诚信守约的原则。</w:t>
      </w:r>
    </w:p>
    <w:p w14:paraId="51C746E8">
      <w:pPr>
        <w:keepNext w:val="0"/>
        <w:keepLines w:val="0"/>
        <w:pageBreakBefore w:val="0"/>
        <w:widowControl/>
        <w:kinsoku w:val="0"/>
        <w:wordWrap/>
        <w:overflowPunct/>
        <w:topLinePunct w:val="0"/>
        <w:autoSpaceDE w:val="0"/>
        <w:autoSpaceDN w:val="0"/>
        <w:bidi w:val="0"/>
        <w:adjustRightInd w:val="0"/>
        <w:snapToGrid w:val="0"/>
        <w:spacing w:before="27" w:line="460" w:lineRule="exact"/>
        <w:ind w:left="1" w:right="127" w:firstLine="485"/>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7.2.3定标会议时间和地点：招标人在投标人须知前附表7.2.3规定的时间和</w:t>
      </w:r>
      <w:r>
        <w:rPr>
          <w:rFonts w:ascii="宋体" w:hAnsi="宋体" w:eastAsia="宋体" w:cs="宋体"/>
          <w:color w:val="auto"/>
          <w:spacing w:val="-1"/>
          <w:sz w:val="24"/>
          <w:szCs w:val="24"/>
          <w:highlight w:val="none"/>
          <w:lang w:eastAsia="zh-CN"/>
        </w:rPr>
        <w:t>地点召开定标会议，招标人的纪检监察部门应对招</w:t>
      </w:r>
      <w:r>
        <w:rPr>
          <w:rFonts w:ascii="宋体" w:hAnsi="宋体" w:eastAsia="宋体" w:cs="宋体"/>
          <w:color w:val="auto"/>
          <w:spacing w:val="-2"/>
          <w:sz w:val="24"/>
          <w:szCs w:val="24"/>
          <w:highlight w:val="none"/>
          <w:lang w:eastAsia="zh-CN"/>
        </w:rPr>
        <w:t>标投标活动的全过程进行监督。</w:t>
      </w:r>
    </w:p>
    <w:p w14:paraId="40232D3E">
      <w:pPr>
        <w:keepNext w:val="0"/>
        <w:keepLines w:val="0"/>
        <w:pageBreakBefore w:val="0"/>
        <w:widowControl/>
        <w:kinsoku w:val="0"/>
        <w:wordWrap/>
        <w:overflowPunct/>
        <w:topLinePunct w:val="0"/>
        <w:autoSpaceDE w:val="0"/>
        <w:autoSpaceDN w:val="0"/>
        <w:bidi w:val="0"/>
        <w:adjustRightInd w:val="0"/>
        <w:snapToGrid w:val="0"/>
        <w:spacing w:before="31" w:line="460" w:lineRule="exact"/>
        <w:ind w:left="1" w:right="88" w:firstLine="485"/>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7.2.4 招标人可在投标人须知前附表7.2.4规定的时间前对所有中</w:t>
      </w:r>
      <w:r>
        <w:rPr>
          <w:rFonts w:ascii="宋体" w:hAnsi="宋体" w:eastAsia="宋体" w:cs="宋体"/>
          <w:color w:val="auto"/>
          <w:spacing w:val="-2"/>
          <w:sz w:val="24"/>
          <w:szCs w:val="24"/>
          <w:highlight w:val="none"/>
          <w:lang w:eastAsia="zh-CN"/>
        </w:rPr>
        <w:t>标候选人进</w:t>
      </w:r>
      <w:r>
        <w:rPr>
          <w:rFonts w:ascii="宋体" w:hAnsi="宋体" w:eastAsia="宋体" w:cs="宋体"/>
          <w:color w:val="auto"/>
          <w:spacing w:val="-1"/>
          <w:sz w:val="24"/>
          <w:szCs w:val="24"/>
          <w:highlight w:val="none"/>
          <w:lang w:eastAsia="zh-CN"/>
        </w:rPr>
        <w:t>行考察、质询。考察、质询小组应由投标人须知前附表7.2.4规定的人数组成。考</w:t>
      </w:r>
      <w:r>
        <w:rPr>
          <w:rFonts w:ascii="宋体" w:hAnsi="宋体" w:eastAsia="宋体" w:cs="宋体"/>
          <w:color w:val="auto"/>
          <w:sz w:val="24"/>
          <w:szCs w:val="24"/>
          <w:highlight w:val="none"/>
          <w:lang w:eastAsia="zh-CN"/>
        </w:rPr>
        <w:t>察、质询小组应如实记录考察、质询情况，并出具考察、</w:t>
      </w:r>
      <w:r>
        <w:rPr>
          <w:rFonts w:ascii="宋体" w:hAnsi="宋体" w:eastAsia="宋体" w:cs="宋体"/>
          <w:color w:val="auto"/>
          <w:spacing w:val="-1"/>
          <w:sz w:val="24"/>
          <w:szCs w:val="24"/>
          <w:highlight w:val="none"/>
          <w:lang w:eastAsia="zh-CN"/>
        </w:rPr>
        <w:t>质询报告作为定标要素之</w:t>
      </w:r>
      <w:r>
        <w:rPr>
          <w:rFonts w:ascii="宋体" w:hAnsi="宋体" w:eastAsia="宋体" w:cs="宋体"/>
          <w:color w:val="auto"/>
          <w:sz w:val="24"/>
          <w:szCs w:val="24"/>
          <w:highlight w:val="none"/>
          <w:lang w:eastAsia="zh-CN"/>
        </w:rPr>
        <w:t>一。考察、质询报告应客观公正，不得有明</w:t>
      </w:r>
      <w:r>
        <w:rPr>
          <w:rFonts w:ascii="宋体" w:hAnsi="宋体" w:eastAsia="宋体" w:cs="宋体"/>
          <w:color w:val="auto"/>
          <w:spacing w:val="-1"/>
          <w:sz w:val="24"/>
          <w:szCs w:val="24"/>
          <w:highlight w:val="none"/>
          <w:lang w:eastAsia="zh-CN"/>
        </w:rPr>
        <w:t>示或暗示中标人的内容。</w:t>
      </w:r>
    </w:p>
    <w:p w14:paraId="128BAEBE">
      <w:pPr>
        <w:keepNext w:val="0"/>
        <w:keepLines w:val="0"/>
        <w:pageBreakBefore w:val="0"/>
        <w:widowControl/>
        <w:kinsoku w:val="0"/>
        <w:wordWrap/>
        <w:overflowPunct/>
        <w:topLinePunct w:val="0"/>
        <w:autoSpaceDE w:val="0"/>
        <w:autoSpaceDN w:val="0"/>
        <w:bidi w:val="0"/>
        <w:adjustRightInd w:val="0"/>
        <w:snapToGrid w:val="0"/>
        <w:spacing w:before="28" w:line="460" w:lineRule="exact"/>
        <w:ind w:firstLine="487"/>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7.2.5 定标委员会由招标人负责组建。定标委员会由投标人须知前附表</w:t>
      </w:r>
      <w:r>
        <w:rPr>
          <w:rFonts w:ascii="宋体" w:hAnsi="宋体" w:eastAsia="宋体" w:cs="宋体"/>
          <w:color w:val="auto"/>
          <w:spacing w:val="4"/>
          <w:sz w:val="24"/>
          <w:szCs w:val="24"/>
          <w:highlight w:val="none"/>
          <w:lang w:eastAsia="zh-CN"/>
        </w:rPr>
        <w:t>7.2.5</w:t>
      </w:r>
      <w:r>
        <w:rPr>
          <w:rFonts w:ascii="宋体" w:hAnsi="宋体" w:eastAsia="宋体" w:cs="宋体"/>
          <w:color w:val="auto"/>
          <w:spacing w:val="2"/>
          <w:sz w:val="24"/>
          <w:szCs w:val="24"/>
          <w:highlight w:val="none"/>
          <w:lang w:eastAsia="zh-CN"/>
        </w:rPr>
        <w:t>规定的人数组成。定标委员会成员与中标候选人有利害关系的应主动说明并申请回</w:t>
      </w:r>
      <w:r>
        <w:rPr>
          <w:rFonts w:ascii="宋体" w:hAnsi="宋体" w:eastAsia="宋体" w:cs="宋体"/>
          <w:color w:val="auto"/>
          <w:spacing w:val="-1"/>
          <w:sz w:val="24"/>
          <w:szCs w:val="24"/>
          <w:highlight w:val="none"/>
          <w:lang w:eastAsia="zh-CN"/>
        </w:rPr>
        <w:t>避，定标委员会名单在中标结果确定前保密。</w:t>
      </w:r>
    </w:p>
    <w:p w14:paraId="142EE7CF">
      <w:pPr>
        <w:keepNext w:val="0"/>
        <w:keepLines w:val="0"/>
        <w:pageBreakBefore w:val="0"/>
        <w:widowControl/>
        <w:kinsoku w:val="0"/>
        <w:wordWrap/>
        <w:overflowPunct/>
        <w:topLinePunct w:val="0"/>
        <w:autoSpaceDE w:val="0"/>
        <w:autoSpaceDN w:val="0"/>
        <w:bidi w:val="0"/>
        <w:adjustRightInd w:val="0"/>
        <w:snapToGrid w:val="0"/>
        <w:spacing w:before="27" w:line="460" w:lineRule="exact"/>
        <w:ind w:firstLine="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7.2.6招标人在定标会议中可对中标候选人开展现场面试，中标候选人拟派项</w:t>
      </w:r>
      <w:r>
        <w:rPr>
          <w:rFonts w:ascii="宋体" w:hAnsi="宋体" w:eastAsia="宋体" w:cs="宋体"/>
          <w:color w:val="auto"/>
          <w:spacing w:val="2"/>
          <w:sz w:val="24"/>
          <w:szCs w:val="24"/>
          <w:highlight w:val="none"/>
          <w:lang w:eastAsia="zh-CN"/>
        </w:rPr>
        <w:t>目负责人，以及投标人（联合体投标的，为联合体牵头人）持有安全生产考核合格证书的企业主要负责人（法定代表人、企业经理、企业分管安全生产的副经理、企</w:t>
      </w:r>
      <w:r>
        <w:rPr>
          <w:rFonts w:ascii="宋体" w:hAnsi="宋体" w:eastAsia="宋体" w:cs="宋体"/>
          <w:color w:val="auto"/>
          <w:spacing w:val="-1"/>
          <w:sz w:val="24"/>
          <w:szCs w:val="24"/>
          <w:highlight w:val="none"/>
          <w:lang w:eastAsia="zh-CN"/>
        </w:rPr>
        <w:t>业技术负责人中任意一人）参加现场面试。</w:t>
      </w:r>
    </w:p>
    <w:p w14:paraId="12E5567D">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 w:firstLine="482"/>
        <w:textAlignment w:val="auto"/>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7.2.7 定标要素应参考评标委员会评标报告、质</w:t>
      </w:r>
      <w:r>
        <w:rPr>
          <w:rFonts w:ascii="宋体" w:hAnsi="宋体" w:eastAsia="宋体" w:cs="宋体"/>
          <w:color w:val="auto"/>
          <w:spacing w:val="8"/>
          <w:sz w:val="24"/>
          <w:szCs w:val="24"/>
          <w:highlight w:val="none"/>
          <w:lang w:eastAsia="zh-CN"/>
        </w:rPr>
        <w:t>询或考察报告、现场面试情</w:t>
      </w:r>
      <w:r>
        <w:rPr>
          <w:rFonts w:ascii="宋体" w:hAnsi="宋体" w:eastAsia="宋体" w:cs="宋体"/>
          <w:color w:val="auto"/>
          <w:spacing w:val="-1"/>
          <w:sz w:val="24"/>
          <w:szCs w:val="24"/>
          <w:highlight w:val="none"/>
          <w:lang w:eastAsia="zh-CN"/>
        </w:rPr>
        <w:t>况，此外，根据投标人须知前附表7.27选定内容为定标要素</w:t>
      </w:r>
    </w:p>
    <w:p w14:paraId="509C6E2D">
      <w:pPr>
        <w:keepNext w:val="0"/>
        <w:keepLines w:val="0"/>
        <w:pageBreakBefore w:val="0"/>
        <w:widowControl/>
        <w:kinsoku w:val="0"/>
        <w:wordWrap/>
        <w:overflowPunct/>
        <w:topLinePunct w:val="0"/>
        <w:autoSpaceDE w:val="0"/>
        <w:autoSpaceDN w:val="0"/>
        <w:bidi w:val="0"/>
        <w:adjustRightInd w:val="0"/>
        <w:snapToGrid w:val="0"/>
        <w:spacing w:before="28" w:line="460" w:lineRule="exact"/>
        <w:ind w:left="2" w:firstLine="490"/>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（1）价格因素：主要包括商务报价高低、主要材料报价的合理性、不平衡报</w:t>
      </w:r>
      <w:r>
        <w:rPr>
          <w:rFonts w:ascii="宋体" w:hAnsi="宋体" w:eastAsia="宋体" w:cs="宋体"/>
          <w:color w:val="auto"/>
          <w:spacing w:val="-3"/>
          <w:sz w:val="24"/>
          <w:szCs w:val="24"/>
          <w:highlight w:val="none"/>
          <w:lang w:eastAsia="zh-CN"/>
        </w:rPr>
        <w:t>价情况等；</w:t>
      </w:r>
    </w:p>
    <w:p w14:paraId="4BE5C8FF">
      <w:pPr>
        <w:keepNext w:val="0"/>
        <w:keepLines w:val="0"/>
        <w:pageBreakBefore w:val="0"/>
        <w:widowControl/>
        <w:kinsoku w:val="0"/>
        <w:wordWrap/>
        <w:overflowPunct/>
        <w:topLinePunct w:val="0"/>
        <w:autoSpaceDE w:val="0"/>
        <w:autoSpaceDN w:val="0"/>
        <w:bidi w:val="0"/>
        <w:adjustRightInd w:val="0"/>
        <w:snapToGrid w:val="0"/>
        <w:spacing w:before="31" w:line="460" w:lineRule="exact"/>
        <w:ind w:left="2" w:firstLine="490"/>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（2）企业实力：主要包括企业规模、资质等级、专业技术人员规模、近年的</w:t>
      </w:r>
      <w:r>
        <w:rPr>
          <w:rFonts w:ascii="宋体" w:hAnsi="宋体" w:eastAsia="宋体" w:cs="宋体"/>
          <w:color w:val="auto"/>
          <w:spacing w:val="-1"/>
          <w:sz w:val="24"/>
          <w:szCs w:val="24"/>
          <w:highlight w:val="none"/>
          <w:lang w:eastAsia="zh-CN"/>
        </w:rPr>
        <w:t>财务状况、过往业绩（含业绩影响力、难易程度）等；</w:t>
      </w:r>
    </w:p>
    <w:p w14:paraId="05ED7AF6">
      <w:pPr>
        <w:keepNext w:val="0"/>
        <w:keepLines w:val="0"/>
        <w:pageBreakBefore w:val="0"/>
        <w:widowControl/>
        <w:kinsoku w:val="0"/>
        <w:wordWrap/>
        <w:overflowPunct/>
        <w:topLinePunct w:val="0"/>
        <w:autoSpaceDE w:val="0"/>
        <w:autoSpaceDN w:val="0"/>
        <w:bidi w:val="0"/>
        <w:adjustRightInd w:val="0"/>
        <w:snapToGrid w:val="0"/>
        <w:spacing w:before="27" w:line="460" w:lineRule="exact"/>
        <w:ind w:firstLine="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（3）企业信誉：主要包括企业信用情况、过往业绩履约情况、建设单位履约</w:t>
      </w:r>
      <w:r>
        <w:rPr>
          <w:rFonts w:ascii="宋体" w:hAnsi="宋体" w:eastAsia="宋体" w:cs="宋体"/>
          <w:color w:val="auto"/>
          <w:spacing w:val="2"/>
          <w:sz w:val="24"/>
          <w:szCs w:val="24"/>
          <w:highlight w:val="none"/>
          <w:lang w:eastAsia="zh-CN"/>
        </w:rPr>
        <w:t>评价情况等（可查询全国和浙江省建筑市场监管公共服务系统、浙江省交通运输信</w:t>
      </w:r>
      <w:r>
        <w:rPr>
          <w:rFonts w:ascii="宋体" w:hAnsi="宋体" w:eastAsia="宋体" w:cs="宋体"/>
          <w:color w:val="auto"/>
          <w:sz w:val="24"/>
          <w:szCs w:val="24"/>
          <w:highlight w:val="none"/>
          <w:lang w:eastAsia="zh-CN"/>
        </w:rPr>
        <w:t>用综合管理服务系统、全国或浙江省水利建</w:t>
      </w:r>
      <w:r>
        <w:rPr>
          <w:rFonts w:ascii="宋体" w:hAnsi="宋体" w:eastAsia="宋体" w:cs="宋体"/>
          <w:color w:val="auto"/>
          <w:spacing w:val="-1"/>
          <w:sz w:val="24"/>
          <w:szCs w:val="24"/>
          <w:highlight w:val="none"/>
          <w:lang w:eastAsia="zh-CN"/>
        </w:rPr>
        <w:t>设市场监管服务平台等</w:t>
      </w:r>
      <w:r>
        <w:rPr>
          <w:rFonts w:ascii="宋体" w:hAnsi="宋体" w:eastAsia="宋体" w:cs="宋体"/>
          <w:color w:val="auto"/>
          <w:sz w:val="24"/>
          <w:szCs w:val="24"/>
          <w:highlight w:val="none"/>
          <w:lang w:eastAsia="zh-CN"/>
        </w:rPr>
        <w:t>）；</w:t>
      </w:r>
    </w:p>
    <w:p w14:paraId="44851F5C">
      <w:pPr>
        <w:keepNext w:val="0"/>
        <w:keepLines w:val="0"/>
        <w:pageBreakBefore w:val="0"/>
        <w:widowControl/>
        <w:kinsoku w:val="0"/>
        <w:wordWrap/>
        <w:overflowPunct/>
        <w:topLinePunct w:val="0"/>
        <w:autoSpaceDE w:val="0"/>
        <w:autoSpaceDN w:val="0"/>
        <w:bidi w:val="0"/>
        <w:adjustRightInd w:val="0"/>
        <w:snapToGrid w:val="0"/>
        <w:spacing w:before="28" w:line="460" w:lineRule="exact"/>
        <w:ind w:left="21" w:firstLine="471"/>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（4）投标方案：主要包括技术标情况、工程建设重难点解决方案、主要材料</w:t>
      </w:r>
      <w:r>
        <w:rPr>
          <w:rFonts w:ascii="宋体" w:hAnsi="宋体" w:eastAsia="宋体" w:cs="宋体"/>
          <w:color w:val="auto"/>
          <w:spacing w:val="-8"/>
          <w:sz w:val="24"/>
          <w:szCs w:val="24"/>
          <w:highlight w:val="none"/>
          <w:lang w:eastAsia="zh-CN"/>
        </w:rPr>
        <w:t>品牌等；</w:t>
      </w:r>
    </w:p>
    <w:p w14:paraId="6F53A7FA">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7" w:firstLine="445"/>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（5）拟派团队能力与水平：主要包括团队主要负责人类似工程业绩、拟派项</w:t>
      </w:r>
      <w:r>
        <w:rPr>
          <w:rFonts w:ascii="宋体" w:hAnsi="宋体" w:eastAsia="宋体" w:cs="宋体"/>
          <w:color w:val="auto"/>
          <w:spacing w:val="-5"/>
          <w:sz w:val="24"/>
          <w:szCs w:val="24"/>
          <w:highlight w:val="none"/>
          <w:lang w:eastAsia="zh-CN"/>
        </w:rPr>
        <w:t>目团队人员的资信实力等；</w:t>
      </w:r>
    </w:p>
    <w:p w14:paraId="0F80CB4A">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3"/>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（6）联合体投标的，联合体组成情况；</w:t>
      </w:r>
    </w:p>
    <w:p w14:paraId="0C556C11">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3"/>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（7）企业质量安全、无欠薪管理情况；</w:t>
      </w:r>
    </w:p>
    <w:p w14:paraId="29348594">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3"/>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（8）企业项目班组人员到岗履职等管理情况；</w:t>
      </w:r>
    </w:p>
    <w:p w14:paraId="0C77C926">
      <w:pPr>
        <w:keepNext w:val="0"/>
        <w:keepLines w:val="0"/>
        <w:pageBreakBefore w:val="0"/>
        <w:widowControl/>
        <w:kinsoku w:val="0"/>
        <w:wordWrap/>
        <w:overflowPunct/>
        <w:topLinePunct w:val="0"/>
        <w:autoSpaceDE w:val="0"/>
        <w:autoSpaceDN w:val="0"/>
        <w:bidi w:val="0"/>
        <w:adjustRightInd w:val="0"/>
        <w:snapToGrid w:val="0"/>
        <w:spacing w:before="47" w:line="460" w:lineRule="exact"/>
        <w:ind w:left="492"/>
        <w:textAlignment w:val="auto"/>
        <w:rPr>
          <w:rFonts w:ascii="宋体" w:hAnsi="宋体" w:eastAsia="宋体" w:cs="宋体"/>
          <w:color w:val="auto"/>
          <w:sz w:val="24"/>
          <w:szCs w:val="24"/>
          <w:highlight w:val="none"/>
          <w:lang w:eastAsia="zh-CN"/>
        </w:rPr>
      </w:pPr>
      <w:bookmarkStart w:id="11" w:name="bookmark15"/>
      <w:bookmarkEnd w:id="11"/>
      <w:r>
        <w:rPr>
          <w:rFonts w:ascii="宋体" w:hAnsi="宋体" w:eastAsia="宋体" w:cs="宋体"/>
          <w:color w:val="auto"/>
          <w:spacing w:val="-2"/>
          <w:sz w:val="24"/>
          <w:szCs w:val="24"/>
          <w:highlight w:val="none"/>
          <w:lang w:eastAsia="zh-CN"/>
        </w:rPr>
        <w:t>（9）工程保修维护等后续服务便利；</w:t>
      </w:r>
    </w:p>
    <w:p w14:paraId="355DA7C1">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（10）落实建筑业高质量发展政策；</w:t>
      </w:r>
    </w:p>
    <w:p w14:paraId="0FECEA51">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（11）落实政府其他政策；</w:t>
      </w:r>
    </w:p>
    <w:p w14:paraId="1A005B4D">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（12）招标人认为需要考量的其他因素。</w:t>
      </w:r>
    </w:p>
    <w:p w14:paraId="4B38B23A">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7.2.8定标方法可采用下列方法或者下列方法的组合：</w:t>
      </w:r>
    </w:p>
    <w:p w14:paraId="6EDDB19A">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（1）票决法。由定标委员会以直接票决或者逐轮票决的方式确定中标人。</w:t>
      </w:r>
    </w:p>
    <w:p w14:paraId="293B4EAF">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 w:firstLine="487"/>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（2）集体议事法。由定标委员会进行集体商议，定标委员会成员各自发表意</w:t>
      </w:r>
      <w:r>
        <w:rPr>
          <w:rFonts w:ascii="宋体" w:hAnsi="宋体" w:eastAsia="宋体" w:cs="宋体"/>
          <w:color w:val="auto"/>
          <w:spacing w:val="2"/>
          <w:sz w:val="24"/>
          <w:szCs w:val="24"/>
          <w:highlight w:val="none"/>
          <w:lang w:eastAsia="zh-CN"/>
        </w:rPr>
        <w:t xml:space="preserve">见，由定标委员会组长最终确定中标人。所有参加会议的定标委员会成员的意见应 </w:t>
      </w:r>
      <w:r>
        <w:rPr>
          <w:rFonts w:ascii="宋体" w:hAnsi="宋体" w:eastAsia="宋体" w:cs="宋体"/>
          <w:color w:val="auto"/>
          <w:spacing w:val="-1"/>
          <w:sz w:val="24"/>
          <w:szCs w:val="24"/>
          <w:highlight w:val="none"/>
          <w:lang w:eastAsia="zh-CN"/>
        </w:rPr>
        <w:t>当作书面记录，并由定标委员会成员签字确认。</w:t>
      </w:r>
    </w:p>
    <w:p w14:paraId="0D989451">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（3）投标人须知前附表7.2.8规定的其他定标办法。</w:t>
      </w:r>
    </w:p>
    <w:p w14:paraId="4870D1E6">
      <w:pPr>
        <w:keepNext w:val="0"/>
        <w:keepLines w:val="0"/>
        <w:pageBreakBefore w:val="0"/>
        <w:widowControl/>
        <w:kinsoku w:val="0"/>
        <w:wordWrap/>
        <w:overflowPunct/>
        <w:topLinePunct w:val="0"/>
        <w:autoSpaceDE w:val="0"/>
        <w:autoSpaceDN w:val="0"/>
        <w:bidi w:val="0"/>
        <w:adjustRightInd w:val="0"/>
        <w:snapToGrid w:val="0"/>
        <w:spacing w:before="30" w:line="460" w:lineRule="exact"/>
        <w:ind w:left="4" w:right="88" w:firstLine="481"/>
        <w:textAlignment w:val="auto"/>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7.2.9招标人应当将中标结果情况在投标人须</w:t>
      </w:r>
      <w:r>
        <w:rPr>
          <w:rFonts w:ascii="宋体" w:hAnsi="宋体" w:eastAsia="宋体" w:cs="宋体"/>
          <w:color w:val="auto"/>
          <w:spacing w:val="-1"/>
          <w:sz w:val="24"/>
          <w:szCs w:val="24"/>
          <w:highlight w:val="none"/>
          <w:lang w:eastAsia="zh-CN"/>
        </w:rPr>
        <w:t>知前附表7.2.9规定的媒介上公告</w:t>
      </w:r>
      <w:r>
        <w:rPr>
          <w:rFonts w:ascii="宋体" w:hAnsi="宋体" w:eastAsia="宋体" w:cs="宋体"/>
          <w:color w:val="auto"/>
          <w:spacing w:val="-3"/>
          <w:sz w:val="24"/>
          <w:szCs w:val="24"/>
          <w:highlight w:val="none"/>
          <w:lang w:eastAsia="zh-CN"/>
        </w:rPr>
        <w:t>不少于3日。</w:t>
      </w:r>
    </w:p>
    <w:p w14:paraId="4FA68E55">
      <w:pPr>
        <w:keepNext w:val="0"/>
        <w:keepLines w:val="0"/>
        <w:pageBreakBefore w:val="0"/>
        <w:widowControl/>
        <w:kinsoku w:val="0"/>
        <w:wordWrap/>
        <w:overflowPunct/>
        <w:topLinePunct w:val="0"/>
        <w:autoSpaceDE w:val="0"/>
        <w:autoSpaceDN w:val="0"/>
        <w:bidi w:val="0"/>
        <w:adjustRightInd w:val="0"/>
        <w:snapToGrid w:val="0"/>
        <w:spacing w:before="25" w:line="460" w:lineRule="exact"/>
        <w:ind w:right="88" w:firstLine="486"/>
        <w:textAlignment w:val="auto"/>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7.2.10定标后且中标通知书发出前有下</w:t>
      </w:r>
      <w:r>
        <w:rPr>
          <w:rFonts w:ascii="宋体" w:hAnsi="宋体" w:eastAsia="宋体" w:cs="宋体"/>
          <w:color w:val="auto"/>
          <w:spacing w:val="-1"/>
          <w:sz w:val="24"/>
          <w:szCs w:val="24"/>
          <w:highlight w:val="none"/>
          <w:lang w:eastAsia="zh-CN"/>
        </w:rPr>
        <w:t>列情形之一的，招标人可以组织原定标委员会从其他中标候选人中按原定标方法确定中标人：</w:t>
      </w:r>
    </w:p>
    <w:p w14:paraId="299E8B50">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（1）中标人放弃中标资格或者拒不签订合同的；</w:t>
      </w:r>
    </w:p>
    <w:p w14:paraId="3979BAC8">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（2）中标人被查实存在违法行为影响中标结果的；</w:t>
      </w:r>
    </w:p>
    <w:p w14:paraId="22B1F91D">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（3）投标人须知前附表7.2.10规定的其他情形。</w:t>
      </w:r>
    </w:p>
    <w:p w14:paraId="6586E4A2">
      <w:pPr>
        <w:keepNext w:val="0"/>
        <w:keepLines w:val="0"/>
        <w:pageBreakBefore w:val="0"/>
        <w:widowControl/>
        <w:kinsoku w:val="0"/>
        <w:wordWrap/>
        <w:overflowPunct/>
        <w:topLinePunct w:val="0"/>
        <w:autoSpaceDE w:val="0"/>
        <w:autoSpaceDN w:val="0"/>
        <w:bidi w:val="0"/>
        <w:adjustRightInd w:val="0"/>
        <w:snapToGrid w:val="0"/>
        <w:spacing w:before="29" w:line="460" w:lineRule="exact"/>
        <w:ind w:left="606"/>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7.2.11定标后有下列情形之一的，应重新定标：</w:t>
      </w:r>
    </w:p>
    <w:p w14:paraId="3EBD0BB9">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（1）查实定标委员会未按定标办法公正履职的；</w:t>
      </w:r>
    </w:p>
    <w:p w14:paraId="7DE4B104">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（2）有定标委员会成员与中标候选人有利害关系且未申请回避的；</w:t>
      </w:r>
    </w:p>
    <w:p w14:paraId="2F808C54">
      <w:pPr>
        <w:keepNext w:val="0"/>
        <w:keepLines w:val="0"/>
        <w:pageBreakBefore w:val="0"/>
        <w:widowControl/>
        <w:kinsoku w:val="0"/>
        <w:wordWrap/>
        <w:overflowPunct/>
        <w:topLinePunct w:val="0"/>
        <w:autoSpaceDE w:val="0"/>
        <w:autoSpaceDN w:val="0"/>
        <w:bidi w:val="0"/>
        <w:adjustRightInd w:val="0"/>
        <w:snapToGrid w:val="0"/>
        <w:spacing w:before="29"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（3）投标人须知前附表7.2.11规定的其他情形。</w:t>
      </w:r>
    </w:p>
    <w:p w14:paraId="4E2176E4">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96"/>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10"/>
          <w:sz w:val="24"/>
          <w:szCs w:val="24"/>
          <w:highlight w:val="none"/>
          <w:lang w:eastAsia="zh-CN"/>
        </w:rPr>
        <w:t>7.3</w:t>
      </w:r>
      <w:r>
        <w:rPr>
          <w:rFonts w:ascii="宋体" w:hAnsi="宋体" w:eastAsia="宋体" w:cs="宋体"/>
          <w:b/>
          <w:bCs/>
          <w:color w:val="auto"/>
          <w:spacing w:val="-10"/>
          <w:sz w:val="28"/>
          <w:szCs w:val="28"/>
          <w:highlight w:val="none"/>
          <w:lang w:eastAsia="zh-CN"/>
        </w:rPr>
        <w:t>中标通知</w:t>
      </w:r>
    </w:p>
    <w:p w14:paraId="16CB3D6B">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5" w:firstLine="475"/>
        <w:textAlignment w:val="auto"/>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在本章第</w:t>
      </w:r>
      <w:r>
        <w:rPr>
          <w:rFonts w:ascii="Times New Roman" w:hAnsi="Times New Roman" w:eastAsia="Times New Roman" w:cs="Times New Roman"/>
          <w:color w:val="auto"/>
          <w:sz w:val="24"/>
          <w:szCs w:val="24"/>
          <w:highlight w:val="none"/>
          <w:lang w:eastAsia="zh-CN"/>
        </w:rPr>
        <w:t>3.3</w:t>
      </w:r>
      <w:r>
        <w:rPr>
          <w:rFonts w:ascii="宋体" w:hAnsi="宋体" w:eastAsia="宋体" w:cs="宋体"/>
          <w:color w:val="auto"/>
          <w:sz w:val="24"/>
          <w:szCs w:val="24"/>
          <w:highlight w:val="none"/>
          <w:lang w:eastAsia="zh-CN"/>
        </w:rPr>
        <w:t>款规定的投标有效期内，招标人以书面形式向中标人发出中标通知</w:t>
      </w:r>
      <w:r>
        <w:rPr>
          <w:rFonts w:ascii="宋体" w:hAnsi="宋体" w:eastAsia="宋体" w:cs="宋体"/>
          <w:color w:val="auto"/>
          <w:spacing w:val="-1"/>
          <w:sz w:val="24"/>
          <w:szCs w:val="24"/>
          <w:highlight w:val="none"/>
          <w:lang w:eastAsia="zh-CN"/>
        </w:rPr>
        <w:t>书，同时将中标结果通知未中标的投标人。</w:t>
      </w:r>
    </w:p>
    <w:p w14:paraId="30D8DF5E">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96"/>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7"/>
          <w:sz w:val="24"/>
          <w:szCs w:val="24"/>
          <w:highlight w:val="none"/>
          <w:lang w:eastAsia="zh-CN"/>
        </w:rPr>
        <w:t>7.4</w:t>
      </w:r>
      <w:r>
        <w:rPr>
          <w:rFonts w:ascii="宋体" w:hAnsi="宋体" w:eastAsia="宋体" w:cs="宋体"/>
          <w:b/>
          <w:bCs/>
          <w:color w:val="auto"/>
          <w:spacing w:val="-7"/>
          <w:sz w:val="28"/>
          <w:szCs w:val="28"/>
          <w:highlight w:val="none"/>
          <w:lang w:eastAsia="zh-CN"/>
        </w:rPr>
        <w:t>履约担保</w:t>
      </w:r>
    </w:p>
    <w:p w14:paraId="1FC40783">
      <w:pPr>
        <w:keepNext w:val="0"/>
        <w:keepLines w:val="0"/>
        <w:pageBreakBefore w:val="0"/>
        <w:widowControl/>
        <w:kinsoku w:val="0"/>
        <w:wordWrap/>
        <w:overflowPunct/>
        <w:topLinePunct w:val="0"/>
        <w:autoSpaceDE w:val="0"/>
        <w:autoSpaceDN w:val="0"/>
        <w:bidi w:val="0"/>
        <w:adjustRightInd w:val="0"/>
        <w:snapToGrid w:val="0"/>
        <w:spacing w:before="157" w:line="460" w:lineRule="exact"/>
        <w:ind w:firstLine="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7.4.1在签订合同前，中标人应按投标人须知前附表规定的金额、银行保函或</w:t>
      </w:r>
      <w:r>
        <w:rPr>
          <w:rFonts w:ascii="宋体" w:hAnsi="宋体" w:eastAsia="宋体" w:cs="宋体"/>
          <w:color w:val="auto"/>
          <w:spacing w:val="1"/>
          <w:sz w:val="24"/>
          <w:szCs w:val="24"/>
          <w:highlight w:val="none"/>
          <w:lang w:eastAsia="zh-CN"/>
        </w:rPr>
        <w:t>保险公司保函和招标文件第四章“合同条款及格式”规定的履约担保形式向招标人</w:t>
      </w:r>
      <w:r>
        <w:rPr>
          <w:rFonts w:ascii="宋体" w:hAnsi="宋体" w:eastAsia="宋体" w:cs="宋体"/>
          <w:color w:val="auto"/>
          <w:spacing w:val="2"/>
          <w:sz w:val="24"/>
          <w:szCs w:val="24"/>
          <w:highlight w:val="none"/>
          <w:lang w:eastAsia="zh-CN"/>
        </w:rPr>
        <w:t>提交履约担保。联合体中标的，其履约担保由牵头人递交，并应符合投标人须知前</w:t>
      </w:r>
      <w:r>
        <w:rPr>
          <w:rFonts w:ascii="宋体" w:hAnsi="宋体" w:eastAsia="宋体" w:cs="宋体"/>
          <w:color w:val="auto"/>
          <w:spacing w:val="1"/>
          <w:sz w:val="24"/>
          <w:szCs w:val="24"/>
          <w:highlight w:val="none"/>
          <w:lang w:eastAsia="zh-CN"/>
        </w:rPr>
        <w:t>附表规定的金额、担保形式和招标文件第四章“合同条款及格式”规定的履约担保</w:t>
      </w:r>
      <w:r>
        <w:rPr>
          <w:rFonts w:ascii="宋体" w:hAnsi="宋体" w:eastAsia="宋体" w:cs="宋体"/>
          <w:color w:val="auto"/>
          <w:spacing w:val="-3"/>
          <w:sz w:val="24"/>
          <w:szCs w:val="24"/>
          <w:highlight w:val="none"/>
          <w:lang w:eastAsia="zh-CN"/>
        </w:rPr>
        <w:t>要求。</w:t>
      </w:r>
    </w:p>
    <w:p w14:paraId="05CFD15A">
      <w:pPr>
        <w:keepNext w:val="0"/>
        <w:keepLines w:val="0"/>
        <w:pageBreakBefore w:val="0"/>
        <w:widowControl/>
        <w:kinsoku w:val="0"/>
        <w:wordWrap/>
        <w:overflowPunct/>
        <w:topLinePunct w:val="0"/>
        <w:autoSpaceDE w:val="0"/>
        <w:autoSpaceDN w:val="0"/>
        <w:bidi w:val="0"/>
        <w:adjustRightInd w:val="0"/>
        <w:snapToGrid w:val="0"/>
        <w:spacing w:before="26" w:line="460" w:lineRule="exact"/>
        <w:ind w:firstLine="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7.4.2中标人不能按本章第7.4.1项要求提交履约担保的，视为放</w:t>
      </w:r>
      <w:r>
        <w:rPr>
          <w:rFonts w:ascii="宋体" w:hAnsi="宋体" w:eastAsia="宋体" w:cs="宋体"/>
          <w:color w:val="auto"/>
          <w:spacing w:val="1"/>
          <w:sz w:val="24"/>
          <w:szCs w:val="24"/>
          <w:highlight w:val="none"/>
          <w:lang w:eastAsia="zh-CN"/>
        </w:rPr>
        <w:t>弃中标，其投</w:t>
      </w:r>
      <w:r>
        <w:rPr>
          <w:rFonts w:ascii="宋体" w:hAnsi="宋体" w:eastAsia="宋体" w:cs="宋体"/>
          <w:color w:val="auto"/>
          <w:spacing w:val="2"/>
          <w:sz w:val="24"/>
          <w:szCs w:val="24"/>
          <w:highlight w:val="none"/>
          <w:lang w:eastAsia="zh-CN"/>
        </w:rPr>
        <w:t>标保证金不予退还，给招标人造成的损失超过投标保证金数额的，中标人还应当对</w:t>
      </w:r>
      <w:r>
        <w:rPr>
          <w:rFonts w:ascii="宋体" w:hAnsi="宋体" w:eastAsia="宋体" w:cs="宋体"/>
          <w:color w:val="auto"/>
          <w:spacing w:val="-1"/>
          <w:sz w:val="24"/>
          <w:szCs w:val="24"/>
          <w:highlight w:val="none"/>
          <w:lang w:eastAsia="zh-CN"/>
        </w:rPr>
        <w:t>超过部分予以赔偿。</w:t>
      </w:r>
    </w:p>
    <w:p w14:paraId="5A1EAAA9">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496"/>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7"/>
          <w:sz w:val="24"/>
          <w:szCs w:val="24"/>
          <w:highlight w:val="none"/>
          <w:lang w:eastAsia="zh-CN"/>
        </w:rPr>
        <w:t>7.5</w:t>
      </w:r>
      <w:r>
        <w:rPr>
          <w:rFonts w:ascii="宋体" w:hAnsi="宋体" w:eastAsia="宋体" w:cs="宋体"/>
          <w:b/>
          <w:bCs/>
          <w:color w:val="auto"/>
          <w:spacing w:val="-7"/>
          <w:sz w:val="28"/>
          <w:szCs w:val="28"/>
          <w:highlight w:val="none"/>
          <w:lang w:eastAsia="zh-CN"/>
        </w:rPr>
        <w:t>签订合同</w:t>
      </w:r>
    </w:p>
    <w:p w14:paraId="00A04239">
      <w:pPr>
        <w:keepNext w:val="0"/>
        <w:keepLines w:val="0"/>
        <w:pageBreakBefore w:val="0"/>
        <w:widowControl/>
        <w:kinsoku w:val="0"/>
        <w:wordWrap/>
        <w:overflowPunct/>
        <w:topLinePunct w:val="0"/>
        <w:autoSpaceDE w:val="0"/>
        <w:autoSpaceDN w:val="0"/>
        <w:bidi w:val="0"/>
        <w:adjustRightInd w:val="0"/>
        <w:snapToGrid w:val="0"/>
        <w:spacing w:before="153" w:line="460" w:lineRule="exact"/>
        <w:ind w:firstLine="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7.5.1招标人和中标人应当在中标通知书发出之日起30日内，根据招标文件和</w:t>
      </w:r>
      <w:r>
        <w:rPr>
          <w:rFonts w:ascii="宋体" w:hAnsi="宋体" w:eastAsia="宋体" w:cs="宋体"/>
          <w:color w:val="auto"/>
          <w:spacing w:val="2"/>
          <w:sz w:val="24"/>
          <w:szCs w:val="24"/>
          <w:highlight w:val="none"/>
          <w:lang w:eastAsia="zh-CN"/>
        </w:rPr>
        <w:t>中标人的投标文件订立书面合同。中标人无正当理由拒签合同，或者不按照招标文件要求提交履约担保的，招标人有权取消其中标资格，其投标保证金不予退还；给</w:t>
      </w:r>
      <w:r>
        <w:rPr>
          <w:rFonts w:ascii="宋体" w:hAnsi="宋体" w:eastAsia="宋体" w:cs="宋体"/>
          <w:color w:val="auto"/>
          <w:sz w:val="24"/>
          <w:szCs w:val="24"/>
          <w:highlight w:val="none"/>
          <w:lang w:eastAsia="zh-CN"/>
        </w:rPr>
        <w:t>招标人造成的损失超过投标保证金数额的，中标人还应当</w:t>
      </w:r>
      <w:r>
        <w:rPr>
          <w:rFonts w:ascii="宋体" w:hAnsi="宋体" w:eastAsia="宋体" w:cs="宋体"/>
          <w:color w:val="auto"/>
          <w:spacing w:val="-1"/>
          <w:sz w:val="24"/>
          <w:szCs w:val="24"/>
          <w:highlight w:val="none"/>
          <w:lang w:eastAsia="zh-CN"/>
        </w:rPr>
        <w:t>对超过部分予以赔偿。</w:t>
      </w:r>
    </w:p>
    <w:p w14:paraId="3AC2F0C8">
      <w:pPr>
        <w:keepNext w:val="0"/>
        <w:keepLines w:val="0"/>
        <w:pageBreakBefore w:val="0"/>
        <w:widowControl/>
        <w:kinsoku w:val="0"/>
        <w:wordWrap/>
        <w:overflowPunct/>
        <w:topLinePunct w:val="0"/>
        <w:autoSpaceDE w:val="0"/>
        <w:autoSpaceDN w:val="0"/>
        <w:bidi w:val="0"/>
        <w:adjustRightInd w:val="0"/>
        <w:snapToGrid w:val="0"/>
        <w:spacing w:before="29" w:line="460" w:lineRule="exact"/>
        <w:ind w:firstLine="486"/>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7.5.2发出中标通知书后，招标人无正当理由拒签合同，招标人向中标人退还</w:t>
      </w:r>
      <w:r>
        <w:rPr>
          <w:rFonts w:ascii="宋体" w:hAnsi="宋体" w:eastAsia="宋体" w:cs="宋体"/>
          <w:color w:val="auto"/>
          <w:spacing w:val="-1"/>
          <w:sz w:val="24"/>
          <w:szCs w:val="24"/>
          <w:highlight w:val="none"/>
          <w:lang w:eastAsia="zh-CN"/>
        </w:rPr>
        <w:t>投标保证金；给中标人造成损失的，还应当赔偿损失。</w:t>
      </w:r>
    </w:p>
    <w:p w14:paraId="37B23F76">
      <w:pPr>
        <w:keepNext w:val="0"/>
        <w:keepLines w:val="0"/>
        <w:pageBreakBefore w:val="0"/>
        <w:widowControl/>
        <w:kinsoku w:val="0"/>
        <w:wordWrap/>
        <w:overflowPunct/>
        <w:topLinePunct w:val="0"/>
        <w:autoSpaceDE w:val="0"/>
        <w:autoSpaceDN w:val="0"/>
        <w:bidi w:val="0"/>
        <w:adjustRightInd w:val="0"/>
        <w:snapToGrid w:val="0"/>
        <w:spacing w:before="27" w:line="460" w:lineRule="exact"/>
        <w:jc w:val="right"/>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7.5.3联合体中标的，联合体各方应当共同与招标人签订合同，就中标项目向</w:t>
      </w:r>
    </w:p>
    <w:p w14:paraId="7D92EEE8">
      <w:pPr>
        <w:keepNext w:val="0"/>
        <w:keepLines w:val="0"/>
        <w:pageBreakBefore w:val="0"/>
        <w:widowControl/>
        <w:kinsoku w:val="0"/>
        <w:wordWrap/>
        <w:overflowPunct/>
        <w:topLinePunct w:val="0"/>
        <w:autoSpaceDE w:val="0"/>
        <w:autoSpaceDN w:val="0"/>
        <w:bidi w:val="0"/>
        <w:adjustRightInd w:val="0"/>
        <w:snapToGrid w:val="0"/>
        <w:spacing w:before="47" w:line="460" w:lineRule="exact"/>
        <w:ind w:left="1"/>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招标人承担连带责任。</w:t>
      </w:r>
    </w:p>
    <w:p w14:paraId="7BFF81AA">
      <w:pPr>
        <w:keepNext w:val="0"/>
        <w:keepLines w:val="0"/>
        <w:pageBreakBefore w:val="0"/>
        <w:widowControl/>
        <w:kinsoku w:val="0"/>
        <w:wordWrap/>
        <w:overflowPunct/>
        <w:topLinePunct w:val="0"/>
        <w:autoSpaceDE w:val="0"/>
        <w:autoSpaceDN w:val="0"/>
        <w:bidi w:val="0"/>
        <w:adjustRightInd w:val="0"/>
        <w:snapToGrid w:val="0"/>
        <w:spacing w:before="144" w:line="460" w:lineRule="exact"/>
        <w:ind w:left="2"/>
        <w:textAlignment w:val="auto"/>
        <w:rPr>
          <w:rFonts w:ascii="宋体" w:hAnsi="宋体" w:eastAsia="宋体" w:cs="宋体"/>
          <w:color w:val="auto"/>
          <w:sz w:val="31"/>
          <w:szCs w:val="31"/>
          <w:highlight w:val="none"/>
          <w:lang w:eastAsia="zh-CN"/>
        </w:rPr>
      </w:pPr>
      <w:r>
        <w:rPr>
          <w:rFonts w:ascii="Times New Roman" w:hAnsi="Times New Roman" w:eastAsia="Times New Roman" w:cs="Times New Roman"/>
          <w:b/>
          <w:bCs/>
          <w:color w:val="auto"/>
          <w:spacing w:val="6"/>
          <w:sz w:val="31"/>
          <w:szCs w:val="31"/>
          <w:highlight w:val="none"/>
          <w:lang w:eastAsia="zh-CN"/>
        </w:rPr>
        <w:t>8.</w:t>
      </w:r>
      <w:r>
        <w:rPr>
          <w:rFonts w:ascii="宋体" w:hAnsi="宋体" w:eastAsia="宋体" w:cs="宋体"/>
          <w:b/>
          <w:bCs/>
          <w:color w:val="auto"/>
          <w:spacing w:val="6"/>
          <w:sz w:val="31"/>
          <w:szCs w:val="31"/>
          <w:highlight w:val="none"/>
          <w:lang w:eastAsia="zh-CN"/>
        </w:rPr>
        <w:t>重新招标和不再招标</w:t>
      </w:r>
    </w:p>
    <w:p w14:paraId="0F5CBA23">
      <w:pPr>
        <w:keepNext w:val="0"/>
        <w:keepLines w:val="0"/>
        <w:pageBreakBefore w:val="0"/>
        <w:widowControl/>
        <w:kinsoku w:val="0"/>
        <w:wordWrap/>
        <w:overflowPunct/>
        <w:topLinePunct w:val="0"/>
        <w:autoSpaceDE w:val="0"/>
        <w:autoSpaceDN w:val="0"/>
        <w:bidi w:val="0"/>
        <w:adjustRightInd w:val="0"/>
        <w:snapToGrid w:val="0"/>
        <w:spacing w:before="262" w:line="460" w:lineRule="exact"/>
        <w:ind w:left="491"/>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5"/>
          <w:sz w:val="28"/>
          <w:szCs w:val="28"/>
          <w:highlight w:val="none"/>
          <w:lang w:eastAsia="zh-CN"/>
        </w:rPr>
        <w:t>8.1</w:t>
      </w:r>
      <w:r>
        <w:rPr>
          <w:rFonts w:ascii="宋体" w:hAnsi="宋体" w:eastAsia="宋体" w:cs="宋体"/>
          <w:b/>
          <w:bCs/>
          <w:color w:val="auto"/>
          <w:spacing w:val="-5"/>
          <w:sz w:val="28"/>
          <w:szCs w:val="28"/>
          <w:highlight w:val="none"/>
          <w:lang w:eastAsia="zh-CN"/>
        </w:rPr>
        <w:t>重新招标</w:t>
      </w:r>
    </w:p>
    <w:p w14:paraId="2FE4DEA5">
      <w:pPr>
        <w:keepNext w:val="0"/>
        <w:keepLines w:val="0"/>
        <w:pageBreakBefore w:val="0"/>
        <w:widowControl/>
        <w:kinsoku w:val="0"/>
        <w:wordWrap/>
        <w:overflowPunct/>
        <w:topLinePunct w:val="0"/>
        <w:autoSpaceDE w:val="0"/>
        <w:autoSpaceDN w:val="0"/>
        <w:bidi w:val="0"/>
        <w:adjustRightInd w:val="0"/>
        <w:snapToGrid w:val="0"/>
        <w:spacing w:before="156" w:line="460" w:lineRule="exact"/>
        <w:ind w:left="481"/>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有下列情形之一的，招标人将重新招标：</w:t>
      </w:r>
    </w:p>
    <w:p w14:paraId="1323B368">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（1）投标截止时间止，投标人少于3个的；</w:t>
      </w:r>
    </w:p>
    <w:p w14:paraId="0FB20DAB">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（2）经评标委员会评审后否决所有投标的；</w:t>
      </w:r>
    </w:p>
    <w:p w14:paraId="3A1ED93E">
      <w:pPr>
        <w:keepNext w:val="0"/>
        <w:keepLines w:val="0"/>
        <w:pageBreakBefore w:val="0"/>
        <w:widowControl/>
        <w:kinsoku w:val="0"/>
        <w:wordWrap/>
        <w:overflowPunct/>
        <w:topLinePunct w:val="0"/>
        <w:autoSpaceDE w:val="0"/>
        <w:autoSpaceDN w:val="0"/>
        <w:bidi w:val="0"/>
        <w:adjustRightInd w:val="0"/>
        <w:snapToGrid w:val="0"/>
        <w:spacing w:before="28" w:line="460" w:lineRule="exact"/>
        <w:ind w:left="492"/>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（3）其他情形见投标人须知前附表。</w:t>
      </w:r>
    </w:p>
    <w:p w14:paraId="7C3407EF">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91"/>
        <w:textAlignment w:val="auto"/>
        <w:rPr>
          <w:rFonts w:ascii="宋体" w:hAnsi="宋体" w:eastAsia="宋体" w:cs="宋体"/>
          <w:color w:val="auto"/>
          <w:sz w:val="28"/>
          <w:szCs w:val="28"/>
          <w:highlight w:val="none"/>
          <w:lang w:eastAsia="zh-CN"/>
        </w:rPr>
      </w:pPr>
      <w:r>
        <w:rPr>
          <w:rFonts w:ascii="Times New Roman" w:hAnsi="Times New Roman" w:eastAsia="Times New Roman" w:cs="Times New Roman"/>
          <w:b/>
          <w:bCs/>
          <w:color w:val="auto"/>
          <w:spacing w:val="-5"/>
          <w:sz w:val="28"/>
          <w:szCs w:val="28"/>
          <w:highlight w:val="none"/>
          <w:lang w:eastAsia="zh-CN"/>
        </w:rPr>
        <w:t>8.2</w:t>
      </w:r>
      <w:r>
        <w:rPr>
          <w:rFonts w:ascii="宋体" w:hAnsi="宋体" w:eastAsia="宋体" w:cs="宋体"/>
          <w:b/>
          <w:bCs/>
          <w:color w:val="auto"/>
          <w:spacing w:val="-5"/>
          <w:sz w:val="28"/>
          <w:szCs w:val="28"/>
          <w:highlight w:val="none"/>
          <w:lang w:eastAsia="zh-CN"/>
        </w:rPr>
        <w:t>不再招标</w:t>
      </w:r>
    </w:p>
    <w:p w14:paraId="66C64115">
      <w:pPr>
        <w:keepNext w:val="0"/>
        <w:keepLines w:val="0"/>
        <w:pageBreakBefore w:val="0"/>
        <w:widowControl/>
        <w:kinsoku w:val="0"/>
        <w:wordWrap/>
        <w:overflowPunct/>
        <w:topLinePunct w:val="0"/>
        <w:autoSpaceDE w:val="0"/>
        <w:autoSpaceDN w:val="0"/>
        <w:bidi w:val="0"/>
        <w:adjustRightInd w:val="0"/>
        <w:snapToGrid w:val="0"/>
        <w:spacing w:before="157" w:line="460" w:lineRule="exact"/>
        <w:ind w:left="484"/>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见投标人须知前附表。</w:t>
      </w:r>
    </w:p>
    <w:p w14:paraId="26CE4765">
      <w:pPr>
        <w:keepNext w:val="0"/>
        <w:keepLines w:val="0"/>
        <w:pageBreakBefore w:val="0"/>
        <w:widowControl/>
        <w:kinsoku w:val="0"/>
        <w:wordWrap/>
        <w:overflowPunct/>
        <w:topLinePunct w:val="0"/>
        <w:autoSpaceDE w:val="0"/>
        <w:autoSpaceDN w:val="0"/>
        <w:bidi w:val="0"/>
        <w:adjustRightInd w:val="0"/>
        <w:snapToGrid w:val="0"/>
        <w:spacing w:before="146" w:line="460" w:lineRule="exact"/>
        <w:ind w:left="1"/>
        <w:textAlignment w:val="auto"/>
        <w:rPr>
          <w:rFonts w:ascii="宋体" w:hAnsi="宋体" w:eastAsia="宋体" w:cs="宋体"/>
          <w:color w:val="auto"/>
          <w:sz w:val="31"/>
          <w:szCs w:val="31"/>
          <w:highlight w:val="none"/>
          <w:lang w:eastAsia="zh-CN"/>
        </w:rPr>
      </w:pPr>
      <w:r>
        <w:rPr>
          <w:rFonts w:ascii="Times New Roman" w:hAnsi="Times New Roman" w:eastAsia="Times New Roman" w:cs="Times New Roman"/>
          <w:b/>
          <w:bCs/>
          <w:color w:val="auto"/>
          <w:spacing w:val="4"/>
          <w:sz w:val="31"/>
          <w:szCs w:val="31"/>
          <w:highlight w:val="none"/>
          <w:lang w:eastAsia="zh-CN"/>
        </w:rPr>
        <w:t>9.</w:t>
      </w:r>
      <w:r>
        <w:rPr>
          <w:rFonts w:ascii="宋体" w:hAnsi="宋体" w:eastAsia="宋体" w:cs="宋体"/>
          <w:b/>
          <w:bCs/>
          <w:color w:val="auto"/>
          <w:spacing w:val="4"/>
          <w:sz w:val="31"/>
          <w:szCs w:val="31"/>
          <w:highlight w:val="none"/>
          <w:lang w:eastAsia="zh-CN"/>
        </w:rPr>
        <w:t>纪律和监督</w:t>
      </w:r>
    </w:p>
    <w:p w14:paraId="2271E2CE">
      <w:pPr>
        <w:keepNext w:val="0"/>
        <w:keepLines w:val="0"/>
        <w:pageBreakBefore w:val="0"/>
        <w:widowControl/>
        <w:kinsoku w:val="0"/>
        <w:wordWrap/>
        <w:overflowPunct/>
        <w:topLinePunct w:val="0"/>
        <w:autoSpaceDE w:val="0"/>
        <w:autoSpaceDN w:val="0"/>
        <w:bidi w:val="0"/>
        <w:adjustRightInd w:val="0"/>
        <w:snapToGrid w:val="0"/>
        <w:spacing w:before="264" w:line="460" w:lineRule="exact"/>
        <w:ind w:left="491"/>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3"/>
          <w:sz w:val="24"/>
          <w:szCs w:val="24"/>
          <w:highlight w:val="none"/>
          <w:lang w:eastAsia="zh-CN"/>
        </w:rPr>
        <w:t>9.1</w:t>
      </w:r>
      <w:r>
        <w:rPr>
          <w:rFonts w:ascii="宋体" w:hAnsi="宋体" w:eastAsia="宋体" w:cs="宋体"/>
          <w:b/>
          <w:bCs/>
          <w:color w:val="auto"/>
          <w:spacing w:val="-3"/>
          <w:sz w:val="28"/>
          <w:szCs w:val="28"/>
          <w:highlight w:val="none"/>
          <w:lang w:eastAsia="zh-CN"/>
        </w:rPr>
        <w:t>对招标人的纪律要求</w:t>
      </w:r>
    </w:p>
    <w:p w14:paraId="52F0B45F">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5" w:firstLine="476"/>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招标人不得泄漏招标投标活动中应当保密的情况和资料，不得与投标人串通损</w:t>
      </w:r>
      <w:r>
        <w:rPr>
          <w:rFonts w:ascii="宋体" w:hAnsi="宋体" w:eastAsia="宋体" w:cs="宋体"/>
          <w:color w:val="auto"/>
          <w:spacing w:val="-1"/>
          <w:sz w:val="24"/>
          <w:szCs w:val="24"/>
          <w:highlight w:val="none"/>
          <w:lang w:eastAsia="zh-CN"/>
        </w:rPr>
        <w:t>害国家利益、社会公共利益或者他人合法权益。</w:t>
      </w:r>
    </w:p>
    <w:p w14:paraId="21C09841">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91"/>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3"/>
          <w:sz w:val="24"/>
          <w:szCs w:val="24"/>
          <w:highlight w:val="none"/>
          <w:lang w:eastAsia="zh-CN"/>
        </w:rPr>
        <w:t>9.2</w:t>
      </w:r>
      <w:r>
        <w:rPr>
          <w:rFonts w:ascii="宋体" w:hAnsi="宋体" w:eastAsia="宋体" w:cs="宋体"/>
          <w:b/>
          <w:bCs/>
          <w:color w:val="auto"/>
          <w:spacing w:val="-3"/>
          <w:sz w:val="28"/>
          <w:szCs w:val="28"/>
          <w:highlight w:val="none"/>
          <w:lang w:eastAsia="zh-CN"/>
        </w:rPr>
        <w:t>对投标人的纪律要求</w:t>
      </w:r>
    </w:p>
    <w:p w14:paraId="5044190F">
      <w:pPr>
        <w:keepNext w:val="0"/>
        <w:keepLines w:val="0"/>
        <w:pageBreakBefore w:val="0"/>
        <w:widowControl/>
        <w:kinsoku w:val="0"/>
        <w:wordWrap/>
        <w:overflowPunct/>
        <w:topLinePunct w:val="0"/>
        <w:autoSpaceDE w:val="0"/>
        <w:autoSpaceDN w:val="0"/>
        <w:bidi w:val="0"/>
        <w:adjustRightInd w:val="0"/>
        <w:snapToGrid w:val="0"/>
        <w:spacing w:before="158" w:line="460" w:lineRule="exact"/>
        <w:ind w:firstLine="480"/>
        <w:jc w:val="both"/>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投标人不得相互串通投标或者与招标人串通投标，不得向招标人或者评标委员会成员行贿谋取中标，不得以他人名义投标或者以其他方式弄虚作假骗取中标；投</w:t>
      </w:r>
      <w:r>
        <w:rPr>
          <w:rFonts w:ascii="宋体" w:hAnsi="宋体" w:eastAsia="宋体" w:cs="宋体"/>
          <w:color w:val="auto"/>
          <w:spacing w:val="-1"/>
          <w:sz w:val="24"/>
          <w:szCs w:val="24"/>
          <w:highlight w:val="none"/>
          <w:lang w:eastAsia="zh-CN"/>
        </w:rPr>
        <w:t>标人不得以任何方式干扰、影响评标工作。</w:t>
      </w:r>
    </w:p>
    <w:p w14:paraId="6BEE8A04">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491"/>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3"/>
          <w:sz w:val="24"/>
          <w:szCs w:val="24"/>
          <w:highlight w:val="none"/>
          <w:lang w:eastAsia="zh-CN"/>
        </w:rPr>
        <w:t>9.3</w:t>
      </w:r>
      <w:r>
        <w:rPr>
          <w:rFonts w:ascii="宋体" w:hAnsi="宋体" w:eastAsia="宋体" w:cs="宋体"/>
          <w:b/>
          <w:bCs/>
          <w:color w:val="auto"/>
          <w:spacing w:val="-3"/>
          <w:sz w:val="28"/>
          <w:szCs w:val="28"/>
          <w:highlight w:val="none"/>
          <w:lang w:eastAsia="zh-CN"/>
        </w:rPr>
        <w:t>对评标委员会成员的纪律要求</w:t>
      </w:r>
    </w:p>
    <w:p w14:paraId="2E91F2EC">
      <w:pPr>
        <w:keepNext w:val="0"/>
        <w:keepLines w:val="0"/>
        <w:pageBreakBefore w:val="0"/>
        <w:widowControl/>
        <w:kinsoku w:val="0"/>
        <w:wordWrap/>
        <w:overflowPunct/>
        <w:topLinePunct w:val="0"/>
        <w:autoSpaceDE w:val="0"/>
        <w:autoSpaceDN w:val="0"/>
        <w:bidi w:val="0"/>
        <w:adjustRightInd w:val="0"/>
        <w:snapToGrid w:val="0"/>
        <w:spacing w:before="157" w:line="460" w:lineRule="exact"/>
        <w:ind w:firstLine="480"/>
        <w:jc w:val="both"/>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评标委员会成员不得收受他人的财物或者其他好处，不得向他人透漏对投标文</w:t>
      </w:r>
      <w:r>
        <w:rPr>
          <w:rFonts w:ascii="宋体" w:hAnsi="宋体" w:eastAsia="宋体" w:cs="宋体"/>
          <w:color w:val="auto"/>
          <w:spacing w:val="9"/>
          <w:sz w:val="24"/>
          <w:szCs w:val="24"/>
          <w:highlight w:val="none"/>
          <w:lang w:eastAsia="zh-CN"/>
        </w:rPr>
        <w:t>件的评审和比较、中标候选人的推荐情况以及评标有关的其他情况。在评标活动</w:t>
      </w:r>
      <w:r>
        <w:rPr>
          <w:rFonts w:ascii="宋体" w:hAnsi="宋体" w:eastAsia="宋体" w:cs="宋体"/>
          <w:color w:val="auto"/>
          <w:spacing w:val="6"/>
          <w:sz w:val="24"/>
          <w:szCs w:val="24"/>
          <w:highlight w:val="none"/>
          <w:lang w:eastAsia="zh-CN"/>
        </w:rPr>
        <w:t>中，评标委员会成员不得擅离职守，影响评标程序正常进行，不得使用第</w:t>
      </w:r>
      <w:r>
        <w:rPr>
          <w:rFonts w:ascii="宋体" w:hAnsi="宋体" w:eastAsia="宋体" w:cs="宋体"/>
          <w:color w:val="auto"/>
          <w:spacing w:val="5"/>
          <w:sz w:val="24"/>
          <w:szCs w:val="24"/>
          <w:highlight w:val="none"/>
          <w:lang w:eastAsia="zh-CN"/>
        </w:rPr>
        <w:t>三章</w:t>
      </w:r>
      <w:r>
        <w:rPr>
          <w:rFonts w:hint="eastAsia" w:ascii="Times New Roman" w:hAnsi="Times New Roman" w:eastAsia="Times New Roman" w:cs="Times New Roman"/>
          <w:color w:val="auto"/>
          <w:spacing w:val="5"/>
          <w:sz w:val="24"/>
          <w:szCs w:val="24"/>
          <w:highlight w:val="none"/>
          <w:lang w:eastAsia="zh-CN"/>
        </w:rPr>
        <w:t>“</w:t>
      </w:r>
      <w:r>
        <w:rPr>
          <w:rFonts w:ascii="宋体" w:hAnsi="宋体" w:eastAsia="宋体" w:cs="宋体"/>
          <w:color w:val="auto"/>
          <w:spacing w:val="5"/>
          <w:sz w:val="24"/>
          <w:szCs w:val="24"/>
          <w:highlight w:val="none"/>
          <w:lang w:eastAsia="zh-CN"/>
        </w:rPr>
        <w:t>评</w:t>
      </w:r>
      <w:r>
        <w:rPr>
          <w:rFonts w:ascii="宋体" w:hAnsi="宋体" w:eastAsia="宋体" w:cs="宋体"/>
          <w:color w:val="auto"/>
          <w:spacing w:val="-1"/>
          <w:sz w:val="24"/>
          <w:szCs w:val="24"/>
          <w:highlight w:val="none"/>
          <w:lang w:eastAsia="zh-CN"/>
        </w:rPr>
        <w:t>标办法</w:t>
      </w:r>
      <w:r>
        <w:rPr>
          <w:rFonts w:ascii="Times New Roman" w:hAnsi="Times New Roman" w:eastAsia="Times New Roman" w:cs="Times New Roman"/>
          <w:color w:val="auto"/>
          <w:spacing w:val="-1"/>
          <w:sz w:val="24"/>
          <w:szCs w:val="24"/>
          <w:highlight w:val="none"/>
          <w:lang w:eastAsia="zh-CN"/>
        </w:rPr>
        <w:t>”</w:t>
      </w:r>
      <w:r>
        <w:rPr>
          <w:rFonts w:ascii="宋体" w:hAnsi="宋体" w:eastAsia="宋体" w:cs="宋体"/>
          <w:color w:val="auto"/>
          <w:spacing w:val="-1"/>
          <w:sz w:val="24"/>
          <w:szCs w:val="24"/>
          <w:highlight w:val="none"/>
          <w:lang w:eastAsia="zh-CN"/>
        </w:rPr>
        <w:t>没有规定的评审因素和标准进行评标。</w:t>
      </w:r>
    </w:p>
    <w:p w14:paraId="1D044259">
      <w:pPr>
        <w:keepNext w:val="0"/>
        <w:keepLines w:val="0"/>
        <w:pageBreakBefore w:val="0"/>
        <w:widowControl/>
        <w:kinsoku w:val="0"/>
        <w:wordWrap/>
        <w:overflowPunct/>
        <w:topLinePunct w:val="0"/>
        <w:autoSpaceDE w:val="0"/>
        <w:autoSpaceDN w:val="0"/>
        <w:bidi w:val="0"/>
        <w:adjustRightInd w:val="0"/>
        <w:snapToGrid w:val="0"/>
        <w:spacing w:before="161" w:line="460" w:lineRule="exact"/>
        <w:ind w:left="491"/>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3"/>
          <w:sz w:val="24"/>
          <w:szCs w:val="24"/>
          <w:highlight w:val="none"/>
          <w:lang w:eastAsia="zh-CN"/>
        </w:rPr>
        <w:t>9.4</w:t>
      </w:r>
      <w:r>
        <w:rPr>
          <w:rFonts w:ascii="宋体" w:hAnsi="宋体" w:eastAsia="宋体" w:cs="宋体"/>
          <w:b/>
          <w:bCs/>
          <w:color w:val="auto"/>
          <w:spacing w:val="-3"/>
          <w:sz w:val="28"/>
          <w:szCs w:val="28"/>
          <w:highlight w:val="none"/>
          <w:lang w:eastAsia="zh-CN"/>
        </w:rPr>
        <w:t>对与评标活动有关的工作人员的纪律要求</w:t>
      </w:r>
    </w:p>
    <w:p w14:paraId="6E15EEA7">
      <w:pPr>
        <w:keepNext w:val="0"/>
        <w:keepLines w:val="0"/>
        <w:pageBreakBefore w:val="0"/>
        <w:widowControl/>
        <w:kinsoku w:val="0"/>
        <w:wordWrap/>
        <w:overflowPunct/>
        <w:topLinePunct w:val="0"/>
        <w:autoSpaceDE w:val="0"/>
        <w:autoSpaceDN w:val="0"/>
        <w:bidi w:val="0"/>
        <w:adjustRightInd w:val="0"/>
        <w:snapToGrid w:val="0"/>
        <w:spacing w:before="158" w:line="460" w:lineRule="exact"/>
        <w:ind w:firstLine="485"/>
        <w:jc w:val="both"/>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与评标活动有关的工作人员不得收受他人的财物或者其他好处，不得向他人透漏对投标文件的评审和比较、中标候选人的推荐情况以及评标有关的其他情况。在</w:t>
      </w:r>
      <w:r>
        <w:rPr>
          <w:rFonts w:ascii="宋体" w:hAnsi="宋体" w:eastAsia="宋体" w:cs="宋体"/>
          <w:color w:val="auto"/>
          <w:sz w:val="24"/>
          <w:szCs w:val="24"/>
          <w:highlight w:val="none"/>
          <w:lang w:eastAsia="zh-CN"/>
        </w:rPr>
        <w:t>评标活动中，与评标活动有关的工作人员不得擅离职守，影</w:t>
      </w:r>
      <w:r>
        <w:rPr>
          <w:rFonts w:ascii="宋体" w:hAnsi="宋体" w:eastAsia="宋体" w:cs="宋体"/>
          <w:color w:val="auto"/>
          <w:spacing w:val="-1"/>
          <w:sz w:val="24"/>
          <w:szCs w:val="24"/>
          <w:highlight w:val="none"/>
          <w:lang w:eastAsia="zh-CN"/>
        </w:rPr>
        <w:t>响评标程序正常进行。</w:t>
      </w:r>
    </w:p>
    <w:p w14:paraId="2CBCF839">
      <w:pPr>
        <w:keepNext w:val="0"/>
        <w:keepLines w:val="0"/>
        <w:pageBreakBefore w:val="0"/>
        <w:widowControl/>
        <w:kinsoku w:val="0"/>
        <w:wordWrap/>
        <w:overflowPunct/>
        <w:topLinePunct w:val="0"/>
        <w:autoSpaceDE w:val="0"/>
        <w:autoSpaceDN w:val="0"/>
        <w:bidi w:val="0"/>
        <w:adjustRightInd w:val="0"/>
        <w:snapToGrid w:val="0"/>
        <w:spacing w:before="162" w:line="460" w:lineRule="exact"/>
        <w:ind w:left="491"/>
        <w:textAlignment w:val="auto"/>
        <w:rPr>
          <w:rFonts w:ascii="宋体" w:hAnsi="宋体" w:eastAsia="宋体" w:cs="宋体"/>
          <w:color w:val="auto"/>
          <w:sz w:val="28"/>
          <w:szCs w:val="28"/>
          <w:highlight w:val="none"/>
          <w:lang w:eastAsia="zh-CN"/>
        </w:rPr>
      </w:pPr>
      <w:r>
        <w:rPr>
          <w:rFonts w:ascii="宋体" w:hAnsi="宋体" w:eastAsia="宋体" w:cs="宋体"/>
          <w:b/>
          <w:bCs/>
          <w:color w:val="auto"/>
          <w:spacing w:val="-6"/>
          <w:sz w:val="24"/>
          <w:szCs w:val="24"/>
          <w:highlight w:val="none"/>
          <w:lang w:eastAsia="zh-CN"/>
        </w:rPr>
        <w:t>9.5</w:t>
      </w:r>
      <w:r>
        <w:rPr>
          <w:rFonts w:ascii="宋体" w:hAnsi="宋体" w:eastAsia="宋体" w:cs="宋体"/>
          <w:b/>
          <w:bCs/>
          <w:color w:val="auto"/>
          <w:spacing w:val="-6"/>
          <w:sz w:val="28"/>
          <w:szCs w:val="28"/>
          <w:highlight w:val="none"/>
          <w:lang w:eastAsia="zh-CN"/>
        </w:rPr>
        <w:t>异议和投诉</w:t>
      </w:r>
    </w:p>
    <w:p w14:paraId="0CF6E113">
      <w:pPr>
        <w:keepNext w:val="0"/>
        <w:keepLines w:val="0"/>
        <w:pageBreakBefore w:val="0"/>
        <w:widowControl/>
        <w:kinsoku w:val="0"/>
        <w:wordWrap/>
        <w:overflowPunct/>
        <w:topLinePunct w:val="0"/>
        <w:autoSpaceDE w:val="0"/>
        <w:autoSpaceDN w:val="0"/>
        <w:bidi w:val="0"/>
        <w:adjustRightInd w:val="0"/>
        <w:snapToGrid w:val="0"/>
        <w:spacing w:before="158" w:line="460" w:lineRule="exact"/>
        <w:ind w:left="481"/>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9.5.1异议</w:t>
      </w:r>
    </w:p>
    <w:p w14:paraId="1C2AA74D">
      <w:pPr>
        <w:keepNext w:val="0"/>
        <w:keepLines w:val="0"/>
        <w:pageBreakBefore w:val="0"/>
        <w:widowControl/>
        <w:kinsoku w:val="0"/>
        <w:wordWrap/>
        <w:overflowPunct/>
        <w:topLinePunct w:val="0"/>
        <w:autoSpaceDE w:val="0"/>
        <w:autoSpaceDN w:val="0"/>
        <w:bidi w:val="0"/>
        <w:adjustRightInd w:val="0"/>
        <w:snapToGrid w:val="0"/>
        <w:spacing w:before="28" w:line="460" w:lineRule="exact"/>
        <w:ind w:firstLine="491"/>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（1）潜在投标人或者其他利害关系人对招标文件有异议的，应当在投标截止时间10日前以书面形式向招标人提出。招标人将在收到异议之日起3日内作出书面</w:t>
      </w:r>
      <w:r>
        <w:rPr>
          <w:rFonts w:ascii="宋体" w:hAnsi="宋体" w:eastAsia="宋体" w:cs="宋体"/>
          <w:color w:val="auto"/>
          <w:spacing w:val="-1"/>
          <w:sz w:val="24"/>
          <w:szCs w:val="24"/>
          <w:highlight w:val="none"/>
          <w:lang w:eastAsia="zh-CN"/>
        </w:rPr>
        <w:t>答复；作出答复前，暂停招标投标活动。</w:t>
      </w:r>
    </w:p>
    <w:p w14:paraId="0C802733">
      <w:pPr>
        <w:keepNext w:val="0"/>
        <w:keepLines w:val="0"/>
        <w:pageBreakBefore w:val="0"/>
        <w:widowControl/>
        <w:kinsoku w:val="0"/>
        <w:wordWrap/>
        <w:overflowPunct/>
        <w:topLinePunct w:val="0"/>
        <w:autoSpaceDE w:val="0"/>
        <w:autoSpaceDN w:val="0"/>
        <w:bidi w:val="0"/>
        <w:adjustRightInd w:val="0"/>
        <w:snapToGrid w:val="0"/>
        <w:spacing w:before="26" w:line="460" w:lineRule="exact"/>
        <w:ind w:left="16" w:firstLine="476"/>
        <w:textAlignment w:val="auto"/>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（2）投标人认为开标不符合有关规定的，应当在开标时提出异议。招标人将</w:t>
      </w:r>
      <w:r>
        <w:rPr>
          <w:rFonts w:ascii="宋体" w:hAnsi="宋体" w:eastAsia="宋体" w:cs="宋体"/>
          <w:color w:val="auto"/>
          <w:spacing w:val="2"/>
          <w:sz w:val="24"/>
          <w:szCs w:val="24"/>
          <w:highlight w:val="none"/>
          <w:lang w:eastAsia="zh-CN"/>
        </w:rPr>
        <w:t>当场对异议给予处理或者告知处理的办法。异议和答复应记入</w:t>
      </w:r>
      <w:r>
        <w:rPr>
          <w:rFonts w:ascii="宋体" w:hAnsi="宋体" w:eastAsia="宋体" w:cs="宋体"/>
          <w:color w:val="auto"/>
          <w:spacing w:val="1"/>
          <w:sz w:val="24"/>
          <w:szCs w:val="24"/>
          <w:highlight w:val="none"/>
          <w:lang w:eastAsia="zh-CN"/>
        </w:rPr>
        <w:t>开标记录或者制作专</w:t>
      </w:r>
      <w:r>
        <w:rPr>
          <w:rFonts w:ascii="宋体" w:hAnsi="宋体" w:eastAsia="宋体" w:cs="宋体"/>
          <w:color w:val="auto"/>
          <w:spacing w:val="-3"/>
          <w:sz w:val="24"/>
          <w:szCs w:val="24"/>
          <w:highlight w:val="none"/>
          <w:lang w:eastAsia="zh-CN"/>
        </w:rPr>
        <w:t>门记录以存档备查。</w:t>
      </w:r>
    </w:p>
    <w:p w14:paraId="1C603B1F">
      <w:pPr>
        <w:keepNext w:val="0"/>
        <w:keepLines w:val="0"/>
        <w:pageBreakBefore w:val="0"/>
        <w:widowControl/>
        <w:kinsoku w:val="0"/>
        <w:wordWrap/>
        <w:overflowPunct/>
        <w:topLinePunct w:val="0"/>
        <w:autoSpaceDE w:val="0"/>
        <w:autoSpaceDN w:val="0"/>
        <w:bidi w:val="0"/>
        <w:adjustRightInd w:val="0"/>
        <w:snapToGrid w:val="0"/>
        <w:spacing w:before="28" w:line="460" w:lineRule="exact"/>
        <w:jc w:val="left"/>
        <w:textAlignment w:val="auto"/>
        <w:rPr>
          <w:rFonts w:ascii="宋体" w:hAnsi="宋体" w:eastAsia="宋体" w:cs="宋体"/>
          <w:color w:val="auto"/>
          <w:spacing w:val="5"/>
          <w:sz w:val="24"/>
          <w:szCs w:val="24"/>
          <w:highlight w:val="none"/>
          <w:lang w:eastAsia="zh-CN"/>
        </w:rPr>
      </w:pPr>
      <w:r>
        <w:rPr>
          <w:rFonts w:ascii="宋体" w:hAnsi="宋体" w:eastAsia="宋体" w:cs="宋体"/>
          <w:color w:val="auto"/>
          <w:spacing w:val="5"/>
          <w:sz w:val="24"/>
          <w:szCs w:val="24"/>
          <w:highlight w:val="none"/>
          <w:lang w:eastAsia="zh-CN"/>
        </w:rPr>
        <w:t>（3）投标人及其他利害关系人对评标结果有异议的，应当在中标候选人公示期内以书面形式向招标人提出。招标人将在收到异议之日起3日内作出书面答复；作出答复前，暂停招标投标活动。</w:t>
      </w:r>
    </w:p>
    <w:p w14:paraId="686DA662">
      <w:pPr>
        <w:keepNext w:val="0"/>
        <w:keepLines w:val="0"/>
        <w:pageBreakBefore w:val="0"/>
        <w:widowControl/>
        <w:kinsoku w:val="0"/>
        <w:wordWrap/>
        <w:overflowPunct/>
        <w:topLinePunct w:val="0"/>
        <w:autoSpaceDE w:val="0"/>
        <w:autoSpaceDN w:val="0"/>
        <w:bidi w:val="0"/>
        <w:adjustRightInd w:val="0"/>
        <w:snapToGrid w:val="0"/>
        <w:spacing w:before="27" w:line="460" w:lineRule="exact"/>
        <w:ind w:left="47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9.5.2投诉</w:t>
      </w:r>
    </w:p>
    <w:p w14:paraId="515ACBB2">
      <w:pPr>
        <w:keepNext w:val="0"/>
        <w:keepLines w:val="0"/>
        <w:pageBreakBefore w:val="0"/>
        <w:widowControl/>
        <w:kinsoku w:val="0"/>
        <w:wordWrap/>
        <w:overflowPunct/>
        <w:topLinePunct w:val="0"/>
        <w:autoSpaceDE w:val="0"/>
        <w:autoSpaceDN w:val="0"/>
        <w:bidi w:val="0"/>
        <w:adjustRightInd w:val="0"/>
        <w:snapToGrid w:val="0"/>
        <w:spacing w:before="25" w:line="460" w:lineRule="exact"/>
        <w:ind w:right="7" w:firstLine="477"/>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投标人或者其他利害关系人认为招标投标活动不符合法律、行政法规规定的，可以自知道或者应当知道之日起10日内向有关行政监督部门投诉。投诉应当有明确</w:t>
      </w:r>
      <w:r>
        <w:rPr>
          <w:rFonts w:ascii="宋体" w:hAnsi="宋体" w:eastAsia="宋体" w:cs="宋体"/>
          <w:color w:val="auto"/>
          <w:spacing w:val="9"/>
          <w:sz w:val="24"/>
          <w:szCs w:val="24"/>
          <w:highlight w:val="none"/>
          <w:lang w:eastAsia="zh-CN"/>
        </w:rPr>
        <w:t>的请求和必要的证明材料，具体要求按国家、省及当地招投标主管部门制定的规</w:t>
      </w:r>
      <w:r>
        <w:rPr>
          <w:rFonts w:ascii="宋体" w:hAnsi="宋体" w:eastAsia="宋体" w:cs="宋体"/>
          <w:color w:val="auto"/>
          <w:spacing w:val="2"/>
          <w:sz w:val="24"/>
          <w:szCs w:val="24"/>
          <w:highlight w:val="none"/>
          <w:lang w:eastAsia="zh-CN"/>
        </w:rPr>
        <w:t>定。就招标文件、开标和评标结果投诉的，应当先向招标人提出异议，异议答复期</w:t>
      </w:r>
      <w:r>
        <w:rPr>
          <w:rFonts w:ascii="宋体" w:hAnsi="宋体" w:eastAsia="宋体" w:cs="宋体"/>
          <w:color w:val="auto"/>
          <w:spacing w:val="-1"/>
          <w:sz w:val="24"/>
          <w:szCs w:val="24"/>
          <w:highlight w:val="none"/>
          <w:lang w:eastAsia="zh-CN"/>
        </w:rPr>
        <w:t>不计算在前款规定的期限内。</w:t>
      </w:r>
    </w:p>
    <w:p w14:paraId="0CBE8269">
      <w:pPr>
        <w:keepNext w:val="0"/>
        <w:keepLines w:val="0"/>
        <w:pageBreakBefore w:val="0"/>
        <w:widowControl/>
        <w:kinsoku w:val="0"/>
        <w:wordWrap/>
        <w:overflowPunct/>
        <w:topLinePunct w:val="0"/>
        <w:autoSpaceDE w:val="0"/>
        <w:autoSpaceDN w:val="0"/>
        <w:bidi w:val="0"/>
        <w:adjustRightInd w:val="0"/>
        <w:snapToGrid w:val="0"/>
        <w:spacing w:before="27" w:line="460" w:lineRule="exact"/>
        <w:ind w:left="39" w:firstLine="439"/>
        <w:textAlignment w:val="auto"/>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上述时限最后一日如遇国家法定休假日的，顺延至法定休假日后的第一个工作</w:t>
      </w:r>
      <w:r>
        <w:rPr>
          <w:rFonts w:ascii="宋体" w:hAnsi="宋体" w:eastAsia="宋体" w:cs="宋体"/>
          <w:color w:val="auto"/>
          <w:spacing w:val="-26"/>
          <w:sz w:val="24"/>
          <w:szCs w:val="24"/>
          <w:highlight w:val="none"/>
          <w:lang w:eastAsia="zh-CN"/>
        </w:rPr>
        <w:t>日。</w:t>
      </w:r>
    </w:p>
    <w:p w14:paraId="1AC5CA29">
      <w:pPr>
        <w:keepNext w:val="0"/>
        <w:keepLines w:val="0"/>
        <w:pageBreakBefore w:val="0"/>
        <w:widowControl/>
        <w:kinsoku w:val="0"/>
        <w:wordWrap/>
        <w:overflowPunct/>
        <w:topLinePunct w:val="0"/>
        <w:autoSpaceDE w:val="0"/>
        <w:autoSpaceDN w:val="0"/>
        <w:bidi w:val="0"/>
        <w:adjustRightInd w:val="0"/>
        <w:snapToGrid w:val="0"/>
        <w:spacing w:before="138" w:line="460" w:lineRule="exact"/>
        <w:ind w:left="9"/>
        <w:textAlignment w:val="auto"/>
        <w:rPr>
          <w:rFonts w:ascii="宋体" w:hAnsi="宋体" w:eastAsia="宋体" w:cs="宋体"/>
          <w:color w:val="auto"/>
          <w:sz w:val="31"/>
          <w:szCs w:val="31"/>
          <w:highlight w:val="none"/>
          <w:lang w:eastAsia="zh-CN"/>
        </w:rPr>
      </w:pPr>
      <w:r>
        <w:rPr>
          <w:rFonts w:ascii="Times New Roman" w:hAnsi="Times New Roman" w:eastAsia="Times New Roman" w:cs="Times New Roman"/>
          <w:b/>
          <w:bCs/>
          <w:color w:val="auto"/>
          <w:spacing w:val="4"/>
          <w:sz w:val="31"/>
          <w:szCs w:val="31"/>
          <w:highlight w:val="none"/>
          <w:lang w:eastAsia="zh-CN"/>
        </w:rPr>
        <w:t>10.</w:t>
      </w:r>
      <w:r>
        <w:rPr>
          <w:rFonts w:ascii="宋体" w:hAnsi="宋体" w:eastAsia="宋体" w:cs="宋体"/>
          <w:b/>
          <w:bCs/>
          <w:color w:val="auto"/>
          <w:spacing w:val="4"/>
          <w:sz w:val="31"/>
          <w:szCs w:val="31"/>
          <w:highlight w:val="none"/>
          <w:lang w:eastAsia="zh-CN"/>
        </w:rPr>
        <w:t>需要补充的其他内容</w:t>
      </w:r>
    </w:p>
    <w:p w14:paraId="4E73BA9A">
      <w:pPr>
        <w:keepNext w:val="0"/>
        <w:keepLines w:val="0"/>
        <w:pageBreakBefore w:val="0"/>
        <w:widowControl/>
        <w:kinsoku w:val="0"/>
        <w:wordWrap/>
        <w:overflowPunct/>
        <w:topLinePunct w:val="0"/>
        <w:autoSpaceDE w:val="0"/>
        <w:autoSpaceDN w:val="0"/>
        <w:bidi w:val="0"/>
        <w:adjustRightInd w:val="0"/>
        <w:snapToGrid w:val="0"/>
        <w:spacing w:before="130" w:line="460" w:lineRule="exact"/>
        <w:ind w:left="483"/>
        <w:textAlignment w:val="auto"/>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需要补充的其他内容：见投标人须知前附表。</w:t>
      </w:r>
    </w:p>
    <w:p w14:paraId="331E353F">
      <w:pPr>
        <w:keepNext w:val="0"/>
        <w:keepLines w:val="0"/>
        <w:pageBreakBefore w:val="0"/>
        <w:widowControl/>
        <w:kinsoku w:val="0"/>
        <w:wordWrap/>
        <w:overflowPunct/>
        <w:topLinePunct w:val="0"/>
        <w:autoSpaceDE w:val="0"/>
        <w:autoSpaceDN w:val="0"/>
        <w:bidi w:val="0"/>
        <w:adjustRightInd w:val="0"/>
        <w:snapToGrid w:val="0"/>
        <w:spacing w:line="460" w:lineRule="exact"/>
        <w:textAlignment w:val="auto"/>
        <w:rPr>
          <w:rFonts w:ascii="宋体" w:hAnsi="宋体" w:eastAsia="宋体" w:cs="宋体"/>
          <w:color w:val="auto"/>
          <w:sz w:val="24"/>
          <w:szCs w:val="24"/>
          <w:highlight w:val="none"/>
          <w:lang w:eastAsia="zh-CN"/>
        </w:rPr>
        <w:sectPr>
          <w:footerReference r:id="rId7" w:type="default"/>
          <w:pgSz w:w="11906" w:h="16839"/>
          <w:pgMar w:top="1408" w:right="1581" w:bottom="1147" w:left="1600" w:header="0" w:footer="960" w:gutter="0"/>
          <w:pgNumType w:fmt="decimal"/>
          <w:cols w:space="720" w:num="1"/>
          <w:docGrid w:linePitch="0" w:charSpace="0"/>
        </w:sectPr>
      </w:pPr>
    </w:p>
    <w:p w14:paraId="3857FA55">
      <w:pPr>
        <w:spacing w:before="88" w:line="225" w:lineRule="auto"/>
        <w:ind w:left="2346"/>
        <w:rPr>
          <w:rFonts w:ascii="黑体" w:hAnsi="黑体" w:eastAsia="黑体" w:cs="黑体"/>
          <w:color w:val="auto"/>
          <w:sz w:val="43"/>
          <w:szCs w:val="43"/>
          <w:highlight w:val="none"/>
          <w:lang w:eastAsia="zh-CN"/>
        </w:rPr>
      </w:pPr>
      <w:r>
        <w:rPr>
          <w:rFonts w:ascii="黑体" w:hAnsi="黑体" w:eastAsia="黑体" w:cs="黑体"/>
          <w:color w:val="auto"/>
          <w:spacing w:val="6"/>
          <w:sz w:val="43"/>
          <w:szCs w:val="43"/>
          <w:highlight w:val="none"/>
          <w:lang w:eastAsia="zh-CN"/>
        </w:rPr>
        <w:t>第三章评标定标办法</w:t>
      </w:r>
    </w:p>
    <w:p w14:paraId="41833C8D">
      <w:pPr>
        <w:pStyle w:val="8"/>
        <w:spacing w:line="372" w:lineRule="auto"/>
        <w:rPr>
          <w:color w:val="auto"/>
          <w:highlight w:val="none"/>
          <w:lang w:eastAsia="zh-CN"/>
        </w:rPr>
      </w:pPr>
    </w:p>
    <w:p w14:paraId="2530A78C">
      <w:pPr>
        <w:spacing w:before="162" w:line="226" w:lineRule="auto"/>
        <w:ind w:left="3269"/>
        <w:rPr>
          <w:rFonts w:ascii="黑体" w:hAnsi="黑体" w:eastAsia="黑体" w:cs="黑体"/>
          <w:color w:val="auto"/>
          <w:sz w:val="31"/>
          <w:szCs w:val="31"/>
          <w:highlight w:val="none"/>
          <w:lang w:eastAsia="zh-CN"/>
        </w:rPr>
      </w:pPr>
      <w:r>
        <w:rPr>
          <w:rFonts w:ascii="黑体" w:hAnsi="黑体" w:eastAsia="黑体" w:cs="黑体"/>
          <w:color w:val="auto"/>
          <w:spacing w:val="6"/>
          <w:sz w:val="31"/>
          <w:szCs w:val="31"/>
          <w:highlight w:val="none"/>
          <w:lang w:eastAsia="zh-CN"/>
        </w:rPr>
        <w:t>资信商务评估法</w:t>
      </w:r>
    </w:p>
    <w:p w14:paraId="6181969C">
      <w:pPr>
        <w:spacing w:before="32" w:line="378" w:lineRule="auto"/>
        <w:ind w:left="9" w:right="63" w:firstLine="480"/>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评标委员会可以书面方式要求投标人对投标文件中含义不明确、对同类问题表述不一致或者有明显文字和计算错误的内容作必要的澄清、说明或者补正。澄清、说明或者补正应以书面方式进行并不得超出投标文件的范围或者改变投标文件的实</w:t>
      </w:r>
      <w:r>
        <w:rPr>
          <w:rFonts w:ascii="宋体" w:hAnsi="宋体" w:eastAsia="宋体" w:cs="宋体"/>
          <w:color w:val="auto"/>
          <w:spacing w:val="-2"/>
          <w:sz w:val="24"/>
          <w:szCs w:val="24"/>
          <w:highlight w:val="none"/>
          <w:lang w:eastAsia="zh-CN"/>
        </w:rPr>
        <w:t>质性内容。</w:t>
      </w:r>
    </w:p>
    <w:p w14:paraId="19473F84">
      <w:pPr>
        <w:spacing w:before="34" w:line="222" w:lineRule="auto"/>
        <w:ind w:left="494"/>
        <w:rPr>
          <w:rFonts w:ascii="黑体" w:hAnsi="黑体" w:eastAsia="黑体" w:cs="黑体"/>
          <w:color w:val="auto"/>
          <w:sz w:val="24"/>
          <w:szCs w:val="24"/>
          <w:highlight w:val="none"/>
          <w:lang w:eastAsia="zh-CN"/>
        </w:rPr>
      </w:pPr>
      <w:r>
        <w:rPr>
          <w:rFonts w:ascii="黑体" w:hAnsi="黑体" w:eastAsia="黑体" w:cs="黑体"/>
          <w:color w:val="auto"/>
          <w:spacing w:val="-3"/>
          <w:sz w:val="24"/>
          <w:szCs w:val="24"/>
          <w:highlight w:val="none"/>
          <w:lang w:eastAsia="zh-CN"/>
        </w:rPr>
        <w:t>一、评标程序</w:t>
      </w:r>
    </w:p>
    <w:p w14:paraId="6E07BA9E">
      <w:pPr>
        <w:spacing w:before="213" w:line="219" w:lineRule="auto"/>
        <w:ind w:left="502"/>
        <w:rPr>
          <w:rFonts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（一）确定评审区间</w:t>
      </w:r>
    </w:p>
    <w:p w14:paraId="25DE59C8">
      <w:pPr>
        <w:spacing w:before="213" w:line="219" w:lineRule="auto"/>
        <w:ind w:left="502"/>
        <w:rPr>
          <w:rFonts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（二）商务标评审</w:t>
      </w:r>
    </w:p>
    <w:p w14:paraId="0BFB89DC">
      <w:pPr>
        <w:spacing w:before="217" w:line="219" w:lineRule="auto"/>
        <w:ind w:left="502"/>
        <w:rPr>
          <w:rFonts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（三）资信标评审</w:t>
      </w:r>
    </w:p>
    <w:p w14:paraId="649C9689">
      <w:pPr>
        <w:spacing w:before="215" w:line="219" w:lineRule="auto"/>
        <w:ind w:left="502"/>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（四）评标总得分的确定</w:t>
      </w:r>
    </w:p>
    <w:p w14:paraId="5079BFDB">
      <w:pPr>
        <w:spacing w:before="215" w:line="218" w:lineRule="auto"/>
        <w:ind w:left="502"/>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（五）资格审查并推荐中标候选人</w:t>
      </w:r>
    </w:p>
    <w:p w14:paraId="32DEA52B">
      <w:pPr>
        <w:spacing w:before="217" w:line="222" w:lineRule="auto"/>
        <w:ind w:left="494"/>
        <w:rPr>
          <w:rFonts w:ascii="黑体" w:hAnsi="黑体" w:eastAsia="黑体" w:cs="黑体"/>
          <w:color w:val="auto"/>
          <w:sz w:val="24"/>
          <w:szCs w:val="24"/>
          <w:highlight w:val="none"/>
          <w:lang w:eastAsia="zh-CN"/>
        </w:rPr>
      </w:pPr>
      <w:r>
        <w:rPr>
          <w:rFonts w:ascii="黑体" w:hAnsi="黑体" w:eastAsia="黑体" w:cs="黑体"/>
          <w:color w:val="auto"/>
          <w:spacing w:val="-2"/>
          <w:sz w:val="24"/>
          <w:szCs w:val="24"/>
          <w:highlight w:val="none"/>
          <w:lang w:eastAsia="zh-CN"/>
        </w:rPr>
        <w:t>二、确定评审区间</w:t>
      </w:r>
    </w:p>
    <w:p w14:paraId="77888395">
      <w:pPr>
        <w:spacing w:before="213" w:line="370" w:lineRule="auto"/>
        <w:ind w:left="9" w:right="63" w:firstLine="480"/>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评标委员会发现投标人投标文件存在招标文件规定应当否决投标情形的，应先</w:t>
      </w:r>
      <w:r>
        <w:rPr>
          <w:rFonts w:ascii="宋体" w:hAnsi="宋体" w:eastAsia="宋体" w:cs="宋体"/>
          <w:color w:val="auto"/>
          <w:spacing w:val="-1"/>
          <w:sz w:val="24"/>
          <w:szCs w:val="24"/>
          <w:highlight w:val="none"/>
          <w:lang w:eastAsia="zh-CN"/>
        </w:rPr>
        <w:t>对投标人进行书面询问核对，情况属实的，否决其投标。</w:t>
      </w:r>
    </w:p>
    <w:p w14:paraId="1A72DE73">
      <w:pPr>
        <w:spacing w:before="39" w:line="379" w:lineRule="auto"/>
        <w:ind w:left="11" w:right="63" w:firstLine="481"/>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市内企业投标人全部进入评审区间。以市内企业投标人数量为基数，随机抽取相同数量的市外企业投标人进入评审区间。当市外企业投标人数量少于市内企业投</w:t>
      </w:r>
      <w:r>
        <w:rPr>
          <w:rFonts w:ascii="宋体" w:hAnsi="宋体" w:eastAsia="宋体" w:cs="宋体"/>
          <w:color w:val="auto"/>
          <w:spacing w:val="5"/>
          <w:sz w:val="24"/>
          <w:szCs w:val="24"/>
          <w:highlight w:val="none"/>
          <w:lang w:eastAsia="zh-CN"/>
        </w:rPr>
        <w:t>标人时，所有市外企业投标人均进入评审区间。当市内企业投标人数量不足3家，市外企业投标人数量大于3家时，市内企业投标人全部进入评审区间，并随机抽取</w:t>
      </w:r>
      <w:r>
        <w:rPr>
          <w:rFonts w:ascii="宋体" w:hAnsi="宋体" w:eastAsia="宋体" w:cs="宋体"/>
          <w:color w:val="auto"/>
          <w:spacing w:val="6"/>
          <w:sz w:val="24"/>
          <w:szCs w:val="24"/>
          <w:highlight w:val="none"/>
          <w:lang w:eastAsia="zh-CN"/>
        </w:rPr>
        <w:t>3家市外企业投标人进入评审区间。</w:t>
      </w:r>
    </w:p>
    <w:p w14:paraId="5E0AB8EB">
      <w:pPr>
        <w:spacing w:before="32" w:line="221" w:lineRule="auto"/>
        <w:ind w:left="495"/>
        <w:rPr>
          <w:rFonts w:ascii="黑体" w:hAnsi="黑体" w:eastAsia="黑体" w:cs="黑体"/>
          <w:color w:val="auto"/>
          <w:sz w:val="24"/>
          <w:szCs w:val="24"/>
          <w:highlight w:val="none"/>
          <w:lang w:eastAsia="zh-CN"/>
        </w:rPr>
      </w:pPr>
      <w:r>
        <w:rPr>
          <w:rFonts w:ascii="黑体" w:hAnsi="黑体" w:eastAsia="黑体" w:cs="黑体"/>
          <w:color w:val="auto"/>
          <w:spacing w:val="-2"/>
          <w:sz w:val="24"/>
          <w:szCs w:val="24"/>
          <w:highlight w:val="none"/>
          <w:lang w:eastAsia="zh-CN"/>
        </w:rPr>
        <w:t>三、商务标评审（95分）</w:t>
      </w:r>
    </w:p>
    <w:p w14:paraId="5B87048A">
      <w:pPr>
        <w:spacing w:before="215" w:line="218" w:lineRule="auto"/>
        <w:ind w:left="489"/>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评标委员会对进入评审区间的投标人进行商务标评审。</w:t>
      </w:r>
    </w:p>
    <w:p w14:paraId="2231BB75">
      <w:pPr>
        <w:spacing w:before="181" w:line="217" w:lineRule="auto"/>
        <w:ind w:left="492"/>
        <w:rPr>
          <w:rFonts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（一）评标基准价</w:t>
      </w:r>
    </w:p>
    <w:p w14:paraId="4DAD1BB3">
      <w:pPr>
        <w:spacing w:before="218" w:line="371" w:lineRule="auto"/>
        <w:ind w:left="2" w:firstLine="479"/>
        <w:rPr>
          <w:rFonts w:ascii="宋体" w:hAnsi="宋体" w:eastAsia="宋体" w:cs="宋体"/>
          <w:color w:val="auto"/>
          <w:spacing w:val="-1"/>
          <w:sz w:val="24"/>
          <w:szCs w:val="24"/>
          <w:highlight w:val="none"/>
          <w:lang w:eastAsia="zh-CN"/>
        </w:rPr>
      </w:pPr>
      <w:r>
        <w:rPr>
          <w:rFonts w:ascii="宋体" w:hAnsi="宋体" w:eastAsia="宋体" w:cs="宋体"/>
          <w:color w:val="auto"/>
          <w:spacing w:val="2"/>
          <w:sz w:val="24"/>
          <w:szCs w:val="24"/>
          <w:highlight w:val="none"/>
          <w:lang w:eastAsia="zh-CN"/>
        </w:rPr>
        <w:t>最高投标限价乘以调整系数作为评标基准价，即评标基准价＝最高投标限价×</w:t>
      </w:r>
      <w:r>
        <w:rPr>
          <w:rFonts w:ascii="宋体" w:hAnsi="宋体" w:eastAsia="宋体" w:cs="宋体"/>
          <w:color w:val="auto"/>
          <w:spacing w:val="-1"/>
          <w:sz w:val="24"/>
          <w:szCs w:val="24"/>
          <w:highlight w:val="none"/>
          <w:lang w:eastAsia="zh-CN"/>
        </w:rPr>
        <w:t>调整系数。（以元为单位，保留整数，小数点后第1位四舍五入）</w:t>
      </w:r>
    </w:p>
    <w:p w14:paraId="303288D4">
      <w:pPr>
        <w:spacing w:before="218" w:line="371" w:lineRule="auto"/>
        <w:ind w:left="2" w:firstLine="479"/>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调整系数</w:t>
      </w:r>
      <w:r>
        <w:rPr>
          <w:rFonts w:ascii="宋体" w:hAnsi="宋体" w:eastAsia="宋体" w:cs="宋体"/>
          <w:color w:val="auto"/>
          <w:spacing w:val="-24"/>
          <w:sz w:val="24"/>
          <w:szCs w:val="24"/>
          <w:highlight w:val="none"/>
          <w:lang w:eastAsia="zh-CN"/>
        </w:rPr>
        <w:t>＝（</w:t>
      </w:r>
      <w:r>
        <w:rPr>
          <w:rFonts w:ascii="宋体" w:hAnsi="宋体" w:eastAsia="宋体" w:cs="宋体"/>
          <w:color w:val="auto"/>
          <w:spacing w:val="1"/>
          <w:sz w:val="24"/>
          <w:szCs w:val="24"/>
          <w:highlight w:val="none"/>
          <w:lang w:eastAsia="zh-CN"/>
        </w:rPr>
        <w:t>100–D）%，D值在0.00～1.99范围内随机抽取产生。先从0～1中</w:t>
      </w:r>
      <w:r>
        <w:rPr>
          <w:rFonts w:ascii="宋体" w:hAnsi="宋体" w:eastAsia="宋体" w:cs="宋体"/>
          <w:color w:val="auto"/>
          <w:sz w:val="24"/>
          <w:szCs w:val="24"/>
          <w:highlight w:val="none"/>
          <w:lang w:eastAsia="zh-CN"/>
        </w:rPr>
        <w:t xml:space="preserve">抽取个位数字X，再从0～9中抽取十分位数字Y，最后从0～9中抽取百分位数字Z,  </w:t>
      </w:r>
      <w:r>
        <w:rPr>
          <w:rFonts w:ascii="宋体" w:hAnsi="宋体" w:eastAsia="宋体" w:cs="宋体"/>
          <w:color w:val="auto"/>
          <w:spacing w:val="5"/>
          <w:sz w:val="24"/>
          <w:szCs w:val="24"/>
          <w:highlight w:val="none"/>
          <w:lang w:eastAsia="zh-CN"/>
        </w:rPr>
        <w:t>则抽取的D值即X.</w:t>
      </w:r>
      <w:r>
        <w:rPr>
          <w:rFonts w:ascii="宋体" w:hAnsi="宋体" w:eastAsia="宋体" w:cs="宋体"/>
          <w:color w:val="auto"/>
          <w:sz w:val="24"/>
          <w:szCs w:val="24"/>
          <w:highlight w:val="none"/>
          <w:lang w:eastAsia="zh-CN"/>
        </w:rPr>
        <w:t>YZ</w:t>
      </w:r>
      <w:r>
        <w:rPr>
          <w:rFonts w:ascii="宋体" w:hAnsi="宋体" w:eastAsia="宋体" w:cs="宋体"/>
          <w:color w:val="auto"/>
          <w:spacing w:val="5"/>
          <w:sz w:val="24"/>
          <w:szCs w:val="24"/>
          <w:highlight w:val="none"/>
          <w:lang w:eastAsia="zh-CN"/>
        </w:rPr>
        <w:t>。</w:t>
      </w:r>
    </w:p>
    <w:p w14:paraId="1CA239F1">
      <w:pPr>
        <w:spacing w:before="32" w:line="219" w:lineRule="auto"/>
        <w:ind w:left="492"/>
        <w:rPr>
          <w:rFonts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（二）商务标得分</w:t>
      </w:r>
    </w:p>
    <w:p w14:paraId="603DA5E3">
      <w:pPr>
        <w:spacing w:before="214" w:line="381" w:lineRule="auto"/>
        <w:ind w:firstLine="480"/>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投标人的投标报价等于评标基准价的得95分。偏离评标基准价的，每高于或每</w:t>
      </w:r>
      <w:r>
        <w:rPr>
          <w:rFonts w:ascii="宋体" w:hAnsi="宋体" w:eastAsia="宋体" w:cs="宋体"/>
          <w:color w:val="auto"/>
          <w:spacing w:val="11"/>
          <w:sz w:val="24"/>
          <w:szCs w:val="24"/>
          <w:highlight w:val="none"/>
          <w:lang w:eastAsia="zh-CN"/>
        </w:rPr>
        <w:t>低于评标基准价1个百分点的均扣1分，即商务标得分=95-|(投标报价-评标基准</w:t>
      </w:r>
      <w:r>
        <w:rPr>
          <w:rFonts w:ascii="宋体" w:hAnsi="宋体" w:eastAsia="宋体" w:cs="宋体"/>
          <w:color w:val="auto"/>
          <w:spacing w:val="3"/>
          <w:sz w:val="24"/>
          <w:szCs w:val="24"/>
          <w:highlight w:val="none"/>
          <w:lang w:eastAsia="zh-CN"/>
        </w:rPr>
        <w:t>价)|/评标基准价×100×1（小数点后保留2位，小数点后第3位四舍</w:t>
      </w:r>
      <w:r>
        <w:rPr>
          <w:rFonts w:ascii="宋体" w:hAnsi="宋体" w:eastAsia="宋体" w:cs="宋体"/>
          <w:color w:val="auto"/>
          <w:spacing w:val="2"/>
          <w:sz w:val="24"/>
          <w:szCs w:val="24"/>
          <w:highlight w:val="none"/>
          <w:lang w:eastAsia="zh-CN"/>
        </w:rPr>
        <w:t>五入）。当投</w:t>
      </w:r>
      <w:r>
        <w:rPr>
          <w:rFonts w:ascii="宋体" w:hAnsi="宋体" w:eastAsia="宋体" w:cs="宋体"/>
          <w:color w:val="auto"/>
          <w:spacing w:val="11"/>
          <w:sz w:val="24"/>
          <w:szCs w:val="24"/>
          <w:highlight w:val="none"/>
          <w:lang w:eastAsia="zh-CN"/>
        </w:rPr>
        <w:t>标人商务标文件（S家）≤30时，所有投标人的投标文件</w:t>
      </w:r>
      <w:r>
        <w:rPr>
          <w:rFonts w:ascii="宋体" w:hAnsi="宋体" w:eastAsia="宋体" w:cs="宋体"/>
          <w:color w:val="auto"/>
          <w:spacing w:val="10"/>
          <w:sz w:val="24"/>
          <w:szCs w:val="24"/>
          <w:highlight w:val="none"/>
          <w:lang w:eastAsia="zh-CN"/>
        </w:rPr>
        <w:t>均进入商务标符合性评</w:t>
      </w:r>
      <w:r>
        <w:rPr>
          <w:rFonts w:ascii="宋体" w:hAnsi="宋体" w:eastAsia="宋体" w:cs="宋体"/>
          <w:color w:val="auto"/>
          <w:spacing w:val="5"/>
          <w:sz w:val="24"/>
          <w:szCs w:val="24"/>
          <w:highlight w:val="none"/>
          <w:lang w:eastAsia="zh-CN"/>
        </w:rPr>
        <w:t>审；如此时S＞30时，商务标得分排名靠前的30家投标文件进入商务标符合性评审</w:t>
      </w:r>
      <w:r>
        <w:rPr>
          <w:rFonts w:ascii="宋体" w:hAnsi="宋体" w:eastAsia="宋体" w:cs="宋体"/>
          <w:color w:val="auto"/>
          <w:spacing w:val="2"/>
          <w:sz w:val="24"/>
          <w:szCs w:val="24"/>
          <w:highlight w:val="none"/>
          <w:lang w:eastAsia="zh-CN"/>
        </w:rPr>
        <w:t>（如商务标得分排名第30名存在并列，则排名为第30名的所有投标文件一并进入商务标符合性评审）。其余投标人的投标文件不再进入下一阶段评审，投标文件作无</w:t>
      </w:r>
    </w:p>
    <w:p w14:paraId="5A48B1D9">
      <w:pPr>
        <w:spacing w:before="36" w:line="219" w:lineRule="auto"/>
        <w:ind w:left="4"/>
        <w:rPr>
          <w:rFonts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效标处理。</w:t>
      </w:r>
    </w:p>
    <w:p w14:paraId="573052CF">
      <w:pPr>
        <w:spacing w:before="58" w:line="219" w:lineRule="auto"/>
        <w:ind w:left="492"/>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（三）商务标符合性评审</w:t>
      </w:r>
    </w:p>
    <w:p w14:paraId="3E9BA9A5">
      <w:pPr>
        <w:spacing w:before="184" w:line="376" w:lineRule="auto"/>
        <w:ind w:left="3" w:firstLine="480"/>
        <w:jc w:val="both"/>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评标委员会对投标文件中工程量清单的范围、数量、报价进行全面审核和对比分析。投标人存在招标文件规定应当否决投标情形的，评标委员会组织投标人询问</w:t>
      </w:r>
      <w:r>
        <w:rPr>
          <w:rFonts w:ascii="宋体" w:hAnsi="宋体" w:eastAsia="宋体" w:cs="宋体"/>
          <w:color w:val="auto"/>
          <w:spacing w:val="-1"/>
          <w:sz w:val="24"/>
          <w:szCs w:val="24"/>
          <w:highlight w:val="none"/>
          <w:lang w:eastAsia="zh-CN"/>
        </w:rPr>
        <w:t>核实后，情况属实的，商务标不予通过，否决其投标。</w:t>
      </w:r>
    </w:p>
    <w:p w14:paraId="0C8FD4A6">
      <w:pPr>
        <w:spacing w:before="32" w:line="373" w:lineRule="auto"/>
        <w:ind w:left="1" w:right="2" w:firstLine="478"/>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评标委员会对确定为实质上响应招标文件要求的投标文件进行复核, 看其是否</w:t>
      </w:r>
      <w:r>
        <w:rPr>
          <w:rFonts w:ascii="宋体" w:hAnsi="宋体" w:eastAsia="宋体" w:cs="宋体"/>
          <w:color w:val="auto"/>
          <w:spacing w:val="-1"/>
          <w:sz w:val="24"/>
          <w:szCs w:val="24"/>
          <w:highlight w:val="none"/>
          <w:lang w:eastAsia="zh-CN"/>
        </w:rPr>
        <w:t>有计算上、累计上或表达上的错误。修正错误的顺序和原则如下：</w:t>
      </w:r>
    </w:p>
    <w:p w14:paraId="700EC85E">
      <w:pPr>
        <w:spacing w:before="33" w:line="343" w:lineRule="auto"/>
        <w:ind w:left="3" w:firstLine="488"/>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（1）针对投标人的报价组价进行复核及评审，如发现有计算前后不一致时，</w:t>
      </w:r>
      <w:r>
        <w:rPr>
          <w:rFonts w:ascii="宋体" w:hAnsi="宋体" w:eastAsia="宋体" w:cs="宋体"/>
          <w:color w:val="auto"/>
          <w:spacing w:val="2"/>
          <w:sz w:val="24"/>
          <w:szCs w:val="24"/>
          <w:highlight w:val="none"/>
          <w:lang w:eastAsia="zh-CN"/>
        </w:rPr>
        <w:t>以计算前的数据为准，调整计算后数值；除非评标委员会认为计算前的数据有明显的差错或遗漏，此时应以计算后的数据为准来调整计算前的数据。因电子招投标系</w:t>
      </w:r>
      <w:r>
        <w:rPr>
          <w:rFonts w:ascii="宋体" w:hAnsi="宋体" w:eastAsia="宋体" w:cs="宋体"/>
          <w:color w:val="auto"/>
          <w:spacing w:val="-1"/>
          <w:sz w:val="24"/>
          <w:szCs w:val="24"/>
          <w:highlight w:val="none"/>
          <w:lang w:eastAsia="zh-CN"/>
        </w:rPr>
        <w:t>统小数点保留位数产生的误差忽略不计。</w:t>
      </w:r>
    </w:p>
    <w:p w14:paraId="64A03CF3">
      <w:pPr>
        <w:spacing w:before="33" w:line="343" w:lineRule="auto"/>
        <w:ind w:left="3" w:firstLine="488"/>
        <w:rPr>
          <w:rFonts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（2）在总报价不变的前提下，评标委员会以合理原则，通过调整组价的相应内容使其一致。</w:t>
      </w:r>
    </w:p>
    <w:p w14:paraId="2F9732B8">
      <w:pPr>
        <w:spacing w:before="33" w:line="343" w:lineRule="auto"/>
        <w:ind w:left="3" w:firstLine="488"/>
        <w:rPr>
          <w:rFonts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按上述修正错误的原则，调整或修正投标文件的投标报价，经投标人确认后，调整后的投标组价对投标人起约束作用。如果投标人不接受或者投标人在收到确认通知后30分钟内不能确认的，评标委员会将把调整或修正后的投标组价作为该投标人的投标组价，进入下一阶段评审，但不接受修正的投标人最终将丧失其中标资格。</w:t>
      </w:r>
    </w:p>
    <w:p w14:paraId="3F3BD213">
      <w:pPr>
        <w:spacing w:before="34" w:line="222" w:lineRule="auto"/>
        <w:ind w:left="498"/>
        <w:rPr>
          <w:rFonts w:ascii="黑体" w:hAnsi="黑体" w:eastAsia="黑体" w:cs="黑体"/>
          <w:color w:val="auto"/>
          <w:sz w:val="24"/>
          <w:szCs w:val="24"/>
          <w:highlight w:val="none"/>
          <w:lang w:eastAsia="zh-CN"/>
        </w:rPr>
      </w:pPr>
      <w:r>
        <w:rPr>
          <w:rFonts w:ascii="黑体" w:hAnsi="黑体" w:eastAsia="黑体" w:cs="黑体"/>
          <w:color w:val="auto"/>
          <w:spacing w:val="-3"/>
          <w:sz w:val="24"/>
          <w:szCs w:val="24"/>
          <w:highlight w:val="none"/>
          <w:lang w:eastAsia="zh-CN"/>
        </w:rPr>
        <w:t>四、资信标评审（5分）</w:t>
      </w:r>
    </w:p>
    <w:p w14:paraId="080F69E9">
      <w:pPr>
        <w:spacing w:before="213" w:line="370" w:lineRule="auto"/>
        <w:ind w:left="24" w:firstLine="459"/>
        <w:rPr>
          <w:rFonts w:ascii="宋体" w:hAnsi="宋体" w:eastAsia="宋体" w:cs="宋体"/>
          <w:color w:val="auto"/>
          <w:sz w:val="24"/>
          <w:szCs w:val="24"/>
          <w:highlight w:val="none"/>
          <w:lang w:eastAsia="zh-CN"/>
        </w:rPr>
      </w:pPr>
      <w:r>
        <w:rPr>
          <w:rFonts w:ascii="宋体" w:hAnsi="宋体" w:eastAsia="宋体" w:cs="宋体"/>
          <w:color w:val="auto"/>
          <w:spacing w:val="10"/>
          <w:sz w:val="24"/>
          <w:szCs w:val="24"/>
          <w:highlight w:val="none"/>
          <w:lang w:eastAsia="zh-CN"/>
        </w:rPr>
        <w:t>评标委员会发现投标人投标文件资信标存在招标文</w:t>
      </w:r>
      <w:r>
        <w:rPr>
          <w:rFonts w:ascii="宋体" w:hAnsi="宋体" w:eastAsia="宋体" w:cs="宋体"/>
          <w:color w:val="auto"/>
          <w:spacing w:val="9"/>
          <w:sz w:val="24"/>
          <w:szCs w:val="24"/>
          <w:highlight w:val="none"/>
          <w:lang w:eastAsia="zh-CN"/>
        </w:rPr>
        <w:t>件规定应当否决投标情形</w:t>
      </w:r>
      <w:r>
        <w:rPr>
          <w:rFonts w:ascii="宋体" w:hAnsi="宋体" w:eastAsia="宋体" w:cs="宋体"/>
          <w:color w:val="auto"/>
          <w:spacing w:val="-1"/>
          <w:sz w:val="24"/>
          <w:szCs w:val="24"/>
          <w:highlight w:val="none"/>
          <w:lang w:eastAsia="zh-CN"/>
        </w:rPr>
        <w:t>的，应先对投标人进行书面询问核对，情况属实的，否决其投</w:t>
      </w:r>
      <w:r>
        <w:rPr>
          <w:rFonts w:ascii="宋体" w:hAnsi="宋体" w:eastAsia="宋体" w:cs="宋体"/>
          <w:color w:val="auto"/>
          <w:spacing w:val="-2"/>
          <w:sz w:val="24"/>
          <w:szCs w:val="24"/>
          <w:highlight w:val="none"/>
          <w:lang w:eastAsia="zh-CN"/>
        </w:rPr>
        <w:t>标。</w:t>
      </w:r>
    </w:p>
    <w:p w14:paraId="52155607">
      <w:pPr>
        <w:spacing w:before="37" w:line="217" w:lineRule="auto"/>
        <w:ind w:left="496"/>
        <w:rPr>
          <w:rFonts w:ascii="宋体" w:hAnsi="宋体" w:eastAsia="宋体" w:cs="宋体"/>
          <w:color w:val="auto"/>
          <w:sz w:val="24"/>
          <w:szCs w:val="24"/>
          <w:highlight w:val="none"/>
          <w:lang w:eastAsia="zh-CN"/>
        </w:rPr>
      </w:pPr>
      <w:r>
        <w:rPr>
          <w:rFonts w:ascii="宋体" w:hAnsi="宋体" w:eastAsia="宋体" w:cs="宋体"/>
          <w:b/>
          <w:bCs/>
          <w:color w:val="auto"/>
          <w:spacing w:val="-4"/>
          <w:sz w:val="24"/>
          <w:szCs w:val="24"/>
          <w:highlight w:val="none"/>
          <w:lang w:eastAsia="zh-CN"/>
        </w:rPr>
        <w:t>（一）投标人的信用评价分（3分）</w:t>
      </w:r>
    </w:p>
    <w:p w14:paraId="2EDB0B4E">
      <w:pPr>
        <w:spacing w:before="217" w:line="378" w:lineRule="auto"/>
        <w:ind w:firstLine="484"/>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根据《台州市住房和城乡建设局关于公布建筑工程和</w:t>
      </w:r>
      <w:r>
        <w:rPr>
          <w:rFonts w:hint="eastAsia" w:ascii="宋体" w:hAnsi="宋体" w:eastAsia="宋体" w:cs="宋体"/>
          <w:color w:val="auto"/>
          <w:spacing w:val="2"/>
          <w:sz w:val="24"/>
          <w:szCs w:val="24"/>
          <w:highlight w:val="none"/>
          <w:lang w:eastAsia="zh-CN"/>
        </w:rPr>
        <w:t>建筑</w:t>
      </w:r>
      <w:r>
        <w:rPr>
          <w:rFonts w:ascii="宋体" w:hAnsi="宋体" w:eastAsia="宋体" w:cs="宋体"/>
          <w:color w:val="auto"/>
          <w:spacing w:val="2"/>
          <w:sz w:val="24"/>
          <w:szCs w:val="24"/>
          <w:highlight w:val="none"/>
          <w:lang w:eastAsia="zh-CN"/>
        </w:rPr>
        <w:t>工程企业信用等</w:t>
      </w:r>
      <w:r>
        <w:rPr>
          <w:rFonts w:ascii="宋体" w:hAnsi="宋体" w:eastAsia="宋体" w:cs="宋体"/>
          <w:color w:val="auto"/>
          <w:spacing w:val="5"/>
          <w:sz w:val="24"/>
          <w:szCs w:val="24"/>
          <w:highlight w:val="none"/>
          <w:lang w:eastAsia="zh-CN"/>
        </w:rPr>
        <w:t>级划分标准的通知（试行）》（台建〔2022〕228号</w:t>
      </w:r>
      <w:r>
        <w:rPr>
          <w:rFonts w:ascii="宋体" w:hAnsi="宋体" w:eastAsia="宋体" w:cs="宋体"/>
          <w:color w:val="auto"/>
          <w:spacing w:val="14"/>
          <w:sz w:val="24"/>
          <w:szCs w:val="24"/>
          <w:highlight w:val="none"/>
          <w:lang w:eastAsia="zh-CN"/>
        </w:rPr>
        <w:t>），</w:t>
      </w:r>
      <w:r>
        <w:rPr>
          <w:rFonts w:ascii="宋体" w:hAnsi="宋体" w:eastAsia="宋体" w:cs="宋体"/>
          <w:color w:val="auto"/>
          <w:spacing w:val="4"/>
          <w:sz w:val="24"/>
          <w:szCs w:val="24"/>
          <w:highlight w:val="none"/>
          <w:lang w:eastAsia="zh-CN"/>
        </w:rPr>
        <w:t>浙江省建筑市场监管公共</w:t>
      </w:r>
      <w:r>
        <w:rPr>
          <w:rFonts w:ascii="宋体" w:hAnsi="宋体" w:eastAsia="宋体" w:cs="宋体"/>
          <w:color w:val="auto"/>
          <w:spacing w:val="2"/>
          <w:sz w:val="24"/>
          <w:szCs w:val="24"/>
          <w:highlight w:val="none"/>
          <w:lang w:eastAsia="zh-CN"/>
        </w:rPr>
        <w:t>服务系统中房屋建筑工程和</w:t>
      </w:r>
      <w:r>
        <w:rPr>
          <w:rFonts w:hint="eastAsia" w:ascii="宋体" w:hAnsi="宋体" w:eastAsia="宋体" w:cs="宋体"/>
          <w:color w:val="auto"/>
          <w:spacing w:val="2"/>
          <w:sz w:val="24"/>
          <w:szCs w:val="24"/>
          <w:highlight w:val="none"/>
          <w:lang w:eastAsia="zh-CN"/>
        </w:rPr>
        <w:t>建筑</w:t>
      </w:r>
      <w:r>
        <w:rPr>
          <w:rFonts w:ascii="宋体" w:hAnsi="宋体" w:eastAsia="宋体" w:cs="宋体"/>
          <w:color w:val="auto"/>
          <w:spacing w:val="2"/>
          <w:sz w:val="24"/>
          <w:szCs w:val="24"/>
          <w:highlight w:val="none"/>
          <w:lang w:eastAsia="zh-CN"/>
        </w:rPr>
        <w:t>工程施工总承包企业评价等级分为 A、B、C、</w:t>
      </w:r>
      <w:r>
        <w:rPr>
          <w:rFonts w:ascii="宋体" w:hAnsi="宋体" w:eastAsia="宋体" w:cs="宋体"/>
          <w:color w:val="auto"/>
          <w:spacing w:val="-1"/>
          <w:sz w:val="24"/>
          <w:szCs w:val="24"/>
          <w:highlight w:val="none"/>
          <w:lang w:eastAsia="zh-CN"/>
        </w:rPr>
        <w:t>D、E 五个等级，各等级分值的具体标准如下：</w:t>
      </w:r>
    </w:p>
    <w:p w14:paraId="4056F5D9">
      <w:pPr>
        <w:spacing w:before="33" w:line="378" w:lineRule="auto"/>
        <w:ind w:left="478" w:right="5269" w:hanging="1"/>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A级：110分以上（含110分）B级：105-110分（含105分）C级：100-105分（含100分）</w:t>
      </w:r>
      <w:r>
        <w:rPr>
          <w:rFonts w:ascii="宋体" w:hAnsi="宋体" w:eastAsia="宋体" w:cs="宋体"/>
          <w:color w:val="auto"/>
          <w:spacing w:val="-1"/>
          <w:sz w:val="24"/>
          <w:szCs w:val="24"/>
          <w:highlight w:val="none"/>
          <w:lang w:eastAsia="zh-CN"/>
        </w:rPr>
        <w:t>D级：90-100分（含90分）</w:t>
      </w:r>
    </w:p>
    <w:p w14:paraId="60780E1E">
      <w:pPr>
        <w:spacing w:before="36" w:line="219" w:lineRule="auto"/>
        <w:ind w:left="481"/>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E级：90分以下。</w:t>
      </w:r>
    </w:p>
    <w:p w14:paraId="5B418133">
      <w:pPr>
        <w:spacing w:before="213" w:line="376" w:lineRule="auto"/>
        <w:ind w:left="5" w:firstLine="483"/>
        <w:jc w:val="both"/>
        <w:rPr>
          <w:rFonts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与招标项目相同专业类别的投标人信用等级C及以上</w:t>
      </w:r>
      <w:r>
        <w:rPr>
          <w:rFonts w:ascii="宋体" w:hAnsi="宋体" w:eastAsia="宋体" w:cs="宋体"/>
          <w:color w:val="auto"/>
          <w:spacing w:val="8"/>
          <w:sz w:val="24"/>
          <w:szCs w:val="24"/>
          <w:highlight w:val="none"/>
          <w:lang w:eastAsia="zh-CN"/>
        </w:rPr>
        <w:t>的，得3分；D的，得2.8</w:t>
      </w:r>
      <w:r>
        <w:rPr>
          <w:rFonts w:ascii="宋体" w:hAnsi="宋体" w:eastAsia="宋体" w:cs="宋体"/>
          <w:color w:val="auto"/>
          <w:spacing w:val="2"/>
          <w:sz w:val="24"/>
          <w:szCs w:val="24"/>
          <w:highlight w:val="none"/>
          <w:lang w:eastAsia="zh-CN"/>
        </w:rPr>
        <w:t>分；E的，得2.3分；未取得与招标项目相同专业类别信用等级的投标人，其信用评</w:t>
      </w:r>
      <w:r>
        <w:rPr>
          <w:rFonts w:ascii="宋体" w:hAnsi="宋体" w:eastAsia="宋体" w:cs="宋体"/>
          <w:color w:val="auto"/>
          <w:spacing w:val="-2"/>
          <w:sz w:val="24"/>
          <w:szCs w:val="24"/>
          <w:highlight w:val="none"/>
          <w:lang w:eastAsia="zh-CN"/>
        </w:rPr>
        <w:t>价分为1.8分。</w:t>
      </w:r>
    </w:p>
    <w:p w14:paraId="634D85C0">
      <w:pPr>
        <w:spacing w:before="35" w:line="376" w:lineRule="auto"/>
        <w:ind w:left="3" w:firstLine="480"/>
        <w:jc w:val="both"/>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投标人的信用等级及得分情况根据本工程投标截止日前两个月，经台州市建筑</w:t>
      </w:r>
      <w:r>
        <w:rPr>
          <w:rFonts w:ascii="宋体" w:hAnsi="宋体" w:eastAsia="宋体" w:cs="宋体"/>
          <w:color w:val="auto"/>
          <w:spacing w:val="6"/>
          <w:sz w:val="24"/>
          <w:szCs w:val="24"/>
          <w:highlight w:val="none"/>
          <w:lang w:eastAsia="zh-CN"/>
        </w:rPr>
        <w:t>业信息管理网网站省信用评价公示公布发布</w:t>
      </w:r>
      <w:r>
        <w:rPr>
          <w:rFonts w:ascii="宋体" w:hAnsi="宋体" w:eastAsia="宋体" w:cs="宋体"/>
          <w:color w:val="auto"/>
          <w:spacing w:val="5"/>
          <w:sz w:val="24"/>
          <w:szCs w:val="24"/>
          <w:highlight w:val="none"/>
          <w:lang w:eastAsia="zh-CN"/>
        </w:rPr>
        <w:t>的评审结果为准（例：投标截止日为7</w:t>
      </w:r>
      <w:r>
        <w:rPr>
          <w:rFonts w:ascii="宋体" w:hAnsi="宋体" w:eastAsia="宋体" w:cs="宋体"/>
          <w:color w:val="auto"/>
          <w:sz w:val="24"/>
          <w:szCs w:val="24"/>
          <w:highlight w:val="none"/>
          <w:lang w:eastAsia="zh-CN"/>
        </w:rPr>
        <w:t>月X日采用台州市建筑业信息管理网网站发布</w:t>
      </w:r>
      <w:r>
        <w:rPr>
          <w:rFonts w:ascii="宋体" w:hAnsi="宋体" w:eastAsia="宋体" w:cs="宋体"/>
          <w:color w:val="auto"/>
          <w:spacing w:val="-1"/>
          <w:sz w:val="24"/>
          <w:szCs w:val="24"/>
          <w:highlight w:val="none"/>
          <w:lang w:eastAsia="zh-CN"/>
        </w:rPr>
        <w:t>的5月份信用等级）。</w:t>
      </w:r>
    </w:p>
    <w:p w14:paraId="5BA603BB">
      <w:pPr>
        <w:spacing w:before="33" w:line="371" w:lineRule="auto"/>
        <w:ind w:left="25" w:right="2" w:firstLine="470"/>
        <w:rPr>
          <w:rFonts w:ascii="宋体" w:hAnsi="宋体" w:eastAsia="宋体" w:cs="宋体"/>
          <w:color w:val="auto"/>
          <w:sz w:val="24"/>
          <w:szCs w:val="24"/>
          <w:highlight w:val="none"/>
          <w:lang w:eastAsia="zh-CN"/>
        </w:rPr>
      </w:pPr>
      <w:r>
        <w:rPr>
          <w:rFonts w:ascii="宋体" w:hAnsi="宋体" w:eastAsia="宋体" w:cs="宋体"/>
          <w:b/>
          <w:bCs/>
          <w:color w:val="auto"/>
          <w:spacing w:val="-1"/>
          <w:sz w:val="24"/>
          <w:szCs w:val="24"/>
          <w:highlight w:val="none"/>
          <w:lang w:eastAsia="zh-CN"/>
        </w:rPr>
        <w:t>（二）项目负责人的信用评价分（2分）</w:t>
      </w:r>
      <w:r>
        <w:rPr>
          <w:rFonts w:ascii="宋体" w:hAnsi="宋体" w:eastAsia="宋体" w:cs="宋体"/>
          <w:color w:val="auto"/>
          <w:spacing w:val="-1"/>
          <w:sz w:val="24"/>
          <w:szCs w:val="24"/>
          <w:highlight w:val="none"/>
          <w:lang w:eastAsia="zh-CN"/>
        </w:rPr>
        <w:t>(此项待项目负责人信用评</w:t>
      </w:r>
      <w:r>
        <w:rPr>
          <w:rFonts w:ascii="宋体" w:hAnsi="宋体" w:eastAsia="宋体" w:cs="宋体"/>
          <w:color w:val="auto"/>
          <w:spacing w:val="-2"/>
          <w:sz w:val="24"/>
          <w:szCs w:val="24"/>
          <w:highlight w:val="none"/>
          <w:lang w:eastAsia="zh-CN"/>
        </w:rPr>
        <w:t>价实施细则</w:t>
      </w:r>
      <w:r>
        <w:rPr>
          <w:rFonts w:ascii="宋体" w:hAnsi="宋体" w:eastAsia="宋体" w:cs="宋体"/>
          <w:color w:val="auto"/>
          <w:spacing w:val="-3"/>
          <w:sz w:val="24"/>
          <w:szCs w:val="24"/>
          <w:highlight w:val="none"/>
          <w:lang w:eastAsia="zh-CN"/>
        </w:rPr>
        <w:t>出台后实施，未实施前均得满分)</w:t>
      </w:r>
    </w:p>
    <w:p w14:paraId="08BC0608">
      <w:pPr>
        <w:spacing w:before="181" w:line="217" w:lineRule="auto"/>
        <w:ind w:left="492"/>
        <w:rPr>
          <w:rFonts w:ascii="宋体" w:hAnsi="宋体" w:eastAsia="宋体" w:cs="宋体"/>
          <w:color w:val="auto"/>
          <w:sz w:val="24"/>
          <w:szCs w:val="24"/>
          <w:highlight w:val="none"/>
          <w:lang w:eastAsia="zh-CN"/>
        </w:rPr>
      </w:pPr>
      <w:r>
        <w:rPr>
          <w:rFonts w:ascii="宋体" w:hAnsi="宋体" w:eastAsia="宋体" w:cs="宋体"/>
          <w:b/>
          <w:bCs/>
          <w:color w:val="auto"/>
          <w:spacing w:val="-2"/>
          <w:sz w:val="24"/>
          <w:szCs w:val="24"/>
          <w:highlight w:val="none"/>
          <w:lang w:eastAsia="zh-CN"/>
        </w:rPr>
        <w:t>（三）资信标得分＝投标人的信用评价分+</w:t>
      </w:r>
      <w:r>
        <w:rPr>
          <w:rFonts w:ascii="宋体" w:hAnsi="宋体" w:eastAsia="宋体" w:cs="宋体"/>
          <w:b/>
          <w:bCs/>
          <w:color w:val="auto"/>
          <w:spacing w:val="-3"/>
          <w:sz w:val="24"/>
          <w:szCs w:val="24"/>
          <w:highlight w:val="none"/>
          <w:lang w:eastAsia="zh-CN"/>
        </w:rPr>
        <w:t>项目负责人的信用评价分。</w:t>
      </w:r>
    </w:p>
    <w:p w14:paraId="688FD3C1">
      <w:pPr>
        <w:spacing w:before="217" w:line="222" w:lineRule="auto"/>
        <w:ind w:left="487"/>
        <w:rPr>
          <w:rFonts w:ascii="黑体" w:hAnsi="黑体" w:eastAsia="黑体" w:cs="黑体"/>
          <w:color w:val="auto"/>
          <w:sz w:val="24"/>
          <w:szCs w:val="24"/>
          <w:highlight w:val="none"/>
          <w:lang w:eastAsia="zh-CN"/>
        </w:rPr>
      </w:pPr>
      <w:r>
        <w:rPr>
          <w:rFonts w:ascii="黑体" w:hAnsi="黑体" w:eastAsia="黑体" w:cs="黑体"/>
          <w:color w:val="auto"/>
          <w:spacing w:val="-2"/>
          <w:sz w:val="24"/>
          <w:szCs w:val="24"/>
          <w:highlight w:val="none"/>
          <w:lang w:eastAsia="zh-CN"/>
        </w:rPr>
        <w:t>五、评标总得分的确定</w:t>
      </w:r>
    </w:p>
    <w:p w14:paraId="5877E9AD">
      <w:pPr>
        <w:spacing w:before="211" w:line="219" w:lineRule="auto"/>
        <w:ind w:left="480"/>
        <w:rPr>
          <w:rFonts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投标人的评标总得分＝资信标得分＋商务标得分。</w:t>
      </w:r>
    </w:p>
    <w:p w14:paraId="68B89908">
      <w:pPr>
        <w:spacing w:before="213" w:line="222" w:lineRule="auto"/>
        <w:ind w:left="488"/>
        <w:rPr>
          <w:rFonts w:ascii="黑体" w:hAnsi="黑体" w:eastAsia="黑体" w:cs="黑体"/>
          <w:color w:val="auto"/>
          <w:sz w:val="24"/>
          <w:szCs w:val="24"/>
          <w:highlight w:val="none"/>
          <w:lang w:eastAsia="zh-CN"/>
        </w:rPr>
      </w:pPr>
      <w:r>
        <w:rPr>
          <w:rFonts w:ascii="黑体" w:hAnsi="黑体" w:eastAsia="黑体" w:cs="黑体"/>
          <w:color w:val="auto"/>
          <w:spacing w:val="-2"/>
          <w:sz w:val="24"/>
          <w:szCs w:val="24"/>
          <w:highlight w:val="none"/>
          <w:lang w:eastAsia="zh-CN"/>
        </w:rPr>
        <w:t>六、资格审查并推荐中标候选人</w:t>
      </w:r>
    </w:p>
    <w:p w14:paraId="37313A54">
      <w:pPr>
        <w:spacing w:before="218" w:line="370" w:lineRule="auto"/>
        <w:ind w:left="21" w:firstLine="458"/>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评标委员会按评标总得分确定中标候选人，即总得分最高者为中标候选人。如</w:t>
      </w:r>
      <w:r>
        <w:rPr>
          <w:rFonts w:ascii="宋体" w:hAnsi="宋体" w:eastAsia="宋体" w:cs="宋体"/>
          <w:color w:val="auto"/>
          <w:spacing w:val="-2"/>
          <w:sz w:val="24"/>
          <w:szCs w:val="24"/>
          <w:highlight w:val="none"/>
          <w:lang w:eastAsia="zh-CN"/>
        </w:rPr>
        <w:t>出现总得分相同的，按以下优先顺序推荐中标候选人：</w:t>
      </w:r>
    </w:p>
    <w:p w14:paraId="10DAF45D">
      <w:pPr>
        <w:spacing w:before="33" w:line="219" w:lineRule="auto"/>
        <w:ind w:left="492"/>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（一）资信标得分高者；</w:t>
      </w:r>
    </w:p>
    <w:p w14:paraId="54C1B007">
      <w:pPr>
        <w:spacing w:before="215" w:line="217" w:lineRule="auto"/>
        <w:ind w:left="492"/>
        <w:rPr>
          <w:rFonts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（二）投标报价低者；</w:t>
      </w:r>
    </w:p>
    <w:p w14:paraId="3644B680">
      <w:pPr>
        <w:spacing w:before="220" w:line="219" w:lineRule="auto"/>
        <w:ind w:left="492"/>
        <w:rPr>
          <w:rFonts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（三）抽签确定。</w:t>
      </w:r>
    </w:p>
    <w:p w14:paraId="34B82353">
      <w:pPr>
        <w:spacing w:before="214" w:line="382" w:lineRule="auto"/>
        <w:ind w:firstLine="480"/>
        <w:rPr>
          <w:rFonts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评标委员会按排名顺序依次对拟推荐为中标候选人（中标候选人的人数见投标人须知前附表）的投标人和其拟派的项目负责人的资格和其他要求，是否列入失信</w:t>
      </w:r>
      <w:r>
        <w:rPr>
          <w:rFonts w:ascii="宋体" w:hAnsi="宋体" w:eastAsia="宋体" w:cs="宋体"/>
          <w:color w:val="auto"/>
          <w:spacing w:val="9"/>
          <w:sz w:val="24"/>
          <w:szCs w:val="24"/>
          <w:highlight w:val="none"/>
          <w:lang w:eastAsia="zh-CN"/>
        </w:rPr>
        <w:t>被执行人名单以及在本招标文件（招标公告）规定时间范围内是否有行贿犯罪记</w:t>
      </w:r>
      <w:r>
        <w:rPr>
          <w:rFonts w:ascii="宋体" w:hAnsi="宋体" w:eastAsia="宋体" w:cs="宋体"/>
          <w:color w:val="auto"/>
          <w:spacing w:val="2"/>
          <w:sz w:val="24"/>
          <w:szCs w:val="24"/>
          <w:highlight w:val="none"/>
          <w:lang w:eastAsia="zh-CN"/>
        </w:rPr>
        <w:t>录；投标人及其拟派项目负责人是否被列入建筑市场严重失信名单的、是否被市场监督管理机关在全国企业信用信息公示系统中列入严重违法失信企业名单的、是否被人力资源社会保障行政部门列入失信联合惩戒名单（有效期内）并共享至信用信息共享平台的进行查验，并对拟派项目负责人是否有在建项目进行查验。评标委员会发现投标人存在招标文件规定应当否决投标情形的，应先对投标人进行书面询问核对，情况属实的，否决其投标。空缺的名额由之后排名靠前的投标人进行替补，</w:t>
      </w:r>
      <w:r>
        <w:rPr>
          <w:rFonts w:ascii="宋体" w:hAnsi="宋体" w:eastAsia="宋体" w:cs="宋体"/>
          <w:color w:val="auto"/>
          <w:sz w:val="24"/>
          <w:szCs w:val="24"/>
          <w:highlight w:val="none"/>
          <w:lang w:eastAsia="zh-CN"/>
        </w:rPr>
        <w:t>然后再对其资格进行评审，如再不符合要求</w:t>
      </w:r>
      <w:r>
        <w:rPr>
          <w:rFonts w:ascii="宋体" w:hAnsi="宋体" w:eastAsia="宋体" w:cs="宋体"/>
          <w:color w:val="auto"/>
          <w:spacing w:val="-1"/>
          <w:sz w:val="24"/>
          <w:szCs w:val="24"/>
          <w:highlight w:val="none"/>
          <w:lang w:eastAsia="zh-CN"/>
        </w:rPr>
        <w:t>，再替补，以此类推。</w:t>
      </w:r>
    </w:p>
    <w:p w14:paraId="70D8530C">
      <w:pPr>
        <w:spacing w:before="34" w:line="372" w:lineRule="auto"/>
        <w:ind w:right="2" w:firstLine="496"/>
        <w:rPr>
          <w:rFonts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当有效投标人＜3个时，评标委员会应判定本次投标是否具有竞争力，若评标</w:t>
      </w:r>
      <w:r>
        <w:rPr>
          <w:rFonts w:ascii="宋体" w:hAnsi="宋体" w:eastAsia="宋体" w:cs="宋体"/>
          <w:color w:val="auto"/>
          <w:spacing w:val="-1"/>
          <w:sz w:val="24"/>
          <w:szCs w:val="24"/>
          <w:highlight w:val="none"/>
          <w:lang w:eastAsia="zh-CN"/>
        </w:rPr>
        <w:t>委员会认为本次投标明显缺乏竞争的，可以否决全部投标。</w:t>
      </w:r>
    </w:p>
    <w:p w14:paraId="032C5C34">
      <w:pPr>
        <w:spacing w:line="372" w:lineRule="auto"/>
        <w:rPr>
          <w:rFonts w:ascii="宋体" w:hAnsi="宋体" w:eastAsia="宋体" w:cs="宋体"/>
          <w:color w:val="auto"/>
          <w:sz w:val="24"/>
          <w:szCs w:val="24"/>
          <w:highlight w:val="none"/>
          <w:lang w:eastAsia="zh-CN"/>
        </w:rPr>
        <w:sectPr>
          <w:footerReference r:id="rId8" w:type="default"/>
          <w:pgSz w:w="11906" w:h="16839"/>
          <w:pgMar w:top="1431" w:right="1588" w:bottom="1147" w:left="1597" w:header="0" w:footer="960" w:gutter="0"/>
          <w:pgNumType w:fmt="decimal"/>
          <w:cols w:space="720" w:num="1"/>
          <w:docGrid w:linePitch="0" w:charSpace="0"/>
        </w:sectPr>
      </w:pPr>
    </w:p>
    <w:p w14:paraId="4E3238D2">
      <w:pPr>
        <w:spacing w:before="90" w:line="225" w:lineRule="auto"/>
        <w:ind w:left="2127"/>
        <w:outlineLvl w:val="0"/>
        <w:rPr>
          <w:rFonts w:ascii="黑体" w:hAnsi="黑体" w:eastAsia="黑体" w:cs="黑体"/>
          <w:color w:val="auto"/>
          <w:sz w:val="43"/>
          <w:szCs w:val="43"/>
          <w:highlight w:val="none"/>
          <w:lang w:eastAsia="zh-CN"/>
        </w:rPr>
      </w:pPr>
      <w:bookmarkStart w:id="12" w:name="bookmark7"/>
      <w:bookmarkEnd w:id="12"/>
      <w:r>
        <w:rPr>
          <w:rFonts w:ascii="黑体" w:hAnsi="黑体" w:eastAsia="黑体" w:cs="黑体"/>
          <w:color w:val="auto"/>
          <w:spacing w:val="6"/>
          <w:sz w:val="43"/>
          <w:szCs w:val="43"/>
          <w:highlight w:val="none"/>
          <w:lang w:eastAsia="zh-CN"/>
        </w:rPr>
        <w:t>第四章合同条款及格式</w:t>
      </w:r>
    </w:p>
    <w:p w14:paraId="1224E7F9">
      <w:pPr>
        <w:pStyle w:val="8"/>
        <w:spacing w:line="273" w:lineRule="auto"/>
        <w:rPr>
          <w:color w:val="auto"/>
          <w:highlight w:val="none"/>
          <w:lang w:eastAsia="zh-CN"/>
        </w:rPr>
      </w:pPr>
    </w:p>
    <w:p w14:paraId="059E3069">
      <w:pPr>
        <w:spacing w:line="440" w:lineRule="exact"/>
        <w:jc w:val="both"/>
        <w:rPr>
          <w:rFonts w:ascii="宋体" w:hAnsi="宋体" w:cs="宋体"/>
          <w:color w:val="auto"/>
          <w:highlight w:val="none"/>
        </w:rPr>
      </w:pPr>
      <w:bookmarkStart w:id="13" w:name="bookmark9"/>
      <w:bookmarkEnd w:id="13"/>
      <w:r>
        <w:rPr>
          <w:rFonts w:hint="eastAsia" w:ascii="宋体" w:hAnsi="宋体" w:cs="宋体"/>
          <w:color w:val="auto"/>
          <w:highlight w:val="none"/>
        </w:rPr>
        <w:t>合同文本采用《建设工程施工合同（示范文本）》（GF-2017-0201）。</w:t>
      </w:r>
    </w:p>
    <w:p w14:paraId="7507D585">
      <w:pPr>
        <w:spacing w:line="440" w:lineRule="exact"/>
        <w:jc w:val="both"/>
        <w:rPr>
          <w:rFonts w:ascii="宋体" w:hAnsi="宋体" w:cs="宋体"/>
          <w:color w:val="auto"/>
          <w:highlight w:val="none"/>
        </w:rPr>
      </w:pPr>
      <w:r>
        <w:rPr>
          <w:rFonts w:hint="eastAsia" w:ascii="宋体" w:hAnsi="宋体" w:cs="宋体"/>
          <w:color w:val="auto"/>
          <w:highlight w:val="none"/>
        </w:rPr>
        <w:t>合同通用条款采用《建设工程施工合同（示范文本）》的通用条款（GF-2017-0201）。</w:t>
      </w:r>
    </w:p>
    <w:p w14:paraId="664446A0">
      <w:pPr>
        <w:spacing w:line="440" w:lineRule="exact"/>
        <w:jc w:val="both"/>
        <w:rPr>
          <w:rFonts w:ascii="宋体" w:hAnsi="宋体" w:cs="宋体"/>
          <w:color w:val="auto"/>
          <w:highlight w:val="none"/>
        </w:rPr>
      </w:pPr>
      <w:bookmarkStart w:id="14" w:name="_Toc151471690"/>
      <w:bookmarkStart w:id="15" w:name="_Toc149922241"/>
      <w:r>
        <w:rPr>
          <w:rFonts w:hint="eastAsia" w:ascii="宋体" w:hAnsi="宋体" w:cs="宋体"/>
          <w:color w:val="auto"/>
          <w:highlight w:val="none"/>
        </w:rPr>
        <w:t>合同专用条款中的主要条款将由招标人(发包人)与中标人(承包人)根据投标文件签订。</w:t>
      </w:r>
      <w:bookmarkEnd w:id="14"/>
      <w:bookmarkEnd w:id="15"/>
      <w:bookmarkStart w:id="16" w:name="bookmark181"/>
      <w:bookmarkEnd w:id="16"/>
    </w:p>
    <w:p w14:paraId="0DAD42F8">
      <w:pPr>
        <w:pStyle w:val="2"/>
        <w:ind w:firstLine="420" w:firstLineChars="200"/>
        <w:rPr>
          <w:color w:val="auto"/>
          <w:sz w:val="21"/>
          <w:szCs w:val="21"/>
          <w:highlight w:val="none"/>
        </w:rPr>
      </w:pPr>
    </w:p>
    <w:p w14:paraId="2A4AB6CF">
      <w:pPr>
        <w:pStyle w:val="2"/>
        <w:ind w:firstLine="422" w:firstLineChars="200"/>
        <w:rPr>
          <w:color w:val="auto"/>
          <w:sz w:val="21"/>
          <w:szCs w:val="21"/>
          <w:highlight w:val="none"/>
        </w:rPr>
      </w:pPr>
      <w:r>
        <w:rPr>
          <w:rFonts w:ascii="宋体" w:hAnsi="宋体"/>
          <w:b/>
          <w:color w:val="auto"/>
          <w:sz w:val="21"/>
          <w:szCs w:val="21"/>
          <w:highlight w:val="none"/>
        </w:rPr>
        <w:br w:type="page"/>
      </w:r>
    </w:p>
    <w:p w14:paraId="14561E20">
      <w:pPr>
        <w:pStyle w:val="29"/>
        <w:jc w:val="center"/>
        <w:rPr>
          <w:rFonts w:cs="Times New Roman"/>
          <w:color w:val="auto"/>
          <w:sz w:val="32"/>
          <w:szCs w:val="32"/>
          <w:highlight w:val="none"/>
        </w:rPr>
      </w:pPr>
      <w:bookmarkStart w:id="17" w:name="_Toc148964065"/>
      <w:r>
        <w:rPr>
          <w:rFonts w:cs="Times New Roman"/>
          <w:color w:val="auto"/>
          <w:sz w:val="32"/>
          <w:szCs w:val="32"/>
          <w:highlight w:val="none"/>
        </w:rPr>
        <w:t>第一部分　　合同协议书</w:t>
      </w:r>
      <w:bookmarkEnd w:id="17"/>
    </w:p>
    <w:p w14:paraId="3F749CE0">
      <w:pPr>
        <w:spacing w:line="240" w:lineRule="exact"/>
        <w:rPr>
          <w:rFonts w:eastAsia="仿宋_GB2312"/>
          <w:color w:val="auto"/>
          <w:sz w:val="24"/>
          <w:highlight w:val="none"/>
          <w:u w:val="single"/>
        </w:rPr>
      </w:pPr>
    </w:p>
    <w:p w14:paraId="247C6420">
      <w:pPr>
        <w:spacing w:line="440" w:lineRule="exact"/>
        <w:ind w:firstLine="422" w:firstLineChars="200"/>
        <w:rPr>
          <w:rFonts w:hint="eastAsia" w:eastAsia="黑体"/>
          <w:b/>
          <w:color w:val="auto"/>
          <w:szCs w:val="21"/>
          <w:highlight w:val="none"/>
          <w:u w:val="single"/>
          <w:lang w:eastAsia="zh-CN"/>
        </w:rPr>
      </w:pPr>
      <w:r>
        <w:rPr>
          <w:rFonts w:eastAsia="黑体"/>
          <w:b/>
          <w:color w:val="auto"/>
          <w:szCs w:val="21"/>
          <w:highlight w:val="none"/>
        </w:rPr>
        <w:t>发包人（全称）：</w:t>
      </w:r>
      <w:r>
        <w:rPr>
          <w:rFonts w:hint="eastAsia" w:eastAsia="黑体"/>
          <w:b/>
          <w:color w:val="auto"/>
          <w:szCs w:val="21"/>
          <w:highlight w:val="none"/>
          <w:u w:val="single"/>
          <w:lang w:eastAsia="zh-CN"/>
        </w:rPr>
        <w:t>三门经济投资开发有限公司</w:t>
      </w:r>
    </w:p>
    <w:p w14:paraId="7C581AF1">
      <w:pPr>
        <w:spacing w:line="380" w:lineRule="exact"/>
        <w:ind w:firstLine="422" w:firstLineChars="200"/>
        <w:rPr>
          <w:rFonts w:eastAsia="黑体"/>
          <w:b/>
          <w:color w:val="auto"/>
          <w:szCs w:val="21"/>
          <w:highlight w:val="none"/>
          <w:u w:val="single"/>
        </w:rPr>
      </w:pPr>
      <w:r>
        <w:rPr>
          <w:rFonts w:eastAsia="黑体"/>
          <w:b/>
          <w:color w:val="auto"/>
          <w:szCs w:val="21"/>
          <w:highlight w:val="none"/>
        </w:rPr>
        <w:t>承包人（全称）：</w:t>
      </w:r>
      <w:r>
        <w:rPr>
          <w:rFonts w:eastAsia="黑体"/>
          <w:b/>
          <w:color w:val="auto"/>
          <w:szCs w:val="21"/>
          <w:highlight w:val="none"/>
          <w:u w:val="single"/>
        </w:rPr>
        <w:t xml:space="preserve">         </w:t>
      </w:r>
      <w:r>
        <w:rPr>
          <w:rFonts w:hint="eastAsia" w:eastAsia="黑体"/>
          <w:b/>
          <w:color w:val="auto"/>
          <w:szCs w:val="21"/>
          <w:highlight w:val="none"/>
          <w:u w:val="single"/>
          <w:lang w:val="en-US" w:eastAsia="zh-CN"/>
        </w:rPr>
        <w:t xml:space="preserve">                        </w:t>
      </w:r>
      <w:r>
        <w:rPr>
          <w:rFonts w:eastAsia="黑体"/>
          <w:b/>
          <w:color w:val="auto"/>
          <w:szCs w:val="21"/>
          <w:highlight w:val="none"/>
          <w:u w:val="single"/>
        </w:rPr>
        <w:t xml:space="preserve">           </w:t>
      </w:r>
    </w:p>
    <w:p w14:paraId="1AC8C782">
      <w:pPr>
        <w:spacing w:line="380" w:lineRule="exact"/>
        <w:ind w:firstLine="420" w:firstLineChars="200"/>
        <w:rPr>
          <w:color w:val="auto"/>
          <w:szCs w:val="21"/>
          <w:highlight w:val="none"/>
        </w:rPr>
      </w:pPr>
      <w:r>
        <w:rPr>
          <w:color w:val="auto"/>
          <w:szCs w:val="21"/>
          <w:highlight w:val="none"/>
        </w:rPr>
        <w:t>根据《中华人民共和国</w:t>
      </w:r>
      <w:r>
        <w:rPr>
          <w:rFonts w:hint="eastAsia"/>
          <w:color w:val="auto"/>
          <w:szCs w:val="21"/>
          <w:highlight w:val="none"/>
        </w:rPr>
        <w:t>民法典</w:t>
      </w:r>
      <w:r>
        <w:rPr>
          <w:color w:val="auto"/>
          <w:szCs w:val="21"/>
          <w:highlight w:val="none"/>
        </w:rPr>
        <w:t>》、《中华人民共和国建筑法》及有关法律规定，遵循平等、自愿、公平和诚实信用的原则，双方就</w:t>
      </w:r>
      <w:r>
        <w:rPr>
          <w:rFonts w:hint="eastAsia"/>
          <w:bCs/>
          <w:color w:val="auto"/>
          <w:szCs w:val="21"/>
          <w:highlight w:val="none"/>
          <w:u w:val="single"/>
          <w:lang w:eastAsia="zh-CN"/>
        </w:rPr>
        <w:t>三门经济开发区科创中心装修提升工程</w:t>
      </w:r>
      <w:r>
        <w:rPr>
          <w:color w:val="auto"/>
          <w:szCs w:val="21"/>
          <w:highlight w:val="none"/>
        </w:rPr>
        <w:t>施工及有关事项协商一致，共同达成如下协议：</w:t>
      </w:r>
    </w:p>
    <w:p w14:paraId="052FED2B">
      <w:pPr>
        <w:spacing w:line="380" w:lineRule="exact"/>
        <w:ind w:firstLine="422" w:firstLineChars="200"/>
        <w:rPr>
          <w:color w:val="auto"/>
          <w:szCs w:val="21"/>
          <w:highlight w:val="none"/>
        </w:rPr>
      </w:pPr>
      <w:r>
        <w:rPr>
          <w:rFonts w:eastAsia="黑体"/>
          <w:b/>
          <w:color w:val="auto"/>
          <w:szCs w:val="21"/>
          <w:highlight w:val="none"/>
        </w:rPr>
        <w:t>一、工程概况</w:t>
      </w:r>
    </w:p>
    <w:p w14:paraId="0EFBFB9F">
      <w:pPr>
        <w:spacing w:line="380" w:lineRule="exact"/>
        <w:ind w:firstLine="420" w:firstLineChars="200"/>
        <w:rPr>
          <w:bCs/>
          <w:color w:val="auto"/>
          <w:szCs w:val="21"/>
          <w:highlight w:val="none"/>
          <w:u w:val="single"/>
        </w:rPr>
      </w:pPr>
      <w:r>
        <w:rPr>
          <w:bCs/>
          <w:color w:val="auto"/>
          <w:szCs w:val="21"/>
          <w:highlight w:val="none"/>
        </w:rPr>
        <w:t>1．工程名称：</w:t>
      </w:r>
      <w:r>
        <w:rPr>
          <w:rFonts w:hint="eastAsia"/>
          <w:bCs/>
          <w:color w:val="auto"/>
          <w:szCs w:val="21"/>
          <w:highlight w:val="none"/>
          <w:u w:val="single"/>
          <w:lang w:eastAsia="zh-CN"/>
        </w:rPr>
        <w:t>三门经济开发区科创中心装修提升工程</w:t>
      </w:r>
      <w:r>
        <w:rPr>
          <w:rFonts w:hint="eastAsia"/>
          <w:bCs/>
          <w:color w:val="auto"/>
          <w:szCs w:val="21"/>
          <w:highlight w:val="none"/>
          <w:u w:val="single"/>
        </w:rPr>
        <w:t xml:space="preserve"> </w:t>
      </w:r>
      <w:r>
        <w:rPr>
          <w:bCs/>
          <w:color w:val="auto"/>
          <w:szCs w:val="21"/>
          <w:highlight w:val="none"/>
        </w:rPr>
        <w:t>。</w:t>
      </w:r>
    </w:p>
    <w:p w14:paraId="7916EB4C">
      <w:pPr>
        <w:spacing w:line="380" w:lineRule="exact"/>
        <w:ind w:firstLine="420" w:firstLineChars="200"/>
        <w:rPr>
          <w:bCs/>
          <w:color w:val="auto"/>
          <w:szCs w:val="21"/>
          <w:highlight w:val="none"/>
        </w:rPr>
      </w:pPr>
      <w:r>
        <w:rPr>
          <w:bCs/>
          <w:color w:val="auto"/>
          <w:szCs w:val="21"/>
          <w:highlight w:val="none"/>
        </w:rPr>
        <w:t>2．工程地点：</w:t>
      </w:r>
      <w:r>
        <w:rPr>
          <w:rFonts w:hint="eastAsia"/>
          <w:bCs/>
          <w:color w:val="auto"/>
          <w:szCs w:val="21"/>
          <w:highlight w:val="none"/>
          <w:u w:val="single"/>
          <w:lang w:eastAsia="zh-CN"/>
        </w:rPr>
        <w:t>三门县</w:t>
      </w:r>
      <w:r>
        <w:rPr>
          <w:rFonts w:hint="eastAsia"/>
          <w:bCs/>
          <w:color w:val="auto"/>
          <w:szCs w:val="21"/>
          <w:highlight w:val="none"/>
          <w:u w:val="single"/>
        </w:rPr>
        <w:t xml:space="preserve"> </w:t>
      </w:r>
      <w:r>
        <w:rPr>
          <w:bCs/>
          <w:color w:val="auto"/>
          <w:szCs w:val="21"/>
          <w:highlight w:val="none"/>
        </w:rPr>
        <w:t>。</w:t>
      </w:r>
    </w:p>
    <w:p w14:paraId="426EC45E">
      <w:pPr>
        <w:spacing w:line="380" w:lineRule="exact"/>
        <w:ind w:firstLine="420" w:firstLineChars="200"/>
        <w:rPr>
          <w:bCs/>
          <w:color w:val="auto"/>
          <w:szCs w:val="21"/>
          <w:highlight w:val="none"/>
        </w:rPr>
      </w:pPr>
      <w:r>
        <w:rPr>
          <w:bCs/>
          <w:color w:val="auto"/>
          <w:szCs w:val="21"/>
          <w:highlight w:val="none"/>
        </w:rPr>
        <w:t>3．工程立项批准文号：</w:t>
      </w:r>
      <w:r>
        <w:rPr>
          <w:rFonts w:hint="eastAsia"/>
          <w:bCs/>
          <w:color w:val="auto"/>
          <w:szCs w:val="21"/>
          <w:highlight w:val="none"/>
          <w:u w:val="single"/>
        </w:rPr>
        <w:t xml:space="preserve">  </w:t>
      </w:r>
      <w:r>
        <w:rPr>
          <w:rFonts w:hint="eastAsia"/>
          <w:bCs/>
          <w:color w:val="auto"/>
          <w:szCs w:val="21"/>
          <w:highlight w:val="none"/>
          <w:u w:val="single"/>
          <w:lang w:val="en-US" w:eastAsia="zh-CN"/>
        </w:rPr>
        <w:t xml:space="preserve">浙江省企业投资项目备案（赋码）2504-331022-04-01-498426 </w:t>
      </w:r>
      <w:r>
        <w:rPr>
          <w:bCs/>
          <w:color w:val="auto"/>
          <w:szCs w:val="21"/>
          <w:highlight w:val="none"/>
        </w:rPr>
        <w:t>。</w:t>
      </w:r>
    </w:p>
    <w:p w14:paraId="057017A5">
      <w:pPr>
        <w:spacing w:line="380" w:lineRule="exact"/>
        <w:ind w:firstLine="420" w:firstLineChars="200"/>
        <w:rPr>
          <w:bCs/>
          <w:color w:val="auto"/>
          <w:szCs w:val="21"/>
          <w:highlight w:val="none"/>
        </w:rPr>
      </w:pPr>
      <w:r>
        <w:rPr>
          <w:bCs/>
          <w:color w:val="auto"/>
          <w:szCs w:val="21"/>
          <w:highlight w:val="none"/>
        </w:rPr>
        <w:t>4．资金来源：</w:t>
      </w:r>
      <w:r>
        <w:rPr>
          <w:rFonts w:hint="eastAsia"/>
          <w:bCs/>
          <w:color w:val="auto"/>
          <w:szCs w:val="21"/>
          <w:highlight w:val="none"/>
          <w:u w:val="single"/>
          <w:lang w:eastAsia="zh-CN"/>
        </w:rPr>
        <w:t>自筹</w:t>
      </w:r>
      <w:r>
        <w:rPr>
          <w:rFonts w:hint="eastAsia"/>
          <w:bCs/>
          <w:color w:val="auto"/>
          <w:szCs w:val="21"/>
          <w:highlight w:val="none"/>
          <w:u w:val="single"/>
        </w:rPr>
        <w:t xml:space="preserve"> </w:t>
      </w:r>
      <w:r>
        <w:rPr>
          <w:bCs/>
          <w:color w:val="auto"/>
          <w:szCs w:val="21"/>
          <w:highlight w:val="none"/>
        </w:rPr>
        <w:t>。</w:t>
      </w:r>
    </w:p>
    <w:p w14:paraId="62726120">
      <w:pPr>
        <w:spacing w:line="380" w:lineRule="exact"/>
        <w:ind w:firstLine="420" w:firstLineChars="200"/>
        <w:rPr>
          <w:bCs/>
          <w:color w:val="auto"/>
          <w:szCs w:val="21"/>
          <w:highlight w:val="none"/>
        </w:rPr>
      </w:pPr>
      <w:r>
        <w:rPr>
          <w:bCs/>
          <w:color w:val="auto"/>
          <w:szCs w:val="21"/>
          <w:highlight w:val="none"/>
        </w:rPr>
        <w:t>5．</w:t>
      </w:r>
      <w:r>
        <w:rPr>
          <w:rFonts w:ascii="Times New Roman" w:hAnsi="Times New Roman" w:eastAsia="宋体" w:cs="Times New Roman"/>
          <w:bCs/>
          <w:color w:val="auto"/>
          <w:szCs w:val="21"/>
          <w:highlight w:val="none"/>
        </w:rPr>
        <w:t>工程内</w:t>
      </w:r>
      <w:r>
        <w:rPr>
          <w:rFonts w:ascii="Times New Roman" w:hAnsi="Times New Roman" w:eastAsia="宋体" w:cs="Times New Roman"/>
          <w:bCs/>
          <w:color w:val="auto"/>
          <w:szCs w:val="21"/>
          <w:highlight w:val="none"/>
        </w:rPr>
        <w:t>容：</w:t>
      </w:r>
      <w:r>
        <w:rPr>
          <w:rFonts w:hint="eastAsia"/>
          <w:bCs/>
          <w:color w:val="auto"/>
          <w:szCs w:val="21"/>
          <w:highlight w:val="none"/>
          <w:u w:val="single"/>
          <w:lang w:eastAsia="zh-CN"/>
        </w:rPr>
        <w:t>招标人提供的施工图纸范围内及预算审核书中所包括建筑改造，结构加固，机电改造，消防改造，室内装修，景观绿化等工程内容。具体详见施工图纸及工程量清单。</w:t>
      </w:r>
    </w:p>
    <w:p w14:paraId="532ACC2A">
      <w:pPr>
        <w:spacing w:line="380" w:lineRule="exact"/>
        <w:ind w:firstLine="420" w:firstLineChars="200"/>
        <w:rPr>
          <w:rFonts w:hint="eastAsia"/>
          <w:bCs/>
          <w:color w:val="auto"/>
          <w:szCs w:val="21"/>
          <w:highlight w:val="none"/>
        </w:rPr>
      </w:pPr>
      <w:r>
        <w:rPr>
          <w:bCs/>
          <w:color w:val="auto"/>
          <w:szCs w:val="21"/>
          <w:highlight w:val="none"/>
        </w:rPr>
        <w:t>6．工程承包范围：</w:t>
      </w:r>
    </w:p>
    <w:p w14:paraId="793944CA">
      <w:pPr>
        <w:spacing w:line="380" w:lineRule="exact"/>
        <w:ind w:firstLine="420" w:firstLineChars="200"/>
        <w:rPr>
          <w:rFonts w:hint="eastAsia"/>
          <w:color w:val="auto"/>
          <w:szCs w:val="21"/>
          <w:highlight w:val="none"/>
          <w:u w:val="single"/>
        </w:rPr>
      </w:pPr>
      <w:r>
        <w:rPr>
          <w:rFonts w:hint="eastAsia" w:ascii="宋体" w:hAnsi="宋体" w:cs="宋体"/>
          <w:color w:val="auto"/>
          <w:szCs w:val="21"/>
          <w:highlight w:val="none"/>
        </w:rPr>
        <w:t>发包人提供的</w:t>
      </w:r>
      <w:r>
        <w:rPr>
          <w:rFonts w:hint="eastAsia"/>
          <w:bCs/>
          <w:color w:val="auto"/>
          <w:szCs w:val="21"/>
          <w:highlight w:val="none"/>
          <w:u w:val="single"/>
        </w:rPr>
        <w:t>施工图纸范围内及工程量清单中所包含的所有施工内容。</w:t>
      </w:r>
    </w:p>
    <w:p w14:paraId="7D4AD284">
      <w:pPr>
        <w:spacing w:line="380" w:lineRule="exact"/>
        <w:ind w:firstLine="422" w:firstLineChars="200"/>
        <w:rPr>
          <w:b/>
          <w:color w:val="auto"/>
          <w:szCs w:val="21"/>
          <w:highlight w:val="none"/>
        </w:rPr>
      </w:pPr>
      <w:r>
        <w:rPr>
          <w:rFonts w:eastAsia="黑体"/>
          <w:b/>
          <w:color w:val="auto"/>
          <w:szCs w:val="21"/>
          <w:highlight w:val="none"/>
        </w:rPr>
        <w:t>二、合同工期</w:t>
      </w:r>
    </w:p>
    <w:p w14:paraId="582CAF82">
      <w:pPr>
        <w:spacing w:line="380" w:lineRule="exact"/>
        <w:ind w:firstLine="420" w:firstLineChars="200"/>
        <w:rPr>
          <w:color w:val="auto"/>
          <w:szCs w:val="21"/>
          <w:highlight w:val="none"/>
        </w:rPr>
      </w:pPr>
      <w:r>
        <w:rPr>
          <w:color w:val="auto"/>
          <w:szCs w:val="21"/>
          <w:highlight w:val="none"/>
        </w:rPr>
        <w:t>计划开工日期：</w:t>
      </w:r>
      <w:r>
        <w:rPr>
          <w:color w:val="auto"/>
          <w:szCs w:val="21"/>
          <w:highlight w:val="none"/>
          <w:u w:val="single"/>
        </w:rPr>
        <w:t></w:t>
      </w:r>
      <w:r>
        <w:rPr>
          <w:color w:val="auto"/>
          <w:szCs w:val="21"/>
          <w:highlight w:val="none"/>
        </w:rPr>
        <w:t>年</w:t>
      </w:r>
      <w:r>
        <w:rPr>
          <w:color w:val="auto"/>
          <w:szCs w:val="21"/>
          <w:highlight w:val="none"/>
          <w:u w:val="single"/>
        </w:rPr>
        <w:t></w:t>
      </w:r>
      <w:r>
        <w:rPr>
          <w:color w:val="auto"/>
          <w:szCs w:val="21"/>
          <w:highlight w:val="none"/>
        </w:rPr>
        <w:t>月</w:t>
      </w:r>
      <w:r>
        <w:rPr>
          <w:color w:val="auto"/>
          <w:szCs w:val="21"/>
          <w:highlight w:val="none"/>
          <w:u w:val="single"/>
        </w:rPr>
        <w:t></w:t>
      </w:r>
      <w:r>
        <w:rPr>
          <w:color w:val="auto"/>
          <w:szCs w:val="21"/>
          <w:highlight w:val="none"/>
        </w:rPr>
        <w:t>日。</w:t>
      </w:r>
      <w:r>
        <w:rPr>
          <w:rFonts w:hint="eastAsia"/>
          <w:color w:val="auto"/>
          <w:highlight w:val="none"/>
          <w:lang w:val="en-US" w:eastAsia="zh-CN"/>
        </w:rPr>
        <w:t>以开工报告为准</w:t>
      </w:r>
    </w:p>
    <w:p w14:paraId="3185FA7B">
      <w:pPr>
        <w:spacing w:line="380" w:lineRule="exact"/>
        <w:ind w:firstLine="420" w:firstLineChars="200"/>
        <w:rPr>
          <w:color w:val="auto"/>
          <w:szCs w:val="21"/>
          <w:highlight w:val="none"/>
        </w:rPr>
      </w:pPr>
      <w:r>
        <w:rPr>
          <w:color w:val="auto"/>
          <w:szCs w:val="21"/>
          <w:highlight w:val="none"/>
        </w:rPr>
        <w:t>计划竣工日期：</w:t>
      </w:r>
      <w:r>
        <w:rPr>
          <w:color w:val="auto"/>
          <w:szCs w:val="21"/>
          <w:highlight w:val="none"/>
          <w:u w:val="single"/>
        </w:rPr>
        <w:t></w:t>
      </w:r>
      <w:r>
        <w:rPr>
          <w:color w:val="auto"/>
          <w:szCs w:val="21"/>
          <w:highlight w:val="none"/>
        </w:rPr>
        <w:t>年</w:t>
      </w:r>
      <w:r>
        <w:rPr>
          <w:color w:val="auto"/>
          <w:szCs w:val="21"/>
          <w:highlight w:val="none"/>
          <w:u w:val="single"/>
        </w:rPr>
        <w:t></w:t>
      </w:r>
      <w:r>
        <w:rPr>
          <w:color w:val="auto"/>
          <w:szCs w:val="21"/>
          <w:highlight w:val="none"/>
        </w:rPr>
        <w:t>月</w:t>
      </w:r>
      <w:r>
        <w:rPr>
          <w:color w:val="auto"/>
          <w:szCs w:val="21"/>
          <w:highlight w:val="none"/>
          <w:u w:val="single"/>
        </w:rPr>
        <w:t></w:t>
      </w:r>
      <w:r>
        <w:rPr>
          <w:color w:val="auto"/>
          <w:szCs w:val="21"/>
          <w:highlight w:val="none"/>
        </w:rPr>
        <w:t>日。</w:t>
      </w:r>
      <w:r>
        <w:rPr>
          <w:rFonts w:hint="eastAsia"/>
          <w:color w:val="auto"/>
          <w:highlight w:val="none"/>
          <w:lang w:val="en-US" w:eastAsia="zh-CN"/>
        </w:rPr>
        <w:t>以竣工报告为准</w:t>
      </w:r>
    </w:p>
    <w:p w14:paraId="79E855DA">
      <w:pPr>
        <w:spacing w:line="380" w:lineRule="exact"/>
        <w:ind w:firstLine="420" w:firstLineChars="200"/>
        <w:rPr>
          <w:color w:val="auto"/>
          <w:szCs w:val="21"/>
          <w:highlight w:val="none"/>
        </w:rPr>
      </w:pPr>
      <w:r>
        <w:rPr>
          <w:color w:val="auto"/>
          <w:szCs w:val="21"/>
          <w:highlight w:val="none"/>
        </w:rPr>
        <w:t>工期总日历天数：</w:t>
      </w:r>
      <w:r>
        <w:rPr>
          <w:color w:val="auto"/>
          <w:szCs w:val="21"/>
          <w:highlight w:val="none"/>
          <w:u w:val="single"/>
        </w:rPr>
        <w:t></w:t>
      </w:r>
      <w:r>
        <w:rPr>
          <w:color w:val="auto"/>
          <w:szCs w:val="21"/>
          <w:highlight w:val="none"/>
        </w:rPr>
        <w:t>天。工期总日历天数与根据前述计划开</w:t>
      </w:r>
      <w:r>
        <w:rPr>
          <w:rFonts w:hint="eastAsia"/>
          <w:color w:val="auto"/>
          <w:szCs w:val="21"/>
          <w:highlight w:val="none"/>
        </w:rPr>
        <w:t>、</w:t>
      </w:r>
      <w:r>
        <w:rPr>
          <w:color w:val="auto"/>
          <w:szCs w:val="21"/>
          <w:highlight w:val="none"/>
        </w:rPr>
        <w:t>竣工日期计算的工期天数不一致的，以工期总日历天数为准。</w:t>
      </w:r>
    </w:p>
    <w:p w14:paraId="6FE355E3">
      <w:pPr>
        <w:spacing w:line="380" w:lineRule="exact"/>
        <w:ind w:firstLine="420" w:firstLineChars="200"/>
        <w:rPr>
          <w:bCs/>
          <w:color w:val="auto"/>
          <w:szCs w:val="21"/>
          <w:highlight w:val="none"/>
        </w:rPr>
      </w:pPr>
      <w:r>
        <w:rPr>
          <w:bCs/>
          <w:color w:val="auto"/>
          <w:szCs w:val="21"/>
          <w:highlight w:val="none"/>
        </w:rPr>
        <w:t xml:space="preserve"> </w:t>
      </w:r>
      <w:bookmarkStart w:id="18" w:name="_Toc351203483"/>
      <w:r>
        <w:rPr>
          <w:rFonts w:eastAsia="黑体"/>
          <w:b/>
          <w:color w:val="auto"/>
          <w:szCs w:val="21"/>
          <w:highlight w:val="none"/>
        </w:rPr>
        <w:t>三、质量标准</w:t>
      </w:r>
      <w:bookmarkEnd w:id="18"/>
    </w:p>
    <w:p w14:paraId="12DF597F">
      <w:pPr>
        <w:spacing w:line="380" w:lineRule="exact"/>
        <w:ind w:firstLine="420" w:firstLineChars="200"/>
        <w:rPr>
          <w:color w:val="auto"/>
          <w:szCs w:val="21"/>
          <w:highlight w:val="none"/>
        </w:rPr>
      </w:pPr>
      <w:r>
        <w:rPr>
          <w:color w:val="auto"/>
          <w:szCs w:val="21"/>
          <w:highlight w:val="none"/>
        </w:rPr>
        <w:t>工程质量符合</w:t>
      </w:r>
      <w:r>
        <w:rPr>
          <w:rFonts w:hint="eastAsia"/>
          <w:color w:val="auto"/>
          <w:szCs w:val="21"/>
          <w:highlight w:val="none"/>
          <w:u w:val="single"/>
        </w:rPr>
        <w:t xml:space="preserve">     </w:t>
      </w:r>
      <w:r>
        <w:rPr>
          <w:rFonts w:hint="eastAsia" w:hAnsi="宋体" w:cs="宋体"/>
          <w:color w:val="auto"/>
          <w:kern w:val="0"/>
          <w:highlight w:val="none"/>
          <w:u w:val="single"/>
        </w:rPr>
        <w:t xml:space="preserve">合格      </w:t>
      </w:r>
      <w:r>
        <w:rPr>
          <w:color w:val="auto"/>
          <w:szCs w:val="21"/>
          <w:highlight w:val="none"/>
        </w:rPr>
        <w:t>标准。</w:t>
      </w:r>
    </w:p>
    <w:p w14:paraId="71139192">
      <w:pPr>
        <w:spacing w:line="380" w:lineRule="exact"/>
        <w:ind w:firstLine="420" w:firstLineChars="200"/>
        <w:rPr>
          <w:bCs/>
          <w:color w:val="auto"/>
          <w:szCs w:val="21"/>
          <w:highlight w:val="none"/>
        </w:rPr>
      </w:pPr>
      <w:r>
        <w:rPr>
          <w:bCs/>
          <w:color w:val="auto"/>
          <w:szCs w:val="21"/>
          <w:highlight w:val="none"/>
        </w:rPr>
        <w:t xml:space="preserve"> </w:t>
      </w:r>
      <w:bookmarkStart w:id="19" w:name="_Toc351203484"/>
      <w:r>
        <w:rPr>
          <w:rFonts w:eastAsia="黑体"/>
          <w:b/>
          <w:color w:val="auto"/>
          <w:szCs w:val="21"/>
          <w:highlight w:val="none"/>
        </w:rPr>
        <w:t>四、签约合同价与合同价格形式</w:t>
      </w:r>
      <w:bookmarkEnd w:id="19"/>
      <w:r>
        <w:rPr>
          <w:b/>
          <w:color w:val="auto"/>
          <w:szCs w:val="21"/>
          <w:highlight w:val="none"/>
        </w:rPr>
        <w:tab/>
      </w:r>
    </w:p>
    <w:p w14:paraId="0F392729">
      <w:pPr>
        <w:spacing w:line="380" w:lineRule="exact"/>
        <w:ind w:firstLine="420" w:firstLineChars="200"/>
        <w:rPr>
          <w:color w:val="auto"/>
          <w:szCs w:val="21"/>
          <w:highlight w:val="none"/>
        </w:rPr>
      </w:pPr>
      <w:r>
        <w:rPr>
          <w:color w:val="auto"/>
          <w:szCs w:val="21"/>
          <w:highlight w:val="none"/>
        </w:rPr>
        <w:t>1．签约合同价为：</w:t>
      </w:r>
    </w:p>
    <w:p w14:paraId="559C9222">
      <w:pPr>
        <w:spacing w:line="380" w:lineRule="exact"/>
        <w:ind w:firstLine="420" w:firstLineChars="200"/>
        <w:rPr>
          <w:color w:val="auto"/>
          <w:szCs w:val="21"/>
          <w:highlight w:val="none"/>
        </w:rPr>
      </w:pPr>
      <w:r>
        <w:rPr>
          <w:color w:val="auto"/>
          <w:szCs w:val="21"/>
          <w:highlight w:val="none"/>
        </w:rPr>
        <w:t>人民币（大写）</w:t>
      </w:r>
      <w:r>
        <w:rPr>
          <w:color w:val="auto"/>
          <w:szCs w:val="21"/>
          <w:highlight w:val="none"/>
          <w:u w:val="single"/>
        </w:rPr>
        <w:t xml:space="preserve">                 </w:t>
      </w:r>
      <w:r>
        <w:rPr>
          <w:color w:val="auto"/>
          <w:szCs w:val="21"/>
          <w:highlight w:val="none"/>
        </w:rPr>
        <w:t>（¥</w:t>
      </w:r>
      <w:r>
        <w:rPr>
          <w:color w:val="auto"/>
          <w:szCs w:val="21"/>
          <w:highlight w:val="none"/>
          <w:u w:val="single"/>
        </w:rPr>
        <w:t xml:space="preserve">            </w:t>
      </w:r>
      <w:r>
        <w:rPr>
          <w:color w:val="auto"/>
          <w:szCs w:val="21"/>
          <w:highlight w:val="none"/>
        </w:rPr>
        <w:t>元）；</w:t>
      </w:r>
    </w:p>
    <w:p w14:paraId="2D65D1A2">
      <w:pPr>
        <w:spacing w:line="380" w:lineRule="exact"/>
        <w:ind w:firstLine="420" w:firstLineChars="200"/>
        <w:rPr>
          <w:color w:val="auto"/>
          <w:szCs w:val="21"/>
          <w:highlight w:val="none"/>
        </w:rPr>
      </w:pPr>
      <w:r>
        <w:rPr>
          <w:color w:val="auto"/>
          <w:szCs w:val="21"/>
          <w:highlight w:val="none"/>
        </w:rPr>
        <w:t>其中：</w:t>
      </w:r>
    </w:p>
    <w:p w14:paraId="7784F10B">
      <w:pPr>
        <w:spacing w:line="380" w:lineRule="exact"/>
        <w:ind w:firstLine="420" w:firstLineChars="200"/>
        <w:rPr>
          <w:color w:val="auto"/>
          <w:szCs w:val="21"/>
          <w:highlight w:val="none"/>
        </w:rPr>
      </w:pPr>
      <w:r>
        <w:rPr>
          <w:color w:val="auto"/>
          <w:szCs w:val="21"/>
          <w:highlight w:val="none"/>
        </w:rPr>
        <w:t>（1）安全文明施工费：</w:t>
      </w:r>
    </w:p>
    <w:p w14:paraId="3D7B4C36">
      <w:pPr>
        <w:spacing w:line="380" w:lineRule="exact"/>
        <w:ind w:firstLine="420" w:firstLineChars="200"/>
        <w:rPr>
          <w:color w:val="auto"/>
          <w:szCs w:val="21"/>
          <w:highlight w:val="none"/>
        </w:rPr>
      </w:pPr>
      <w:r>
        <w:rPr>
          <w:color w:val="auto"/>
          <w:szCs w:val="21"/>
          <w:highlight w:val="none"/>
        </w:rPr>
        <w:t>人民币（大写）</w:t>
      </w:r>
      <w:r>
        <w:rPr>
          <w:color w:val="auto"/>
          <w:szCs w:val="21"/>
          <w:highlight w:val="none"/>
          <w:u w:val="single"/>
        </w:rPr>
        <w:t xml:space="preserve">              </w:t>
      </w:r>
      <w:r>
        <w:rPr>
          <w:color w:val="auto"/>
          <w:szCs w:val="21"/>
          <w:highlight w:val="none"/>
        </w:rPr>
        <w:t xml:space="preserve"> （¥</w:t>
      </w:r>
      <w:r>
        <w:rPr>
          <w:color w:val="auto"/>
          <w:szCs w:val="21"/>
          <w:highlight w:val="none"/>
          <w:u w:val="single"/>
        </w:rPr>
        <w:t xml:space="preserve">          </w:t>
      </w:r>
      <w:r>
        <w:rPr>
          <w:color w:val="auto"/>
          <w:szCs w:val="21"/>
          <w:highlight w:val="none"/>
        </w:rPr>
        <w:t>元）；</w:t>
      </w:r>
    </w:p>
    <w:p w14:paraId="1AF3B6D6">
      <w:pPr>
        <w:spacing w:line="380" w:lineRule="exact"/>
        <w:ind w:firstLine="420" w:firstLineChars="200"/>
        <w:rPr>
          <w:color w:val="auto"/>
          <w:szCs w:val="21"/>
          <w:highlight w:val="none"/>
        </w:rPr>
      </w:pPr>
      <w:r>
        <w:rPr>
          <w:color w:val="auto"/>
          <w:szCs w:val="21"/>
          <w:highlight w:val="none"/>
        </w:rPr>
        <w:t>（2）材料和工程设备暂估价金额：</w:t>
      </w:r>
    </w:p>
    <w:p w14:paraId="1E586241">
      <w:pPr>
        <w:spacing w:line="380" w:lineRule="exact"/>
        <w:ind w:firstLine="420" w:firstLineChars="200"/>
        <w:rPr>
          <w:color w:val="auto"/>
          <w:szCs w:val="21"/>
          <w:highlight w:val="none"/>
        </w:rPr>
      </w:pPr>
      <w:r>
        <w:rPr>
          <w:color w:val="auto"/>
          <w:szCs w:val="21"/>
          <w:highlight w:val="none"/>
        </w:rPr>
        <w:t>人民币（大写）</w:t>
      </w:r>
      <w:r>
        <w:rPr>
          <w:color w:val="auto"/>
          <w:szCs w:val="21"/>
          <w:highlight w:val="none"/>
          <w:u w:val="single"/>
        </w:rPr>
        <w:t xml:space="preserve">              </w:t>
      </w:r>
      <w:r>
        <w:rPr>
          <w:color w:val="auto"/>
          <w:szCs w:val="21"/>
          <w:highlight w:val="none"/>
        </w:rPr>
        <w:t xml:space="preserve"> （¥</w:t>
      </w:r>
      <w:r>
        <w:rPr>
          <w:color w:val="auto"/>
          <w:szCs w:val="21"/>
          <w:highlight w:val="none"/>
          <w:u w:val="single"/>
        </w:rPr>
        <w:t xml:space="preserve">          </w:t>
      </w:r>
      <w:r>
        <w:rPr>
          <w:color w:val="auto"/>
          <w:szCs w:val="21"/>
          <w:highlight w:val="none"/>
        </w:rPr>
        <w:t>元）；</w:t>
      </w:r>
    </w:p>
    <w:p w14:paraId="3164D836">
      <w:pPr>
        <w:spacing w:line="380" w:lineRule="exact"/>
        <w:ind w:firstLine="420" w:firstLineChars="200"/>
        <w:rPr>
          <w:color w:val="auto"/>
          <w:szCs w:val="21"/>
          <w:highlight w:val="none"/>
        </w:rPr>
      </w:pPr>
      <w:r>
        <w:rPr>
          <w:color w:val="auto"/>
          <w:szCs w:val="21"/>
          <w:highlight w:val="none"/>
        </w:rPr>
        <w:t>（3）专业工程暂估价金额：</w:t>
      </w:r>
    </w:p>
    <w:p w14:paraId="54E0B4D2">
      <w:pPr>
        <w:spacing w:line="380" w:lineRule="exact"/>
        <w:ind w:firstLine="420" w:firstLineChars="200"/>
        <w:rPr>
          <w:color w:val="auto"/>
          <w:szCs w:val="21"/>
          <w:highlight w:val="none"/>
        </w:rPr>
      </w:pPr>
      <w:r>
        <w:rPr>
          <w:color w:val="auto"/>
          <w:szCs w:val="21"/>
          <w:highlight w:val="none"/>
        </w:rPr>
        <w:t>人民币（大写）</w:t>
      </w:r>
      <w:r>
        <w:rPr>
          <w:color w:val="auto"/>
          <w:szCs w:val="21"/>
          <w:highlight w:val="none"/>
          <w:u w:val="single"/>
        </w:rPr>
        <w:t xml:space="preserve">              </w:t>
      </w:r>
      <w:r>
        <w:rPr>
          <w:color w:val="auto"/>
          <w:szCs w:val="21"/>
          <w:highlight w:val="none"/>
        </w:rPr>
        <w:t xml:space="preserve"> （¥</w:t>
      </w:r>
      <w:r>
        <w:rPr>
          <w:color w:val="auto"/>
          <w:szCs w:val="21"/>
          <w:highlight w:val="none"/>
          <w:u w:val="single"/>
        </w:rPr>
        <w:t xml:space="preserve">          </w:t>
      </w:r>
      <w:r>
        <w:rPr>
          <w:color w:val="auto"/>
          <w:szCs w:val="21"/>
          <w:highlight w:val="none"/>
        </w:rPr>
        <w:t>元）；</w:t>
      </w:r>
    </w:p>
    <w:p w14:paraId="14DF2121">
      <w:pPr>
        <w:spacing w:line="380" w:lineRule="exact"/>
        <w:ind w:firstLine="420" w:firstLineChars="200"/>
        <w:rPr>
          <w:color w:val="auto"/>
          <w:szCs w:val="21"/>
          <w:highlight w:val="none"/>
        </w:rPr>
      </w:pPr>
      <w:r>
        <w:rPr>
          <w:color w:val="auto"/>
          <w:szCs w:val="21"/>
          <w:highlight w:val="none"/>
        </w:rPr>
        <w:t>（4）暂列金额：</w:t>
      </w:r>
    </w:p>
    <w:p w14:paraId="3E4D5DC8">
      <w:pPr>
        <w:spacing w:line="380" w:lineRule="exact"/>
        <w:ind w:firstLine="420" w:firstLineChars="200"/>
        <w:rPr>
          <w:color w:val="auto"/>
          <w:szCs w:val="21"/>
          <w:highlight w:val="none"/>
        </w:rPr>
      </w:pPr>
      <w:r>
        <w:rPr>
          <w:color w:val="auto"/>
          <w:szCs w:val="21"/>
          <w:highlight w:val="none"/>
        </w:rPr>
        <w:t>人民币（大写）</w:t>
      </w:r>
      <w:r>
        <w:rPr>
          <w:color w:val="auto"/>
          <w:szCs w:val="21"/>
          <w:highlight w:val="none"/>
          <w:u w:val="single"/>
        </w:rPr>
        <w:t xml:space="preserve">              </w:t>
      </w:r>
      <w:r>
        <w:rPr>
          <w:color w:val="auto"/>
          <w:szCs w:val="21"/>
          <w:highlight w:val="none"/>
        </w:rPr>
        <w:t xml:space="preserve"> （¥</w:t>
      </w:r>
      <w:r>
        <w:rPr>
          <w:color w:val="auto"/>
          <w:szCs w:val="21"/>
          <w:highlight w:val="none"/>
          <w:u w:val="single"/>
        </w:rPr>
        <w:t xml:space="preserve">          </w:t>
      </w:r>
      <w:r>
        <w:rPr>
          <w:color w:val="auto"/>
          <w:szCs w:val="21"/>
          <w:highlight w:val="none"/>
        </w:rPr>
        <w:t>元）。</w:t>
      </w:r>
    </w:p>
    <w:p w14:paraId="0D838607">
      <w:pPr>
        <w:spacing w:line="380" w:lineRule="exact"/>
        <w:ind w:firstLine="420" w:firstLineChars="200"/>
        <w:rPr>
          <w:rFonts w:hint="eastAsia"/>
          <w:color w:val="auto"/>
          <w:szCs w:val="21"/>
          <w:highlight w:val="none"/>
        </w:rPr>
      </w:pPr>
      <w:r>
        <w:rPr>
          <w:color w:val="auto"/>
          <w:szCs w:val="21"/>
          <w:highlight w:val="none"/>
        </w:rPr>
        <w:t>2．合同价格形式：</w:t>
      </w:r>
      <w:r>
        <w:rPr>
          <w:color w:val="auto"/>
          <w:szCs w:val="21"/>
          <w:highlight w:val="none"/>
          <w:u w:val="single"/>
        </w:rPr>
        <w:t xml:space="preserve">     </w:t>
      </w:r>
      <w:r>
        <w:rPr>
          <w:rFonts w:hint="eastAsia"/>
          <w:color w:val="auto"/>
          <w:szCs w:val="21"/>
          <w:highlight w:val="none"/>
          <w:u w:val="single"/>
        </w:rPr>
        <w:t>单价合同</w:t>
      </w:r>
      <w:r>
        <w:rPr>
          <w:color w:val="auto"/>
          <w:szCs w:val="21"/>
          <w:highlight w:val="none"/>
          <w:u w:val="single"/>
        </w:rPr>
        <w:t xml:space="preserve">        </w:t>
      </w:r>
      <w:r>
        <w:rPr>
          <w:color w:val="auto"/>
          <w:szCs w:val="21"/>
          <w:highlight w:val="none"/>
        </w:rPr>
        <w:t>。</w:t>
      </w:r>
    </w:p>
    <w:p w14:paraId="618D3545">
      <w:pPr>
        <w:spacing w:line="380" w:lineRule="exact"/>
        <w:ind w:firstLine="420" w:firstLineChars="200"/>
        <w:rPr>
          <w:color w:val="auto"/>
          <w:szCs w:val="21"/>
          <w:highlight w:val="none"/>
        </w:rPr>
      </w:pPr>
      <w:r>
        <w:rPr>
          <w:rFonts w:hint="eastAsia"/>
          <w:color w:val="auto"/>
          <w:szCs w:val="21"/>
          <w:highlight w:val="none"/>
        </w:rPr>
        <w:t>3．发包人向承包人支付工程价款及其他应当支付的款项均须汇入承包人合同协议书中的银行账户，承包人开具增值税专用发票。</w:t>
      </w:r>
    </w:p>
    <w:p w14:paraId="57232E68">
      <w:pPr>
        <w:spacing w:line="380" w:lineRule="exact"/>
        <w:ind w:firstLine="420" w:firstLineChars="200"/>
        <w:rPr>
          <w:color w:val="auto"/>
          <w:szCs w:val="21"/>
          <w:highlight w:val="none"/>
        </w:rPr>
      </w:pPr>
      <w:r>
        <w:rPr>
          <w:rFonts w:hint="eastAsia"/>
          <w:color w:val="auto"/>
          <w:szCs w:val="21"/>
          <w:highlight w:val="none"/>
        </w:rPr>
        <w:t>根据《关于全面推开营业税改征增值税试点的通知》（财税〔2016〕36号）等有关规定，承包人完成本合同项下应税行为的计税方式按以下第</w:t>
      </w:r>
      <w:r>
        <w:rPr>
          <w:rFonts w:hint="eastAsia"/>
          <w:color w:val="auto"/>
          <w:szCs w:val="21"/>
          <w:highlight w:val="none"/>
          <w:u w:val="single"/>
        </w:rPr>
        <w:t xml:space="preserve"> 1 </w:t>
      </w:r>
      <w:r>
        <w:rPr>
          <w:rFonts w:hint="eastAsia"/>
          <w:color w:val="auto"/>
          <w:szCs w:val="21"/>
          <w:highlight w:val="none"/>
        </w:rPr>
        <w:t>种方法，并与工程计价时采用的计税方法一致。</w:t>
      </w:r>
    </w:p>
    <w:p w14:paraId="475FD6E3">
      <w:pPr>
        <w:spacing w:line="380" w:lineRule="exact"/>
        <w:ind w:firstLine="420" w:firstLineChars="200"/>
        <w:rPr>
          <w:color w:val="auto"/>
          <w:szCs w:val="21"/>
          <w:highlight w:val="none"/>
        </w:rPr>
      </w:pPr>
      <w:r>
        <w:rPr>
          <w:rFonts w:hint="eastAsia"/>
          <w:color w:val="auto"/>
          <w:szCs w:val="21"/>
          <w:highlight w:val="none"/>
        </w:rPr>
        <w:t>（1）一般计税方法。</w:t>
      </w:r>
    </w:p>
    <w:p w14:paraId="1EB1930E">
      <w:pPr>
        <w:spacing w:line="380" w:lineRule="exact"/>
        <w:ind w:firstLine="420" w:firstLineChars="200"/>
        <w:rPr>
          <w:color w:val="auto"/>
          <w:szCs w:val="21"/>
          <w:highlight w:val="none"/>
        </w:rPr>
      </w:pPr>
      <w:r>
        <w:rPr>
          <w:rFonts w:hint="eastAsia"/>
          <w:color w:val="auto"/>
          <w:szCs w:val="21"/>
          <w:highlight w:val="none"/>
        </w:rPr>
        <w:t>（2）本工程为</w:t>
      </w:r>
      <w:r>
        <w:rPr>
          <w:rFonts w:hint="eastAsia"/>
          <w:color w:val="auto"/>
          <w:szCs w:val="21"/>
          <w:highlight w:val="none"/>
          <w:u w:val="single"/>
        </w:rPr>
        <w:t xml:space="preserve">  / </w:t>
      </w:r>
      <w:r>
        <w:rPr>
          <w:rFonts w:hint="eastAsia"/>
          <w:color w:val="auto"/>
          <w:szCs w:val="21"/>
          <w:highlight w:val="none"/>
        </w:rPr>
        <w:t>工程，按简易计税方法。</w:t>
      </w:r>
    </w:p>
    <w:p w14:paraId="6B0CB0F0">
      <w:pPr>
        <w:spacing w:line="380" w:lineRule="exact"/>
        <w:ind w:firstLine="422" w:firstLineChars="200"/>
        <w:rPr>
          <w:b/>
          <w:color w:val="auto"/>
          <w:szCs w:val="21"/>
          <w:highlight w:val="none"/>
        </w:rPr>
      </w:pPr>
      <w:bookmarkStart w:id="20" w:name="_Toc351203485"/>
      <w:r>
        <w:rPr>
          <w:rFonts w:eastAsia="黑体"/>
          <w:b/>
          <w:color w:val="auto"/>
          <w:szCs w:val="21"/>
          <w:highlight w:val="none"/>
        </w:rPr>
        <w:t>五、</w:t>
      </w:r>
      <w:bookmarkEnd w:id="20"/>
      <w:r>
        <w:rPr>
          <w:rFonts w:eastAsia="黑体"/>
          <w:b/>
          <w:color w:val="auto"/>
          <w:szCs w:val="21"/>
          <w:highlight w:val="none"/>
        </w:rPr>
        <w:t>项目经理</w:t>
      </w:r>
    </w:p>
    <w:p w14:paraId="25B5C1F8">
      <w:pPr>
        <w:spacing w:line="380" w:lineRule="exact"/>
        <w:ind w:firstLine="420" w:firstLineChars="200"/>
        <w:rPr>
          <w:color w:val="auto"/>
          <w:szCs w:val="21"/>
          <w:highlight w:val="none"/>
        </w:rPr>
      </w:pPr>
      <w:r>
        <w:rPr>
          <w:color w:val="auto"/>
          <w:szCs w:val="21"/>
          <w:highlight w:val="none"/>
        </w:rPr>
        <w:t>承包人项目经理：</w:t>
      </w:r>
      <w:r>
        <w:rPr>
          <w:color w:val="auto"/>
          <w:szCs w:val="21"/>
          <w:highlight w:val="none"/>
          <w:u w:val="single"/>
        </w:rPr>
        <w:t xml:space="preserve">                                  </w:t>
      </w:r>
      <w:r>
        <w:rPr>
          <w:color w:val="auto"/>
          <w:szCs w:val="21"/>
          <w:highlight w:val="none"/>
        </w:rPr>
        <w:t>。</w:t>
      </w:r>
    </w:p>
    <w:p w14:paraId="184E9F71">
      <w:pPr>
        <w:spacing w:line="380" w:lineRule="exact"/>
        <w:ind w:firstLine="420" w:firstLineChars="200"/>
        <w:rPr>
          <w:bCs/>
          <w:color w:val="auto"/>
          <w:szCs w:val="21"/>
          <w:highlight w:val="none"/>
        </w:rPr>
      </w:pPr>
      <w:r>
        <w:rPr>
          <w:bCs/>
          <w:color w:val="auto"/>
          <w:szCs w:val="21"/>
          <w:highlight w:val="none"/>
        </w:rPr>
        <w:t xml:space="preserve"> </w:t>
      </w:r>
      <w:bookmarkStart w:id="21" w:name="_Toc351203486"/>
      <w:r>
        <w:rPr>
          <w:rFonts w:eastAsia="黑体"/>
          <w:b/>
          <w:color w:val="auto"/>
          <w:szCs w:val="21"/>
          <w:highlight w:val="none"/>
        </w:rPr>
        <w:t>六、合同文件构成</w:t>
      </w:r>
      <w:bookmarkEnd w:id="21"/>
    </w:p>
    <w:p w14:paraId="4935E55C">
      <w:pPr>
        <w:spacing w:line="380" w:lineRule="exact"/>
        <w:ind w:firstLine="420" w:firstLineChars="200"/>
        <w:rPr>
          <w:bCs/>
          <w:color w:val="auto"/>
          <w:szCs w:val="21"/>
          <w:highlight w:val="none"/>
        </w:rPr>
      </w:pPr>
      <w:r>
        <w:rPr>
          <w:bCs/>
          <w:color w:val="auto"/>
          <w:szCs w:val="21"/>
          <w:highlight w:val="none"/>
        </w:rPr>
        <w:t>本协议书与下列文件一起构成合同文件：</w:t>
      </w:r>
    </w:p>
    <w:p w14:paraId="478F7B1C">
      <w:pPr>
        <w:spacing w:line="380" w:lineRule="exact"/>
        <w:ind w:firstLine="420" w:firstLineChars="200"/>
        <w:rPr>
          <w:bCs/>
          <w:color w:val="auto"/>
          <w:szCs w:val="21"/>
          <w:highlight w:val="none"/>
        </w:rPr>
      </w:pPr>
      <w:r>
        <w:rPr>
          <w:rFonts w:hint="eastAsia"/>
          <w:bCs/>
          <w:color w:val="auto"/>
          <w:szCs w:val="21"/>
          <w:highlight w:val="none"/>
        </w:rPr>
        <w:t>（</w:t>
      </w:r>
      <w:r>
        <w:rPr>
          <w:rFonts w:hint="eastAsia"/>
          <w:bCs/>
          <w:color w:val="auto"/>
          <w:szCs w:val="21"/>
          <w:highlight w:val="none"/>
          <w:lang w:val="en-US" w:eastAsia="zh-CN"/>
        </w:rPr>
        <w:t>1</w:t>
      </w:r>
      <w:r>
        <w:rPr>
          <w:rFonts w:hint="eastAsia"/>
          <w:bCs/>
          <w:color w:val="auto"/>
          <w:szCs w:val="21"/>
          <w:highlight w:val="none"/>
        </w:rPr>
        <w:t>）</w:t>
      </w:r>
      <w:r>
        <w:rPr>
          <w:bCs/>
          <w:color w:val="auto"/>
          <w:szCs w:val="21"/>
          <w:highlight w:val="none"/>
        </w:rPr>
        <w:t>中标通知书（如果有）；</w:t>
      </w:r>
    </w:p>
    <w:p w14:paraId="38B37B10">
      <w:pPr>
        <w:spacing w:line="380" w:lineRule="exact"/>
        <w:ind w:firstLine="420" w:firstLineChars="200"/>
        <w:rPr>
          <w:bCs/>
          <w:color w:val="auto"/>
          <w:szCs w:val="21"/>
          <w:highlight w:val="none"/>
        </w:rPr>
      </w:pPr>
      <w:r>
        <w:rPr>
          <w:bCs/>
          <w:color w:val="auto"/>
          <w:szCs w:val="21"/>
          <w:highlight w:val="none"/>
        </w:rPr>
        <w:t>（</w:t>
      </w:r>
      <w:r>
        <w:rPr>
          <w:rFonts w:hint="eastAsia"/>
          <w:bCs/>
          <w:color w:val="auto"/>
          <w:szCs w:val="21"/>
          <w:highlight w:val="none"/>
          <w:lang w:val="en-US" w:eastAsia="zh-CN"/>
        </w:rPr>
        <w:t>2</w:t>
      </w:r>
      <w:r>
        <w:rPr>
          <w:bCs/>
          <w:color w:val="auto"/>
          <w:szCs w:val="21"/>
          <w:highlight w:val="none"/>
        </w:rPr>
        <w:t>）投标函及其附录（如果有）；</w:t>
      </w:r>
    </w:p>
    <w:p w14:paraId="61DE8A07">
      <w:pPr>
        <w:spacing w:line="380" w:lineRule="exact"/>
        <w:ind w:firstLine="420" w:firstLineChars="200"/>
        <w:rPr>
          <w:bCs/>
          <w:color w:val="auto"/>
          <w:szCs w:val="21"/>
          <w:highlight w:val="none"/>
        </w:rPr>
      </w:pPr>
      <w:r>
        <w:rPr>
          <w:bCs/>
          <w:color w:val="auto"/>
          <w:szCs w:val="21"/>
          <w:highlight w:val="none"/>
        </w:rPr>
        <w:t>（</w:t>
      </w:r>
      <w:r>
        <w:rPr>
          <w:rFonts w:hint="eastAsia"/>
          <w:bCs/>
          <w:color w:val="auto"/>
          <w:szCs w:val="21"/>
          <w:highlight w:val="none"/>
          <w:lang w:val="en-US" w:eastAsia="zh-CN"/>
        </w:rPr>
        <w:t>3</w:t>
      </w:r>
      <w:r>
        <w:rPr>
          <w:bCs/>
          <w:color w:val="auto"/>
          <w:szCs w:val="21"/>
          <w:highlight w:val="none"/>
        </w:rPr>
        <w:t>）专用合同条款及其附件；</w:t>
      </w:r>
    </w:p>
    <w:p w14:paraId="14E7DC9A">
      <w:pPr>
        <w:spacing w:line="380" w:lineRule="exact"/>
        <w:ind w:firstLine="420" w:firstLineChars="200"/>
        <w:rPr>
          <w:bCs/>
          <w:color w:val="auto"/>
          <w:szCs w:val="21"/>
          <w:highlight w:val="none"/>
        </w:rPr>
      </w:pPr>
      <w:r>
        <w:rPr>
          <w:bCs/>
          <w:color w:val="auto"/>
          <w:szCs w:val="21"/>
          <w:highlight w:val="none"/>
        </w:rPr>
        <w:t>（</w:t>
      </w:r>
      <w:r>
        <w:rPr>
          <w:rFonts w:hint="eastAsia"/>
          <w:bCs/>
          <w:color w:val="auto"/>
          <w:szCs w:val="21"/>
          <w:highlight w:val="none"/>
          <w:lang w:val="en-US" w:eastAsia="zh-CN"/>
        </w:rPr>
        <w:t>4</w:t>
      </w:r>
      <w:r>
        <w:rPr>
          <w:bCs/>
          <w:color w:val="auto"/>
          <w:szCs w:val="21"/>
          <w:highlight w:val="none"/>
        </w:rPr>
        <w:t>）通用合同条款；</w:t>
      </w:r>
    </w:p>
    <w:p w14:paraId="23C7616A">
      <w:pPr>
        <w:spacing w:line="380" w:lineRule="exact"/>
        <w:ind w:firstLine="420" w:firstLineChars="200"/>
        <w:rPr>
          <w:bCs/>
          <w:color w:val="auto"/>
          <w:szCs w:val="21"/>
          <w:highlight w:val="none"/>
        </w:rPr>
      </w:pPr>
      <w:r>
        <w:rPr>
          <w:bCs/>
          <w:color w:val="auto"/>
          <w:szCs w:val="21"/>
          <w:highlight w:val="none"/>
        </w:rPr>
        <w:t>（</w:t>
      </w:r>
      <w:r>
        <w:rPr>
          <w:rFonts w:hint="eastAsia"/>
          <w:bCs/>
          <w:color w:val="auto"/>
          <w:szCs w:val="21"/>
          <w:highlight w:val="none"/>
          <w:lang w:val="en-US" w:eastAsia="zh-CN"/>
        </w:rPr>
        <w:t>5</w:t>
      </w:r>
      <w:r>
        <w:rPr>
          <w:bCs/>
          <w:color w:val="auto"/>
          <w:szCs w:val="21"/>
          <w:highlight w:val="none"/>
        </w:rPr>
        <w:t>）技术标准和要求；</w:t>
      </w:r>
    </w:p>
    <w:p w14:paraId="1FB9D023">
      <w:pPr>
        <w:spacing w:line="380" w:lineRule="exact"/>
        <w:ind w:firstLine="420" w:firstLineChars="200"/>
        <w:rPr>
          <w:bCs/>
          <w:color w:val="auto"/>
          <w:szCs w:val="21"/>
          <w:highlight w:val="none"/>
        </w:rPr>
      </w:pPr>
      <w:r>
        <w:rPr>
          <w:bCs/>
          <w:color w:val="auto"/>
          <w:szCs w:val="21"/>
          <w:highlight w:val="none"/>
        </w:rPr>
        <w:t>（</w:t>
      </w:r>
      <w:r>
        <w:rPr>
          <w:rFonts w:hint="eastAsia"/>
          <w:bCs/>
          <w:color w:val="auto"/>
          <w:szCs w:val="21"/>
          <w:highlight w:val="none"/>
          <w:lang w:val="en-US" w:eastAsia="zh-CN"/>
        </w:rPr>
        <w:t>6</w:t>
      </w:r>
      <w:r>
        <w:rPr>
          <w:bCs/>
          <w:color w:val="auto"/>
          <w:szCs w:val="21"/>
          <w:highlight w:val="none"/>
        </w:rPr>
        <w:t>）图纸；</w:t>
      </w:r>
    </w:p>
    <w:p w14:paraId="02AD6E26">
      <w:pPr>
        <w:spacing w:line="380" w:lineRule="exact"/>
        <w:ind w:firstLine="420" w:firstLineChars="200"/>
        <w:rPr>
          <w:bCs/>
          <w:color w:val="auto"/>
          <w:szCs w:val="21"/>
          <w:highlight w:val="none"/>
        </w:rPr>
      </w:pPr>
      <w:r>
        <w:rPr>
          <w:bCs/>
          <w:color w:val="auto"/>
          <w:szCs w:val="21"/>
          <w:highlight w:val="none"/>
        </w:rPr>
        <w:t>（</w:t>
      </w:r>
      <w:r>
        <w:rPr>
          <w:rFonts w:hint="eastAsia"/>
          <w:bCs/>
          <w:color w:val="auto"/>
          <w:szCs w:val="21"/>
          <w:highlight w:val="none"/>
          <w:lang w:val="en-US" w:eastAsia="zh-CN"/>
        </w:rPr>
        <w:t>7</w:t>
      </w:r>
      <w:r>
        <w:rPr>
          <w:bCs/>
          <w:color w:val="auto"/>
          <w:szCs w:val="21"/>
          <w:highlight w:val="none"/>
        </w:rPr>
        <w:t>）已标价工程量清单或预算</w:t>
      </w:r>
      <w:r>
        <w:rPr>
          <w:rFonts w:hint="eastAsia"/>
          <w:bCs/>
          <w:color w:val="auto"/>
          <w:szCs w:val="21"/>
          <w:highlight w:val="none"/>
        </w:rPr>
        <w:t>审核</w:t>
      </w:r>
      <w:r>
        <w:rPr>
          <w:bCs/>
          <w:color w:val="auto"/>
          <w:szCs w:val="21"/>
          <w:highlight w:val="none"/>
        </w:rPr>
        <w:t>书；</w:t>
      </w:r>
    </w:p>
    <w:p w14:paraId="5185F8DC">
      <w:pPr>
        <w:spacing w:line="380" w:lineRule="exact"/>
        <w:ind w:firstLine="420" w:firstLineChars="200"/>
        <w:rPr>
          <w:bCs/>
          <w:color w:val="auto"/>
          <w:szCs w:val="21"/>
          <w:highlight w:val="none"/>
        </w:rPr>
      </w:pPr>
      <w:r>
        <w:rPr>
          <w:bCs/>
          <w:color w:val="auto"/>
          <w:szCs w:val="21"/>
          <w:highlight w:val="none"/>
        </w:rPr>
        <w:t>（</w:t>
      </w:r>
      <w:r>
        <w:rPr>
          <w:rFonts w:hint="eastAsia"/>
          <w:bCs/>
          <w:color w:val="auto"/>
          <w:szCs w:val="21"/>
          <w:highlight w:val="none"/>
          <w:lang w:val="en-US" w:eastAsia="zh-CN"/>
        </w:rPr>
        <w:t>8</w:t>
      </w:r>
      <w:r>
        <w:rPr>
          <w:bCs/>
          <w:color w:val="auto"/>
          <w:szCs w:val="21"/>
          <w:highlight w:val="none"/>
        </w:rPr>
        <w:t>）其他合同文件。</w:t>
      </w:r>
    </w:p>
    <w:p w14:paraId="6E10A712">
      <w:pPr>
        <w:spacing w:line="380" w:lineRule="exact"/>
        <w:ind w:firstLine="420" w:firstLineChars="200"/>
        <w:rPr>
          <w:bCs/>
          <w:color w:val="auto"/>
          <w:szCs w:val="21"/>
          <w:highlight w:val="none"/>
        </w:rPr>
      </w:pPr>
      <w:r>
        <w:rPr>
          <w:bCs/>
          <w:color w:val="auto"/>
          <w:szCs w:val="21"/>
          <w:highlight w:val="none"/>
        </w:rPr>
        <w:t>在合同订立及履行过程中形成的与合同有关的文件均构成合同文件组成部分。</w:t>
      </w:r>
    </w:p>
    <w:p w14:paraId="1954F3FB">
      <w:pPr>
        <w:spacing w:line="380" w:lineRule="exact"/>
        <w:ind w:firstLine="420" w:firstLineChars="200"/>
        <w:rPr>
          <w:rFonts w:hint="eastAsia"/>
          <w:bCs/>
          <w:color w:val="auto"/>
          <w:szCs w:val="21"/>
          <w:highlight w:val="none"/>
        </w:rPr>
      </w:pPr>
      <w:r>
        <w:rPr>
          <w:bCs/>
          <w:color w:val="auto"/>
          <w:szCs w:val="21"/>
          <w:highlight w:val="none"/>
        </w:rPr>
        <w:t>上述各项合同文件包括合同当事人就该项合同文件所作出的补充和修改，属于同一类内容的文件，应以最新签署的为准。专用合同条款及其附件须经合同当事人签字或盖章。</w:t>
      </w:r>
    </w:p>
    <w:p w14:paraId="5660FD00">
      <w:pPr>
        <w:spacing w:line="380" w:lineRule="exact"/>
        <w:ind w:firstLine="422" w:firstLineChars="200"/>
        <w:rPr>
          <w:rFonts w:eastAsia="黑体"/>
          <w:b/>
          <w:color w:val="auto"/>
          <w:szCs w:val="21"/>
          <w:highlight w:val="none"/>
        </w:rPr>
      </w:pPr>
      <w:r>
        <w:rPr>
          <w:rFonts w:hint="eastAsia" w:eastAsia="黑体"/>
          <w:b/>
          <w:color w:val="auto"/>
          <w:szCs w:val="21"/>
          <w:highlight w:val="none"/>
        </w:rPr>
        <w:t>七、创优目标</w:t>
      </w:r>
    </w:p>
    <w:p w14:paraId="181D9D0A">
      <w:pPr>
        <w:autoSpaceDE w:val="0"/>
        <w:autoSpaceDN w:val="0"/>
        <w:adjustRightInd w:val="0"/>
        <w:spacing w:line="380" w:lineRule="exact"/>
        <w:ind w:firstLine="420" w:firstLineChars="200"/>
        <w:rPr>
          <w:bCs/>
          <w:color w:val="auto"/>
          <w:szCs w:val="21"/>
          <w:highlight w:val="none"/>
        </w:rPr>
      </w:pPr>
      <w:r>
        <w:rPr>
          <w:rFonts w:hint="eastAsia"/>
          <w:bCs/>
          <w:color w:val="auto"/>
          <w:szCs w:val="21"/>
          <w:highlight w:val="none"/>
        </w:rPr>
        <w:t>工程质量创</w:t>
      </w:r>
      <w:r>
        <w:rPr>
          <w:rFonts w:hint="eastAsia"/>
          <w:bCs/>
          <w:color w:val="auto"/>
          <w:szCs w:val="21"/>
          <w:highlight w:val="none"/>
          <w:u w:val="single"/>
        </w:rPr>
        <w:t xml:space="preserve">  </w:t>
      </w:r>
      <w:r>
        <w:rPr>
          <w:rFonts w:hint="eastAsia" w:ascii="宋体" w:hAnsi="宋体"/>
          <w:bCs/>
          <w:color w:val="auto"/>
          <w:szCs w:val="21"/>
          <w:highlight w:val="none"/>
          <w:u w:val="single"/>
        </w:rPr>
        <w:t xml:space="preserve"> [ / ]优质工程</w:t>
      </w:r>
      <w:r>
        <w:rPr>
          <w:rFonts w:hint="eastAsia"/>
          <w:bCs/>
          <w:color w:val="auto"/>
          <w:szCs w:val="21"/>
          <w:highlight w:val="none"/>
          <w:u w:val="single"/>
        </w:rPr>
        <w:t xml:space="preserve">   </w:t>
      </w:r>
      <w:r>
        <w:rPr>
          <w:rFonts w:hint="eastAsia"/>
          <w:bCs/>
          <w:color w:val="auto"/>
          <w:szCs w:val="21"/>
          <w:highlight w:val="none"/>
        </w:rPr>
        <w:t>。</w:t>
      </w:r>
    </w:p>
    <w:p w14:paraId="76F646D1">
      <w:pPr>
        <w:spacing w:line="380" w:lineRule="exact"/>
        <w:ind w:firstLine="420" w:firstLineChars="200"/>
        <w:rPr>
          <w:bCs/>
          <w:color w:val="auto"/>
          <w:szCs w:val="21"/>
          <w:highlight w:val="none"/>
        </w:rPr>
      </w:pPr>
      <w:r>
        <w:rPr>
          <w:rFonts w:hint="eastAsia"/>
          <w:bCs/>
          <w:color w:val="auto"/>
          <w:szCs w:val="21"/>
          <w:highlight w:val="none"/>
        </w:rPr>
        <w:t>安全文明施工创</w:t>
      </w:r>
      <w:r>
        <w:rPr>
          <w:rFonts w:hint="eastAsia"/>
          <w:bCs/>
          <w:color w:val="auto"/>
          <w:szCs w:val="21"/>
          <w:highlight w:val="none"/>
          <w:u w:val="single"/>
        </w:rPr>
        <w:t xml:space="preserve">  </w:t>
      </w:r>
      <w:r>
        <w:rPr>
          <w:rFonts w:hint="eastAsia" w:ascii="宋体" w:hAnsi="宋体"/>
          <w:bCs/>
          <w:color w:val="auto"/>
          <w:szCs w:val="21"/>
          <w:highlight w:val="none"/>
          <w:u w:val="single"/>
        </w:rPr>
        <w:t xml:space="preserve"> [ / ]安全文明标准化工地</w:t>
      </w:r>
      <w:r>
        <w:rPr>
          <w:rFonts w:hint="eastAsia"/>
          <w:bCs/>
          <w:color w:val="auto"/>
          <w:szCs w:val="21"/>
          <w:highlight w:val="none"/>
          <w:u w:val="single"/>
        </w:rPr>
        <w:t xml:space="preserve">   </w:t>
      </w:r>
      <w:r>
        <w:rPr>
          <w:rFonts w:hint="eastAsia"/>
          <w:bCs/>
          <w:color w:val="auto"/>
          <w:szCs w:val="21"/>
          <w:highlight w:val="none"/>
        </w:rPr>
        <w:t>。</w:t>
      </w:r>
    </w:p>
    <w:p w14:paraId="7B3A81D2">
      <w:pPr>
        <w:spacing w:line="380" w:lineRule="exact"/>
        <w:ind w:firstLine="422" w:firstLineChars="200"/>
        <w:rPr>
          <w:b/>
          <w:bCs/>
          <w:color w:val="auto"/>
          <w:szCs w:val="21"/>
          <w:highlight w:val="none"/>
        </w:rPr>
      </w:pPr>
      <w:bookmarkStart w:id="22" w:name="_Toc351203487"/>
      <w:r>
        <w:rPr>
          <w:rFonts w:hint="eastAsia" w:eastAsia="黑体"/>
          <w:b/>
          <w:color w:val="auto"/>
          <w:szCs w:val="21"/>
          <w:highlight w:val="none"/>
        </w:rPr>
        <w:t>八</w:t>
      </w:r>
      <w:r>
        <w:rPr>
          <w:rFonts w:eastAsia="黑体"/>
          <w:b/>
          <w:color w:val="auto"/>
          <w:szCs w:val="21"/>
          <w:highlight w:val="none"/>
        </w:rPr>
        <w:t>、承诺</w:t>
      </w:r>
      <w:bookmarkEnd w:id="22"/>
    </w:p>
    <w:p w14:paraId="185F4039">
      <w:pPr>
        <w:spacing w:line="380" w:lineRule="exact"/>
        <w:ind w:firstLine="420" w:firstLineChars="200"/>
        <w:rPr>
          <w:bCs/>
          <w:color w:val="auto"/>
          <w:szCs w:val="21"/>
          <w:highlight w:val="none"/>
        </w:rPr>
      </w:pPr>
      <w:r>
        <w:rPr>
          <w:bCs/>
          <w:color w:val="auto"/>
          <w:szCs w:val="21"/>
          <w:highlight w:val="none"/>
        </w:rPr>
        <w:t>1．发包人承诺按照法律规定履行项目审批手续、筹集工程建设资金并按照合同约定的期限和方式支付合同价款。</w:t>
      </w:r>
    </w:p>
    <w:p w14:paraId="6576FF30">
      <w:pPr>
        <w:spacing w:line="380" w:lineRule="exact"/>
        <w:ind w:firstLine="420" w:firstLineChars="200"/>
        <w:rPr>
          <w:rFonts w:hint="eastAsia"/>
          <w:bCs/>
          <w:color w:val="auto"/>
          <w:szCs w:val="21"/>
          <w:highlight w:val="none"/>
        </w:rPr>
      </w:pPr>
      <w:r>
        <w:rPr>
          <w:bCs/>
          <w:color w:val="auto"/>
          <w:szCs w:val="21"/>
          <w:highlight w:val="none"/>
        </w:rPr>
        <w:t>2．承包人承诺按照法律规定及合同约定组织完成工程施工，确保工程质量和安全，不进行转包及违法分包，并在缺陷责任期及保修期内承担相应的工程维修责任。</w:t>
      </w:r>
    </w:p>
    <w:p w14:paraId="13500589">
      <w:pPr>
        <w:spacing w:line="380" w:lineRule="exact"/>
        <w:ind w:firstLine="420" w:firstLineChars="200"/>
        <w:rPr>
          <w:bCs/>
          <w:color w:val="auto"/>
          <w:szCs w:val="21"/>
          <w:highlight w:val="none"/>
        </w:rPr>
      </w:pPr>
      <w:r>
        <w:rPr>
          <w:rFonts w:hint="eastAsia"/>
          <w:bCs/>
          <w:color w:val="auto"/>
          <w:szCs w:val="21"/>
          <w:highlight w:val="none"/>
        </w:rPr>
        <w:t>3. 承包人承诺不拖欠工人工资，因拖欠工资造成的一切后果，均由承包人承担，发包人有权将应拨付的工程款，先代付工人工资。</w:t>
      </w:r>
    </w:p>
    <w:p w14:paraId="48B92F5F">
      <w:pPr>
        <w:spacing w:line="380" w:lineRule="exact"/>
        <w:ind w:firstLine="420" w:firstLineChars="200"/>
        <w:rPr>
          <w:bCs/>
          <w:color w:val="auto"/>
          <w:szCs w:val="21"/>
          <w:highlight w:val="none"/>
        </w:rPr>
      </w:pPr>
      <w:r>
        <w:rPr>
          <w:rFonts w:hint="eastAsia"/>
          <w:bCs/>
          <w:color w:val="auto"/>
          <w:szCs w:val="21"/>
          <w:highlight w:val="none"/>
        </w:rPr>
        <w:t>4</w:t>
      </w:r>
      <w:r>
        <w:rPr>
          <w:bCs/>
          <w:color w:val="auto"/>
          <w:szCs w:val="21"/>
          <w:highlight w:val="none"/>
        </w:rPr>
        <w:t>．发包人和承包人通过招投标形式签订合同的，双方理解并承诺不再就同一工程另行签订与合同实质性内容相背离的协议。</w:t>
      </w:r>
    </w:p>
    <w:p w14:paraId="29A6403A">
      <w:pPr>
        <w:spacing w:line="380" w:lineRule="exact"/>
        <w:ind w:firstLine="422" w:firstLineChars="200"/>
        <w:rPr>
          <w:bCs/>
          <w:color w:val="auto"/>
          <w:szCs w:val="21"/>
          <w:highlight w:val="none"/>
        </w:rPr>
      </w:pPr>
      <w:bookmarkStart w:id="23" w:name="_Toc351203488"/>
      <w:r>
        <w:rPr>
          <w:b/>
          <w:color w:val="auto"/>
          <w:szCs w:val="21"/>
          <w:highlight w:val="none"/>
        </w:rPr>
        <w:t xml:space="preserve"> </w:t>
      </w:r>
      <w:r>
        <w:rPr>
          <w:rFonts w:hint="eastAsia" w:eastAsia="黑体"/>
          <w:b/>
          <w:color w:val="auto"/>
          <w:szCs w:val="21"/>
          <w:highlight w:val="none"/>
        </w:rPr>
        <w:t>九</w:t>
      </w:r>
      <w:r>
        <w:rPr>
          <w:rFonts w:eastAsia="黑体"/>
          <w:b/>
          <w:color w:val="auto"/>
          <w:szCs w:val="21"/>
          <w:highlight w:val="none"/>
        </w:rPr>
        <w:t>、词语含义</w:t>
      </w:r>
      <w:bookmarkEnd w:id="23"/>
    </w:p>
    <w:p w14:paraId="4E66A815">
      <w:pPr>
        <w:spacing w:line="380" w:lineRule="exact"/>
        <w:ind w:firstLine="420" w:firstLineChars="200"/>
        <w:rPr>
          <w:bCs/>
          <w:color w:val="auto"/>
          <w:szCs w:val="21"/>
          <w:highlight w:val="none"/>
        </w:rPr>
      </w:pPr>
      <w:r>
        <w:rPr>
          <w:bCs/>
          <w:color w:val="auto"/>
          <w:szCs w:val="21"/>
          <w:highlight w:val="none"/>
        </w:rPr>
        <w:t>本协议书中词语含义与第二部分通用合同条款中赋予的含义相同。</w:t>
      </w:r>
    </w:p>
    <w:p w14:paraId="1AC47148">
      <w:pPr>
        <w:spacing w:line="380" w:lineRule="exact"/>
        <w:ind w:firstLine="422" w:firstLineChars="200"/>
        <w:rPr>
          <w:bCs/>
          <w:color w:val="auto"/>
          <w:szCs w:val="21"/>
          <w:highlight w:val="none"/>
        </w:rPr>
      </w:pPr>
      <w:bookmarkStart w:id="24" w:name="_Toc351203489"/>
      <w:r>
        <w:rPr>
          <w:rFonts w:hint="eastAsia" w:eastAsia="黑体"/>
          <w:b/>
          <w:color w:val="auto"/>
          <w:szCs w:val="21"/>
          <w:highlight w:val="none"/>
        </w:rPr>
        <w:t>十</w:t>
      </w:r>
      <w:r>
        <w:rPr>
          <w:rFonts w:eastAsia="黑体"/>
          <w:b/>
          <w:color w:val="auto"/>
          <w:szCs w:val="21"/>
          <w:highlight w:val="none"/>
        </w:rPr>
        <w:t>、签订时间</w:t>
      </w:r>
      <w:bookmarkEnd w:id="24"/>
    </w:p>
    <w:p w14:paraId="0AA0CF33">
      <w:pPr>
        <w:spacing w:line="380" w:lineRule="exact"/>
        <w:ind w:firstLine="420" w:firstLineChars="200"/>
        <w:rPr>
          <w:bCs/>
          <w:color w:val="auto"/>
          <w:szCs w:val="21"/>
          <w:highlight w:val="none"/>
        </w:rPr>
      </w:pPr>
      <w:r>
        <w:rPr>
          <w:bCs/>
          <w:color w:val="auto"/>
          <w:szCs w:val="21"/>
          <w:highlight w:val="none"/>
        </w:rPr>
        <w:t>本合同于</w:t>
      </w:r>
      <w:r>
        <w:rPr>
          <w:bCs/>
          <w:color w:val="auto"/>
          <w:szCs w:val="21"/>
          <w:highlight w:val="none"/>
          <w:u w:val="single"/>
        </w:rPr>
        <w:t xml:space="preserve">       </w:t>
      </w:r>
      <w:r>
        <w:rPr>
          <w:bCs/>
          <w:color w:val="auto"/>
          <w:szCs w:val="21"/>
          <w:highlight w:val="none"/>
        </w:rPr>
        <w:t>年</w:t>
      </w:r>
      <w:r>
        <w:rPr>
          <w:bCs/>
          <w:color w:val="auto"/>
          <w:szCs w:val="21"/>
          <w:highlight w:val="none"/>
          <w:u w:val="single"/>
        </w:rPr>
        <w:t xml:space="preserve">    </w:t>
      </w:r>
      <w:r>
        <w:rPr>
          <w:bCs/>
          <w:color w:val="auto"/>
          <w:szCs w:val="21"/>
          <w:highlight w:val="none"/>
        </w:rPr>
        <w:t>月</w:t>
      </w:r>
      <w:r>
        <w:rPr>
          <w:bCs/>
          <w:color w:val="auto"/>
          <w:szCs w:val="21"/>
          <w:highlight w:val="none"/>
          <w:u w:val="single"/>
        </w:rPr>
        <w:t xml:space="preserve">    </w:t>
      </w:r>
      <w:r>
        <w:rPr>
          <w:bCs/>
          <w:color w:val="auto"/>
          <w:szCs w:val="21"/>
          <w:highlight w:val="none"/>
        </w:rPr>
        <w:t>日签订。</w:t>
      </w:r>
    </w:p>
    <w:p w14:paraId="6E05167D">
      <w:pPr>
        <w:spacing w:line="380" w:lineRule="exact"/>
        <w:ind w:firstLine="420" w:firstLineChars="200"/>
        <w:rPr>
          <w:bCs/>
          <w:color w:val="auto"/>
          <w:szCs w:val="21"/>
          <w:highlight w:val="none"/>
        </w:rPr>
      </w:pPr>
      <w:r>
        <w:rPr>
          <w:bCs/>
          <w:color w:val="auto"/>
          <w:szCs w:val="21"/>
          <w:highlight w:val="none"/>
        </w:rPr>
        <w:t xml:space="preserve"> </w:t>
      </w:r>
      <w:bookmarkStart w:id="25" w:name="_Toc351203490"/>
      <w:r>
        <w:rPr>
          <w:rFonts w:eastAsia="黑体"/>
          <w:b/>
          <w:color w:val="auto"/>
          <w:szCs w:val="21"/>
          <w:highlight w:val="none"/>
        </w:rPr>
        <w:t>十</w:t>
      </w:r>
      <w:r>
        <w:rPr>
          <w:rFonts w:hint="eastAsia" w:eastAsia="黑体"/>
          <w:b/>
          <w:color w:val="auto"/>
          <w:szCs w:val="21"/>
          <w:highlight w:val="none"/>
        </w:rPr>
        <w:t>一</w:t>
      </w:r>
      <w:r>
        <w:rPr>
          <w:rFonts w:eastAsia="黑体"/>
          <w:b/>
          <w:color w:val="auto"/>
          <w:szCs w:val="21"/>
          <w:highlight w:val="none"/>
        </w:rPr>
        <w:t>、签订地点</w:t>
      </w:r>
      <w:bookmarkEnd w:id="25"/>
    </w:p>
    <w:p w14:paraId="79E609E2">
      <w:pPr>
        <w:spacing w:line="380" w:lineRule="exact"/>
        <w:ind w:firstLine="420" w:firstLineChars="200"/>
        <w:rPr>
          <w:bCs/>
          <w:color w:val="auto"/>
          <w:szCs w:val="21"/>
          <w:highlight w:val="none"/>
        </w:rPr>
      </w:pPr>
      <w:r>
        <w:rPr>
          <w:bCs/>
          <w:color w:val="auto"/>
          <w:szCs w:val="21"/>
          <w:highlight w:val="none"/>
        </w:rPr>
        <w:t>本合同在</w:t>
      </w:r>
      <w:r>
        <w:rPr>
          <w:bCs/>
          <w:color w:val="auto"/>
          <w:szCs w:val="21"/>
          <w:highlight w:val="none"/>
          <w:u w:val="single"/>
        </w:rPr>
        <w:t xml:space="preserve">                                    </w:t>
      </w:r>
      <w:r>
        <w:rPr>
          <w:bCs/>
          <w:color w:val="auto"/>
          <w:szCs w:val="21"/>
          <w:highlight w:val="none"/>
        </w:rPr>
        <w:t>签订。</w:t>
      </w:r>
    </w:p>
    <w:p w14:paraId="6CF32550">
      <w:pPr>
        <w:spacing w:line="380" w:lineRule="exact"/>
        <w:ind w:firstLine="420" w:firstLineChars="200"/>
        <w:rPr>
          <w:bCs/>
          <w:color w:val="auto"/>
          <w:szCs w:val="21"/>
          <w:highlight w:val="none"/>
        </w:rPr>
      </w:pPr>
      <w:r>
        <w:rPr>
          <w:bCs/>
          <w:color w:val="auto"/>
          <w:szCs w:val="21"/>
          <w:highlight w:val="none"/>
        </w:rPr>
        <w:t xml:space="preserve"> </w:t>
      </w:r>
      <w:bookmarkStart w:id="26" w:name="_Toc351203491"/>
      <w:r>
        <w:rPr>
          <w:rFonts w:eastAsia="黑体"/>
          <w:b/>
          <w:color w:val="auto"/>
          <w:szCs w:val="21"/>
          <w:highlight w:val="none"/>
        </w:rPr>
        <w:t>十</w:t>
      </w:r>
      <w:r>
        <w:rPr>
          <w:rFonts w:hint="eastAsia" w:eastAsia="黑体"/>
          <w:b/>
          <w:color w:val="auto"/>
          <w:szCs w:val="21"/>
          <w:highlight w:val="none"/>
        </w:rPr>
        <w:t>二</w:t>
      </w:r>
      <w:r>
        <w:rPr>
          <w:rFonts w:eastAsia="黑体"/>
          <w:b/>
          <w:color w:val="auto"/>
          <w:szCs w:val="21"/>
          <w:highlight w:val="none"/>
        </w:rPr>
        <w:t>、补充协议</w:t>
      </w:r>
      <w:bookmarkEnd w:id="26"/>
    </w:p>
    <w:p w14:paraId="7A01563D">
      <w:pPr>
        <w:spacing w:line="380" w:lineRule="exact"/>
        <w:ind w:firstLine="420" w:firstLineChars="200"/>
        <w:rPr>
          <w:b/>
          <w:bCs/>
          <w:color w:val="auto"/>
          <w:szCs w:val="21"/>
          <w:highlight w:val="none"/>
        </w:rPr>
      </w:pPr>
      <w:r>
        <w:rPr>
          <w:bCs/>
          <w:color w:val="auto"/>
          <w:szCs w:val="21"/>
          <w:highlight w:val="none"/>
        </w:rPr>
        <w:t>合同未尽事宜，合同当事人另行签订补充协议，补充协议是合同的组成部分。</w:t>
      </w:r>
    </w:p>
    <w:p w14:paraId="5E1E8BC7">
      <w:pPr>
        <w:spacing w:line="380" w:lineRule="exact"/>
        <w:ind w:firstLine="420" w:firstLineChars="200"/>
        <w:rPr>
          <w:bCs/>
          <w:color w:val="auto"/>
          <w:szCs w:val="21"/>
          <w:highlight w:val="none"/>
        </w:rPr>
      </w:pPr>
      <w:r>
        <w:rPr>
          <w:bCs/>
          <w:color w:val="auto"/>
          <w:szCs w:val="21"/>
          <w:highlight w:val="none"/>
        </w:rPr>
        <w:t xml:space="preserve"> </w:t>
      </w:r>
      <w:bookmarkStart w:id="27" w:name="_Toc351203492"/>
      <w:r>
        <w:rPr>
          <w:rFonts w:eastAsia="黑体"/>
          <w:b/>
          <w:color w:val="auto"/>
          <w:szCs w:val="21"/>
          <w:highlight w:val="none"/>
        </w:rPr>
        <w:t>十</w:t>
      </w:r>
      <w:r>
        <w:rPr>
          <w:rFonts w:hint="eastAsia" w:eastAsia="黑体"/>
          <w:b/>
          <w:color w:val="auto"/>
          <w:szCs w:val="21"/>
          <w:highlight w:val="none"/>
        </w:rPr>
        <w:t>三</w:t>
      </w:r>
      <w:r>
        <w:rPr>
          <w:rFonts w:eastAsia="黑体"/>
          <w:b/>
          <w:color w:val="auto"/>
          <w:szCs w:val="21"/>
          <w:highlight w:val="none"/>
        </w:rPr>
        <w:t>、合同生效</w:t>
      </w:r>
      <w:bookmarkEnd w:id="27"/>
    </w:p>
    <w:p w14:paraId="796EDCF0">
      <w:pPr>
        <w:spacing w:line="380" w:lineRule="exact"/>
        <w:ind w:firstLine="420" w:firstLineChars="200"/>
        <w:rPr>
          <w:bCs/>
          <w:color w:val="auto"/>
          <w:szCs w:val="21"/>
          <w:highlight w:val="none"/>
        </w:rPr>
      </w:pPr>
      <w:r>
        <w:rPr>
          <w:bCs/>
          <w:color w:val="auto"/>
          <w:szCs w:val="21"/>
          <w:highlight w:val="none"/>
        </w:rPr>
        <w:t>本合同自</w:t>
      </w:r>
      <w:r>
        <w:rPr>
          <w:bCs/>
          <w:color w:val="auto"/>
          <w:szCs w:val="21"/>
          <w:highlight w:val="none"/>
          <w:u w:val="single"/>
        </w:rPr>
        <w:t>双方法定代表人或委托代理人</w:t>
      </w:r>
      <w:r>
        <w:rPr>
          <w:rFonts w:hint="eastAsia"/>
          <w:b/>
          <w:bCs/>
          <w:color w:val="auto"/>
          <w:szCs w:val="21"/>
          <w:highlight w:val="none"/>
          <w:u w:val="single"/>
        </w:rPr>
        <w:t>（需开具法人委托书）</w:t>
      </w:r>
      <w:r>
        <w:rPr>
          <w:bCs/>
          <w:color w:val="auto"/>
          <w:szCs w:val="21"/>
          <w:highlight w:val="none"/>
          <w:u w:val="single"/>
        </w:rPr>
        <w:t>签字，并加盖公章后</w:t>
      </w:r>
      <w:r>
        <w:rPr>
          <w:rFonts w:hint="eastAsia"/>
          <w:bCs/>
          <w:color w:val="auto"/>
          <w:szCs w:val="21"/>
          <w:highlight w:val="none"/>
          <w:u w:val="single"/>
        </w:rPr>
        <w:t xml:space="preserve"> </w:t>
      </w:r>
      <w:r>
        <w:rPr>
          <w:bCs/>
          <w:color w:val="auto"/>
          <w:szCs w:val="21"/>
          <w:highlight w:val="none"/>
        </w:rPr>
        <w:t>生效。</w:t>
      </w:r>
    </w:p>
    <w:p w14:paraId="2E1656C7">
      <w:pPr>
        <w:spacing w:line="380" w:lineRule="exact"/>
        <w:ind w:firstLine="420" w:firstLineChars="200"/>
        <w:rPr>
          <w:bCs/>
          <w:color w:val="auto"/>
          <w:szCs w:val="21"/>
          <w:highlight w:val="none"/>
        </w:rPr>
      </w:pPr>
      <w:r>
        <w:rPr>
          <w:bCs/>
          <w:color w:val="auto"/>
          <w:szCs w:val="21"/>
          <w:highlight w:val="none"/>
        </w:rPr>
        <w:t xml:space="preserve"> </w:t>
      </w:r>
      <w:bookmarkStart w:id="28" w:name="_Toc351203493"/>
      <w:r>
        <w:rPr>
          <w:rFonts w:eastAsia="黑体"/>
          <w:b/>
          <w:color w:val="auto"/>
          <w:szCs w:val="21"/>
          <w:highlight w:val="none"/>
        </w:rPr>
        <w:t>十</w:t>
      </w:r>
      <w:r>
        <w:rPr>
          <w:rFonts w:hint="eastAsia" w:eastAsia="黑体"/>
          <w:b/>
          <w:color w:val="auto"/>
          <w:szCs w:val="21"/>
          <w:highlight w:val="none"/>
        </w:rPr>
        <w:t>四</w:t>
      </w:r>
      <w:r>
        <w:rPr>
          <w:rFonts w:eastAsia="黑体"/>
          <w:b/>
          <w:color w:val="auto"/>
          <w:szCs w:val="21"/>
          <w:highlight w:val="none"/>
        </w:rPr>
        <w:t>、合同份数</w:t>
      </w:r>
      <w:bookmarkEnd w:id="28"/>
    </w:p>
    <w:p w14:paraId="18CD91AE">
      <w:pPr>
        <w:spacing w:line="380" w:lineRule="exact"/>
        <w:ind w:firstLine="420" w:firstLineChars="200"/>
        <w:rPr>
          <w:bCs/>
          <w:color w:val="auto"/>
          <w:szCs w:val="21"/>
          <w:highlight w:val="none"/>
        </w:rPr>
      </w:pPr>
      <w:r>
        <w:rPr>
          <w:bCs/>
          <w:color w:val="auto"/>
          <w:szCs w:val="21"/>
          <w:highlight w:val="none"/>
        </w:rPr>
        <w:t>本合同一式</w:t>
      </w:r>
      <w:r>
        <w:rPr>
          <w:bCs/>
          <w:color w:val="auto"/>
          <w:szCs w:val="21"/>
          <w:highlight w:val="none"/>
          <w:u w:val="single"/>
        </w:rPr>
        <w:t xml:space="preserve">    </w:t>
      </w:r>
      <w:r>
        <w:rPr>
          <w:bCs/>
          <w:color w:val="auto"/>
          <w:szCs w:val="21"/>
          <w:highlight w:val="none"/>
        </w:rPr>
        <w:t>份，均具有同等法律效力，发包人执</w:t>
      </w:r>
      <w:r>
        <w:rPr>
          <w:bCs/>
          <w:color w:val="auto"/>
          <w:szCs w:val="21"/>
          <w:highlight w:val="none"/>
          <w:u w:val="single"/>
        </w:rPr>
        <w:t xml:space="preserve">    </w:t>
      </w:r>
      <w:r>
        <w:rPr>
          <w:bCs/>
          <w:color w:val="auto"/>
          <w:szCs w:val="21"/>
          <w:highlight w:val="none"/>
        </w:rPr>
        <w:t>份，承包人执</w:t>
      </w:r>
      <w:r>
        <w:rPr>
          <w:bCs/>
          <w:color w:val="auto"/>
          <w:szCs w:val="21"/>
          <w:highlight w:val="none"/>
          <w:u w:val="single"/>
        </w:rPr>
        <w:t xml:space="preserve">    </w:t>
      </w:r>
      <w:r>
        <w:rPr>
          <w:bCs/>
          <w:color w:val="auto"/>
          <w:szCs w:val="21"/>
          <w:highlight w:val="none"/>
        </w:rPr>
        <w:t>份，合同备案机构执</w:t>
      </w:r>
      <w:r>
        <w:rPr>
          <w:bCs/>
          <w:color w:val="auto"/>
          <w:szCs w:val="21"/>
          <w:highlight w:val="none"/>
          <w:u w:val="single"/>
        </w:rPr>
        <w:t xml:space="preserve">       </w:t>
      </w:r>
      <w:r>
        <w:rPr>
          <w:bCs/>
          <w:color w:val="auto"/>
          <w:szCs w:val="21"/>
          <w:highlight w:val="none"/>
        </w:rPr>
        <w:t>份。</w:t>
      </w:r>
    </w:p>
    <w:p w14:paraId="1AE58B8F">
      <w:pPr>
        <w:spacing w:line="360" w:lineRule="exact"/>
        <w:rPr>
          <w:rFonts w:hint="eastAsia"/>
          <w:bCs/>
          <w:color w:val="auto"/>
          <w:szCs w:val="21"/>
          <w:highlight w:val="none"/>
        </w:rPr>
      </w:pPr>
    </w:p>
    <w:p w14:paraId="7BAB167D">
      <w:pPr>
        <w:spacing w:line="360" w:lineRule="exact"/>
        <w:ind w:firstLine="420" w:firstLineChars="200"/>
        <w:rPr>
          <w:color w:val="auto"/>
          <w:szCs w:val="21"/>
          <w:highlight w:val="none"/>
        </w:rPr>
      </w:pPr>
      <w:r>
        <w:rPr>
          <w:color w:val="auto"/>
          <w:szCs w:val="21"/>
          <w:highlight w:val="none"/>
        </w:rPr>
        <w:t xml:space="preserve">发包人：  (公章)             </w:t>
      </w:r>
      <w:r>
        <w:rPr>
          <w:rFonts w:hint="eastAsia"/>
          <w:color w:val="auto"/>
          <w:szCs w:val="21"/>
          <w:highlight w:val="none"/>
        </w:rPr>
        <w:t xml:space="preserve">          </w:t>
      </w:r>
      <w:r>
        <w:rPr>
          <w:color w:val="auto"/>
          <w:szCs w:val="21"/>
          <w:highlight w:val="none"/>
        </w:rPr>
        <w:t>承包人：  (公章)</w:t>
      </w:r>
    </w:p>
    <w:p w14:paraId="19753C98">
      <w:pPr>
        <w:spacing w:line="360" w:lineRule="exact"/>
        <w:ind w:firstLine="420" w:firstLineChars="200"/>
        <w:rPr>
          <w:color w:val="auto"/>
          <w:szCs w:val="21"/>
          <w:highlight w:val="none"/>
          <w:u w:val="single"/>
        </w:rPr>
      </w:pPr>
      <w:r>
        <w:rPr>
          <w:color w:val="auto"/>
          <w:szCs w:val="21"/>
          <w:highlight w:val="none"/>
        </w:rPr>
        <w:t xml:space="preserve">                                 </w:t>
      </w:r>
    </w:p>
    <w:p w14:paraId="515F7F86">
      <w:pPr>
        <w:spacing w:line="360" w:lineRule="exact"/>
        <w:ind w:firstLine="420" w:firstLineChars="200"/>
        <w:rPr>
          <w:color w:val="auto"/>
          <w:szCs w:val="21"/>
          <w:highlight w:val="none"/>
        </w:rPr>
      </w:pPr>
      <w:r>
        <w:rPr>
          <w:color w:val="auto"/>
          <w:szCs w:val="21"/>
          <w:highlight w:val="none"/>
        </w:rPr>
        <w:t xml:space="preserve">法定代表人或其委托代理人： </w:t>
      </w:r>
      <w:r>
        <w:rPr>
          <w:rFonts w:hint="eastAsia"/>
          <w:color w:val="auto"/>
          <w:szCs w:val="21"/>
          <w:highlight w:val="none"/>
        </w:rPr>
        <w:t xml:space="preserve">          </w:t>
      </w:r>
      <w:r>
        <w:rPr>
          <w:color w:val="auto"/>
          <w:szCs w:val="21"/>
          <w:highlight w:val="none"/>
        </w:rPr>
        <w:t xml:space="preserve"> 法定代表人或其委托代理人：</w:t>
      </w:r>
    </w:p>
    <w:p w14:paraId="1EDF297A">
      <w:pPr>
        <w:spacing w:line="360" w:lineRule="exact"/>
        <w:ind w:firstLine="420" w:firstLineChars="200"/>
        <w:rPr>
          <w:color w:val="auto"/>
          <w:szCs w:val="21"/>
          <w:highlight w:val="none"/>
        </w:rPr>
      </w:pPr>
      <w:r>
        <w:rPr>
          <w:color w:val="auto"/>
          <w:szCs w:val="21"/>
          <w:highlight w:val="none"/>
        </w:rPr>
        <w:t xml:space="preserve">（签字）                    </w:t>
      </w:r>
      <w:r>
        <w:rPr>
          <w:rFonts w:hint="eastAsia"/>
          <w:color w:val="auto"/>
          <w:szCs w:val="21"/>
          <w:highlight w:val="none"/>
        </w:rPr>
        <w:t xml:space="preserve">              </w:t>
      </w:r>
      <w:r>
        <w:rPr>
          <w:color w:val="auto"/>
          <w:szCs w:val="21"/>
          <w:highlight w:val="none"/>
        </w:rPr>
        <w:t>（签字）</w:t>
      </w:r>
    </w:p>
    <w:p w14:paraId="4C5430F7">
      <w:pPr>
        <w:spacing w:line="360" w:lineRule="exact"/>
        <w:ind w:firstLine="420" w:firstLineChars="200"/>
        <w:rPr>
          <w:color w:val="auto"/>
          <w:szCs w:val="21"/>
          <w:highlight w:val="none"/>
          <w:u w:val="single"/>
        </w:rPr>
      </w:pPr>
    </w:p>
    <w:p w14:paraId="6942039D">
      <w:pPr>
        <w:keepNext w:val="0"/>
        <w:keepLines w:val="0"/>
        <w:pageBreakBefore w:val="0"/>
        <w:widowControl/>
        <w:tabs>
          <w:tab w:val="left" w:pos="4410"/>
        </w:tabs>
        <w:kinsoku w:val="0"/>
        <w:wordWrap/>
        <w:overflowPunct/>
        <w:topLinePunct w:val="0"/>
        <w:autoSpaceDE w:val="0"/>
        <w:autoSpaceDN w:val="0"/>
        <w:bidi w:val="0"/>
        <w:adjustRightInd w:val="0"/>
        <w:snapToGrid w:val="0"/>
        <w:spacing w:line="360" w:lineRule="auto"/>
        <w:ind w:firstLine="420" w:firstLineChars="200"/>
        <w:rPr>
          <w:color w:val="auto"/>
          <w:szCs w:val="21"/>
          <w:highlight w:val="none"/>
        </w:rPr>
      </w:pPr>
      <w:r>
        <w:rPr>
          <w:rFonts w:hint="eastAsia"/>
          <w:color w:val="auto"/>
          <w:szCs w:val="21"/>
          <w:highlight w:val="none"/>
        </w:rPr>
        <w:t>统一社会信用代</w:t>
      </w:r>
      <w:r>
        <w:rPr>
          <w:color w:val="auto"/>
          <w:szCs w:val="21"/>
          <w:highlight w:val="none"/>
        </w:rPr>
        <w:t>码：</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rPr>
        <w:t xml:space="preserve"> </w:t>
      </w:r>
      <w:r>
        <w:rPr>
          <w:rFonts w:hint="eastAsia"/>
          <w:color w:val="auto"/>
          <w:szCs w:val="21"/>
          <w:highlight w:val="none"/>
        </w:rPr>
        <w:t>统一社会信用代</w:t>
      </w:r>
      <w:r>
        <w:rPr>
          <w:color w:val="auto"/>
          <w:szCs w:val="21"/>
          <w:highlight w:val="none"/>
        </w:rPr>
        <w:t>码：</w:t>
      </w:r>
      <w:r>
        <w:rPr>
          <w:bCs/>
          <w:color w:val="auto"/>
          <w:szCs w:val="21"/>
          <w:highlight w:val="none"/>
          <w:u w:val="single"/>
        </w:rPr>
        <w:t xml:space="preserve">        </w:t>
      </w:r>
      <w:r>
        <w:rPr>
          <w:rFonts w:hint="eastAsia"/>
          <w:bCs/>
          <w:color w:val="auto"/>
          <w:szCs w:val="21"/>
          <w:highlight w:val="none"/>
          <w:u w:val="single"/>
        </w:rPr>
        <w:t xml:space="preserve">       </w:t>
      </w:r>
      <w:r>
        <w:rPr>
          <w:rFonts w:hint="eastAsia"/>
          <w:bCs/>
          <w:color w:val="auto"/>
          <w:szCs w:val="21"/>
          <w:highlight w:val="none"/>
          <w:u w:val="single"/>
          <w:lang w:val="en-US" w:eastAsia="zh-CN"/>
        </w:rPr>
        <w:t xml:space="preserve">                     </w:t>
      </w:r>
      <w:r>
        <w:rPr>
          <w:bCs/>
          <w:color w:val="auto"/>
          <w:szCs w:val="21"/>
          <w:highlight w:val="none"/>
          <w:u w:val="single"/>
        </w:rPr>
        <w:t xml:space="preserve">      </w:t>
      </w:r>
      <w:r>
        <w:rPr>
          <w:color w:val="auto"/>
          <w:szCs w:val="21"/>
          <w:highlight w:val="none"/>
        </w:rPr>
        <w:t xml:space="preserve"> </w:t>
      </w:r>
    </w:p>
    <w:p w14:paraId="58A95529">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rPr>
          <w:color w:val="auto"/>
          <w:szCs w:val="21"/>
          <w:highlight w:val="none"/>
        </w:rPr>
      </w:pPr>
      <w:r>
        <w:rPr>
          <w:color w:val="auto"/>
          <w:szCs w:val="21"/>
          <w:highlight w:val="none"/>
        </w:rPr>
        <w:t>地  址：</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rPr>
        <w:t xml:space="preserve"> 地  址：</w:t>
      </w:r>
      <w:r>
        <w:rPr>
          <w:bCs/>
          <w:color w:val="auto"/>
          <w:szCs w:val="21"/>
          <w:highlight w:val="none"/>
          <w:u w:val="single"/>
        </w:rPr>
        <w:t xml:space="preserve">             </w:t>
      </w:r>
      <w:r>
        <w:rPr>
          <w:rFonts w:hint="eastAsia"/>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699D4668">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rPr>
          <w:color w:val="auto"/>
          <w:szCs w:val="21"/>
          <w:highlight w:val="none"/>
        </w:rPr>
      </w:pPr>
      <w:r>
        <w:rPr>
          <w:color w:val="auto"/>
          <w:szCs w:val="21"/>
          <w:highlight w:val="none"/>
        </w:rPr>
        <w:t>邮政编码：</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rPr>
        <w:t xml:space="preserve"> 邮政编码：</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122711EC">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rPr>
          <w:color w:val="auto"/>
          <w:szCs w:val="21"/>
          <w:highlight w:val="none"/>
        </w:rPr>
      </w:pPr>
      <w:r>
        <w:rPr>
          <w:color w:val="auto"/>
          <w:szCs w:val="21"/>
          <w:highlight w:val="none"/>
        </w:rPr>
        <w:t>法定代表人：</w:t>
      </w:r>
      <w:r>
        <w:rPr>
          <w:bCs/>
          <w:color w:val="auto"/>
          <w:szCs w:val="21"/>
          <w:highlight w:val="none"/>
          <w:u w:val="single"/>
        </w:rPr>
        <w:t xml:space="preserve">         </w:t>
      </w:r>
      <w:r>
        <w:rPr>
          <w:rFonts w:hint="eastAsia"/>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rPr>
        <w:t xml:space="preserve"> 法定代表人：</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6A275C4E">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rPr>
          <w:color w:val="auto"/>
          <w:szCs w:val="21"/>
          <w:highlight w:val="none"/>
        </w:rPr>
      </w:pPr>
      <w:r>
        <w:rPr>
          <w:color w:val="auto"/>
          <w:szCs w:val="21"/>
          <w:highlight w:val="none"/>
        </w:rPr>
        <w:t>委托代理人：</w:t>
      </w:r>
      <w:r>
        <w:rPr>
          <w:bCs/>
          <w:color w:val="auto"/>
          <w:szCs w:val="21"/>
          <w:highlight w:val="none"/>
          <w:u w:val="single"/>
        </w:rPr>
        <w:t xml:space="preserve">        </w:t>
      </w:r>
      <w:r>
        <w:rPr>
          <w:rFonts w:hint="eastAsia"/>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rPr>
        <w:t xml:space="preserve"> 委托代理人：</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p>
    <w:p w14:paraId="09270B97">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rPr>
          <w:color w:val="auto"/>
          <w:szCs w:val="21"/>
          <w:highlight w:val="none"/>
        </w:rPr>
      </w:pPr>
      <w:r>
        <w:rPr>
          <w:color w:val="auto"/>
          <w:szCs w:val="21"/>
          <w:highlight w:val="none"/>
        </w:rPr>
        <w:t>电  话：</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rPr>
        <w:t xml:space="preserve"> 电  话：</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76E9C387">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rPr>
          <w:color w:val="auto"/>
          <w:szCs w:val="21"/>
          <w:highlight w:val="none"/>
        </w:rPr>
      </w:pPr>
      <w:r>
        <w:rPr>
          <w:color w:val="auto"/>
          <w:szCs w:val="21"/>
          <w:highlight w:val="none"/>
        </w:rPr>
        <w:t>传  真：</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rPr>
        <w:t xml:space="preserve"> 传  真：</w:t>
      </w:r>
      <w:r>
        <w:rPr>
          <w:bCs/>
          <w:color w:val="auto"/>
          <w:szCs w:val="21"/>
          <w:highlight w:val="none"/>
          <w:u w:val="single"/>
        </w:rPr>
        <w:t xml:space="preserve">              </w:t>
      </w:r>
      <w:r>
        <w:rPr>
          <w:rFonts w:hint="eastAsia"/>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12C9A1F8">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rPr>
          <w:color w:val="auto"/>
          <w:szCs w:val="21"/>
          <w:highlight w:val="none"/>
        </w:rPr>
      </w:pPr>
      <w:r>
        <w:rPr>
          <w:color w:val="auto"/>
          <w:szCs w:val="21"/>
          <w:highlight w:val="none"/>
        </w:rPr>
        <w:t>电子信箱：</w:t>
      </w:r>
      <w:r>
        <w:rPr>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 xml:space="preserve"> 电子信箱：</w:t>
      </w:r>
      <w:r>
        <w:rPr>
          <w:bCs/>
          <w:color w:val="auto"/>
          <w:szCs w:val="21"/>
          <w:highlight w:val="none"/>
          <w:u w:val="single"/>
        </w:rPr>
        <w:t xml:space="preserve">            </w:t>
      </w:r>
      <w:r>
        <w:rPr>
          <w:rFonts w:hint="eastAsia"/>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41E41567">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rPr>
          <w:bCs/>
          <w:color w:val="auto"/>
          <w:szCs w:val="21"/>
          <w:highlight w:val="none"/>
          <w:u w:val="single"/>
        </w:rPr>
      </w:pPr>
      <w:r>
        <w:rPr>
          <w:color w:val="auto"/>
          <w:szCs w:val="21"/>
          <w:highlight w:val="none"/>
        </w:rPr>
        <w:t>开户银行：</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rPr>
        <w:t xml:space="preserve"> 开户银行：</w:t>
      </w:r>
      <w:r>
        <w:rPr>
          <w:bCs/>
          <w:color w:val="auto"/>
          <w:szCs w:val="21"/>
          <w:highlight w:val="none"/>
          <w:u w:val="single"/>
        </w:rPr>
        <w:t xml:space="preserve">          </w:t>
      </w:r>
      <w:r>
        <w:rPr>
          <w:rFonts w:hint="eastAsia"/>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23B3A795">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rPr>
          <w:color w:val="auto"/>
          <w:szCs w:val="21"/>
          <w:highlight w:val="none"/>
          <w:u w:val="single"/>
        </w:rPr>
      </w:pPr>
      <w:r>
        <w:rPr>
          <w:color w:val="auto"/>
          <w:szCs w:val="21"/>
          <w:highlight w:val="none"/>
        </w:rPr>
        <w:t>账  号：</w:t>
      </w:r>
      <w:r>
        <w:rPr>
          <w:bCs/>
          <w:color w:val="auto"/>
          <w:szCs w:val="21"/>
          <w:highlight w:val="none"/>
          <w:u w:val="single"/>
        </w:rPr>
        <w:t xml:space="preserve">               </w:t>
      </w:r>
      <w:r>
        <w:rPr>
          <w:rFonts w:hint="eastAsia"/>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rPr>
        <w:t xml:space="preserve"> 账  号：</w:t>
      </w:r>
      <w:r>
        <w:rPr>
          <w:bCs/>
          <w:color w:val="auto"/>
          <w:szCs w:val="21"/>
          <w:highlight w:val="none"/>
          <w:u w:val="single"/>
        </w:rPr>
        <w:t xml:space="preserve">           </w:t>
      </w:r>
      <w:r>
        <w:rPr>
          <w:rFonts w:hint="eastAsia"/>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p>
    <w:p w14:paraId="59BCF8C2">
      <w:pPr>
        <w:spacing w:line="360" w:lineRule="exact"/>
        <w:ind w:firstLine="420" w:firstLineChars="200"/>
        <w:rPr>
          <w:color w:val="auto"/>
          <w:szCs w:val="21"/>
          <w:highlight w:val="none"/>
        </w:rPr>
      </w:pPr>
      <w:bookmarkStart w:id="29" w:name="_Toc148964066"/>
    </w:p>
    <w:p w14:paraId="5CB59CBA">
      <w:pPr>
        <w:ind w:firstLine="640" w:firstLineChars="200"/>
        <w:rPr>
          <w:rFonts w:cs="Times New Roman"/>
          <w:color w:val="auto"/>
          <w:sz w:val="32"/>
          <w:szCs w:val="32"/>
          <w:highlight w:val="none"/>
        </w:rPr>
      </w:pPr>
      <w:r>
        <w:rPr>
          <w:rFonts w:cs="Times New Roman"/>
          <w:color w:val="auto"/>
          <w:sz w:val="32"/>
          <w:szCs w:val="32"/>
          <w:highlight w:val="none"/>
        </w:rPr>
        <w:br w:type="page"/>
      </w:r>
    </w:p>
    <w:p w14:paraId="6417A2E1">
      <w:pPr>
        <w:pStyle w:val="29"/>
        <w:jc w:val="center"/>
        <w:rPr>
          <w:color w:val="auto"/>
          <w:highlight w:val="none"/>
        </w:rPr>
      </w:pPr>
      <w:r>
        <w:rPr>
          <w:rFonts w:cs="Times New Roman"/>
          <w:color w:val="auto"/>
          <w:sz w:val="32"/>
          <w:szCs w:val="32"/>
          <w:highlight w:val="none"/>
        </w:rPr>
        <w:t>第二部分   通用合同条款（略）</w:t>
      </w:r>
      <w:bookmarkEnd w:id="29"/>
    </w:p>
    <w:p w14:paraId="479AF755">
      <w:pPr>
        <w:pStyle w:val="30"/>
        <w:ind w:firstLine="420"/>
        <w:rPr>
          <w:rFonts w:cs="Times New Roman"/>
          <w:color w:val="auto"/>
          <w:sz w:val="32"/>
          <w:szCs w:val="32"/>
          <w:highlight w:val="none"/>
        </w:rPr>
      </w:pPr>
      <w:r>
        <w:rPr>
          <w:color w:val="auto"/>
          <w:highlight w:val="none"/>
        </w:rPr>
        <w:t>合同通用条款采用《建设工程施工合同（示范文本）》的通用条款（GF—201</w:t>
      </w:r>
      <w:r>
        <w:rPr>
          <w:rFonts w:hint="eastAsia"/>
          <w:color w:val="auto"/>
          <w:highlight w:val="none"/>
        </w:rPr>
        <w:t>7</w:t>
      </w:r>
      <w:r>
        <w:rPr>
          <w:color w:val="auto"/>
          <w:highlight w:val="none"/>
        </w:rPr>
        <w:t>—</w:t>
      </w:r>
      <w:r>
        <w:rPr>
          <w:rFonts w:hint="eastAsia"/>
          <w:color w:val="auto"/>
          <w:highlight w:val="none"/>
        </w:rPr>
        <w:t>0201</w:t>
      </w:r>
      <w:r>
        <w:rPr>
          <w:color w:val="auto"/>
          <w:highlight w:val="none"/>
        </w:rPr>
        <w:t>）</w:t>
      </w:r>
    </w:p>
    <w:p w14:paraId="6DD9A4DF">
      <w:pPr>
        <w:pStyle w:val="29"/>
        <w:jc w:val="center"/>
        <w:rPr>
          <w:rFonts w:cs="Times New Roman"/>
          <w:color w:val="auto"/>
          <w:sz w:val="32"/>
          <w:szCs w:val="32"/>
          <w:highlight w:val="none"/>
        </w:rPr>
      </w:pPr>
      <w:bookmarkStart w:id="30" w:name="_Toc148964067"/>
      <w:bookmarkStart w:id="31" w:name="_Toc267919286"/>
      <w:bookmarkStart w:id="32" w:name="_Toc278377207"/>
      <w:bookmarkStart w:id="33" w:name="_Toc394573947"/>
      <w:r>
        <w:rPr>
          <w:rFonts w:cs="Times New Roman"/>
          <w:color w:val="auto"/>
          <w:sz w:val="32"/>
          <w:szCs w:val="32"/>
          <w:highlight w:val="none"/>
        </w:rPr>
        <w:t>第三部分　　专用合同条款</w:t>
      </w:r>
      <w:bookmarkEnd w:id="30"/>
      <w:bookmarkEnd w:id="31"/>
      <w:bookmarkEnd w:id="32"/>
      <w:bookmarkEnd w:id="33"/>
    </w:p>
    <w:p w14:paraId="129DCBC2">
      <w:pPr>
        <w:spacing w:line="400" w:lineRule="exact"/>
        <w:ind w:firstLine="422" w:firstLineChars="200"/>
        <w:rPr>
          <w:b/>
          <w:color w:val="auto"/>
          <w:szCs w:val="21"/>
          <w:highlight w:val="none"/>
        </w:rPr>
      </w:pPr>
      <w:bookmarkStart w:id="34" w:name="_Toc351203633"/>
      <w:r>
        <w:rPr>
          <w:b/>
          <w:color w:val="auto"/>
          <w:szCs w:val="21"/>
          <w:highlight w:val="none"/>
        </w:rPr>
        <w:t>1. 一般约定</w:t>
      </w:r>
      <w:bookmarkEnd w:id="34"/>
    </w:p>
    <w:p w14:paraId="54E2B16D">
      <w:pPr>
        <w:spacing w:line="400" w:lineRule="exact"/>
        <w:ind w:firstLine="420" w:firstLineChars="200"/>
        <w:rPr>
          <w:color w:val="auto"/>
          <w:szCs w:val="21"/>
          <w:highlight w:val="none"/>
        </w:rPr>
      </w:pPr>
      <w:r>
        <w:rPr>
          <w:color w:val="auto"/>
          <w:szCs w:val="21"/>
          <w:highlight w:val="none"/>
        </w:rPr>
        <w:t>1.1 词语定义</w:t>
      </w:r>
    </w:p>
    <w:p w14:paraId="7D1BCA9C">
      <w:pPr>
        <w:spacing w:line="400" w:lineRule="exact"/>
        <w:ind w:firstLine="420" w:firstLineChars="200"/>
        <w:rPr>
          <w:color w:val="auto"/>
          <w:kern w:val="0"/>
          <w:szCs w:val="21"/>
          <w:highlight w:val="none"/>
        </w:rPr>
      </w:pPr>
      <w:r>
        <w:rPr>
          <w:color w:val="auto"/>
          <w:kern w:val="0"/>
          <w:szCs w:val="21"/>
          <w:highlight w:val="none"/>
        </w:rPr>
        <w:t>1.1.1合同</w:t>
      </w:r>
    </w:p>
    <w:p w14:paraId="37DEA219">
      <w:pPr>
        <w:spacing w:line="400" w:lineRule="exact"/>
        <w:ind w:firstLine="420" w:firstLineChars="200"/>
        <w:rPr>
          <w:rFonts w:hint="eastAsia"/>
          <w:color w:val="auto"/>
          <w:kern w:val="0"/>
          <w:szCs w:val="21"/>
          <w:highlight w:val="none"/>
          <w:u w:val="single"/>
        </w:rPr>
      </w:pPr>
      <w:r>
        <w:rPr>
          <w:color w:val="auto"/>
          <w:kern w:val="0"/>
          <w:szCs w:val="21"/>
          <w:highlight w:val="none"/>
        </w:rPr>
        <w:t>1.1.1.10其他合同文件包括：</w:t>
      </w:r>
      <w:r>
        <w:rPr>
          <w:rFonts w:hint="eastAsia"/>
          <w:color w:val="auto"/>
          <w:kern w:val="0"/>
          <w:szCs w:val="21"/>
          <w:highlight w:val="none"/>
          <w:u w:val="single"/>
        </w:rPr>
        <w:t>工程招标文件、《关于印发三门县政府投资项目变更管理办法（试行）的通知》三政办规〔2023〕4号、《关于进一步规范报送工程变更资料的通知》（三发改【2021】42号除投标函及其附录和已标价工程量清单或预算审核书外的其它投标文件</w:t>
      </w:r>
      <w:r>
        <w:rPr>
          <w:rFonts w:hint="eastAsia"/>
          <w:color w:val="auto"/>
          <w:kern w:val="0"/>
          <w:szCs w:val="21"/>
          <w:highlight w:val="none"/>
          <w:u w:val="single"/>
          <w:lang w:eastAsia="zh-CN"/>
        </w:rPr>
        <w:t>、</w:t>
      </w:r>
      <w:r>
        <w:rPr>
          <w:rFonts w:hint="eastAsia"/>
          <w:color w:val="auto"/>
          <w:kern w:val="0"/>
          <w:szCs w:val="21"/>
          <w:highlight w:val="none"/>
          <w:u w:val="single"/>
        </w:rPr>
        <w:t>经批准的施工组织设计、专项施工方案</w:t>
      </w:r>
      <w:r>
        <w:rPr>
          <w:rFonts w:hint="eastAsia"/>
          <w:color w:val="auto"/>
          <w:kern w:val="0"/>
          <w:szCs w:val="21"/>
          <w:highlight w:val="none"/>
          <w:u w:val="single"/>
          <w:lang w:eastAsia="zh-CN"/>
        </w:rPr>
        <w:t>，</w:t>
      </w:r>
      <w:r>
        <w:rPr>
          <w:rFonts w:hint="eastAsia"/>
          <w:color w:val="auto"/>
          <w:kern w:val="0"/>
          <w:szCs w:val="21"/>
          <w:highlight w:val="none"/>
          <w:u w:val="single"/>
        </w:rPr>
        <w:t>上述管理办法如有变动时，按从新原则执行。</w:t>
      </w:r>
    </w:p>
    <w:p w14:paraId="175F639F">
      <w:pPr>
        <w:spacing w:line="400" w:lineRule="exact"/>
        <w:ind w:firstLine="420" w:firstLineChars="200"/>
        <w:rPr>
          <w:color w:val="auto"/>
          <w:szCs w:val="21"/>
          <w:highlight w:val="none"/>
        </w:rPr>
      </w:pPr>
      <w:r>
        <w:rPr>
          <w:color w:val="auto"/>
          <w:szCs w:val="21"/>
          <w:highlight w:val="none"/>
        </w:rPr>
        <w:t>1.1.2 合同当事人及其他相关方</w:t>
      </w:r>
    </w:p>
    <w:p w14:paraId="1165B975">
      <w:pPr>
        <w:spacing w:line="400" w:lineRule="exact"/>
        <w:ind w:firstLine="420" w:firstLineChars="200"/>
        <w:rPr>
          <w:color w:val="auto"/>
          <w:szCs w:val="21"/>
          <w:highlight w:val="none"/>
        </w:rPr>
      </w:pPr>
      <w:r>
        <w:rPr>
          <w:color w:val="auto"/>
          <w:szCs w:val="21"/>
          <w:highlight w:val="none"/>
        </w:rPr>
        <w:t>1.1.2.4监理人：</w:t>
      </w:r>
    </w:p>
    <w:p w14:paraId="19ECF130">
      <w:pPr>
        <w:spacing w:line="400" w:lineRule="exact"/>
        <w:ind w:firstLine="420" w:firstLineChars="200"/>
        <w:rPr>
          <w:color w:val="auto"/>
          <w:szCs w:val="21"/>
          <w:highlight w:val="none"/>
        </w:rPr>
      </w:pPr>
      <w:r>
        <w:rPr>
          <w:color w:val="auto"/>
          <w:szCs w:val="21"/>
          <w:highlight w:val="none"/>
        </w:rPr>
        <w:t>名    称：</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7FDD61E5">
      <w:pPr>
        <w:spacing w:line="400" w:lineRule="exact"/>
        <w:ind w:firstLine="420" w:firstLineChars="200"/>
        <w:rPr>
          <w:color w:val="auto"/>
          <w:szCs w:val="21"/>
          <w:highlight w:val="none"/>
        </w:rPr>
      </w:pPr>
      <w:r>
        <w:rPr>
          <w:color w:val="auto"/>
          <w:szCs w:val="21"/>
          <w:highlight w:val="none"/>
        </w:rPr>
        <w:t>资质类别和等级：</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08CBF940">
      <w:pPr>
        <w:spacing w:line="400" w:lineRule="exact"/>
        <w:ind w:firstLine="420" w:firstLineChars="200"/>
        <w:rPr>
          <w:color w:val="auto"/>
          <w:szCs w:val="21"/>
          <w:highlight w:val="none"/>
        </w:rPr>
      </w:pPr>
      <w:r>
        <w:rPr>
          <w:color w:val="auto"/>
          <w:szCs w:val="21"/>
          <w:highlight w:val="none"/>
        </w:rPr>
        <w:t>联系电话：</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24597BDA">
      <w:pPr>
        <w:spacing w:line="400" w:lineRule="exact"/>
        <w:ind w:firstLine="420" w:firstLineChars="200"/>
        <w:rPr>
          <w:color w:val="auto"/>
          <w:szCs w:val="21"/>
          <w:highlight w:val="none"/>
        </w:rPr>
      </w:pPr>
      <w:r>
        <w:rPr>
          <w:color w:val="auto"/>
          <w:szCs w:val="21"/>
          <w:highlight w:val="none"/>
        </w:rPr>
        <w:t>电子信箱：</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26AEAF5F">
      <w:pPr>
        <w:spacing w:line="400" w:lineRule="exact"/>
        <w:ind w:firstLine="420" w:firstLineChars="200"/>
        <w:rPr>
          <w:color w:val="auto"/>
          <w:szCs w:val="21"/>
          <w:highlight w:val="none"/>
        </w:rPr>
      </w:pPr>
      <w:r>
        <w:rPr>
          <w:color w:val="auto"/>
          <w:szCs w:val="21"/>
          <w:highlight w:val="none"/>
        </w:rPr>
        <w:t>通信地址：</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4EC80923">
      <w:pPr>
        <w:spacing w:line="400" w:lineRule="exact"/>
        <w:ind w:firstLine="420" w:firstLineChars="200"/>
        <w:rPr>
          <w:color w:val="auto"/>
          <w:szCs w:val="21"/>
          <w:highlight w:val="none"/>
        </w:rPr>
      </w:pPr>
      <w:r>
        <w:rPr>
          <w:color w:val="auto"/>
          <w:szCs w:val="21"/>
          <w:highlight w:val="none"/>
        </w:rPr>
        <w:t>1.1.2.5 设计人：</w:t>
      </w:r>
    </w:p>
    <w:p w14:paraId="618894D3">
      <w:pPr>
        <w:spacing w:line="400" w:lineRule="exact"/>
        <w:ind w:firstLine="420" w:firstLineChars="200"/>
        <w:rPr>
          <w:color w:val="auto"/>
          <w:szCs w:val="21"/>
          <w:highlight w:val="none"/>
        </w:rPr>
      </w:pPr>
      <w:r>
        <w:rPr>
          <w:color w:val="auto"/>
          <w:szCs w:val="21"/>
          <w:highlight w:val="none"/>
        </w:rPr>
        <w:t>名    称：</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43F50138">
      <w:pPr>
        <w:spacing w:line="400" w:lineRule="exact"/>
        <w:ind w:firstLine="420" w:firstLineChars="200"/>
        <w:rPr>
          <w:color w:val="auto"/>
          <w:szCs w:val="21"/>
          <w:highlight w:val="none"/>
        </w:rPr>
      </w:pPr>
      <w:r>
        <w:rPr>
          <w:color w:val="auto"/>
          <w:szCs w:val="21"/>
          <w:highlight w:val="none"/>
        </w:rPr>
        <w:t>资质类别和等级：</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rPr>
        <w:t>；</w:t>
      </w:r>
    </w:p>
    <w:p w14:paraId="0E8B8533">
      <w:pPr>
        <w:spacing w:line="400" w:lineRule="exact"/>
        <w:ind w:firstLine="420" w:firstLineChars="200"/>
        <w:rPr>
          <w:color w:val="auto"/>
          <w:szCs w:val="21"/>
          <w:highlight w:val="none"/>
        </w:rPr>
      </w:pPr>
      <w:r>
        <w:rPr>
          <w:color w:val="auto"/>
          <w:szCs w:val="21"/>
          <w:highlight w:val="none"/>
        </w:rPr>
        <w:t>联系电话：</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501500E9">
      <w:pPr>
        <w:spacing w:line="400" w:lineRule="exact"/>
        <w:ind w:firstLine="420" w:firstLineChars="200"/>
        <w:rPr>
          <w:color w:val="auto"/>
          <w:szCs w:val="21"/>
          <w:highlight w:val="none"/>
        </w:rPr>
      </w:pPr>
      <w:r>
        <w:rPr>
          <w:color w:val="auto"/>
          <w:szCs w:val="21"/>
          <w:highlight w:val="none"/>
        </w:rPr>
        <w:t>电子信箱：</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5DA601AC">
      <w:pPr>
        <w:spacing w:line="400" w:lineRule="exact"/>
        <w:ind w:firstLine="420" w:firstLineChars="200"/>
        <w:rPr>
          <w:color w:val="auto"/>
          <w:szCs w:val="21"/>
          <w:highlight w:val="none"/>
        </w:rPr>
      </w:pPr>
      <w:r>
        <w:rPr>
          <w:color w:val="auto"/>
          <w:szCs w:val="21"/>
          <w:highlight w:val="none"/>
        </w:rPr>
        <w:t>通信地址：</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683B4A7B">
      <w:pPr>
        <w:spacing w:line="400" w:lineRule="exact"/>
        <w:ind w:firstLine="420" w:firstLineChars="200"/>
        <w:rPr>
          <w:color w:val="auto"/>
          <w:szCs w:val="21"/>
          <w:highlight w:val="none"/>
        </w:rPr>
      </w:pPr>
      <w:r>
        <w:rPr>
          <w:color w:val="auto"/>
          <w:szCs w:val="21"/>
          <w:highlight w:val="none"/>
        </w:rPr>
        <w:t>1.1.3 工程和设备</w:t>
      </w:r>
    </w:p>
    <w:p w14:paraId="740A8EBD">
      <w:pPr>
        <w:spacing w:line="400" w:lineRule="exact"/>
        <w:ind w:firstLine="420" w:firstLineChars="200"/>
        <w:rPr>
          <w:color w:val="auto"/>
          <w:szCs w:val="21"/>
          <w:highlight w:val="none"/>
        </w:rPr>
      </w:pPr>
      <w:r>
        <w:rPr>
          <w:color w:val="auto"/>
          <w:szCs w:val="21"/>
          <w:highlight w:val="none"/>
        </w:rPr>
        <w:t>1.1.3.7 作为施工现场组成部分的其他场所包括：</w:t>
      </w:r>
      <w:r>
        <w:rPr>
          <w:rFonts w:hint="eastAsia"/>
          <w:color w:val="auto"/>
          <w:kern w:val="0"/>
          <w:szCs w:val="21"/>
          <w:highlight w:val="none"/>
          <w:u w:val="single"/>
        </w:rPr>
        <w:t>发包人提供部分临时占地的场地</w:t>
      </w:r>
      <w:r>
        <w:rPr>
          <w:color w:val="auto"/>
          <w:kern w:val="0"/>
          <w:szCs w:val="21"/>
          <w:highlight w:val="none"/>
          <w:u w:val="single"/>
        </w:rPr>
        <w:t>。</w:t>
      </w:r>
    </w:p>
    <w:p w14:paraId="39275E34">
      <w:pPr>
        <w:spacing w:line="400" w:lineRule="exact"/>
        <w:ind w:firstLine="420" w:firstLineChars="200"/>
        <w:rPr>
          <w:color w:val="auto"/>
          <w:kern w:val="0"/>
          <w:szCs w:val="21"/>
          <w:highlight w:val="none"/>
        </w:rPr>
      </w:pPr>
      <w:r>
        <w:rPr>
          <w:color w:val="auto"/>
          <w:kern w:val="0"/>
          <w:szCs w:val="21"/>
          <w:highlight w:val="none"/>
        </w:rPr>
        <w:t>1.1.3.9 永久占地包括：</w:t>
      </w:r>
      <w:r>
        <w:rPr>
          <w:rFonts w:hint="eastAsia"/>
          <w:color w:val="auto"/>
          <w:kern w:val="0"/>
          <w:szCs w:val="21"/>
          <w:highlight w:val="none"/>
          <w:u w:val="single"/>
        </w:rPr>
        <w:t>建设工程规划用地红线范围内的占地</w:t>
      </w:r>
      <w:r>
        <w:rPr>
          <w:color w:val="auto"/>
          <w:kern w:val="0"/>
          <w:szCs w:val="21"/>
          <w:highlight w:val="none"/>
          <w:u w:val="single"/>
        </w:rPr>
        <w:t>。</w:t>
      </w:r>
    </w:p>
    <w:p w14:paraId="519873FF">
      <w:pPr>
        <w:spacing w:line="400" w:lineRule="exact"/>
        <w:ind w:firstLine="420" w:firstLineChars="200"/>
        <w:rPr>
          <w:rFonts w:hint="eastAsia"/>
          <w:color w:val="auto"/>
          <w:kern w:val="0"/>
          <w:szCs w:val="21"/>
          <w:highlight w:val="none"/>
          <w:u w:val="single"/>
        </w:rPr>
      </w:pPr>
      <w:r>
        <w:rPr>
          <w:color w:val="auto"/>
          <w:kern w:val="0"/>
          <w:szCs w:val="21"/>
          <w:highlight w:val="none"/>
        </w:rPr>
        <w:t>1.1.3.10 临时占地包括：</w:t>
      </w:r>
      <w:r>
        <w:rPr>
          <w:rFonts w:hint="eastAsia"/>
          <w:color w:val="auto"/>
          <w:kern w:val="0"/>
          <w:szCs w:val="21"/>
          <w:highlight w:val="none"/>
          <w:u w:val="single"/>
        </w:rPr>
        <w:t>承包人应自行勘察现场，结合场地现状、合同要求、项目风险、工程设计文件、安全文明施工要求等，考虑临时占地的需求。承包人在本项目</w:t>
      </w:r>
      <w:r>
        <w:rPr>
          <w:rFonts w:hint="eastAsia"/>
          <w:color w:val="auto"/>
          <w:kern w:val="0"/>
          <w:szCs w:val="21"/>
          <w:highlight w:val="none"/>
          <w:u w:val="single"/>
          <w:lang w:val="en-US" w:eastAsia="zh-CN"/>
        </w:rPr>
        <w:t>施工</w:t>
      </w:r>
      <w:r>
        <w:rPr>
          <w:rFonts w:hint="eastAsia"/>
          <w:color w:val="auto"/>
          <w:kern w:val="0"/>
          <w:szCs w:val="21"/>
          <w:highlight w:val="none"/>
          <w:u w:val="single"/>
        </w:rPr>
        <w:t>红线范围内自行考虑临时场地，根据施工现场情况自行合理安排，费用由承包人承担。如因工程需要临时占用红线外场地及市政道路，由承包人自行协调并负责办理审批手续同时承担相应费用。施工期间借用道路的维护、管理及相应费用由承包人承担。</w:t>
      </w:r>
    </w:p>
    <w:p w14:paraId="4992CA18">
      <w:pPr>
        <w:spacing w:line="400" w:lineRule="exact"/>
        <w:ind w:firstLine="422" w:firstLineChars="200"/>
        <w:rPr>
          <w:color w:val="auto"/>
          <w:szCs w:val="21"/>
          <w:highlight w:val="none"/>
        </w:rPr>
      </w:pPr>
      <w:r>
        <w:rPr>
          <w:b/>
          <w:color w:val="auto"/>
          <w:szCs w:val="21"/>
          <w:highlight w:val="none"/>
        </w:rPr>
        <w:t>1.3法律</w:t>
      </w:r>
      <w:r>
        <w:rPr>
          <w:color w:val="auto"/>
          <w:szCs w:val="21"/>
          <w:highlight w:val="none"/>
        </w:rPr>
        <w:t xml:space="preserve"> </w:t>
      </w:r>
    </w:p>
    <w:p w14:paraId="53CDC915">
      <w:pPr>
        <w:spacing w:line="400" w:lineRule="exact"/>
        <w:rPr>
          <w:rFonts w:hint="eastAsia"/>
          <w:color w:val="auto"/>
          <w:szCs w:val="21"/>
          <w:highlight w:val="none"/>
          <w:u w:val="single"/>
        </w:rPr>
      </w:pPr>
      <w:r>
        <w:rPr>
          <w:color w:val="auto"/>
          <w:szCs w:val="21"/>
          <w:highlight w:val="none"/>
        </w:rPr>
        <w:t>适用于合同的其他规范性文件</w:t>
      </w:r>
      <w:r>
        <w:rPr>
          <w:color w:val="auto"/>
          <w:szCs w:val="21"/>
          <w:highlight w:val="none"/>
        </w:rPr>
        <w:t>：</w:t>
      </w:r>
      <w:r>
        <w:rPr>
          <w:rFonts w:hint="eastAsia"/>
          <w:color w:val="auto"/>
          <w:szCs w:val="21"/>
          <w:highlight w:val="none"/>
          <w:u w:val="single"/>
        </w:rPr>
        <w:t>《建设工程工程量清单计价规范》（GB50500-2013）、《房屋建筑与装饰工程工程量计算规范》（GB50854-2013）、《通用安装工程工程量计算规范》（GB50856-2013）、《市政工程工程量计算规范》（GB50857-2013）、《园林绿化工程工程量计算规范》（GB50858-2013）、《浙江省建设工程计价规则》（2018版）、《浙江省房屋建筑与装饰工程预算定额》（2018版）、《浙江省通用安装工程预算定额》（2018版）、《浙江省市政工程预算定额》（2018版）、《浙江省园林绿化及仿古建筑工程预算定额》(2018版)、《浙江省建设工程施工机械台班费用定额》(2018版)、《浙江省建筑安装材料基期价格》以及相关补充规定与综合解释等；</w:t>
      </w:r>
    </w:p>
    <w:p w14:paraId="1A50029A">
      <w:pPr>
        <w:spacing w:line="400" w:lineRule="exact"/>
        <w:ind w:firstLine="422" w:firstLineChars="200"/>
        <w:rPr>
          <w:b/>
          <w:color w:val="auto"/>
          <w:szCs w:val="21"/>
          <w:highlight w:val="none"/>
        </w:rPr>
      </w:pPr>
      <w:r>
        <w:rPr>
          <w:b/>
          <w:color w:val="auto"/>
          <w:szCs w:val="21"/>
          <w:highlight w:val="none"/>
        </w:rPr>
        <w:t>1.4 标准和规范</w:t>
      </w:r>
    </w:p>
    <w:p w14:paraId="7311CBCC">
      <w:pPr>
        <w:spacing w:line="400" w:lineRule="exact"/>
        <w:rPr>
          <w:color w:val="auto"/>
          <w:szCs w:val="21"/>
          <w:highlight w:val="none"/>
        </w:rPr>
      </w:pPr>
      <w:r>
        <w:rPr>
          <w:color w:val="auto"/>
          <w:szCs w:val="21"/>
          <w:highlight w:val="none"/>
        </w:rPr>
        <w:t>1.4.1适用于工程的标准规范包括：</w:t>
      </w:r>
      <w:r>
        <w:rPr>
          <w:color w:val="auto"/>
          <w:szCs w:val="21"/>
          <w:highlight w:val="none"/>
          <w:u w:val="single"/>
        </w:rPr>
        <w:t>按现行的国家、省、市施工验收规范、质量评定标准及有关规定。合同工期内的标准、规范，招标文件中的技术要求等</w:t>
      </w:r>
      <w:r>
        <w:rPr>
          <w:color w:val="auto"/>
          <w:szCs w:val="21"/>
          <w:highlight w:val="none"/>
        </w:rPr>
        <w:t>。</w:t>
      </w:r>
    </w:p>
    <w:p w14:paraId="438DA997">
      <w:pPr>
        <w:spacing w:line="400" w:lineRule="exact"/>
        <w:rPr>
          <w:color w:val="auto"/>
          <w:szCs w:val="21"/>
          <w:highlight w:val="none"/>
          <w:u w:val="single"/>
        </w:rPr>
      </w:pPr>
      <w:r>
        <w:rPr>
          <w:color w:val="auto"/>
          <w:szCs w:val="21"/>
          <w:highlight w:val="none"/>
        </w:rPr>
        <w:t>1.4.2 发包人提供国外标准、规范的名称：</w:t>
      </w:r>
      <w:r>
        <w:rPr>
          <w:color w:val="auto"/>
          <w:szCs w:val="21"/>
          <w:highlight w:val="none"/>
          <w:u w:val="single"/>
        </w:rPr>
        <w:t xml:space="preserve">       </w:t>
      </w:r>
      <w:r>
        <w:rPr>
          <w:rFonts w:hint="eastAsia"/>
          <w:color w:val="auto"/>
          <w:szCs w:val="21"/>
          <w:highlight w:val="none"/>
          <w:u w:val="single"/>
        </w:rPr>
        <w:t xml:space="preserve">      /                  </w:t>
      </w:r>
      <w:r>
        <w:rPr>
          <w:color w:val="auto"/>
          <w:szCs w:val="21"/>
          <w:highlight w:val="none"/>
          <w:u w:val="single"/>
        </w:rPr>
        <w:t xml:space="preserve">   </w:t>
      </w:r>
      <w:r>
        <w:rPr>
          <w:color w:val="auto"/>
          <w:szCs w:val="21"/>
          <w:highlight w:val="none"/>
        </w:rPr>
        <w:t>；</w:t>
      </w:r>
    </w:p>
    <w:p w14:paraId="06722DED">
      <w:pPr>
        <w:spacing w:line="400" w:lineRule="exact"/>
        <w:rPr>
          <w:color w:val="auto"/>
          <w:szCs w:val="21"/>
          <w:highlight w:val="none"/>
        </w:rPr>
      </w:pPr>
      <w:r>
        <w:rPr>
          <w:color w:val="auto"/>
          <w:szCs w:val="21"/>
          <w:highlight w:val="none"/>
        </w:rPr>
        <w:t>发包人提供国外标准、规范的份数：</w:t>
      </w:r>
      <w:r>
        <w:rPr>
          <w:color w:val="auto"/>
          <w:szCs w:val="21"/>
          <w:highlight w:val="none"/>
          <w:u w:val="single"/>
        </w:rPr>
        <w:t xml:space="preserve">          </w:t>
      </w:r>
      <w:r>
        <w:rPr>
          <w:rFonts w:hint="eastAsia"/>
          <w:color w:val="auto"/>
          <w:szCs w:val="21"/>
          <w:highlight w:val="none"/>
          <w:u w:val="single"/>
        </w:rPr>
        <w:t xml:space="preserve">         /                  </w:t>
      </w:r>
      <w:r>
        <w:rPr>
          <w:color w:val="auto"/>
          <w:szCs w:val="21"/>
          <w:highlight w:val="none"/>
          <w:u w:val="single"/>
        </w:rPr>
        <w:t xml:space="preserve">  </w:t>
      </w:r>
      <w:r>
        <w:rPr>
          <w:color w:val="auto"/>
          <w:szCs w:val="21"/>
          <w:highlight w:val="none"/>
        </w:rPr>
        <w:t>；</w:t>
      </w:r>
    </w:p>
    <w:p w14:paraId="1750B267">
      <w:pPr>
        <w:spacing w:line="400" w:lineRule="exact"/>
        <w:rPr>
          <w:color w:val="auto"/>
          <w:szCs w:val="21"/>
          <w:highlight w:val="none"/>
        </w:rPr>
      </w:pPr>
      <w:r>
        <w:rPr>
          <w:color w:val="auto"/>
          <w:szCs w:val="21"/>
          <w:highlight w:val="none"/>
        </w:rPr>
        <w:t>发包人提供国外标准、规范的名称：</w:t>
      </w:r>
      <w:r>
        <w:rPr>
          <w:color w:val="auto"/>
          <w:szCs w:val="21"/>
          <w:highlight w:val="none"/>
          <w:u w:val="single"/>
        </w:rPr>
        <w:t xml:space="preserve">            </w:t>
      </w:r>
      <w:r>
        <w:rPr>
          <w:rFonts w:hint="eastAsia"/>
          <w:color w:val="auto"/>
          <w:szCs w:val="21"/>
          <w:highlight w:val="none"/>
          <w:u w:val="single"/>
        </w:rPr>
        <w:t xml:space="preserve">       /                 </w:t>
      </w:r>
      <w:r>
        <w:rPr>
          <w:color w:val="auto"/>
          <w:szCs w:val="21"/>
          <w:highlight w:val="none"/>
          <w:u w:val="single"/>
        </w:rPr>
        <w:t xml:space="preserve">   </w:t>
      </w:r>
      <w:r>
        <w:rPr>
          <w:color w:val="auto"/>
          <w:szCs w:val="21"/>
          <w:highlight w:val="none"/>
        </w:rPr>
        <w:t>。</w:t>
      </w:r>
    </w:p>
    <w:p w14:paraId="3C89F403">
      <w:pPr>
        <w:spacing w:line="400" w:lineRule="exact"/>
        <w:rPr>
          <w:color w:val="auto"/>
          <w:szCs w:val="21"/>
          <w:highlight w:val="none"/>
          <w:u w:val="single"/>
        </w:rPr>
      </w:pPr>
      <w:r>
        <w:rPr>
          <w:color w:val="auto"/>
          <w:szCs w:val="21"/>
          <w:highlight w:val="none"/>
        </w:rPr>
        <w:t>1.4.3发包人对工程的技术标准和功能要求的特殊要求：</w:t>
      </w:r>
      <w:r>
        <w:rPr>
          <w:rFonts w:hint="eastAsia"/>
          <w:color w:val="auto"/>
          <w:szCs w:val="21"/>
          <w:highlight w:val="none"/>
          <w:u w:val="single"/>
        </w:rPr>
        <w:t>没有国家标准、规范时，有行业标准、规范的，使用行业标准、规范；没有国家和行业标准、规范的，使用地方的标准、规范。没有国家、行业和地方标准、规范的，且不使用国外标准、规范时，按发包人、承包人和设计单位商定的方案施工。</w:t>
      </w:r>
    </w:p>
    <w:p w14:paraId="44AA43E6">
      <w:pPr>
        <w:spacing w:line="400" w:lineRule="exact"/>
        <w:ind w:firstLine="422" w:firstLineChars="200"/>
        <w:rPr>
          <w:b/>
          <w:color w:val="auto"/>
          <w:szCs w:val="21"/>
          <w:highlight w:val="none"/>
        </w:rPr>
      </w:pPr>
      <w:r>
        <w:rPr>
          <w:b/>
          <w:color w:val="auto"/>
          <w:szCs w:val="21"/>
          <w:highlight w:val="none"/>
        </w:rPr>
        <w:t>1.5 合同文件的优先顺序</w:t>
      </w:r>
    </w:p>
    <w:p w14:paraId="5952BA76">
      <w:pPr>
        <w:spacing w:line="400" w:lineRule="exact"/>
        <w:ind w:firstLine="420" w:firstLineChars="200"/>
        <w:rPr>
          <w:rFonts w:hint="eastAsia"/>
          <w:color w:val="auto"/>
          <w:szCs w:val="21"/>
          <w:highlight w:val="none"/>
        </w:rPr>
      </w:pPr>
      <w:r>
        <w:rPr>
          <w:color w:val="auto"/>
          <w:szCs w:val="21"/>
          <w:highlight w:val="none"/>
        </w:rPr>
        <w:t>合同文件组成及优先顺序为：</w:t>
      </w:r>
    </w:p>
    <w:p w14:paraId="15AEDE94">
      <w:pPr>
        <w:spacing w:line="400" w:lineRule="exact"/>
        <w:rPr>
          <w:rFonts w:hint="eastAsia"/>
          <w:color w:val="auto"/>
          <w:szCs w:val="21"/>
          <w:highlight w:val="none"/>
        </w:rPr>
      </w:pPr>
      <w:r>
        <w:rPr>
          <w:rFonts w:hint="eastAsia"/>
          <w:color w:val="auto"/>
          <w:szCs w:val="21"/>
          <w:highlight w:val="none"/>
        </w:rPr>
        <w:t>（1）合同协议书；</w:t>
      </w:r>
    </w:p>
    <w:p w14:paraId="69B96CE8">
      <w:pPr>
        <w:spacing w:line="400" w:lineRule="exact"/>
        <w:rPr>
          <w:rFonts w:hint="eastAsia"/>
          <w:color w:val="auto"/>
          <w:szCs w:val="21"/>
          <w:highlight w:val="none"/>
        </w:rPr>
      </w:pPr>
      <w:r>
        <w:rPr>
          <w:rFonts w:hint="eastAsia"/>
          <w:color w:val="auto"/>
          <w:szCs w:val="21"/>
          <w:highlight w:val="none"/>
        </w:rPr>
        <w:t>（2）中标通知书（或项目发承包基本情况表）；</w:t>
      </w:r>
    </w:p>
    <w:p w14:paraId="0BA1B852">
      <w:pPr>
        <w:spacing w:line="400" w:lineRule="exact"/>
        <w:rPr>
          <w:rFonts w:hint="eastAsia"/>
          <w:color w:val="auto"/>
          <w:szCs w:val="21"/>
          <w:highlight w:val="none"/>
        </w:rPr>
      </w:pPr>
      <w:r>
        <w:rPr>
          <w:rFonts w:hint="eastAsia"/>
          <w:color w:val="auto"/>
          <w:szCs w:val="21"/>
          <w:highlight w:val="none"/>
        </w:rPr>
        <w:t>（3）投标函及其附录（如果有）；</w:t>
      </w:r>
    </w:p>
    <w:p w14:paraId="3F1D9FCE">
      <w:pPr>
        <w:spacing w:line="400" w:lineRule="exact"/>
        <w:rPr>
          <w:rFonts w:hint="eastAsia"/>
          <w:color w:val="auto"/>
          <w:szCs w:val="21"/>
          <w:highlight w:val="none"/>
        </w:rPr>
      </w:pPr>
      <w:r>
        <w:rPr>
          <w:rFonts w:hint="eastAsia"/>
          <w:color w:val="auto"/>
          <w:szCs w:val="21"/>
          <w:highlight w:val="none"/>
        </w:rPr>
        <w:t>（4）专用合同条款及其附件；</w:t>
      </w:r>
    </w:p>
    <w:p w14:paraId="7D5D4B0B">
      <w:pPr>
        <w:spacing w:line="400" w:lineRule="exact"/>
        <w:rPr>
          <w:rFonts w:hint="eastAsia"/>
          <w:color w:val="auto"/>
          <w:szCs w:val="21"/>
          <w:highlight w:val="none"/>
        </w:rPr>
      </w:pPr>
      <w:r>
        <w:rPr>
          <w:rFonts w:hint="eastAsia"/>
          <w:color w:val="auto"/>
          <w:szCs w:val="21"/>
          <w:highlight w:val="none"/>
        </w:rPr>
        <w:t>（5）通用合同条款；</w:t>
      </w:r>
    </w:p>
    <w:p w14:paraId="04BDB0C8">
      <w:pPr>
        <w:spacing w:line="400" w:lineRule="exact"/>
        <w:rPr>
          <w:rFonts w:hint="eastAsia"/>
          <w:color w:val="auto"/>
          <w:szCs w:val="21"/>
          <w:highlight w:val="none"/>
        </w:rPr>
      </w:pPr>
      <w:r>
        <w:rPr>
          <w:rFonts w:hint="eastAsia"/>
          <w:color w:val="auto"/>
          <w:szCs w:val="21"/>
          <w:highlight w:val="none"/>
        </w:rPr>
        <w:t>（6）技术标准和要求；</w:t>
      </w:r>
    </w:p>
    <w:p w14:paraId="05DCA315">
      <w:pPr>
        <w:spacing w:line="400" w:lineRule="exact"/>
        <w:rPr>
          <w:rFonts w:hint="eastAsia"/>
          <w:color w:val="auto"/>
          <w:szCs w:val="21"/>
          <w:highlight w:val="none"/>
        </w:rPr>
      </w:pPr>
      <w:r>
        <w:rPr>
          <w:rFonts w:hint="eastAsia"/>
          <w:color w:val="auto"/>
          <w:szCs w:val="21"/>
          <w:highlight w:val="none"/>
        </w:rPr>
        <w:t>（7）图纸；</w:t>
      </w:r>
    </w:p>
    <w:p w14:paraId="7D6BFDD1">
      <w:pPr>
        <w:spacing w:line="400" w:lineRule="exact"/>
        <w:rPr>
          <w:rFonts w:hint="eastAsia"/>
          <w:color w:val="auto"/>
          <w:szCs w:val="21"/>
          <w:highlight w:val="none"/>
        </w:rPr>
      </w:pPr>
      <w:r>
        <w:rPr>
          <w:rFonts w:hint="eastAsia"/>
          <w:color w:val="auto"/>
          <w:szCs w:val="21"/>
          <w:highlight w:val="none"/>
        </w:rPr>
        <w:t>（8）已标价工程量清单或预算审核书；</w:t>
      </w:r>
    </w:p>
    <w:p w14:paraId="22F58A51">
      <w:pPr>
        <w:spacing w:line="400" w:lineRule="exact"/>
        <w:rPr>
          <w:rFonts w:hint="eastAsia"/>
          <w:color w:val="auto"/>
          <w:szCs w:val="21"/>
          <w:highlight w:val="none"/>
        </w:rPr>
      </w:pPr>
      <w:r>
        <w:rPr>
          <w:rFonts w:hint="eastAsia"/>
          <w:color w:val="auto"/>
          <w:szCs w:val="21"/>
          <w:highlight w:val="none"/>
        </w:rPr>
        <w:t>（9）其他合同文件：</w:t>
      </w:r>
    </w:p>
    <w:p w14:paraId="473A69A2">
      <w:pPr>
        <w:spacing w:line="400" w:lineRule="exact"/>
        <w:rPr>
          <w:rFonts w:hint="eastAsia"/>
          <w:color w:val="auto"/>
          <w:szCs w:val="21"/>
          <w:highlight w:val="none"/>
        </w:rPr>
      </w:pPr>
      <w:r>
        <w:rPr>
          <w:rFonts w:hint="eastAsia"/>
          <w:color w:val="auto"/>
          <w:szCs w:val="21"/>
          <w:highlight w:val="none"/>
        </w:rPr>
        <w:t xml:space="preserve"> </w:t>
      </w:r>
      <w:r>
        <w:rPr>
          <w:color w:val="auto"/>
          <w:szCs w:val="21"/>
          <w:highlight w:val="none"/>
        </w:rPr>
        <w:fldChar w:fldCharType="begin"/>
      </w:r>
      <w:r>
        <w:rPr>
          <w:color w:val="auto"/>
          <w:szCs w:val="21"/>
          <w:highlight w:val="none"/>
        </w:rPr>
        <w:instrText xml:space="preserve"> </w:instrText>
      </w:r>
      <w:r>
        <w:rPr>
          <w:rFonts w:hint="eastAsia"/>
          <w:color w:val="auto"/>
          <w:szCs w:val="21"/>
          <w:highlight w:val="none"/>
        </w:rPr>
        <w:instrText xml:space="preserve">= 1 \* GB3</w:instrText>
      </w:r>
      <w:r>
        <w:rPr>
          <w:color w:val="auto"/>
          <w:szCs w:val="21"/>
          <w:highlight w:val="none"/>
        </w:rPr>
        <w:instrText xml:space="preserve"> </w:instrText>
      </w:r>
      <w:r>
        <w:rPr>
          <w:color w:val="auto"/>
          <w:szCs w:val="21"/>
          <w:highlight w:val="none"/>
        </w:rPr>
        <w:fldChar w:fldCharType="separate"/>
      </w:r>
      <w:r>
        <w:rPr>
          <w:rFonts w:hint="eastAsia"/>
          <w:color w:val="auto"/>
          <w:szCs w:val="21"/>
          <w:highlight w:val="none"/>
        </w:rPr>
        <w:t>①</w:t>
      </w:r>
      <w:r>
        <w:rPr>
          <w:color w:val="auto"/>
          <w:szCs w:val="21"/>
          <w:highlight w:val="none"/>
        </w:rPr>
        <w:fldChar w:fldCharType="end"/>
      </w:r>
      <w:r>
        <w:rPr>
          <w:rFonts w:hint="eastAsia"/>
          <w:color w:val="auto"/>
          <w:szCs w:val="21"/>
          <w:highlight w:val="none"/>
        </w:rPr>
        <w:t>施工组织设计；</w:t>
      </w:r>
    </w:p>
    <w:p w14:paraId="3613DE6F">
      <w:pPr>
        <w:spacing w:line="400" w:lineRule="exact"/>
        <w:ind w:firstLine="105" w:firstLineChars="50"/>
        <w:rPr>
          <w:color w:val="auto"/>
          <w:szCs w:val="21"/>
          <w:highlight w:val="none"/>
        </w:rPr>
      </w:pPr>
      <w:r>
        <w:rPr>
          <w:rFonts w:hint="eastAsia"/>
          <w:color w:val="auto"/>
          <w:szCs w:val="21"/>
          <w:highlight w:val="none"/>
        </w:rPr>
        <w:t>②其他：招标文件及招标答疑。</w:t>
      </w:r>
    </w:p>
    <w:p w14:paraId="6A41C13E">
      <w:pPr>
        <w:spacing w:line="400" w:lineRule="exact"/>
        <w:ind w:firstLine="422" w:firstLineChars="200"/>
        <w:rPr>
          <w:b/>
          <w:color w:val="auto"/>
          <w:szCs w:val="21"/>
          <w:highlight w:val="none"/>
        </w:rPr>
      </w:pPr>
      <w:r>
        <w:rPr>
          <w:b/>
          <w:color w:val="auto"/>
          <w:szCs w:val="21"/>
          <w:highlight w:val="none"/>
        </w:rPr>
        <w:t>1.6 图纸和承包人文件</w:t>
      </w:r>
      <w:r>
        <w:rPr>
          <w:b/>
          <w:color w:val="auto"/>
          <w:szCs w:val="21"/>
          <w:highlight w:val="none"/>
        </w:rPr>
        <w:tab/>
      </w:r>
    </w:p>
    <w:p w14:paraId="7B43ECD7">
      <w:pPr>
        <w:spacing w:line="400" w:lineRule="exact"/>
        <w:ind w:firstLine="420" w:firstLineChars="200"/>
        <w:rPr>
          <w:color w:val="auto"/>
          <w:szCs w:val="21"/>
          <w:highlight w:val="none"/>
        </w:rPr>
      </w:pPr>
      <w:r>
        <w:rPr>
          <w:color w:val="auto"/>
          <w:szCs w:val="21"/>
          <w:highlight w:val="none"/>
        </w:rPr>
        <w:t>1.6.1 图纸的提供</w:t>
      </w:r>
    </w:p>
    <w:p w14:paraId="4CAE3819">
      <w:pPr>
        <w:spacing w:line="400" w:lineRule="exact"/>
        <w:ind w:firstLine="420" w:firstLineChars="200"/>
        <w:rPr>
          <w:color w:val="auto"/>
          <w:szCs w:val="21"/>
          <w:highlight w:val="none"/>
        </w:rPr>
      </w:pPr>
      <w:r>
        <w:rPr>
          <w:color w:val="auto"/>
          <w:szCs w:val="21"/>
          <w:highlight w:val="none"/>
        </w:rPr>
        <w:t>发包人向承包人提供图纸的期限：</w:t>
      </w:r>
      <w:r>
        <w:rPr>
          <w:color w:val="auto"/>
          <w:szCs w:val="21"/>
          <w:highlight w:val="none"/>
          <w:u w:val="single"/>
        </w:rPr>
        <w:t>开工日期14天前</w:t>
      </w:r>
      <w:r>
        <w:rPr>
          <w:color w:val="auto"/>
          <w:szCs w:val="21"/>
          <w:highlight w:val="none"/>
        </w:rPr>
        <w:t>；</w:t>
      </w:r>
    </w:p>
    <w:p w14:paraId="7E43A35A">
      <w:pPr>
        <w:spacing w:line="400" w:lineRule="exact"/>
        <w:ind w:firstLine="420" w:firstLineChars="200"/>
        <w:rPr>
          <w:color w:val="auto"/>
          <w:szCs w:val="21"/>
          <w:highlight w:val="none"/>
          <w:u w:val="single"/>
        </w:rPr>
      </w:pPr>
      <w:r>
        <w:rPr>
          <w:color w:val="auto"/>
          <w:szCs w:val="21"/>
          <w:highlight w:val="none"/>
        </w:rPr>
        <w:t>发包人向承包人提供图纸的数量：</w:t>
      </w:r>
      <w:r>
        <w:rPr>
          <w:rFonts w:hint="eastAsia"/>
          <w:color w:val="auto"/>
          <w:szCs w:val="21"/>
          <w:highlight w:val="none"/>
          <w:u w:val="single"/>
        </w:rPr>
        <w:t>纸质施工图〔</w:t>
      </w:r>
      <w:r>
        <w:rPr>
          <w:color w:val="auto"/>
          <w:szCs w:val="21"/>
          <w:highlight w:val="none"/>
          <w:u w:val="single"/>
        </w:rPr>
        <w:t>3</w:t>
      </w:r>
      <w:r>
        <w:rPr>
          <w:rFonts w:hint="eastAsia"/>
          <w:color w:val="auto"/>
          <w:szCs w:val="21"/>
          <w:highlight w:val="none"/>
          <w:u w:val="single"/>
        </w:rPr>
        <w:t>〕套并附目录清单及与其一致的电子版施工图。</w:t>
      </w:r>
    </w:p>
    <w:p w14:paraId="32E40443">
      <w:pPr>
        <w:spacing w:line="400" w:lineRule="exact"/>
        <w:ind w:firstLine="420" w:firstLineChars="200"/>
        <w:rPr>
          <w:color w:val="auto"/>
          <w:szCs w:val="21"/>
          <w:highlight w:val="none"/>
        </w:rPr>
      </w:pPr>
      <w:r>
        <w:rPr>
          <w:color w:val="auto"/>
          <w:szCs w:val="21"/>
          <w:highlight w:val="none"/>
        </w:rPr>
        <w:t>发包人向承包人提供图纸的内容：</w:t>
      </w:r>
      <w:r>
        <w:rPr>
          <w:color w:val="auto"/>
          <w:szCs w:val="21"/>
          <w:highlight w:val="none"/>
          <w:u w:val="single"/>
        </w:rPr>
        <w:t>（须载明施工图纸名称、工程号、版本、出图日期、目录、已有的变更联系单编号等）</w:t>
      </w:r>
      <w:r>
        <w:rPr>
          <w:color w:val="auto"/>
          <w:szCs w:val="21"/>
          <w:highlight w:val="none"/>
        </w:rPr>
        <w:t>。</w:t>
      </w:r>
    </w:p>
    <w:p w14:paraId="7723A515">
      <w:pPr>
        <w:spacing w:line="400" w:lineRule="exact"/>
        <w:ind w:firstLine="420" w:firstLineChars="200"/>
        <w:rPr>
          <w:color w:val="auto"/>
          <w:szCs w:val="21"/>
          <w:highlight w:val="none"/>
        </w:rPr>
      </w:pPr>
      <w:r>
        <w:rPr>
          <w:color w:val="auto"/>
          <w:szCs w:val="21"/>
          <w:highlight w:val="none"/>
        </w:rPr>
        <w:t>1.6.4 承包人文件</w:t>
      </w:r>
    </w:p>
    <w:p w14:paraId="421AF390">
      <w:pPr>
        <w:spacing w:line="400" w:lineRule="exact"/>
        <w:ind w:firstLine="420" w:firstLineChars="200"/>
        <w:rPr>
          <w:color w:val="auto"/>
          <w:szCs w:val="21"/>
          <w:highlight w:val="none"/>
          <w:u w:val="single"/>
        </w:rPr>
      </w:pPr>
      <w:r>
        <w:rPr>
          <w:color w:val="auto"/>
          <w:szCs w:val="21"/>
          <w:highlight w:val="none"/>
        </w:rPr>
        <w:t>需要由承包人提供的文件，包括：</w:t>
      </w:r>
      <w:r>
        <w:rPr>
          <w:color w:val="auto"/>
          <w:szCs w:val="21"/>
          <w:highlight w:val="none"/>
          <w:u w:val="single"/>
        </w:rPr>
        <w:t>施工组织设计、专项施工方案、工程总进度计划、工程月进度计划表等；承包人提交修正后的施工组织设计、专项施工方案等的技术标准不低于投标承诺</w:t>
      </w:r>
      <w:r>
        <w:rPr>
          <w:rFonts w:hint="eastAsia"/>
          <w:color w:val="auto"/>
          <w:szCs w:val="21"/>
          <w:highlight w:val="none"/>
          <w:u w:val="single"/>
        </w:rPr>
        <w:t>或原有承诺标准</w:t>
      </w:r>
      <w:r>
        <w:rPr>
          <w:color w:val="auto"/>
          <w:szCs w:val="21"/>
          <w:highlight w:val="none"/>
          <w:u w:val="single"/>
        </w:rPr>
        <w:t>，且修改或优化</w:t>
      </w:r>
      <w:r>
        <w:rPr>
          <w:rFonts w:hint="eastAsia"/>
          <w:color w:val="auto"/>
          <w:szCs w:val="21"/>
          <w:highlight w:val="none"/>
          <w:u w:val="single"/>
        </w:rPr>
        <w:t>后的施工组织设计、专项施工</w:t>
      </w:r>
      <w:r>
        <w:rPr>
          <w:color w:val="auto"/>
          <w:szCs w:val="21"/>
          <w:highlight w:val="none"/>
          <w:u w:val="single"/>
        </w:rPr>
        <w:t>方案</w:t>
      </w:r>
      <w:r>
        <w:rPr>
          <w:rFonts w:hint="eastAsia"/>
          <w:color w:val="auto"/>
          <w:szCs w:val="21"/>
          <w:highlight w:val="none"/>
          <w:u w:val="single"/>
        </w:rPr>
        <w:t>须</w:t>
      </w:r>
      <w:r>
        <w:rPr>
          <w:color w:val="auto"/>
          <w:szCs w:val="21"/>
          <w:highlight w:val="none"/>
          <w:u w:val="single"/>
        </w:rPr>
        <w:t>报监理人、发包人批准。</w:t>
      </w:r>
    </w:p>
    <w:p w14:paraId="68A5187C">
      <w:pPr>
        <w:spacing w:line="400" w:lineRule="exact"/>
        <w:ind w:firstLine="420" w:firstLineChars="200"/>
        <w:rPr>
          <w:color w:val="auto"/>
          <w:szCs w:val="21"/>
          <w:highlight w:val="none"/>
        </w:rPr>
      </w:pPr>
      <w:r>
        <w:rPr>
          <w:color w:val="auto"/>
          <w:szCs w:val="21"/>
          <w:highlight w:val="none"/>
        </w:rPr>
        <w:t>承包人提供的文件的期限为：</w:t>
      </w:r>
      <w:r>
        <w:rPr>
          <w:color w:val="auto"/>
          <w:szCs w:val="21"/>
          <w:highlight w:val="none"/>
          <w:u w:val="single"/>
        </w:rPr>
        <w:t>施工组织设计、进度计划在接到开工通知（或确定开工日期）后7天内，专项施工方案在相应部位施工前7天；发包人对承包人的施工组织设计（或方案）和进度计划提出质疑和合理修正时，承包人应7天内提供修正完成并重新提交；每月20日前向发包方提交下一月进度计划和施工方案</w:t>
      </w:r>
      <w:r>
        <w:rPr>
          <w:rFonts w:hint="eastAsia"/>
          <w:color w:val="auto"/>
          <w:szCs w:val="21"/>
          <w:highlight w:val="none"/>
          <w:u w:val="single"/>
        </w:rPr>
        <w:t>。</w:t>
      </w:r>
    </w:p>
    <w:p w14:paraId="4A51237E">
      <w:pPr>
        <w:spacing w:line="400" w:lineRule="exact"/>
        <w:ind w:firstLine="420" w:firstLineChars="200"/>
        <w:rPr>
          <w:color w:val="auto"/>
          <w:szCs w:val="21"/>
          <w:highlight w:val="none"/>
        </w:rPr>
      </w:pPr>
      <w:r>
        <w:rPr>
          <w:color w:val="auto"/>
          <w:szCs w:val="21"/>
          <w:highlight w:val="none"/>
        </w:rPr>
        <w:t>承包人提供的文件的数量为：</w:t>
      </w:r>
      <w:r>
        <w:rPr>
          <w:color w:val="auto"/>
          <w:szCs w:val="21"/>
          <w:highlight w:val="none"/>
          <w:u w:val="single"/>
        </w:rPr>
        <w:t>按发包人要求         </w:t>
      </w:r>
      <w:r>
        <w:rPr>
          <w:color w:val="auto"/>
          <w:szCs w:val="21"/>
          <w:highlight w:val="none"/>
        </w:rPr>
        <w:t>；</w:t>
      </w:r>
    </w:p>
    <w:p w14:paraId="579D1531">
      <w:pPr>
        <w:spacing w:line="400" w:lineRule="exact"/>
        <w:ind w:firstLine="420" w:firstLineChars="200"/>
        <w:rPr>
          <w:color w:val="auto"/>
          <w:szCs w:val="21"/>
          <w:highlight w:val="none"/>
        </w:rPr>
      </w:pPr>
      <w:r>
        <w:rPr>
          <w:color w:val="auto"/>
          <w:szCs w:val="21"/>
          <w:highlight w:val="none"/>
        </w:rPr>
        <w:t>承包人提供的文件的形式为：</w:t>
      </w:r>
      <w:r>
        <w:rPr>
          <w:color w:val="auto"/>
          <w:szCs w:val="21"/>
          <w:highlight w:val="none"/>
          <w:u w:val="single"/>
        </w:rPr>
        <w:t>纸质及电子版本       </w:t>
      </w:r>
      <w:r>
        <w:rPr>
          <w:color w:val="auto"/>
          <w:szCs w:val="21"/>
          <w:highlight w:val="none"/>
        </w:rPr>
        <w:t>；</w:t>
      </w:r>
    </w:p>
    <w:p w14:paraId="08014C6A">
      <w:pPr>
        <w:spacing w:line="400" w:lineRule="exact"/>
        <w:ind w:firstLine="420" w:firstLineChars="200"/>
        <w:rPr>
          <w:color w:val="auto"/>
          <w:szCs w:val="21"/>
          <w:highlight w:val="none"/>
        </w:rPr>
      </w:pPr>
      <w:r>
        <w:rPr>
          <w:color w:val="auto"/>
          <w:szCs w:val="21"/>
          <w:highlight w:val="none"/>
        </w:rPr>
        <w:t>发包人审批承包人文件的期限：</w:t>
      </w:r>
      <w:r>
        <w:rPr>
          <w:color w:val="auto"/>
          <w:szCs w:val="21"/>
          <w:highlight w:val="none"/>
          <w:u w:val="single"/>
        </w:rPr>
        <w:t>收到相应文件后7天内</w:t>
      </w:r>
      <w:r>
        <w:rPr>
          <w:rFonts w:hint="eastAsia"/>
          <w:color w:val="auto"/>
          <w:szCs w:val="21"/>
          <w:highlight w:val="none"/>
          <w:u w:val="single"/>
        </w:rPr>
        <w:t xml:space="preserve"> </w:t>
      </w:r>
      <w:r>
        <w:rPr>
          <w:color w:val="auto"/>
          <w:szCs w:val="21"/>
          <w:highlight w:val="none"/>
          <w:u w:val="single"/>
        </w:rPr>
        <w:t></w:t>
      </w:r>
      <w:r>
        <w:rPr>
          <w:color w:val="auto"/>
          <w:szCs w:val="21"/>
          <w:highlight w:val="none"/>
        </w:rPr>
        <w:t>。</w:t>
      </w:r>
    </w:p>
    <w:p w14:paraId="5D6C567B">
      <w:pPr>
        <w:spacing w:line="400" w:lineRule="exact"/>
        <w:ind w:firstLine="420" w:firstLineChars="200"/>
        <w:rPr>
          <w:color w:val="auto"/>
          <w:szCs w:val="21"/>
          <w:highlight w:val="none"/>
        </w:rPr>
      </w:pPr>
      <w:r>
        <w:rPr>
          <w:color w:val="auto"/>
          <w:szCs w:val="21"/>
          <w:highlight w:val="none"/>
        </w:rPr>
        <w:t>1.6.5 现场图纸准备</w:t>
      </w:r>
    </w:p>
    <w:p w14:paraId="76173814">
      <w:pPr>
        <w:spacing w:line="400" w:lineRule="exact"/>
        <w:ind w:firstLine="420" w:firstLineChars="200"/>
        <w:rPr>
          <w:color w:val="auto"/>
          <w:szCs w:val="21"/>
          <w:highlight w:val="none"/>
        </w:rPr>
      </w:pPr>
      <w:r>
        <w:rPr>
          <w:color w:val="auto"/>
          <w:szCs w:val="21"/>
          <w:highlight w:val="none"/>
        </w:rPr>
        <w:t>关于现场图纸准备的约定：</w:t>
      </w:r>
      <w:r>
        <w:rPr>
          <w:color w:val="auto"/>
          <w:szCs w:val="21"/>
          <w:highlight w:val="none"/>
          <w:u w:val="single"/>
        </w:rPr>
        <w:t>由监理人在现场保管一套完整施工图，供发包人、监理人及有关人员进行工程检查等活动时使用 </w:t>
      </w:r>
      <w:r>
        <w:rPr>
          <w:color w:val="auto"/>
          <w:szCs w:val="21"/>
          <w:highlight w:val="none"/>
        </w:rPr>
        <w:t>。</w:t>
      </w:r>
    </w:p>
    <w:p w14:paraId="79E2443F">
      <w:pPr>
        <w:spacing w:line="400" w:lineRule="exact"/>
        <w:ind w:firstLine="420" w:firstLineChars="200"/>
        <w:rPr>
          <w:color w:val="auto"/>
          <w:szCs w:val="21"/>
          <w:highlight w:val="none"/>
        </w:rPr>
      </w:pPr>
      <w:r>
        <w:rPr>
          <w:color w:val="auto"/>
          <w:szCs w:val="21"/>
          <w:highlight w:val="none"/>
        </w:rPr>
        <w:t>1.7 联络</w:t>
      </w:r>
    </w:p>
    <w:p w14:paraId="34926A7D">
      <w:pPr>
        <w:spacing w:line="400" w:lineRule="exact"/>
        <w:ind w:firstLine="420" w:firstLineChars="200"/>
        <w:rPr>
          <w:color w:val="auto"/>
          <w:kern w:val="0"/>
          <w:szCs w:val="21"/>
          <w:highlight w:val="none"/>
        </w:rPr>
      </w:pPr>
      <w:r>
        <w:rPr>
          <w:color w:val="auto"/>
          <w:kern w:val="0"/>
          <w:szCs w:val="21"/>
          <w:highlight w:val="none"/>
        </w:rPr>
        <w:t>1.7.1发包人和承包人应当在</w:t>
      </w:r>
      <w:r>
        <w:rPr>
          <w:color w:val="auto"/>
          <w:kern w:val="0"/>
          <w:szCs w:val="21"/>
          <w:highlight w:val="none"/>
          <w:u w:val="single"/>
        </w:rPr>
        <w:t xml:space="preserve">7  </w:t>
      </w:r>
      <w:r>
        <w:rPr>
          <w:color w:val="auto"/>
          <w:kern w:val="0"/>
          <w:szCs w:val="21"/>
          <w:highlight w:val="none"/>
        </w:rPr>
        <w:t>天内将与合同有关的通知、批准、证明、证书、指示、指令、要求、请求、同意、意见、确定和决定等书面函件送达对方当事人。</w:t>
      </w:r>
    </w:p>
    <w:p w14:paraId="21D015F9">
      <w:pPr>
        <w:spacing w:line="400" w:lineRule="exact"/>
        <w:ind w:firstLine="420" w:firstLineChars="200"/>
        <w:rPr>
          <w:rFonts w:hint="eastAsia"/>
          <w:color w:val="auto"/>
          <w:kern w:val="0"/>
          <w:szCs w:val="21"/>
          <w:highlight w:val="none"/>
        </w:rPr>
      </w:pPr>
      <w:r>
        <w:rPr>
          <w:color w:val="auto"/>
          <w:kern w:val="0"/>
          <w:szCs w:val="21"/>
          <w:highlight w:val="none"/>
        </w:rPr>
        <w:t>1.7.2 发包人接收文件的地点：</w:t>
      </w:r>
      <w:r>
        <w:rPr>
          <w:color w:val="auto"/>
          <w:kern w:val="0"/>
          <w:szCs w:val="21"/>
          <w:highlight w:val="none"/>
          <w:u w:val="single"/>
        </w:rPr>
        <w:t>  </w:t>
      </w:r>
      <w:r>
        <w:rPr>
          <w:rFonts w:hint="eastAsia"/>
          <w:color w:val="auto"/>
          <w:kern w:val="0"/>
          <w:szCs w:val="21"/>
          <w:highlight w:val="none"/>
          <w:u w:val="single"/>
          <w:lang w:val="en-US" w:eastAsia="zh-CN"/>
        </w:rPr>
        <w:t xml:space="preserve">         </w:t>
      </w:r>
      <w:r>
        <w:rPr>
          <w:color w:val="auto"/>
          <w:kern w:val="0"/>
          <w:szCs w:val="21"/>
          <w:highlight w:val="none"/>
          <w:u w:val="single"/>
        </w:rPr>
        <w:t>        </w:t>
      </w:r>
      <w:r>
        <w:rPr>
          <w:color w:val="auto"/>
          <w:kern w:val="0"/>
          <w:szCs w:val="21"/>
          <w:highlight w:val="none"/>
        </w:rPr>
        <w:t>；</w:t>
      </w:r>
    </w:p>
    <w:p w14:paraId="34CF456E">
      <w:pPr>
        <w:spacing w:line="400" w:lineRule="exact"/>
        <w:ind w:firstLine="420" w:firstLineChars="200"/>
        <w:rPr>
          <w:color w:val="auto"/>
          <w:kern w:val="0"/>
          <w:szCs w:val="21"/>
          <w:highlight w:val="none"/>
        </w:rPr>
      </w:pPr>
      <w:r>
        <w:rPr>
          <w:rFonts w:hint="eastAsia"/>
          <w:color w:val="auto"/>
          <w:kern w:val="0"/>
          <w:szCs w:val="21"/>
          <w:highlight w:val="none"/>
        </w:rPr>
        <w:t xml:space="preserve">发包人接收文件的电子信箱： </w:t>
      </w:r>
      <w:r>
        <w:rPr>
          <w:rFonts w:hint="eastAsia" w:hAnsi="仿宋"/>
          <w:color w:val="auto"/>
          <w:kern w:val="0"/>
          <w:sz w:val="28"/>
          <w:szCs w:val="28"/>
          <w:highlight w:val="none"/>
          <w:u w:val="single"/>
        </w:rPr>
        <w:t xml:space="preserve">         </w:t>
      </w:r>
      <w:r>
        <w:rPr>
          <w:rFonts w:hint="eastAsia" w:hAnsi="仿宋"/>
          <w:color w:val="auto"/>
          <w:kern w:val="0"/>
          <w:sz w:val="28"/>
          <w:szCs w:val="28"/>
          <w:highlight w:val="none"/>
          <w:u w:val="single"/>
          <w:lang w:val="en-US" w:eastAsia="zh-CN"/>
        </w:rPr>
        <w:t xml:space="preserve">                      </w:t>
      </w:r>
      <w:r>
        <w:rPr>
          <w:rFonts w:hint="eastAsia" w:hAnsi="仿宋"/>
          <w:color w:val="auto"/>
          <w:kern w:val="0"/>
          <w:sz w:val="28"/>
          <w:szCs w:val="28"/>
          <w:highlight w:val="none"/>
          <w:u w:val="single"/>
        </w:rPr>
        <w:t xml:space="preserve">           </w:t>
      </w:r>
      <w:r>
        <w:rPr>
          <w:rFonts w:hint="eastAsia" w:hAnsi="仿宋"/>
          <w:color w:val="auto"/>
          <w:kern w:val="0"/>
          <w:szCs w:val="21"/>
          <w:highlight w:val="none"/>
        </w:rPr>
        <w:t>。</w:t>
      </w:r>
    </w:p>
    <w:p w14:paraId="2F0101DC">
      <w:pPr>
        <w:spacing w:line="400" w:lineRule="exact"/>
        <w:ind w:firstLine="420" w:firstLineChars="200"/>
        <w:rPr>
          <w:color w:val="auto"/>
          <w:kern w:val="0"/>
          <w:szCs w:val="21"/>
          <w:highlight w:val="none"/>
        </w:rPr>
      </w:pPr>
      <w:r>
        <w:rPr>
          <w:color w:val="auto"/>
          <w:kern w:val="0"/>
          <w:szCs w:val="21"/>
          <w:highlight w:val="none"/>
        </w:rPr>
        <w:t>发包人指定的接收人为：</w:t>
      </w:r>
      <w:r>
        <w:rPr>
          <w:color w:val="auto"/>
          <w:kern w:val="0"/>
          <w:szCs w:val="21"/>
          <w:highlight w:val="none"/>
          <w:u w:val="single"/>
        </w:rPr>
        <w:t></w:t>
      </w:r>
      <w:r>
        <w:rPr>
          <w:rFonts w:hint="eastAsia"/>
          <w:color w:val="auto"/>
          <w:kern w:val="0"/>
          <w:szCs w:val="21"/>
          <w:highlight w:val="none"/>
          <w:u w:val="single"/>
        </w:rPr>
        <w:t xml:space="preserve">  </w:t>
      </w:r>
      <w:r>
        <w:rPr>
          <w:rFonts w:hint="eastAsia"/>
          <w:color w:val="auto"/>
          <w:kern w:val="0"/>
          <w:szCs w:val="21"/>
          <w:highlight w:val="none"/>
          <w:u w:val="single"/>
          <w:lang w:val="en-US" w:eastAsia="zh-CN"/>
        </w:rPr>
        <w:t xml:space="preserve">           </w:t>
      </w:r>
      <w:r>
        <w:rPr>
          <w:color w:val="auto"/>
          <w:kern w:val="0"/>
          <w:szCs w:val="21"/>
          <w:highlight w:val="none"/>
          <w:u w:val="single"/>
        </w:rPr>
        <w:t>（</w:t>
      </w:r>
      <w:r>
        <w:rPr>
          <w:rFonts w:hint="eastAsia"/>
          <w:color w:val="auto"/>
          <w:kern w:val="0"/>
          <w:szCs w:val="21"/>
          <w:highlight w:val="none"/>
          <w:u w:val="single"/>
        </w:rPr>
        <w:t>注：</w:t>
      </w:r>
      <w:r>
        <w:rPr>
          <w:color w:val="auto"/>
          <w:kern w:val="0"/>
          <w:szCs w:val="21"/>
          <w:highlight w:val="none"/>
          <w:u w:val="single"/>
        </w:rPr>
        <w:t>2人以上及联系电话）</w:t>
      </w:r>
      <w:r>
        <w:rPr>
          <w:rFonts w:hint="eastAsia"/>
          <w:color w:val="auto"/>
          <w:kern w:val="0"/>
          <w:szCs w:val="21"/>
          <w:highlight w:val="none"/>
          <w:u w:val="single"/>
        </w:rPr>
        <w:t xml:space="preserve">  </w:t>
      </w:r>
      <w:r>
        <w:rPr>
          <w:color w:val="auto"/>
          <w:kern w:val="0"/>
          <w:szCs w:val="21"/>
          <w:highlight w:val="none"/>
        </w:rPr>
        <w:t>。</w:t>
      </w:r>
    </w:p>
    <w:p w14:paraId="32D06F14">
      <w:pPr>
        <w:spacing w:line="400" w:lineRule="exact"/>
        <w:ind w:firstLine="420" w:firstLineChars="200"/>
        <w:rPr>
          <w:rFonts w:hint="eastAsia"/>
          <w:color w:val="auto"/>
          <w:kern w:val="0"/>
          <w:szCs w:val="21"/>
          <w:highlight w:val="none"/>
        </w:rPr>
      </w:pPr>
      <w:r>
        <w:rPr>
          <w:color w:val="auto"/>
          <w:kern w:val="0"/>
          <w:szCs w:val="21"/>
          <w:highlight w:val="none"/>
        </w:rPr>
        <w:t>承包人接收文件的地点：</w:t>
      </w:r>
      <w:r>
        <w:rPr>
          <w:color w:val="auto"/>
          <w:kern w:val="0"/>
          <w:szCs w:val="21"/>
          <w:highlight w:val="none"/>
          <w:u w:val="single"/>
        </w:rPr>
        <w:t> </w:t>
      </w:r>
      <w:r>
        <w:rPr>
          <w:rFonts w:hint="eastAsia"/>
          <w:color w:val="auto"/>
          <w:kern w:val="0"/>
          <w:szCs w:val="21"/>
          <w:highlight w:val="none"/>
          <w:u w:val="single"/>
          <w:lang w:val="en-US" w:eastAsia="zh-CN"/>
        </w:rPr>
        <w:t xml:space="preserve">              </w:t>
      </w:r>
      <w:r>
        <w:rPr>
          <w:color w:val="auto"/>
          <w:kern w:val="0"/>
          <w:szCs w:val="21"/>
          <w:highlight w:val="none"/>
          <w:u w:val="single"/>
        </w:rPr>
        <w:t>                </w:t>
      </w:r>
      <w:r>
        <w:rPr>
          <w:color w:val="auto"/>
          <w:kern w:val="0"/>
          <w:szCs w:val="21"/>
          <w:highlight w:val="none"/>
        </w:rPr>
        <w:t>；</w:t>
      </w:r>
    </w:p>
    <w:p w14:paraId="2C36C6EB">
      <w:pPr>
        <w:spacing w:line="400" w:lineRule="exact"/>
        <w:ind w:firstLine="420" w:firstLineChars="200"/>
        <w:rPr>
          <w:color w:val="auto"/>
          <w:kern w:val="0"/>
          <w:szCs w:val="21"/>
          <w:highlight w:val="none"/>
        </w:rPr>
      </w:pPr>
      <w:r>
        <w:rPr>
          <w:rFonts w:hint="eastAsia"/>
          <w:color w:val="auto"/>
          <w:kern w:val="0"/>
          <w:szCs w:val="21"/>
          <w:highlight w:val="none"/>
        </w:rPr>
        <w:t xml:space="preserve">承包人接收文件的电子信箱： </w:t>
      </w:r>
      <w:r>
        <w:rPr>
          <w:rFonts w:hint="eastAsia" w:hAnsi="仿宋"/>
          <w:color w:val="auto"/>
          <w:kern w:val="0"/>
          <w:sz w:val="28"/>
          <w:szCs w:val="28"/>
          <w:highlight w:val="none"/>
          <w:u w:val="single"/>
        </w:rPr>
        <w:t xml:space="preserve">           </w:t>
      </w:r>
      <w:r>
        <w:rPr>
          <w:rFonts w:hint="eastAsia" w:hAnsi="仿宋"/>
          <w:color w:val="auto"/>
          <w:kern w:val="0"/>
          <w:sz w:val="28"/>
          <w:szCs w:val="28"/>
          <w:highlight w:val="none"/>
          <w:u w:val="single"/>
          <w:lang w:val="en-US" w:eastAsia="zh-CN"/>
        </w:rPr>
        <w:t xml:space="preserve">                      </w:t>
      </w:r>
      <w:r>
        <w:rPr>
          <w:rFonts w:hint="eastAsia" w:hAnsi="仿宋"/>
          <w:color w:val="auto"/>
          <w:kern w:val="0"/>
          <w:sz w:val="28"/>
          <w:szCs w:val="28"/>
          <w:highlight w:val="none"/>
          <w:u w:val="single"/>
        </w:rPr>
        <w:t xml:space="preserve">        </w:t>
      </w:r>
      <w:r>
        <w:rPr>
          <w:rFonts w:hint="eastAsia" w:hAnsi="仿宋"/>
          <w:color w:val="auto"/>
          <w:kern w:val="0"/>
          <w:szCs w:val="21"/>
          <w:highlight w:val="none"/>
        </w:rPr>
        <w:t>。</w:t>
      </w:r>
    </w:p>
    <w:p w14:paraId="43595AF8">
      <w:pPr>
        <w:spacing w:line="400" w:lineRule="exact"/>
        <w:ind w:firstLine="420" w:firstLineChars="200"/>
        <w:rPr>
          <w:color w:val="auto"/>
          <w:kern w:val="0"/>
          <w:szCs w:val="21"/>
          <w:highlight w:val="none"/>
        </w:rPr>
      </w:pPr>
      <w:r>
        <w:rPr>
          <w:color w:val="auto"/>
          <w:kern w:val="0"/>
          <w:szCs w:val="21"/>
          <w:highlight w:val="none"/>
        </w:rPr>
        <w:t>承包人指定的接收人为：</w:t>
      </w:r>
      <w:r>
        <w:rPr>
          <w:color w:val="auto"/>
          <w:kern w:val="0"/>
          <w:szCs w:val="21"/>
          <w:highlight w:val="none"/>
          <w:u w:val="single"/>
        </w:rPr>
        <w:t></w:t>
      </w:r>
      <w:r>
        <w:rPr>
          <w:rFonts w:hint="eastAsia"/>
          <w:color w:val="auto"/>
          <w:kern w:val="0"/>
          <w:szCs w:val="21"/>
          <w:highlight w:val="none"/>
          <w:u w:val="single"/>
          <w:lang w:val="en-US" w:eastAsia="zh-CN"/>
        </w:rPr>
        <w:t xml:space="preserve">         </w:t>
      </w:r>
      <w:r>
        <w:rPr>
          <w:rFonts w:hint="eastAsia"/>
          <w:color w:val="auto"/>
          <w:kern w:val="0"/>
          <w:szCs w:val="21"/>
          <w:highlight w:val="none"/>
          <w:u w:val="single"/>
        </w:rPr>
        <w:t xml:space="preserve">  </w:t>
      </w:r>
      <w:r>
        <w:rPr>
          <w:color w:val="auto"/>
          <w:kern w:val="0"/>
          <w:szCs w:val="21"/>
          <w:highlight w:val="none"/>
          <w:u w:val="single"/>
        </w:rPr>
        <w:t>（</w:t>
      </w:r>
      <w:r>
        <w:rPr>
          <w:rFonts w:hint="eastAsia"/>
          <w:color w:val="auto"/>
          <w:kern w:val="0"/>
          <w:szCs w:val="21"/>
          <w:highlight w:val="none"/>
          <w:u w:val="single"/>
        </w:rPr>
        <w:t>注：</w:t>
      </w:r>
      <w:r>
        <w:rPr>
          <w:color w:val="auto"/>
          <w:kern w:val="0"/>
          <w:szCs w:val="21"/>
          <w:highlight w:val="none"/>
          <w:u w:val="single"/>
        </w:rPr>
        <w:t>2人以上及联系电话）</w:t>
      </w:r>
      <w:r>
        <w:rPr>
          <w:color w:val="auto"/>
          <w:kern w:val="0"/>
          <w:szCs w:val="21"/>
          <w:highlight w:val="none"/>
        </w:rPr>
        <w:t>。</w:t>
      </w:r>
    </w:p>
    <w:p w14:paraId="475E9B26">
      <w:pPr>
        <w:spacing w:line="400" w:lineRule="exact"/>
        <w:ind w:firstLine="420" w:firstLineChars="200"/>
        <w:rPr>
          <w:rFonts w:hint="eastAsia"/>
          <w:color w:val="auto"/>
          <w:kern w:val="0"/>
          <w:szCs w:val="21"/>
          <w:highlight w:val="none"/>
        </w:rPr>
      </w:pPr>
      <w:r>
        <w:rPr>
          <w:color w:val="auto"/>
          <w:kern w:val="0"/>
          <w:szCs w:val="21"/>
          <w:highlight w:val="none"/>
        </w:rPr>
        <w:t>监理人接收文件的地点：</w:t>
      </w:r>
      <w:r>
        <w:rPr>
          <w:color w:val="auto"/>
          <w:kern w:val="0"/>
          <w:szCs w:val="21"/>
          <w:highlight w:val="none"/>
          <w:u w:val="single"/>
        </w:rPr>
        <w:t> </w:t>
      </w:r>
      <w:r>
        <w:rPr>
          <w:rFonts w:hint="eastAsia"/>
          <w:color w:val="auto"/>
          <w:kern w:val="0"/>
          <w:szCs w:val="21"/>
          <w:highlight w:val="none"/>
          <w:u w:val="single"/>
          <w:lang w:val="en-US" w:eastAsia="zh-CN"/>
        </w:rPr>
        <w:t xml:space="preserve">              </w:t>
      </w:r>
      <w:r>
        <w:rPr>
          <w:color w:val="auto"/>
          <w:kern w:val="0"/>
          <w:szCs w:val="21"/>
          <w:highlight w:val="none"/>
          <w:u w:val="single"/>
        </w:rPr>
        <w:t xml:space="preserve">  </w:t>
      </w:r>
      <w:r>
        <w:rPr>
          <w:rFonts w:hint="eastAsia"/>
          <w:color w:val="auto"/>
          <w:kern w:val="0"/>
          <w:szCs w:val="21"/>
          <w:highlight w:val="none"/>
          <w:u w:val="single"/>
        </w:rPr>
        <w:t xml:space="preserve"> </w:t>
      </w:r>
      <w:r>
        <w:rPr>
          <w:color w:val="auto"/>
          <w:kern w:val="0"/>
          <w:szCs w:val="21"/>
          <w:highlight w:val="none"/>
          <w:u w:val="single"/>
        </w:rPr>
        <w:t xml:space="preserve">             </w:t>
      </w:r>
      <w:r>
        <w:rPr>
          <w:color w:val="auto"/>
          <w:kern w:val="0"/>
          <w:szCs w:val="21"/>
          <w:highlight w:val="none"/>
        </w:rPr>
        <w:t>；</w:t>
      </w:r>
    </w:p>
    <w:p w14:paraId="287D0573">
      <w:pPr>
        <w:spacing w:line="400" w:lineRule="exact"/>
        <w:ind w:firstLine="420" w:firstLineChars="200"/>
        <w:rPr>
          <w:rFonts w:hint="eastAsia"/>
          <w:color w:val="auto"/>
          <w:kern w:val="0"/>
          <w:szCs w:val="21"/>
          <w:highlight w:val="none"/>
          <w:u w:val="single"/>
        </w:rPr>
      </w:pPr>
      <w:r>
        <w:rPr>
          <w:rFonts w:hint="eastAsia"/>
          <w:color w:val="auto"/>
          <w:kern w:val="0"/>
          <w:szCs w:val="21"/>
          <w:highlight w:val="none"/>
        </w:rPr>
        <w:t xml:space="preserve">监理人接收文件的电子信箱： </w:t>
      </w:r>
      <w:r>
        <w:rPr>
          <w:rFonts w:hint="eastAsia" w:hAnsi="仿宋"/>
          <w:color w:val="auto"/>
          <w:kern w:val="0"/>
          <w:sz w:val="28"/>
          <w:szCs w:val="28"/>
          <w:highlight w:val="none"/>
          <w:u w:val="single"/>
        </w:rPr>
        <w:t xml:space="preserve">           </w:t>
      </w:r>
      <w:r>
        <w:rPr>
          <w:rFonts w:hint="eastAsia" w:hAnsi="仿宋"/>
          <w:color w:val="auto"/>
          <w:kern w:val="0"/>
          <w:sz w:val="28"/>
          <w:szCs w:val="28"/>
          <w:highlight w:val="none"/>
          <w:u w:val="single"/>
          <w:lang w:val="en-US" w:eastAsia="zh-CN"/>
        </w:rPr>
        <w:t xml:space="preserve">                       </w:t>
      </w:r>
      <w:r>
        <w:rPr>
          <w:rFonts w:hint="eastAsia" w:hAnsi="仿宋"/>
          <w:color w:val="auto"/>
          <w:kern w:val="0"/>
          <w:sz w:val="28"/>
          <w:szCs w:val="28"/>
          <w:highlight w:val="none"/>
          <w:u w:val="single"/>
        </w:rPr>
        <w:t xml:space="preserve">        </w:t>
      </w:r>
      <w:r>
        <w:rPr>
          <w:rFonts w:hint="eastAsia" w:hAnsi="仿宋"/>
          <w:color w:val="auto"/>
          <w:kern w:val="0"/>
          <w:szCs w:val="21"/>
          <w:highlight w:val="none"/>
        </w:rPr>
        <w:t>。</w:t>
      </w:r>
    </w:p>
    <w:p w14:paraId="5CC6952F">
      <w:pPr>
        <w:spacing w:line="400" w:lineRule="exact"/>
        <w:ind w:firstLine="420" w:firstLineChars="200"/>
        <w:rPr>
          <w:color w:val="auto"/>
          <w:kern w:val="0"/>
          <w:szCs w:val="21"/>
          <w:highlight w:val="none"/>
        </w:rPr>
      </w:pPr>
      <w:r>
        <w:rPr>
          <w:color w:val="auto"/>
          <w:kern w:val="0"/>
          <w:szCs w:val="21"/>
          <w:highlight w:val="none"/>
        </w:rPr>
        <w:t>监理人指定的接收人为：</w:t>
      </w:r>
      <w:r>
        <w:rPr>
          <w:color w:val="auto"/>
          <w:kern w:val="0"/>
          <w:szCs w:val="21"/>
          <w:highlight w:val="none"/>
          <w:u w:val="single"/>
        </w:rPr>
        <w:t></w:t>
      </w:r>
      <w:r>
        <w:rPr>
          <w:rFonts w:hint="eastAsia"/>
          <w:color w:val="auto"/>
          <w:kern w:val="0"/>
          <w:szCs w:val="21"/>
          <w:highlight w:val="none"/>
          <w:u w:val="single"/>
          <w:lang w:val="en-US" w:eastAsia="zh-CN"/>
        </w:rPr>
        <w:t xml:space="preserve">              </w:t>
      </w:r>
      <w:r>
        <w:rPr>
          <w:rFonts w:hint="eastAsia"/>
          <w:color w:val="auto"/>
          <w:kern w:val="0"/>
          <w:szCs w:val="21"/>
          <w:highlight w:val="none"/>
          <w:u w:val="single"/>
        </w:rPr>
        <w:t xml:space="preserve"> </w:t>
      </w:r>
      <w:r>
        <w:rPr>
          <w:color w:val="auto"/>
          <w:kern w:val="0"/>
          <w:szCs w:val="21"/>
          <w:highlight w:val="none"/>
          <w:u w:val="single"/>
        </w:rPr>
        <w:t>（</w:t>
      </w:r>
      <w:r>
        <w:rPr>
          <w:rFonts w:hint="eastAsia"/>
          <w:color w:val="auto"/>
          <w:kern w:val="0"/>
          <w:szCs w:val="21"/>
          <w:highlight w:val="none"/>
          <w:u w:val="single"/>
        </w:rPr>
        <w:t>注：</w:t>
      </w:r>
      <w:r>
        <w:rPr>
          <w:color w:val="auto"/>
          <w:kern w:val="0"/>
          <w:szCs w:val="21"/>
          <w:highlight w:val="none"/>
          <w:u w:val="single"/>
        </w:rPr>
        <w:t xml:space="preserve">2人以上及联系电话） </w:t>
      </w:r>
      <w:r>
        <w:rPr>
          <w:rFonts w:hint="eastAsia"/>
          <w:color w:val="auto"/>
          <w:kern w:val="0"/>
          <w:szCs w:val="21"/>
          <w:highlight w:val="none"/>
          <w:u w:val="single"/>
        </w:rPr>
        <w:t xml:space="preserve"> </w:t>
      </w:r>
      <w:r>
        <w:rPr>
          <w:color w:val="auto"/>
          <w:kern w:val="0"/>
          <w:szCs w:val="21"/>
          <w:highlight w:val="none"/>
        </w:rPr>
        <w:t>。</w:t>
      </w:r>
    </w:p>
    <w:p w14:paraId="7E00F68D">
      <w:pPr>
        <w:spacing w:line="400" w:lineRule="exact"/>
        <w:ind w:firstLine="420" w:firstLineChars="200"/>
        <w:rPr>
          <w:rFonts w:hint="eastAsia"/>
          <w:color w:val="auto"/>
          <w:kern w:val="0"/>
          <w:szCs w:val="21"/>
          <w:highlight w:val="none"/>
        </w:rPr>
      </w:pPr>
      <w:r>
        <w:rPr>
          <w:rFonts w:hint="eastAsia"/>
          <w:color w:val="auto"/>
          <w:kern w:val="0"/>
          <w:szCs w:val="21"/>
          <w:highlight w:val="none"/>
          <w:u w:val="single"/>
        </w:rPr>
        <w:t>发包人、承包人、监理人的文件接收地址、接收人（含联系电话）发生变动的，应提前7天通知各方。</w:t>
      </w:r>
    </w:p>
    <w:p w14:paraId="742E065A">
      <w:pPr>
        <w:spacing w:line="400" w:lineRule="exact"/>
        <w:ind w:firstLine="420" w:firstLineChars="200"/>
        <w:rPr>
          <w:color w:val="auto"/>
          <w:szCs w:val="21"/>
          <w:highlight w:val="none"/>
        </w:rPr>
      </w:pPr>
      <w:r>
        <w:rPr>
          <w:color w:val="auto"/>
          <w:szCs w:val="21"/>
          <w:highlight w:val="none"/>
        </w:rPr>
        <w:t>1.10 交通运输</w:t>
      </w:r>
    </w:p>
    <w:p w14:paraId="593D6601">
      <w:pPr>
        <w:spacing w:line="400" w:lineRule="exact"/>
        <w:ind w:firstLine="420" w:firstLineChars="200"/>
        <w:rPr>
          <w:color w:val="auto"/>
          <w:szCs w:val="21"/>
          <w:highlight w:val="none"/>
        </w:rPr>
      </w:pPr>
      <w:r>
        <w:rPr>
          <w:color w:val="auto"/>
          <w:szCs w:val="21"/>
          <w:highlight w:val="none"/>
        </w:rPr>
        <w:t>1.10.1 出入现场的权利</w:t>
      </w:r>
    </w:p>
    <w:p w14:paraId="0FF157E5">
      <w:pPr>
        <w:spacing w:line="400" w:lineRule="exact"/>
        <w:ind w:firstLine="420" w:firstLineChars="200"/>
        <w:rPr>
          <w:color w:val="auto"/>
          <w:szCs w:val="21"/>
          <w:highlight w:val="none"/>
        </w:rPr>
      </w:pPr>
      <w:r>
        <w:rPr>
          <w:color w:val="auto"/>
          <w:szCs w:val="21"/>
          <w:highlight w:val="none"/>
        </w:rPr>
        <w:t>关于出入现场的权利的约定：</w:t>
      </w:r>
      <w:r>
        <w:rPr>
          <w:color w:val="auto"/>
          <w:szCs w:val="21"/>
          <w:highlight w:val="none"/>
          <w:u w:val="single"/>
        </w:rPr>
        <w:t>按合同通用条款</w:t>
      </w:r>
      <w:r>
        <w:rPr>
          <w:rFonts w:hint="eastAsia"/>
          <w:color w:val="auto"/>
          <w:szCs w:val="21"/>
          <w:highlight w:val="none"/>
          <w:u w:val="single"/>
        </w:rPr>
        <w:t>，可视工程实际双方再补充约定</w:t>
      </w:r>
      <w:r>
        <w:rPr>
          <w:color w:val="auto"/>
          <w:szCs w:val="21"/>
          <w:highlight w:val="none"/>
        </w:rPr>
        <w:t>。</w:t>
      </w:r>
    </w:p>
    <w:p w14:paraId="6A7E5896">
      <w:pPr>
        <w:spacing w:line="400" w:lineRule="exact"/>
        <w:ind w:firstLine="420" w:firstLineChars="200"/>
        <w:rPr>
          <w:color w:val="auto"/>
          <w:szCs w:val="21"/>
          <w:highlight w:val="none"/>
        </w:rPr>
      </w:pPr>
      <w:r>
        <w:rPr>
          <w:color w:val="auto"/>
          <w:szCs w:val="21"/>
          <w:highlight w:val="none"/>
        </w:rPr>
        <w:t>1.10.3 场内交通</w:t>
      </w:r>
    </w:p>
    <w:p w14:paraId="0F4E7D76">
      <w:pPr>
        <w:spacing w:line="400" w:lineRule="exact"/>
        <w:ind w:firstLine="420" w:firstLineChars="200"/>
        <w:rPr>
          <w:color w:val="auto"/>
          <w:szCs w:val="21"/>
          <w:highlight w:val="none"/>
          <w:u w:val="single"/>
        </w:rPr>
      </w:pPr>
      <w:r>
        <w:rPr>
          <w:color w:val="auto"/>
          <w:kern w:val="0"/>
          <w:szCs w:val="21"/>
          <w:highlight w:val="none"/>
        </w:rPr>
        <w:t>关于场外交通和场内交通的边界</w:t>
      </w:r>
      <w:r>
        <w:rPr>
          <w:color w:val="auto"/>
          <w:kern w:val="0"/>
          <w:szCs w:val="21"/>
          <w:highlight w:val="none"/>
        </w:rPr>
        <w:t>的约定：</w:t>
      </w:r>
      <w:r>
        <w:rPr>
          <w:rFonts w:hint="eastAsia"/>
          <w:color w:val="auto"/>
          <w:szCs w:val="21"/>
          <w:highlight w:val="none"/>
          <w:u w:val="single"/>
          <w:lang w:eastAsia="zh-CN"/>
        </w:rPr>
        <w:t>以现场红线为界，承包人应按照发包人划定的施工作业区范围施工，超出红线范围外费用由承包人负责</w:t>
      </w:r>
      <w:r>
        <w:rPr>
          <w:rFonts w:hint="eastAsia"/>
          <w:color w:val="auto"/>
          <w:szCs w:val="21"/>
          <w:highlight w:val="none"/>
          <w:u w:val="single"/>
        </w:rPr>
        <w:t>。</w:t>
      </w:r>
    </w:p>
    <w:p w14:paraId="4F5F9766">
      <w:pPr>
        <w:pStyle w:val="8"/>
        <w:spacing w:line="480" w:lineRule="exact"/>
        <w:ind w:left="0" w:firstLine="420" w:firstLineChars="200"/>
        <w:rPr>
          <w:rFonts w:hint="eastAsia"/>
          <w:b/>
          <w:color w:val="auto"/>
          <w:szCs w:val="21"/>
          <w:highlight w:val="none"/>
          <w:u w:val="single"/>
        </w:rPr>
      </w:pPr>
      <w:r>
        <w:rPr>
          <w:color w:val="auto"/>
          <w:kern w:val="0"/>
          <w:szCs w:val="21"/>
          <w:highlight w:val="none"/>
        </w:rPr>
        <w:t>关于发包人向承包人免费提供满足工程施工需要的场内道路和交通设施的约定：</w:t>
      </w:r>
      <w:r>
        <w:rPr>
          <w:rFonts w:hint="eastAsia"/>
          <w:b/>
          <w:color w:val="auto"/>
          <w:szCs w:val="21"/>
          <w:highlight w:val="none"/>
          <w:u w:val="single"/>
        </w:rPr>
        <w:t>由承包人自行考察了解现有场地及交通情况，并在投标报价中综合考虑，结算时不再另行计取费用。</w:t>
      </w:r>
      <w:r>
        <w:rPr>
          <w:b/>
          <w:bCs/>
          <w:color w:val="auto"/>
          <w:szCs w:val="21"/>
          <w:highlight w:val="none"/>
          <w:u w:val="single"/>
        </w:rPr>
        <w:t>如因工程需要临时占用红线外场地及市政道路，由承包人自行协调并负责办理审批手续同时承担相应费用。施工期间借用道路的维护、管理及相应费用由承包人承担。</w:t>
      </w:r>
    </w:p>
    <w:p w14:paraId="5B3A897F">
      <w:pPr>
        <w:spacing w:line="400" w:lineRule="exact"/>
        <w:ind w:firstLine="420" w:firstLineChars="200"/>
        <w:rPr>
          <w:color w:val="auto"/>
          <w:kern w:val="0"/>
          <w:szCs w:val="21"/>
          <w:highlight w:val="none"/>
        </w:rPr>
      </w:pPr>
      <w:r>
        <w:rPr>
          <w:color w:val="auto"/>
          <w:kern w:val="0"/>
          <w:szCs w:val="21"/>
          <w:highlight w:val="none"/>
        </w:rPr>
        <w:t>1.10.4超大件和超重件的运输</w:t>
      </w:r>
    </w:p>
    <w:p w14:paraId="60876FA8">
      <w:pPr>
        <w:spacing w:line="400" w:lineRule="exact"/>
        <w:ind w:firstLine="420" w:firstLineChars="200"/>
        <w:rPr>
          <w:color w:val="auto"/>
          <w:szCs w:val="21"/>
          <w:highlight w:val="none"/>
        </w:rPr>
      </w:pPr>
      <w:r>
        <w:rPr>
          <w:color w:val="auto"/>
          <w:kern w:val="0"/>
          <w:szCs w:val="21"/>
          <w:highlight w:val="none"/>
        </w:rPr>
        <w:t>运输超大件或超重件所需的道路和桥梁临时加固改造费用和其他有关费用由</w:t>
      </w:r>
      <w:r>
        <w:rPr>
          <w:color w:val="auto"/>
          <w:szCs w:val="21"/>
          <w:highlight w:val="none"/>
          <w:u w:val="single"/>
        </w:rPr>
        <w:t>承包人在报价中综合考虑，并承担相应费用</w:t>
      </w:r>
      <w:r>
        <w:rPr>
          <w:color w:val="auto"/>
          <w:szCs w:val="21"/>
          <w:highlight w:val="none"/>
        </w:rPr>
        <w:t>。</w:t>
      </w:r>
    </w:p>
    <w:p w14:paraId="10897B13">
      <w:pPr>
        <w:spacing w:line="400" w:lineRule="exact"/>
        <w:ind w:firstLine="420" w:firstLineChars="200"/>
        <w:rPr>
          <w:color w:val="auto"/>
          <w:szCs w:val="21"/>
          <w:highlight w:val="none"/>
        </w:rPr>
      </w:pPr>
      <w:r>
        <w:rPr>
          <w:color w:val="auto"/>
          <w:szCs w:val="21"/>
          <w:highlight w:val="none"/>
        </w:rPr>
        <w:t>1.11 知识产权</w:t>
      </w:r>
    </w:p>
    <w:p w14:paraId="09A81747">
      <w:pPr>
        <w:spacing w:line="400" w:lineRule="exact"/>
        <w:ind w:firstLine="420" w:firstLineChars="200"/>
        <w:rPr>
          <w:color w:val="auto"/>
          <w:szCs w:val="21"/>
          <w:highlight w:val="none"/>
        </w:rPr>
      </w:pPr>
      <w:r>
        <w:rPr>
          <w:color w:val="auto"/>
          <w:szCs w:val="21"/>
          <w:highlight w:val="none"/>
        </w:rPr>
        <w:t>1.11.1关于发包人提供给承包人的图纸、发包人为实施工程自行编制或委托编制的技术规范以及反映发包人关于合同要求或其他类似性质的文件的著作权的归属：</w:t>
      </w:r>
      <w:r>
        <w:rPr>
          <w:color w:val="auto"/>
          <w:szCs w:val="21"/>
          <w:highlight w:val="none"/>
          <w:u w:val="single"/>
        </w:rPr>
        <w:t>按合同通用条款</w:t>
      </w:r>
      <w:r>
        <w:rPr>
          <w:color w:val="auto"/>
          <w:szCs w:val="21"/>
          <w:highlight w:val="none"/>
        </w:rPr>
        <w:t>。</w:t>
      </w:r>
    </w:p>
    <w:p w14:paraId="7CF19164">
      <w:pPr>
        <w:spacing w:line="400" w:lineRule="exact"/>
        <w:ind w:firstLine="420" w:firstLineChars="200"/>
        <w:rPr>
          <w:color w:val="auto"/>
          <w:szCs w:val="21"/>
          <w:highlight w:val="none"/>
        </w:rPr>
      </w:pPr>
      <w:r>
        <w:rPr>
          <w:color w:val="auto"/>
          <w:szCs w:val="21"/>
          <w:highlight w:val="none"/>
        </w:rPr>
        <w:t>关于发包人提供的上述文件的使用限制的要求：</w:t>
      </w:r>
      <w:r>
        <w:rPr>
          <w:color w:val="auto"/>
          <w:szCs w:val="21"/>
          <w:highlight w:val="none"/>
          <w:u w:val="single"/>
        </w:rPr>
        <w:t>按合同通用条款</w:t>
      </w:r>
      <w:r>
        <w:rPr>
          <w:color w:val="auto"/>
          <w:szCs w:val="21"/>
          <w:highlight w:val="none"/>
        </w:rPr>
        <w:t>。</w:t>
      </w:r>
    </w:p>
    <w:p w14:paraId="79B45F8F">
      <w:pPr>
        <w:spacing w:line="400" w:lineRule="exact"/>
        <w:ind w:firstLine="420" w:firstLineChars="200"/>
        <w:rPr>
          <w:color w:val="auto"/>
          <w:szCs w:val="21"/>
          <w:highlight w:val="none"/>
        </w:rPr>
      </w:pPr>
      <w:r>
        <w:rPr>
          <w:color w:val="auto"/>
          <w:szCs w:val="21"/>
          <w:highlight w:val="none"/>
        </w:rPr>
        <w:t>1.11.2 关于承包人为实施工程所编制文件的著作权的归属：</w:t>
      </w:r>
      <w:r>
        <w:rPr>
          <w:color w:val="auto"/>
          <w:szCs w:val="21"/>
          <w:highlight w:val="none"/>
          <w:u w:val="single"/>
        </w:rPr>
        <w:t xml:space="preserve"> 发包人</w:t>
      </w:r>
      <w:r>
        <w:rPr>
          <w:color w:val="auto"/>
          <w:szCs w:val="21"/>
          <w:highlight w:val="none"/>
        </w:rPr>
        <w:t>。</w:t>
      </w:r>
    </w:p>
    <w:p w14:paraId="52A21EC3">
      <w:pPr>
        <w:spacing w:line="400" w:lineRule="exact"/>
        <w:ind w:firstLine="420" w:firstLineChars="200"/>
        <w:rPr>
          <w:color w:val="auto"/>
          <w:szCs w:val="21"/>
          <w:highlight w:val="none"/>
        </w:rPr>
      </w:pPr>
      <w:r>
        <w:rPr>
          <w:color w:val="auto"/>
          <w:szCs w:val="21"/>
          <w:highlight w:val="none"/>
        </w:rPr>
        <w:t>关于承包人提供的上述文件的使用限制的要求：</w:t>
      </w:r>
      <w:r>
        <w:rPr>
          <w:color w:val="auto"/>
          <w:szCs w:val="21"/>
          <w:highlight w:val="none"/>
          <w:u w:val="single"/>
        </w:rPr>
        <w:t>按合同通用条款</w:t>
      </w:r>
      <w:r>
        <w:rPr>
          <w:color w:val="auto"/>
          <w:szCs w:val="21"/>
          <w:highlight w:val="none"/>
        </w:rPr>
        <w:t>。</w:t>
      </w:r>
    </w:p>
    <w:p w14:paraId="4A310E0B">
      <w:pPr>
        <w:spacing w:line="400" w:lineRule="exact"/>
        <w:ind w:firstLine="420" w:firstLineChars="200"/>
        <w:rPr>
          <w:color w:val="auto"/>
          <w:szCs w:val="21"/>
          <w:highlight w:val="none"/>
        </w:rPr>
      </w:pPr>
      <w:r>
        <w:rPr>
          <w:color w:val="auto"/>
          <w:szCs w:val="21"/>
          <w:highlight w:val="none"/>
        </w:rPr>
        <w:t>1.11.4 承包人在施工过程中所采用的专利、专有技术、技术秘密的使用费的承担方式：</w:t>
      </w:r>
      <w:r>
        <w:rPr>
          <w:color w:val="auto"/>
          <w:szCs w:val="21"/>
          <w:highlight w:val="none"/>
          <w:u w:val="single"/>
        </w:rPr>
        <w:t>包含在</w:t>
      </w:r>
      <w:r>
        <w:rPr>
          <w:rFonts w:hint="eastAsia"/>
          <w:color w:val="auto"/>
          <w:szCs w:val="21"/>
          <w:highlight w:val="none"/>
          <w:u w:val="single"/>
          <w:lang w:eastAsia="zh-CN"/>
        </w:rPr>
        <w:t>签约</w:t>
      </w:r>
      <w:r>
        <w:rPr>
          <w:color w:val="auto"/>
          <w:szCs w:val="21"/>
          <w:highlight w:val="none"/>
          <w:u w:val="single"/>
        </w:rPr>
        <w:t xml:space="preserve">合同价内  </w:t>
      </w:r>
      <w:r>
        <w:rPr>
          <w:color w:val="auto"/>
          <w:szCs w:val="21"/>
          <w:highlight w:val="none"/>
        </w:rPr>
        <w:t>。</w:t>
      </w:r>
    </w:p>
    <w:p w14:paraId="36FF5E96">
      <w:pPr>
        <w:spacing w:line="400" w:lineRule="exact"/>
        <w:ind w:firstLine="422" w:firstLineChars="200"/>
        <w:rPr>
          <w:b/>
          <w:color w:val="auto"/>
          <w:szCs w:val="21"/>
          <w:highlight w:val="none"/>
        </w:rPr>
      </w:pPr>
      <w:r>
        <w:rPr>
          <w:b/>
          <w:color w:val="auto"/>
          <w:szCs w:val="21"/>
          <w:highlight w:val="none"/>
        </w:rPr>
        <w:t>1.13工程量清单错误的修正</w:t>
      </w:r>
    </w:p>
    <w:p w14:paraId="58F47266">
      <w:pPr>
        <w:spacing w:line="400" w:lineRule="exact"/>
        <w:ind w:firstLine="420" w:firstLineChars="200"/>
        <w:rPr>
          <w:color w:val="auto"/>
          <w:szCs w:val="21"/>
          <w:highlight w:val="none"/>
          <w:u w:val="single"/>
        </w:rPr>
      </w:pPr>
      <w:r>
        <w:rPr>
          <w:color w:val="auto"/>
          <w:highlight w:val="none"/>
        </w:rPr>
        <w:t>出现工程量清单错误时，是否调整合同价格：</w:t>
      </w:r>
      <w:r>
        <w:rPr>
          <w:rFonts w:hint="eastAsia"/>
          <w:color w:val="auto"/>
          <w:szCs w:val="21"/>
          <w:highlight w:val="none"/>
          <w:u w:val="single"/>
        </w:rPr>
        <w:t>工程量清单特征描述不符引起造价变化的子目及工程量清单漏项子目按专用条款 10.4.1（2）（3）（4）条约定调整合同价格</w:t>
      </w:r>
      <w:r>
        <w:rPr>
          <w:color w:val="auto"/>
          <w:szCs w:val="21"/>
          <w:highlight w:val="none"/>
          <w:u w:val="single"/>
        </w:rPr>
        <w:t>。</w:t>
      </w:r>
    </w:p>
    <w:p w14:paraId="1E38063E">
      <w:pPr>
        <w:spacing w:line="400" w:lineRule="exact"/>
        <w:ind w:firstLine="420" w:firstLineChars="200"/>
        <w:rPr>
          <w:color w:val="auto"/>
          <w:szCs w:val="21"/>
          <w:highlight w:val="none"/>
          <w:u w:val="single"/>
        </w:rPr>
      </w:pPr>
      <w:r>
        <w:rPr>
          <w:rFonts w:hint="eastAsia"/>
          <w:color w:val="auto"/>
          <w:highlight w:val="none"/>
        </w:rPr>
        <w:t>允许调整合同价格的工程量偏差范围</w:t>
      </w:r>
      <w:r>
        <w:rPr>
          <w:rFonts w:hint="eastAsia" w:hAnsi="仿宋"/>
          <w:color w:val="auto"/>
          <w:sz w:val="28"/>
          <w:szCs w:val="28"/>
          <w:highlight w:val="none"/>
        </w:rPr>
        <w:t>：</w:t>
      </w:r>
      <w:r>
        <w:rPr>
          <w:rFonts w:hint="eastAsia"/>
          <w:color w:val="auto"/>
          <w:szCs w:val="21"/>
          <w:highlight w:val="none"/>
          <w:u w:val="single"/>
        </w:rPr>
        <w:t>因招标工程量清单中的工程量计算偏差或工程变更等引起的工程量变化不调整综合单价；但如综合单价异常（综合单价异常是指：投标综合单价与按本项目招标控制价（或</w:t>
      </w:r>
      <w:r>
        <w:rPr>
          <w:color w:val="auto"/>
          <w:szCs w:val="21"/>
          <w:highlight w:val="none"/>
          <w:u w:val="single"/>
        </w:rPr>
        <w:t>预算审核价</w:t>
      </w:r>
      <w:r>
        <w:rPr>
          <w:rFonts w:hint="eastAsia"/>
          <w:color w:val="auto"/>
          <w:szCs w:val="21"/>
          <w:highlight w:val="none"/>
          <w:u w:val="single"/>
        </w:rPr>
        <w:t>）编制依据计算的综合单价偏差±30%以上），工程量增加，调整综合单价的工程量偏差范围及综合单价确定方法按专用条款 10.4.1（1）（2）（3）（4）条约定，工程量减少按投标综合单价计算，不调整综合单价。</w:t>
      </w:r>
    </w:p>
    <w:p w14:paraId="799A186C">
      <w:pPr>
        <w:pStyle w:val="4"/>
        <w:spacing w:before="0" w:after="0" w:line="400" w:lineRule="exact"/>
        <w:ind w:firstLine="422" w:firstLineChars="200"/>
        <w:rPr>
          <w:rFonts w:ascii="Times New Roman" w:hAnsi="Times New Roman"/>
          <w:color w:val="auto"/>
          <w:sz w:val="21"/>
          <w:szCs w:val="21"/>
          <w:highlight w:val="none"/>
        </w:rPr>
      </w:pPr>
      <w:r>
        <w:rPr>
          <w:rFonts w:ascii="Times New Roman" w:hAnsi="Times New Roman"/>
          <w:color w:val="auto"/>
          <w:sz w:val="21"/>
          <w:szCs w:val="21"/>
          <w:highlight w:val="none"/>
        </w:rPr>
        <w:t>2. 发包人</w:t>
      </w:r>
    </w:p>
    <w:p w14:paraId="6A10CF62">
      <w:pPr>
        <w:spacing w:line="400" w:lineRule="exact"/>
        <w:ind w:firstLine="420" w:firstLineChars="200"/>
        <w:rPr>
          <w:color w:val="auto"/>
          <w:szCs w:val="21"/>
          <w:highlight w:val="none"/>
        </w:rPr>
      </w:pPr>
      <w:r>
        <w:rPr>
          <w:color w:val="auto"/>
          <w:szCs w:val="21"/>
          <w:highlight w:val="none"/>
        </w:rPr>
        <w:t>2.2 发包人代表</w:t>
      </w:r>
    </w:p>
    <w:p w14:paraId="2835ED7C">
      <w:pPr>
        <w:spacing w:line="400" w:lineRule="exact"/>
        <w:ind w:firstLine="420" w:firstLineChars="200"/>
        <w:rPr>
          <w:color w:val="auto"/>
          <w:szCs w:val="21"/>
          <w:highlight w:val="none"/>
        </w:rPr>
      </w:pPr>
      <w:r>
        <w:rPr>
          <w:color w:val="auto"/>
          <w:szCs w:val="21"/>
          <w:highlight w:val="none"/>
        </w:rPr>
        <w:t>发包人代表：</w:t>
      </w:r>
    </w:p>
    <w:p w14:paraId="702EF191">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姓    名：</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；身份证号：</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 </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605E583A">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职    务：</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；联系电话：</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4F24C8E1">
      <w:pPr>
        <w:spacing w:line="400" w:lineRule="exact"/>
        <w:ind w:firstLine="420" w:firstLineChars="200"/>
        <w:rPr>
          <w:color w:val="auto"/>
          <w:szCs w:val="21"/>
          <w:highlight w:val="none"/>
        </w:rPr>
      </w:pPr>
      <w:r>
        <w:rPr>
          <w:rFonts w:hint="eastAsia" w:ascii="宋体" w:hAnsi="宋体"/>
          <w:color w:val="auto"/>
          <w:szCs w:val="21"/>
          <w:highlight w:val="none"/>
        </w:rPr>
        <w:t>电子信箱：</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；通信地址：</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54DE050A">
      <w:pPr>
        <w:pStyle w:val="11"/>
        <w:spacing w:line="400" w:lineRule="exact"/>
        <w:ind w:firstLine="500" w:firstLineChars="250"/>
        <w:rPr>
          <w:rFonts w:ascii="Times New Roman" w:hAnsi="Times New Roman"/>
          <w:b/>
          <w:color w:val="auto"/>
          <w:szCs w:val="21"/>
          <w:highlight w:val="none"/>
          <w:u w:val="single"/>
        </w:rPr>
      </w:pPr>
      <w:r>
        <w:rPr>
          <w:color w:val="auto"/>
          <w:szCs w:val="21"/>
          <w:highlight w:val="none"/>
        </w:rPr>
        <w:t>发包人对发包人代表的授权范围如下：</w:t>
      </w:r>
      <w:r>
        <w:rPr>
          <w:rFonts w:hint="eastAsia" w:ascii="Times New Roman" w:hAnsi="Times New Roman"/>
          <w:b/>
          <w:color w:val="auto"/>
          <w:szCs w:val="21"/>
          <w:highlight w:val="none"/>
          <w:u w:val="single"/>
        </w:rPr>
        <w:t>对质量、成本、安全、进度进行全面管理，但涉及合同价格变更、安全事故、质量事故等重大事项的处理须经发包人</w:t>
      </w:r>
      <w:r>
        <w:rPr>
          <w:rFonts w:hint="eastAsia" w:ascii="Times New Roman" w:hAnsi="Times New Roman"/>
          <w:b/>
          <w:color w:val="auto"/>
          <w:szCs w:val="21"/>
          <w:highlight w:val="none"/>
          <w:u w:val="single"/>
          <w:lang w:eastAsia="zh-CN"/>
        </w:rPr>
        <w:t>认可</w:t>
      </w:r>
      <w:r>
        <w:rPr>
          <w:rFonts w:hint="eastAsia" w:ascii="Times New Roman" w:hAnsi="Times New Roman"/>
          <w:b/>
          <w:color w:val="auto"/>
          <w:szCs w:val="21"/>
          <w:highlight w:val="none"/>
          <w:u w:val="single"/>
        </w:rPr>
        <w:t>。</w:t>
      </w:r>
    </w:p>
    <w:p w14:paraId="18A02474">
      <w:pPr>
        <w:spacing w:line="400" w:lineRule="exact"/>
        <w:ind w:firstLine="420" w:firstLineChars="200"/>
        <w:rPr>
          <w:color w:val="auto"/>
          <w:szCs w:val="21"/>
          <w:highlight w:val="none"/>
        </w:rPr>
      </w:pPr>
      <w:r>
        <w:rPr>
          <w:color w:val="auto"/>
          <w:szCs w:val="21"/>
          <w:highlight w:val="none"/>
        </w:rPr>
        <w:t>2.4 施工现场、施工条件和基础资料的提供</w:t>
      </w:r>
    </w:p>
    <w:p w14:paraId="41E895FB">
      <w:pPr>
        <w:spacing w:line="400" w:lineRule="exact"/>
        <w:ind w:firstLine="420" w:firstLineChars="200"/>
        <w:rPr>
          <w:color w:val="auto"/>
          <w:szCs w:val="21"/>
          <w:highlight w:val="none"/>
        </w:rPr>
      </w:pPr>
      <w:r>
        <w:rPr>
          <w:color w:val="auto"/>
          <w:szCs w:val="21"/>
          <w:highlight w:val="none"/>
        </w:rPr>
        <w:t>2.4.1 提供施工现场</w:t>
      </w:r>
    </w:p>
    <w:p w14:paraId="7B92FA00">
      <w:pPr>
        <w:spacing w:line="400" w:lineRule="exact"/>
        <w:ind w:firstLine="420" w:firstLineChars="200"/>
        <w:rPr>
          <w:color w:val="auto"/>
          <w:szCs w:val="21"/>
          <w:highlight w:val="none"/>
        </w:rPr>
      </w:pPr>
      <w:r>
        <w:rPr>
          <w:color w:val="auto"/>
          <w:szCs w:val="21"/>
          <w:highlight w:val="none"/>
        </w:rPr>
        <w:t>关于发包人移交施工现场的期限要求：</w:t>
      </w:r>
      <w:r>
        <w:rPr>
          <w:color w:val="auto"/>
          <w:szCs w:val="21"/>
          <w:highlight w:val="none"/>
          <w:u w:val="single"/>
        </w:rPr>
        <w:t>开工日期</w:t>
      </w:r>
      <w:r>
        <w:rPr>
          <w:rFonts w:hint="eastAsia"/>
          <w:color w:val="auto"/>
          <w:szCs w:val="21"/>
          <w:highlight w:val="none"/>
          <w:u w:val="single"/>
        </w:rPr>
        <w:t>7</w:t>
      </w:r>
      <w:r>
        <w:rPr>
          <w:color w:val="auto"/>
          <w:szCs w:val="21"/>
          <w:highlight w:val="none"/>
          <w:u w:val="single"/>
        </w:rPr>
        <w:t xml:space="preserve">天前  </w:t>
      </w:r>
      <w:r>
        <w:rPr>
          <w:color w:val="auto"/>
          <w:szCs w:val="21"/>
          <w:highlight w:val="none"/>
        </w:rPr>
        <w:t>。</w:t>
      </w:r>
    </w:p>
    <w:p w14:paraId="5ADBB1D6">
      <w:pPr>
        <w:spacing w:line="400" w:lineRule="exact"/>
        <w:ind w:firstLine="420" w:firstLineChars="200"/>
        <w:rPr>
          <w:color w:val="auto"/>
          <w:szCs w:val="21"/>
          <w:highlight w:val="none"/>
        </w:rPr>
      </w:pPr>
      <w:r>
        <w:rPr>
          <w:color w:val="auto"/>
          <w:szCs w:val="21"/>
          <w:highlight w:val="none"/>
        </w:rPr>
        <w:t>2.4.2 提供施工条件</w:t>
      </w:r>
    </w:p>
    <w:p w14:paraId="6AD59559">
      <w:pPr>
        <w:spacing w:line="480" w:lineRule="exact"/>
        <w:ind w:firstLine="420" w:firstLineChars="200"/>
        <w:rPr>
          <w:rFonts w:ascii="Times New Roman" w:hAnsi="Times New Roman"/>
          <w:color w:val="auto"/>
          <w:szCs w:val="21"/>
          <w:highlight w:val="none"/>
          <w:u w:val="single"/>
        </w:rPr>
      </w:pPr>
      <w:r>
        <w:rPr>
          <w:color w:val="auto"/>
          <w:szCs w:val="21"/>
          <w:highlight w:val="none"/>
        </w:rPr>
        <w:t>关于发包人应负责提供施工所需要的条件，包括：</w:t>
      </w:r>
      <w:r>
        <w:rPr>
          <w:rFonts w:hint="eastAsia"/>
          <w:color w:val="auto"/>
          <w:szCs w:val="21"/>
          <w:highlight w:val="none"/>
          <w:u w:val="single"/>
        </w:rPr>
        <w:t>施工</w:t>
      </w:r>
      <w:r>
        <w:rPr>
          <w:rFonts w:hint="eastAsia" w:ascii="宋体" w:hAnsi="宋体"/>
          <w:color w:val="auto"/>
          <w:highlight w:val="none"/>
          <w:u w:val="single"/>
        </w:rPr>
        <w:t>用临时水源、电源的</w:t>
      </w:r>
      <w:r>
        <w:rPr>
          <w:rFonts w:hint="eastAsia" w:ascii="宋体" w:hAnsi="宋体"/>
          <w:bCs/>
          <w:color w:val="auto"/>
          <w:highlight w:val="none"/>
          <w:u w:val="single"/>
        </w:rPr>
        <w:t>接入、安装由承包人自行解决，并承担相关费用，发包人配合协调</w:t>
      </w:r>
      <w:r>
        <w:rPr>
          <w:color w:val="auto"/>
          <w:szCs w:val="21"/>
          <w:highlight w:val="none"/>
          <w:u w:val="single"/>
        </w:rPr>
        <w:t xml:space="preserve">  </w:t>
      </w:r>
      <w:r>
        <w:rPr>
          <w:color w:val="auto"/>
          <w:szCs w:val="21"/>
          <w:highlight w:val="none"/>
        </w:rPr>
        <w:t>。</w:t>
      </w:r>
    </w:p>
    <w:p w14:paraId="2789FF4D">
      <w:pPr>
        <w:spacing w:line="400" w:lineRule="exact"/>
        <w:ind w:firstLine="420" w:firstLineChars="200"/>
        <w:rPr>
          <w:color w:val="auto"/>
          <w:szCs w:val="21"/>
          <w:highlight w:val="none"/>
        </w:rPr>
      </w:pPr>
      <w:r>
        <w:rPr>
          <w:color w:val="auto"/>
          <w:szCs w:val="21"/>
          <w:highlight w:val="none"/>
        </w:rPr>
        <w:t>2.5 资金来源证明及支付担保</w:t>
      </w:r>
    </w:p>
    <w:p w14:paraId="6156D54F">
      <w:pPr>
        <w:spacing w:line="400" w:lineRule="exact"/>
        <w:ind w:firstLine="420" w:firstLineChars="200"/>
        <w:rPr>
          <w:color w:val="auto"/>
          <w:szCs w:val="21"/>
          <w:highlight w:val="none"/>
        </w:rPr>
      </w:pPr>
      <w:r>
        <w:rPr>
          <w:color w:val="auto"/>
          <w:szCs w:val="21"/>
          <w:highlight w:val="none"/>
        </w:rPr>
        <w:t>发包人提供资金来源证明的期限要求：</w:t>
      </w:r>
      <w:r>
        <w:rPr>
          <w:color w:val="auto"/>
          <w:szCs w:val="21"/>
          <w:highlight w:val="none"/>
          <w:u w:val="single"/>
        </w:rPr>
        <w:t xml:space="preserve">       /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7DD61F97">
      <w:pPr>
        <w:spacing w:line="400" w:lineRule="exact"/>
        <w:ind w:firstLine="420" w:firstLineChars="200"/>
        <w:rPr>
          <w:color w:val="auto"/>
          <w:szCs w:val="21"/>
          <w:highlight w:val="none"/>
        </w:rPr>
      </w:pPr>
      <w:r>
        <w:rPr>
          <w:color w:val="auto"/>
          <w:szCs w:val="21"/>
          <w:highlight w:val="none"/>
        </w:rPr>
        <w:t>发包人是否提供支付担保：</w:t>
      </w:r>
      <w:r>
        <w:rPr>
          <w:color w:val="auto"/>
          <w:szCs w:val="21"/>
          <w:highlight w:val="none"/>
          <w:u w:val="single"/>
        </w:rPr>
        <w:t xml:space="preserve">       /         </w:t>
      </w:r>
      <w:r>
        <w:rPr>
          <w:color w:val="auto"/>
          <w:szCs w:val="21"/>
          <w:highlight w:val="none"/>
        </w:rPr>
        <w:t>。</w:t>
      </w:r>
    </w:p>
    <w:p w14:paraId="78A71BF5">
      <w:pPr>
        <w:spacing w:line="400" w:lineRule="exact"/>
        <w:ind w:firstLine="420" w:firstLineChars="200"/>
        <w:rPr>
          <w:rFonts w:hint="eastAsia"/>
          <w:color w:val="auto"/>
          <w:szCs w:val="21"/>
          <w:highlight w:val="none"/>
        </w:rPr>
      </w:pPr>
      <w:r>
        <w:rPr>
          <w:color w:val="auto"/>
          <w:szCs w:val="21"/>
          <w:highlight w:val="none"/>
        </w:rPr>
        <w:t>发包人提供支付担保的形式：</w:t>
      </w:r>
      <w:r>
        <w:rPr>
          <w:color w:val="auto"/>
          <w:szCs w:val="21"/>
          <w:highlight w:val="none"/>
          <w:u w:val="single"/>
        </w:rPr>
        <w:t xml:space="preserve">    /        </w:t>
      </w:r>
      <w:r>
        <w:rPr>
          <w:color w:val="auto"/>
          <w:szCs w:val="21"/>
          <w:highlight w:val="none"/>
        </w:rPr>
        <w:t>。</w:t>
      </w:r>
    </w:p>
    <w:p w14:paraId="74952411">
      <w:pPr>
        <w:spacing w:line="400" w:lineRule="exact"/>
        <w:ind w:firstLine="420" w:firstLineChars="200"/>
        <w:rPr>
          <w:color w:val="auto"/>
          <w:szCs w:val="21"/>
          <w:highlight w:val="none"/>
        </w:rPr>
      </w:pPr>
      <w:r>
        <w:rPr>
          <w:rFonts w:hint="eastAsia"/>
          <w:color w:val="auto"/>
          <w:szCs w:val="21"/>
          <w:highlight w:val="none"/>
        </w:rPr>
        <w:t>2.6 支付合同价款</w:t>
      </w:r>
    </w:p>
    <w:p w14:paraId="1C7235C1">
      <w:pPr>
        <w:spacing w:line="400" w:lineRule="exact"/>
        <w:ind w:firstLine="420" w:firstLineChars="200"/>
        <w:rPr>
          <w:color w:val="auto"/>
          <w:szCs w:val="21"/>
          <w:highlight w:val="none"/>
        </w:rPr>
      </w:pPr>
      <w:r>
        <w:rPr>
          <w:rFonts w:hint="eastAsia"/>
          <w:color w:val="auto"/>
          <w:szCs w:val="21"/>
          <w:highlight w:val="none"/>
        </w:rPr>
        <w:t>发包人应按合同约定向承包人及时支付合同价款。</w:t>
      </w:r>
    </w:p>
    <w:p w14:paraId="725AEEBD">
      <w:pPr>
        <w:spacing w:line="400" w:lineRule="exact"/>
        <w:ind w:firstLine="420" w:firstLineChars="200"/>
        <w:rPr>
          <w:color w:val="auto"/>
          <w:szCs w:val="21"/>
          <w:highlight w:val="none"/>
        </w:rPr>
      </w:pPr>
      <w:r>
        <w:rPr>
          <w:rFonts w:hint="eastAsia"/>
          <w:color w:val="auto"/>
          <w:szCs w:val="21"/>
          <w:highlight w:val="none"/>
        </w:rPr>
        <w:t>2.7 组织竣工验收</w:t>
      </w:r>
    </w:p>
    <w:p w14:paraId="64FAD8E6">
      <w:pPr>
        <w:spacing w:line="400" w:lineRule="exact"/>
        <w:ind w:firstLine="420" w:firstLineChars="200"/>
        <w:rPr>
          <w:color w:val="auto"/>
          <w:szCs w:val="21"/>
          <w:highlight w:val="none"/>
        </w:rPr>
      </w:pPr>
      <w:r>
        <w:rPr>
          <w:rFonts w:hint="eastAsia"/>
          <w:color w:val="auto"/>
          <w:szCs w:val="21"/>
          <w:highlight w:val="none"/>
        </w:rPr>
        <w:t>发包人应按合同约定及时组织竣工验收。</w:t>
      </w:r>
    </w:p>
    <w:p w14:paraId="32D9A2EA">
      <w:pPr>
        <w:spacing w:line="400" w:lineRule="exact"/>
        <w:ind w:firstLine="420" w:firstLineChars="200"/>
        <w:rPr>
          <w:color w:val="auto"/>
          <w:szCs w:val="21"/>
          <w:highlight w:val="none"/>
          <w:u w:val="single"/>
        </w:rPr>
      </w:pPr>
      <w:r>
        <w:rPr>
          <w:rFonts w:hint="eastAsia" w:ascii="宋体" w:hAnsi="宋体"/>
          <w:color w:val="auto"/>
          <w:szCs w:val="21"/>
          <w:highlight w:val="none"/>
          <w:u w:val="single"/>
        </w:rPr>
        <w:t>承包人完成合同范围内工程内容，发包人应根据施工图纸、现行施工验收规范和质量验收标准及时组织工程质量验收。</w:t>
      </w:r>
    </w:p>
    <w:p w14:paraId="654E54A8">
      <w:pPr>
        <w:pStyle w:val="4"/>
        <w:spacing w:before="0" w:after="0" w:line="400" w:lineRule="exact"/>
        <w:ind w:firstLine="422" w:firstLineChars="200"/>
        <w:rPr>
          <w:rFonts w:ascii="Times New Roman" w:hAnsi="Times New Roman"/>
          <w:color w:val="auto"/>
          <w:sz w:val="21"/>
          <w:szCs w:val="21"/>
          <w:highlight w:val="none"/>
        </w:rPr>
      </w:pPr>
      <w:bookmarkStart w:id="35" w:name="_Toc351203635"/>
      <w:r>
        <w:rPr>
          <w:rFonts w:ascii="Times New Roman" w:hAnsi="Times New Roman"/>
          <w:color w:val="auto"/>
          <w:sz w:val="21"/>
          <w:szCs w:val="21"/>
          <w:highlight w:val="none"/>
        </w:rPr>
        <w:t>3. 承包人</w:t>
      </w:r>
      <w:bookmarkEnd w:id="35"/>
    </w:p>
    <w:p w14:paraId="12264F54">
      <w:pPr>
        <w:spacing w:line="400" w:lineRule="exact"/>
        <w:ind w:firstLine="420" w:firstLineChars="200"/>
        <w:rPr>
          <w:color w:val="auto"/>
          <w:szCs w:val="21"/>
          <w:highlight w:val="none"/>
        </w:rPr>
      </w:pPr>
      <w:r>
        <w:rPr>
          <w:color w:val="auto"/>
          <w:szCs w:val="21"/>
          <w:highlight w:val="none"/>
        </w:rPr>
        <w:t>3.1 承包人的一般义务</w:t>
      </w:r>
    </w:p>
    <w:p w14:paraId="5DAD0035">
      <w:pPr>
        <w:spacing w:line="400" w:lineRule="exact"/>
        <w:ind w:firstLine="420" w:firstLineChars="200"/>
        <w:rPr>
          <w:color w:val="auto"/>
          <w:szCs w:val="21"/>
          <w:highlight w:val="none"/>
        </w:rPr>
      </w:pPr>
      <w:r>
        <w:rPr>
          <w:color w:val="auto"/>
          <w:szCs w:val="21"/>
          <w:highlight w:val="none"/>
        </w:rPr>
        <w:t>（9）承包人提交的竣工资料的内容：</w:t>
      </w:r>
      <w:r>
        <w:rPr>
          <w:color w:val="auto"/>
          <w:szCs w:val="21"/>
          <w:highlight w:val="none"/>
          <w:u w:val="single"/>
        </w:rPr>
        <w:t>向发包人提交按规范规定应由承包人编制部分的竣工资料</w:t>
      </w:r>
      <w:r>
        <w:rPr>
          <w:rFonts w:hint="eastAsia"/>
          <w:color w:val="auto"/>
          <w:szCs w:val="21"/>
          <w:highlight w:val="none"/>
          <w:u w:val="single"/>
        </w:rPr>
        <w:t>，包括含施工过程中验收、检查时拍摄或录制的相片、影像资料等，并符合建设工程资料存档要求</w:t>
      </w:r>
      <w:r>
        <w:rPr>
          <w:color w:val="auto"/>
          <w:szCs w:val="21"/>
          <w:highlight w:val="none"/>
        </w:rPr>
        <w:t>。</w:t>
      </w:r>
    </w:p>
    <w:p w14:paraId="590B6DF5">
      <w:pPr>
        <w:spacing w:line="400" w:lineRule="exact"/>
        <w:ind w:firstLine="420" w:firstLineChars="200"/>
        <w:rPr>
          <w:color w:val="auto"/>
          <w:szCs w:val="21"/>
          <w:highlight w:val="none"/>
        </w:rPr>
      </w:pPr>
      <w:r>
        <w:rPr>
          <w:color w:val="auto"/>
          <w:szCs w:val="21"/>
          <w:highlight w:val="none"/>
        </w:rPr>
        <w:t>承包人需要提交的竣工资料套数：</w:t>
      </w:r>
      <w:r>
        <w:rPr>
          <w:color w:val="auto"/>
          <w:szCs w:val="21"/>
          <w:highlight w:val="none"/>
          <w:u w:val="single"/>
        </w:rPr>
        <w:t xml:space="preserve">  4</w:t>
      </w:r>
      <w:r>
        <w:rPr>
          <w:rFonts w:hint="eastAsia"/>
          <w:color w:val="auto"/>
          <w:szCs w:val="21"/>
          <w:highlight w:val="none"/>
          <w:u w:val="single"/>
        </w:rPr>
        <w:t>套</w:t>
      </w:r>
      <w:r>
        <w:rPr>
          <w:color w:val="auto"/>
          <w:szCs w:val="21"/>
          <w:highlight w:val="none"/>
          <w:u w:val="single"/>
        </w:rPr>
        <w:t xml:space="preserve">   </w:t>
      </w:r>
      <w:r>
        <w:rPr>
          <w:color w:val="auto"/>
          <w:szCs w:val="21"/>
          <w:highlight w:val="none"/>
        </w:rPr>
        <w:t>。</w:t>
      </w:r>
    </w:p>
    <w:p w14:paraId="54CEDA94">
      <w:pPr>
        <w:spacing w:line="400" w:lineRule="exact"/>
        <w:ind w:firstLine="420" w:firstLineChars="200"/>
        <w:rPr>
          <w:color w:val="auto"/>
          <w:szCs w:val="21"/>
          <w:highlight w:val="none"/>
        </w:rPr>
      </w:pPr>
      <w:r>
        <w:rPr>
          <w:color w:val="auto"/>
          <w:szCs w:val="21"/>
          <w:highlight w:val="none"/>
        </w:rPr>
        <w:t>承包人提交的竣工资料的费用承担：</w:t>
      </w:r>
      <w:r>
        <w:rPr>
          <w:color w:val="auto"/>
          <w:szCs w:val="21"/>
          <w:highlight w:val="none"/>
          <w:u w:val="single"/>
        </w:rPr>
        <w:t xml:space="preserve">由承包人承担  </w:t>
      </w:r>
      <w:r>
        <w:rPr>
          <w:color w:val="auto"/>
          <w:szCs w:val="21"/>
          <w:highlight w:val="none"/>
        </w:rPr>
        <w:t>。</w:t>
      </w:r>
    </w:p>
    <w:p w14:paraId="35C82838">
      <w:pPr>
        <w:spacing w:line="400" w:lineRule="exact"/>
        <w:ind w:firstLine="420" w:firstLineChars="200"/>
        <w:rPr>
          <w:color w:val="auto"/>
          <w:szCs w:val="21"/>
          <w:highlight w:val="none"/>
        </w:rPr>
      </w:pPr>
      <w:r>
        <w:rPr>
          <w:color w:val="auto"/>
          <w:szCs w:val="21"/>
          <w:highlight w:val="none"/>
        </w:rPr>
        <w:t>承包人提交的竣工资料移交时间：</w:t>
      </w:r>
      <w:r>
        <w:rPr>
          <w:color w:val="auto"/>
          <w:szCs w:val="21"/>
          <w:highlight w:val="none"/>
          <w:u w:val="single"/>
        </w:rPr>
        <w:t>工程竣工验收合格后7天内</w:t>
      </w:r>
      <w:r>
        <w:rPr>
          <w:rFonts w:hint="eastAsia"/>
          <w:color w:val="auto"/>
          <w:szCs w:val="21"/>
          <w:highlight w:val="none"/>
          <w:u w:val="single"/>
        </w:rPr>
        <w:t xml:space="preserve"> </w:t>
      </w:r>
      <w:r>
        <w:rPr>
          <w:color w:val="auto"/>
          <w:szCs w:val="21"/>
          <w:highlight w:val="none"/>
        </w:rPr>
        <w:t>。</w:t>
      </w:r>
    </w:p>
    <w:p w14:paraId="22A51B1D">
      <w:pPr>
        <w:spacing w:line="400" w:lineRule="exact"/>
        <w:ind w:firstLine="420" w:firstLineChars="200"/>
        <w:rPr>
          <w:color w:val="auto"/>
          <w:szCs w:val="21"/>
          <w:highlight w:val="none"/>
        </w:rPr>
      </w:pPr>
      <w:r>
        <w:rPr>
          <w:color w:val="auto"/>
          <w:szCs w:val="21"/>
          <w:highlight w:val="none"/>
        </w:rPr>
        <w:t>承包人提交的竣工资料形式要求：</w:t>
      </w:r>
      <w:r>
        <w:rPr>
          <w:color w:val="auto"/>
          <w:szCs w:val="21"/>
          <w:highlight w:val="none"/>
          <w:u w:val="single"/>
        </w:rPr>
        <w:t xml:space="preserve">   纸质及相关电子数据  </w:t>
      </w:r>
      <w:r>
        <w:rPr>
          <w:color w:val="auto"/>
          <w:szCs w:val="21"/>
          <w:highlight w:val="none"/>
        </w:rPr>
        <w:t>。</w:t>
      </w:r>
    </w:p>
    <w:p w14:paraId="634A0636">
      <w:pPr>
        <w:spacing w:line="400" w:lineRule="exact"/>
        <w:ind w:firstLine="420" w:firstLineChars="200"/>
        <w:rPr>
          <w:color w:val="auto"/>
          <w:szCs w:val="21"/>
          <w:highlight w:val="none"/>
          <w:u w:val="single"/>
        </w:rPr>
      </w:pPr>
      <w:r>
        <w:rPr>
          <w:color w:val="auto"/>
          <w:szCs w:val="21"/>
          <w:highlight w:val="none"/>
        </w:rPr>
        <w:t>（10）承包人应履行的其他义务：</w:t>
      </w:r>
    </w:p>
    <w:p w14:paraId="268CC69D">
      <w:pPr>
        <w:spacing w:line="400" w:lineRule="exact"/>
        <w:ind w:firstLine="420" w:firstLineChars="200"/>
        <w:rPr>
          <w:color w:val="auto"/>
          <w:szCs w:val="21"/>
          <w:highlight w:val="none"/>
          <w:u w:val="single"/>
        </w:rPr>
      </w:pPr>
      <w:r>
        <w:rPr>
          <w:color w:val="auto"/>
          <w:szCs w:val="21"/>
          <w:highlight w:val="none"/>
          <w:u w:val="single"/>
        </w:rPr>
        <w:t xml:space="preserve">a.向发包人、监理人提供施工现场办公室各1间免费使用。 </w:t>
      </w:r>
    </w:p>
    <w:p w14:paraId="022A2178">
      <w:pPr>
        <w:spacing w:line="400" w:lineRule="exact"/>
        <w:ind w:firstLine="420" w:firstLineChars="200"/>
        <w:rPr>
          <w:color w:val="auto"/>
          <w:szCs w:val="21"/>
          <w:highlight w:val="none"/>
          <w:u w:val="single"/>
        </w:rPr>
      </w:pPr>
      <w:r>
        <w:rPr>
          <w:color w:val="auto"/>
          <w:szCs w:val="21"/>
          <w:highlight w:val="none"/>
          <w:u w:val="single"/>
        </w:rPr>
        <w:t>b.在施工中必须严格按照规范操作，并针对邻近建筑物实际情况，采取相应防护措施，对不按规范要求施工或未采取防护措施的，造成的损失由承包人承担。</w:t>
      </w:r>
    </w:p>
    <w:p w14:paraId="5A8869D1">
      <w:pPr>
        <w:spacing w:line="400" w:lineRule="exact"/>
        <w:ind w:firstLine="420" w:firstLineChars="200"/>
        <w:rPr>
          <w:color w:val="auto"/>
          <w:szCs w:val="21"/>
          <w:highlight w:val="none"/>
          <w:u w:val="single"/>
        </w:rPr>
      </w:pPr>
      <w:r>
        <w:rPr>
          <w:color w:val="auto"/>
          <w:szCs w:val="21"/>
          <w:highlight w:val="none"/>
          <w:u w:val="single"/>
        </w:rPr>
        <w:t>c.本项目施工安全由承包人负总责。</w:t>
      </w:r>
    </w:p>
    <w:p w14:paraId="1B641308">
      <w:pPr>
        <w:spacing w:line="400" w:lineRule="exact"/>
        <w:ind w:firstLine="420" w:firstLineChars="200"/>
        <w:rPr>
          <w:color w:val="auto"/>
          <w:szCs w:val="21"/>
          <w:highlight w:val="none"/>
          <w:u w:val="single"/>
        </w:rPr>
      </w:pPr>
      <w:r>
        <w:rPr>
          <w:color w:val="auto"/>
          <w:szCs w:val="21"/>
          <w:highlight w:val="none"/>
          <w:u w:val="single"/>
        </w:rPr>
        <w:t>d.按当地有关部门要求，由承包人办理的有关施工场地交通、环卫和施工噪音管理等手续。</w:t>
      </w:r>
    </w:p>
    <w:p w14:paraId="19FE27B2">
      <w:pPr>
        <w:widowControl/>
        <w:spacing w:line="400" w:lineRule="exact"/>
        <w:ind w:firstLine="422" w:firstLineChars="200"/>
        <w:rPr>
          <w:rFonts w:ascii="宋体" w:hAnsi="宋体"/>
          <w:b/>
          <w:color w:val="auto"/>
          <w:szCs w:val="21"/>
          <w:highlight w:val="none"/>
          <w:u w:val="single"/>
        </w:rPr>
      </w:pPr>
      <w:r>
        <w:rPr>
          <w:rFonts w:ascii="宋体" w:hAnsi="宋体"/>
          <w:b/>
          <w:color w:val="auto"/>
          <w:szCs w:val="21"/>
          <w:highlight w:val="none"/>
          <w:u w:val="single"/>
        </w:rPr>
        <w:t>e、其他：</w:t>
      </w:r>
    </w:p>
    <w:p w14:paraId="71CEF6A2">
      <w:pPr>
        <w:spacing w:line="480" w:lineRule="exact"/>
        <w:ind w:firstLine="422" w:firstLineChars="200"/>
        <w:rPr>
          <w:rFonts w:ascii="Times New Roman" w:hAnsi="Times New Roman"/>
          <w:b/>
          <w:color w:val="auto"/>
          <w:szCs w:val="21"/>
          <w:highlight w:val="none"/>
          <w:u w:val="single"/>
        </w:rPr>
      </w:pPr>
      <w:r>
        <w:rPr>
          <w:rFonts w:hint="eastAsia" w:ascii="宋体" w:hAnsi="宋体" w:cs="宋体"/>
          <w:b/>
          <w:color w:val="auto"/>
          <w:highlight w:val="none"/>
        </w:rPr>
        <w:t>①</w:t>
      </w:r>
      <w:r>
        <w:rPr>
          <w:rFonts w:ascii="Times New Roman" w:hAnsi="Times New Roman"/>
          <w:b/>
          <w:color w:val="auto"/>
          <w:highlight w:val="none"/>
          <w:u w:val="single"/>
        </w:rPr>
        <w:t>承包人必须遵守浙江省、台州市等地方法规，服从行业主管部门的管理，凡涉及到承包单位的施工备案、车辆准运等有关行政或者事业许可、备案、审批等程序，均由承包人自行办理，发包人给予配合，发生的费用全部由承包人承担，包括施工备案费用、排污管理费、噪声管理费、垃圾管理费、交通组织设计方案编制费及审批等</w:t>
      </w:r>
      <w:r>
        <w:rPr>
          <w:rFonts w:ascii="Times New Roman" w:hAnsi="Times New Roman"/>
          <w:b/>
          <w:color w:val="auto"/>
          <w:highlight w:val="none"/>
        </w:rPr>
        <w:t>。</w:t>
      </w:r>
    </w:p>
    <w:p w14:paraId="789C4427">
      <w:pPr>
        <w:snapToGrid w:val="0"/>
        <w:spacing w:line="480" w:lineRule="exact"/>
        <w:ind w:firstLine="443" w:firstLineChars="210"/>
        <w:rPr>
          <w:rFonts w:ascii="Times New Roman" w:hAnsi="Times New Roman"/>
          <w:b/>
          <w:color w:val="auto"/>
          <w:highlight w:val="none"/>
          <w:u w:val="single"/>
        </w:rPr>
      </w:pPr>
      <w:r>
        <w:rPr>
          <w:rFonts w:hint="eastAsia" w:ascii="宋体" w:hAnsi="宋体" w:cs="宋体"/>
          <w:b/>
          <w:color w:val="auto"/>
          <w:highlight w:val="none"/>
        </w:rPr>
        <w:t>②</w:t>
      </w:r>
      <w:r>
        <w:rPr>
          <w:rFonts w:ascii="Times New Roman" w:hAnsi="Times New Roman"/>
          <w:b/>
          <w:color w:val="auto"/>
          <w:highlight w:val="none"/>
          <w:u w:val="single"/>
        </w:rPr>
        <w:t>承包人应负责协助办理质量监督委托、安全监督委托及施工许可证等开工手续，费用按相关规定承担。</w:t>
      </w:r>
      <w:r>
        <w:rPr>
          <w:rFonts w:hint="eastAsia" w:ascii="Times New Roman" w:hAnsi="Times New Roman"/>
          <w:b/>
          <w:color w:val="auto"/>
          <w:highlight w:val="none"/>
          <w:u w:val="single"/>
        </w:rPr>
        <w:t>承包人负责汇集其他专业工程竣工资料的归档，并向发包人提交由承包人编制部分的竣工资料，由发包人</w:t>
      </w:r>
      <w:r>
        <w:rPr>
          <w:rFonts w:hint="eastAsia" w:ascii="Times New Roman" w:hAnsi="Times New Roman"/>
          <w:b/>
          <w:color w:val="auto"/>
          <w:highlight w:val="none"/>
          <w:u w:val="single"/>
          <w:lang w:eastAsia="zh-CN"/>
        </w:rPr>
        <w:t>如</w:t>
      </w:r>
      <w:r>
        <w:rPr>
          <w:rFonts w:hint="eastAsia" w:ascii="Times New Roman" w:hAnsi="Times New Roman"/>
          <w:b/>
          <w:color w:val="auto"/>
          <w:highlight w:val="none"/>
          <w:u w:val="single"/>
        </w:rPr>
        <w:t>委托第三方档案整理咨询服务单位进行汇编归档工作，相关费用由承包人负责。并</w:t>
      </w:r>
      <w:r>
        <w:rPr>
          <w:rFonts w:ascii="Times New Roman" w:hAnsi="Times New Roman"/>
          <w:b/>
          <w:color w:val="auto"/>
          <w:highlight w:val="none"/>
          <w:u w:val="single"/>
        </w:rPr>
        <w:t>协助办理竣工验收备案、工程项目移交（包括发包人另行招标的专业分包、设备安装工程）的相关手续，并协助发包人进行工程移交。承包人协助组织施工过程中的专项验收、竣工验收等，承包人自身发生相关费用含在本合同价款中，发包人不再另行支付。</w:t>
      </w:r>
    </w:p>
    <w:p w14:paraId="0B774CB3">
      <w:pPr>
        <w:widowControl/>
        <w:spacing w:line="480" w:lineRule="exact"/>
        <w:ind w:firstLine="422" w:firstLineChars="200"/>
        <w:rPr>
          <w:rFonts w:ascii="Times New Roman" w:hAnsi="Times New Roman"/>
          <w:b/>
          <w:color w:val="auto"/>
          <w:highlight w:val="none"/>
          <w:u w:val="single"/>
        </w:rPr>
      </w:pPr>
      <w:r>
        <w:rPr>
          <w:rFonts w:hint="eastAsia" w:ascii="宋体" w:hAnsi="宋体" w:cs="宋体"/>
          <w:b/>
          <w:color w:val="auto"/>
          <w:highlight w:val="none"/>
        </w:rPr>
        <w:t>③</w:t>
      </w:r>
      <w:r>
        <w:rPr>
          <w:rFonts w:ascii="Times New Roman" w:hAnsi="Times New Roman"/>
          <w:b/>
          <w:color w:val="auto"/>
          <w:highlight w:val="none"/>
          <w:u w:val="single"/>
        </w:rPr>
        <w:t>对发包人的现场监督工作予以充分的配合与协助。承包人服从发包人、监理公司的管理，做好交叉施工事宜及其他与本工程施工相关的工作。</w:t>
      </w:r>
    </w:p>
    <w:p w14:paraId="11F43B55">
      <w:pPr>
        <w:widowControl/>
        <w:spacing w:line="480" w:lineRule="exact"/>
        <w:ind w:firstLine="422" w:firstLineChars="200"/>
        <w:rPr>
          <w:rFonts w:ascii="Times New Roman" w:hAnsi="Times New Roman"/>
          <w:b/>
          <w:color w:val="auto"/>
          <w:szCs w:val="21"/>
          <w:highlight w:val="none"/>
          <w:u w:val="single"/>
        </w:rPr>
      </w:pPr>
      <w:r>
        <w:rPr>
          <w:rFonts w:hint="eastAsia" w:ascii="宋体" w:hAnsi="宋体" w:cs="宋体"/>
          <w:b/>
          <w:color w:val="auto"/>
          <w:highlight w:val="none"/>
        </w:rPr>
        <w:t>④</w:t>
      </w:r>
      <w:r>
        <w:rPr>
          <w:rFonts w:ascii="Times New Roman" w:hAnsi="Times New Roman"/>
          <w:b/>
          <w:color w:val="auto"/>
          <w:highlight w:val="none"/>
          <w:u w:val="single"/>
        </w:rPr>
        <w:t>承包人承担施工期间的水、电费用，承包人必须每月按水、电部门的计价标准，按所需缴纳金额及时足额向水、电部门缴纳，若承包人不按时缴纳，则发包人有权采取相应措施。</w:t>
      </w:r>
    </w:p>
    <w:p w14:paraId="392F91B1">
      <w:pPr>
        <w:tabs>
          <w:tab w:val="left" w:pos="450"/>
        </w:tabs>
        <w:snapToGrid w:val="0"/>
        <w:spacing w:line="480" w:lineRule="exact"/>
        <w:ind w:firstLine="474" w:firstLineChars="225"/>
        <w:rPr>
          <w:rFonts w:ascii="Times New Roman" w:hAnsi="Times New Roman"/>
          <w:b/>
          <w:color w:val="auto"/>
          <w:highlight w:val="none"/>
          <w:u w:val="single"/>
        </w:rPr>
      </w:pPr>
      <w:r>
        <w:rPr>
          <w:rFonts w:hint="eastAsia" w:ascii="宋体" w:hAnsi="宋体" w:cs="宋体"/>
          <w:b/>
          <w:color w:val="auto"/>
          <w:highlight w:val="none"/>
        </w:rPr>
        <w:t>⑤</w:t>
      </w:r>
      <w:r>
        <w:rPr>
          <w:rFonts w:ascii="Times New Roman" w:hAnsi="Times New Roman"/>
          <w:b/>
          <w:color w:val="auto"/>
          <w:highlight w:val="none"/>
          <w:u w:val="single"/>
        </w:rPr>
        <w:t>承包人负责落实对施工现场的安全文明施工的管理制度、交底，进行定期及不定期检查，并提出整改意见，承包人负责落实整个工地现场的保安、防盗工作。承包人应专人负责妥善处理因施工引起的、对相邻或周边的建筑物或环境的各种影响，并承担相关的索赔费用。</w:t>
      </w:r>
    </w:p>
    <w:p w14:paraId="2039FEDF">
      <w:pPr>
        <w:widowControl/>
        <w:spacing w:line="480" w:lineRule="exact"/>
        <w:ind w:firstLine="422" w:firstLineChars="200"/>
        <w:rPr>
          <w:rFonts w:ascii="Times New Roman" w:hAnsi="Times New Roman"/>
          <w:b/>
          <w:color w:val="auto"/>
          <w:highlight w:val="none"/>
          <w:u w:val="single"/>
        </w:rPr>
      </w:pPr>
      <w:r>
        <w:rPr>
          <w:rFonts w:hint="eastAsia" w:ascii="宋体" w:hAnsi="宋体" w:cs="宋体"/>
          <w:b/>
          <w:color w:val="auto"/>
          <w:highlight w:val="none"/>
        </w:rPr>
        <w:t>⑥</w:t>
      </w:r>
      <w:r>
        <w:rPr>
          <w:rFonts w:ascii="Times New Roman" w:hAnsi="Times New Roman"/>
          <w:b/>
          <w:color w:val="auto"/>
          <w:highlight w:val="none"/>
          <w:u w:val="single"/>
        </w:rPr>
        <w:t xml:space="preserve">不管投标时有无承诺，施工现场必须配备能满足停电时施工所需要的发电机组。承包人应充分考虑发包人提供电源容量与施工所需机器设备用电是否相匹配，并采取包括自备电源在内的必要措施解决施工用电的临时断电问题以保证施工的顺利进行。该笔费用已包含在合同价内，不再另行计取。 </w:t>
      </w:r>
    </w:p>
    <w:p w14:paraId="5DDD3CCB">
      <w:pPr>
        <w:snapToGrid w:val="0"/>
        <w:spacing w:line="480" w:lineRule="exact"/>
        <w:ind w:firstLine="443" w:firstLineChars="210"/>
        <w:rPr>
          <w:rFonts w:ascii="Times New Roman" w:hAnsi="Times New Roman"/>
          <w:b/>
          <w:color w:val="auto"/>
          <w:highlight w:val="none"/>
          <w:u w:val="single"/>
        </w:rPr>
      </w:pPr>
      <w:r>
        <w:rPr>
          <w:rFonts w:hint="eastAsia" w:ascii="宋体" w:hAnsi="宋体" w:cs="宋体"/>
          <w:b/>
          <w:color w:val="auto"/>
          <w:highlight w:val="none"/>
        </w:rPr>
        <w:t>⑦</w:t>
      </w:r>
      <w:r>
        <w:rPr>
          <w:rFonts w:ascii="Times New Roman" w:hAnsi="Times New Roman"/>
          <w:b/>
          <w:color w:val="auto"/>
          <w:highlight w:val="none"/>
          <w:u w:val="single"/>
        </w:rPr>
        <w:t>施工现场的标语、条幅和围挡图案、廉政文化宣传等制作，在悬挂和喷涂前应征得发包人同意，如发包人提出修改意见，承包人应无条件修改，直到符合要求为止，合同价款不予调整。</w:t>
      </w:r>
    </w:p>
    <w:p w14:paraId="77E650F2">
      <w:pPr>
        <w:snapToGrid w:val="0"/>
        <w:spacing w:line="480" w:lineRule="exact"/>
        <w:ind w:firstLine="443" w:firstLineChars="210"/>
        <w:rPr>
          <w:rFonts w:ascii="Times New Roman" w:hAnsi="Times New Roman"/>
          <w:b/>
          <w:color w:val="auto"/>
          <w:highlight w:val="none"/>
          <w:u w:val="single"/>
        </w:rPr>
      </w:pPr>
      <w:r>
        <w:rPr>
          <w:rFonts w:hint="eastAsia" w:ascii="宋体" w:hAnsi="宋体" w:cs="宋体"/>
          <w:b/>
          <w:color w:val="auto"/>
          <w:highlight w:val="none"/>
        </w:rPr>
        <w:t>⑧</w:t>
      </w:r>
      <w:r>
        <w:rPr>
          <w:rFonts w:ascii="Times New Roman" w:hAnsi="Times New Roman"/>
          <w:b/>
          <w:color w:val="auto"/>
          <w:highlight w:val="none"/>
          <w:u w:val="single"/>
        </w:rPr>
        <w:t>承包人在合同履行过程中，应严格遵守和执行发包人制定的各项管理制度和规定，严格执行发包人关于工程设计变更、签证等方面的审批程序及制度。</w:t>
      </w:r>
    </w:p>
    <w:p w14:paraId="12ACE818">
      <w:pPr>
        <w:tabs>
          <w:tab w:val="left" w:pos="450"/>
        </w:tabs>
        <w:snapToGrid w:val="0"/>
        <w:spacing w:line="480" w:lineRule="exact"/>
        <w:ind w:firstLine="474" w:firstLineChars="225"/>
        <w:rPr>
          <w:rFonts w:ascii="Times New Roman" w:hAnsi="Times New Roman"/>
          <w:b/>
          <w:color w:val="auto"/>
          <w:highlight w:val="none"/>
          <w:u w:val="single"/>
        </w:rPr>
      </w:pPr>
      <w:r>
        <w:rPr>
          <w:rFonts w:hint="eastAsia" w:ascii="宋体" w:hAnsi="宋体" w:cs="宋体"/>
          <w:b/>
          <w:color w:val="auto"/>
          <w:highlight w:val="none"/>
        </w:rPr>
        <w:t>⑨</w:t>
      </w:r>
      <w:r>
        <w:rPr>
          <w:rFonts w:ascii="Times New Roman" w:hAnsi="Times New Roman"/>
          <w:b/>
          <w:color w:val="auto"/>
          <w:highlight w:val="none"/>
          <w:u w:val="single"/>
        </w:rPr>
        <w:t>由承包人的质量安全职能部门每月对本工程施工现场的质量、安全文明、进度等进行全面督查，并将督查结果向发包人汇报。</w:t>
      </w:r>
    </w:p>
    <w:p w14:paraId="0EFA326A">
      <w:pPr>
        <w:tabs>
          <w:tab w:val="left" w:pos="450"/>
        </w:tabs>
        <w:snapToGrid w:val="0"/>
        <w:spacing w:line="480" w:lineRule="exact"/>
        <w:ind w:firstLine="474" w:firstLineChars="225"/>
        <w:rPr>
          <w:rFonts w:ascii="Times New Roman" w:hAnsi="Times New Roman"/>
          <w:b/>
          <w:color w:val="auto"/>
          <w:highlight w:val="none"/>
          <w:u w:val="single"/>
        </w:rPr>
      </w:pPr>
      <w:r>
        <w:rPr>
          <w:rFonts w:hint="eastAsia" w:ascii="宋体" w:hAnsi="宋体" w:cs="宋体"/>
          <w:b/>
          <w:color w:val="auto"/>
          <w:highlight w:val="none"/>
        </w:rPr>
        <w:t>⑩</w:t>
      </w:r>
      <w:r>
        <w:rPr>
          <w:rFonts w:ascii="Times New Roman" w:hAnsi="Times New Roman"/>
          <w:b/>
          <w:color w:val="auto"/>
          <w:highlight w:val="none"/>
          <w:u w:val="single"/>
        </w:rPr>
        <w:t>已竣工工程未验收合格之前，承包人按协议条款约定负责已完工程的保护工作，保护期间发生损坏，责任方自费予以修复至符合验收条件。</w:t>
      </w:r>
    </w:p>
    <w:p w14:paraId="1A741D54">
      <w:pPr>
        <w:tabs>
          <w:tab w:val="left" w:pos="450"/>
        </w:tabs>
        <w:snapToGrid w:val="0"/>
        <w:spacing w:line="480" w:lineRule="exact"/>
        <w:ind w:firstLine="310" w:firstLineChars="147"/>
        <w:rPr>
          <w:rFonts w:ascii="Times New Roman" w:hAnsi="Times New Roman"/>
          <w:b/>
          <w:color w:val="auto"/>
          <w:highlight w:val="none"/>
          <w:u w:val="single"/>
        </w:rPr>
      </w:pPr>
      <w:r>
        <w:rPr>
          <w:rFonts w:ascii="Times New Roman" w:hAnsi="Times New Roman"/>
          <w:b/>
          <w:color w:val="auto"/>
          <w:highlight w:val="none"/>
          <w:u w:val="single"/>
        </w:rPr>
        <w:t>f、</w:t>
      </w:r>
      <w:r>
        <w:rPr>
          <w:rFonts w:ascii="Times New Roman" w:hAnsi="Times New Roman" w:eastAsia="黑体"/>
          <w:b/>
          <w:color w:val="auto"/>
          <w:highlight w:val="none"/>
          <w:u w:val="single"/>
        </w:rPr>
        <w:t>农民工工资按三人社〔2019〕41号关于全面治理拖欠农民工工资问题的实施意见执行。</w:t>
      </w:r>
    </w:p>
    <w:p w14:paraId="57052F2C">
      <w:pPr>
        <w:spacing w:line="480" w:lineRule="exact"/>
        <w:ind w:firstLine="420" w:firstLineChars="200"/>
        <w:rPr>
          <w:rFonts w:ascii="Times New Roman" w:hAnsi="Times New Roman"/>
          <w:color w:val="auto"/>
          <w:szCs w:val="21"/>
          <w:highlight w:val="none"/>
          <w:u w:val="single"/>
        </w:rPr>
      </w:pPr>
      <w:r>
        <w:rPr>
          <w:rFonts w:ascii="Times New Roman" w:hAnsi="Times New Roman"/>
          <w:color w:val="auto"/>
          <w:szCs w:val="21"/>
          <w:highlight w:val="none"/>
        </w:rPr>
        <w:t>（11）承包人诚实信用的承诺：</w:t>
      </w:r>
      <w:r>
        <w:rPr>
          <w:rFonts w:ascii="Times New Roman" w:hAnsi="Times New Roman"/>
          <w:color w:val="auto"/>
          <w:szCs w:val="21"/>
          <w:highlight w:val="none"/>
          <w:u w:val="single"/>
        </w:rPr>
        <w:t xml:space="preserve"> 承包人向发包人承诺按照本合同约定及现场甲方和监理工程师的指令进行施工。竣工后，保修期内承担工程质量保修责任，并履行本合同约定的全部义务 。</w:t>
      </w:r>
    </w:p>
    <w:p w14:paraId="225266DA">
      <w:pPr>
        <w:spacing w:line="480" w:lineRule="exact"/>
        <w:ind w:firstLine="420" w:firstLineChars="200"/>
        <w:rPr>
          <w:rFonts w:ascii="Times New Roman" w:hAnsi="Times New Roman"/>
          <w:color w:val="auto"/>
          <w:szCs w:val="21"/>
          <w:highlight w:val="none"/>
          <w:u w:val="single"/>
        </w:rPr>
      </w:pPr>
      <w:r>
        <w:rPr>
          <w:rFonts w:ascii="Times New Roman" w:hAnsi="Times New Roman"/>
          <w:color w:val="auto"/>
          <w:szCs w:val="21"/>
          <w:highlight w:val="none"/>
        </w:rPr>
        <w:t>（12）承包人使用新技术、工法、工艺的承诺：</w:t>
      </w:r>
      <w:r>
        <w:rPr>
          <w:rFonts w:ascii="Times New Roman" w:hAnsi="Times New Roman"/>
          <w:color w:val="auto"/>
          <w:szCs w:val="21"/>
          <w:highlight w:val="none"/>
          <w:u w:val="single"/>
        </w:rPr>
        <w:t xml:space="preserve">                     /              。</w:t>
      </w:r>
    </w:p>
    <w:p w14:paraId="41D0BF82">
      <w:pPr>
        <w:spacing w:line="400" w:lineRule="exact"/>
        <w:ind w:firstLine="420" w:firstLineChars="200"/>
        <w:rPr>
          <w:color w:val="auto"/>
          <w:szCs w:val="21"/>
          <w:highlight w:val="none"/>
        </w:rPr>
      </w:pPr>
      <w:r>
        <w:rPr>
          <w:color w:val="auto"/>
          <w:szCs w:val="21"/>
          <w:highlight w:val="none"/>
        </w:rPr>
        <w:t>3.2 项目经理</w:t>
      </w:r>
    </w:p>
    <w:p w14:paraId="03376D73">
      <w:pPr>
        <w:spacing w:line="400" w:lineRule="exact"/>
        <w:ind w:firstLine="420" w:firstLineChars="200"/>
        <w:rPr>
          <w:color w:val="auto"/>
          <w:szCs w:val="21"/>
          <w:highlight w:val="none"/>
        </w:rPr>
      </w:pPr>
      <w:r>
        <w:rPr>
          <w:color w:val="auto"/>
          <w:kern w:val="0"/>
          <w:szCs w:val="21"/>
          <w:highlight w:val="none"/>
        </w:rPr>
        <w:t xml:space="preserve">3.2.1 </w:t>
      </w:r>
      <w:r>
        <w:rPr>
          <w:color w:val="auto"/>
          <w:szCs w:val="21"/>
          <w:highlight w:val="none"/>
        </w:rPr>
        <w:t>项目经理：</w:t>
      </w:r>
    </w:p>
    <w:p w14:paraId="5C4A87AF">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姓    名：</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；身份证号：</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0B2C7222">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建造师执业资格等级：</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；建造师注册证书号：</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4CE725EB">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建造师执业印章号：</w:t>
      </w:r>
      <w:r>
        <w:rPr>
          <w:rFonts w:hint="eastAsia" w:ascii="宋体" w:hAnsi="宋体" w:cs="宋体"/>
          <w:color w:val="auto"/>
          <w:szCs w:val="21"/>
          <w:highlight w:val="none"/>
          <w:u w:val="single"/>
        </w:rPr>
        <w:t></w:t>
      </w:r>
      <w:r>
        <w:rPr>
          <w:rFonts w:hint="eastAsia" w:ascii="宋体" w:hAnsi="宋体"/>
          <w:color w:val="auto"/>
          <w:szCs w:val="21"/>
          <w:highlight w:val="none"/>
        </w:rPr>
        <w:t>；安全生产考核合格证书号：</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118E5C40">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联系电话：</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；电子信箱：</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7BF05EC3">
      <w:pPr>
        <w:spacing w:line="400" w:lineRule="exact"/>
        <w:ind w:firstLine="420" w:firstLineChars="200"/>
        <w:rPr>
          <w:color w:val="auto"/>
          <w:szCs w:val="21"/>
          <w:highlight w:val="none"/>
        </w:rPr>
      </w:pPr>
      <w:r>
        <w:rPr>
          <w:rFonts w:hint="eastAsia" w:ascii="宋体" w:hAnsi="宋体"/>
          <w:color w:val="auto"/>
          <w:szCs w:val="21"/>
          <w:highlight w:val="none"/>
        </w:rPr>
        <w:t>通信地址：</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04C1A333">
      <w:pPr>
        <w:spacing w:line="400" w:lineRule="exact"/>
        <w:rPr>
          <w:color w:val="auto"/>
          <w:szCs w:val="21"/>
          <w:highlight w:val="none"/>
        </w:rPr>
      </w:pPr>
      <w:r>
        <w:rPr>
          <w:color w:val="auto"/>
          <w:szCs w:val="21"/>
          <w:highlight w:val="none"/>
        </w:rPr>
        <w:t>承包人对项目经理的授权范围如下：</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529DA985">
      <w:pPr>
        <w:spacing w:line="400" w:lineRule="exact"/>
        <w:ind w:firstLine="420" w:firstLineChars="200"/>
        <w:rPr>
          <w:color w:val="auto"/>
          <w:spacing w:val="-3"/>
          <w:highlight w:val="none"/>
          <w:u w:val="single" w:color="000000"/>
        </w:rPr>
      </w:pPr>
      <w:r>
        <w:rPr>
          <w:color w:val="auto"/>
          <w:kern w:val="0"/>
          <w:szCs w:val="21"/>
          <w:highlight w:val="none"/>
        </w:rPr>
        <w:t>关于项目经理每月在施工现场的时间要求：</w:t>
      </w:r>
      <w:r>
        <w:rPr>
          <w:rFonts w:hint="eastAsia"/>
          <w:color w:val="auto"/>
          <w:spacing w:val="-3"/>
          <w:highlight w:val="none"/>
          <w:u w:val="single" w:color="000000"/>
        </w:rPr>
        <w:t>月到岗须不少于24天，月到岗达不到约定天数，按相关行业主管部</w:t>
      </w:r>
      <w:r>
        <w:rPr>
          <w:rFonts w:hint="eastAsia"/>
          <w:color w:val="auto"/>
          <w:spacing w:val="-3"/>
          <w:highlight w:val="none"/>
          <w:u w:val="single" w:color="000000"/>
          <w:lang w:eastAsia="zh-CN"/>
        </w:rPr>
        <w:t>门</w:t>
      </w:r>
      <w:r>
        <w:rPr>
          <w:rFonts w:hint="eastAsia"/>
          <w:color w:val="auto"/>
          <w:spacing w:val="-3"/>
          <w:highlight w:val="none"/>
          <w:u w:val="single" w:color="000000"/>
        </w:rPr>
        <w:t>发布的规定处理；遇有工程检查、验收或参观等活动时，无特殊原因不得离开施工现场。</w:t>
      </w:r>
    </w:p>
    <w:p w14:paraId="0434AB92">
      <w:pPr>
        <w:spacing w:line="400" w:lineRule="exact"/>
        <w:ind w:firstLine="420" w:firstLineChars="200"/>
        <w:rPr>
          <w:color w:val="auto"/>
          <w:kern w:val="0"/>
          <w:szCs w:val="21"/>
          <w:highlight w:val="none"/>
          <w:u w:val="single"/>
        </w:rPr>
      </w:pPr>
      <w:r>
        <w:rPr>
          <w:color w:val="auto"/>
          <w:kern w:val="0"/>
          <w:szCs w:val="21"/>
          <w:highlight w:val="none"/>
        </w:rPr>
        <w:t>承包人未提交劳动合同，以及没有为项目经理缴纳社会保险证明的违约责任：</w:t>
      </w:r>
      <w:r>
        <w:rPr>
          <w:rFonts w:hint="eastAsia"/>
          <w:color w:val="auto"/>
          <w:spacing w:val="-3"/>
          <w:highlight w:val="none"/>
          <w:u w:val="single" w:color="000000"/>
        </w:rPr>
        <w:t>发包人有权要求更换项目经理，由此增加的费用和(或)延误的工期由承包人承担，并承担违约责任</w:t>
      </w:r>
      <w:r>
        <w:rPr>
          <w:color w:val="auto"/>
          <w:spacing w:val="-3"/>
          <w:highlight w:val="none"/>
          <w:u w:val="single" w:color="000000"/>
        </w:rPr>
        <w:t>。</w:t>
      </w:r>
    </w:p>
    <w:p w14:paraId="0ED6C2B1">
      <w:pPr>
        <w:spacing w:line="400" w:lineRule="exact"/>
        <w:ind w:firstLine="420" w:firstLineChars="200"/>
        <w:rPr>
          <w:color w:val="auto"/>
          <w:spacing w:val="-3"/>
          <w:highlight w:val="none"/>
          <w:u w:val="single" w:color="000000"/>
        </w:rPr>
      </w:pPr>
      <w:r>
        <w:rPr>
          <w:color w:val="auto"/>
          <w:kern w:val="0"/>
          <w:szCs w:val="21"/>
          <w:highlight w:val="none"/>
        </w:rPr>
        <w:t>项目经理未经批准，擅自离开施工现场的违约责任：</w:t>
      </w:r>
      <w:r>
        <w:rPr>
          <w:rFonts w:hint="eastAsia"/>
          <w:color w:val="auto"/>
          <w:spacing w:val="-3"/>
          <w:highlight w:val="none"/>
          <w:u w:val="single" w:color="000000"/>
        </w:rPr>
        <w:t>月到岗率须不少于 24 天，不足天数，每天扣除履约担保金额的 0.1%，每月结算，在当期工程款支付时扣除；连续三个月达不到要求且项目经理不能到岗的，发包人有权终止合同，没收全部履约担保金，同时由承包人赔偿发包人由此造成的损失。另遇有工程检查、验收或参观等活动时，无特殊原因不得离开施工现场。</w:t>
      </w:r>
    </w:p>
    <w:p w14:paraId="69D67915">
      <w:pPr>
        <w:spacing w:line="400" w:lineRule="exact"/>
        <w:ind w:firstLine="420" w:firstLineChars="200"/>
        <w:rPr>
          <w:color w:val="auto"/>
          <w:szCs w:val="21"/>
          <w:highlight w:val="none"/>
          <w:u w:val="single"/>
        </w:rPr>
      </w:pPr>
      <w:r>
        <w:rPr>
          <w:color w:val="auto"/>
          <w:szCs w:val="21"/>
          <w:highlight w:val="none"/>
        </w:rPr>
        <w:t>3.2.3 承包人擅自更换项目经理的违约责任：</w:t>
      </w:r>
      <w:r>
        <w:rPr>
          <w:color w:val="auto"/>
          <w:szCs w:val="21"/>
          <w:highlight w:val="none"/>
          <w:u w:val="single"/>
        </w:rPr>
        <w:t>项目经理因发生重大安全事故、生病住院、终止劳动合同关系（提供相关部门或单位证明材料）、被责令停止执业、羁押或判刑情形，无法继续担任项目经理，承包人向发包人提出申请，发包人应同意更换，并报所在地建设行政主管部门批准、备案，更换到位的项目经理资质、信用等级不低于原项目经理；除上述情形外不允许更换，如承包人擅自更换，按每更换一人次扣除履约担保金额的20%；及至发包人可通知承包人全部解除合同，所有履约担保金归发包人，并赔偿发包人损失。</w:t>
      </w:r>
    </w:p>
    <w:p w14:paraId="518DB3A0">
      <w:pPr>
        <w:spacing w:line="400" w:lineRule="exact"/>
        <w:ind w:firstLine="420" w:firstLineChars="200"/>
        <w:rPr>
          <w:color w:val="auto"/>
          <w:szCs w:val="21"/>
          <w:highlight w:val="none"/>
          <w:u w:val="single"/>
        </w:rPr>
      </w:pPr>
      <w:r>
        <w:rPr>
          <w:color w:val="auto"/>
          <w:szCs w:val="21"/>
          <w:highlight w:val="none"/>
        </w:rPr>
        <w:t>3.2.4 承包人无正当理由拒绝更换项目经理的违约责任：</w:t>
      </w:r>
      <w:r>
        <w:rPr>
          <w:color w:val="auto"/>
          <w:szCs w:val="21"/>
          <w:highlight w:val="none"/>
          <w:u w:val="single"/>
        </w:rPr>
        <w:t>发包人可通知承包人全部解除合同，所有履约担保金归发包人</w:t>
      </w:r>
      <w:r>
        <w:rPr>
          <w:rFonts w:hint="eastAsia"/>
          <w:color w:val="auto"/>
          <w:szCs w:val="21"/>
          <w:highlight w:val="none"/>
          <w:u w:val="single"/>
        </w:rPr>
        <w:t>，同时赔偿发包人损失</w:t>
      </w:r>
      <w:r>
        <w:rPr>
          <w:color w:val="auto"/>
          <w:szCs w:val="21"/>
          <w:highlight w:val="none"/>
          <w:u w:val="single"/>
        </w:rPr>
        <w:t>。</w:t>
      </w:r>
    </w:p>
    <w:p w14:paraId="1B6E1167">
      <w:pPr>
        <w:spacing w:line="400" w:lineRule="exact"/>
        <w:ind w:firstLine="420" w:firstLineChars="200"/>
        <w:rPr>
          <w:color w:val="auto"/>
          <w:szCs w:val="21"/>
          <w:highlight w:val="none"/>
        </w:rPr>
      </w:pPr>
      <w:r>
        <w:rPr>
          <w:color w:val="auto"/>
          <w:szCs w:val="21"/>
          <w:highlight w:val="none"/>
        </w:rPr>
        <w:t>3.3 承包人人员</w:t>
      </w:r>
    </w:p>
    <w:p w14:paraId="63A84AA6">
      <w:pPr>
        <w:spacing w:line="400" w:lineRule="exact"/>
        <w:ind w:firstLine="420" w:firstLineChars="200"/>
        <w:rPr>
          <w:color w:val="auto"/>
          <w:szCs w:val="21"/>
          <w:highlight w:val="none"/>
        </w:rPr>
      </w:pPr>
      <w:r>
        <w:rPr>
          <w:color w:val="auto"/>
          <w:szCs w:val="21"/>
          <w:highlight w:val="none"/>
        </w:rPr>
        <w:t>3.3.1 承包人提交项目管理机构及施工现场管理人员安排报告的期限：</w:t>
      </w:r>
      <w:r>
        <w:rPr>
          <w:color w:val="auto"/>
          <w:szCs w:val="21"/>
          <w:highlight w:val="none"/>
          <w:u w:val="single"/>
        </w:rPr>
        <w:t xml:space="preserve"> 接到开工通知（或确定开工日期）后7天内 </w:t>
      </w:r>
      <w:r>
        <w:rPr>
          <w:color w:val="auto"/>
          <w:szCs w:val="21"/>
          <w:highlight w:val="none"/>
        </w:rPr>
        <w:t>。</w:t>
      </w:r>
    </w:p>
    <w:p w14:paraId="4955DC50">
      <w:pPr>
        <w:spacing w:line="400" w:lineRule="exact"/>
        <w:ind w:firstLine="420" w:firstLineChars="200"/>
        <w:rPr>
          <w:color w:val="auto"/>
          <w:szCs w:val="21"/>
          <w:highlight w:val="none"/>
        </w:rPr>
      </w:pPr>
      <w:r>
        <w:rPr>
          <w:color w:val="auto"/>
          <w:szCs w:val="21"/>
          <w:highlight w:val="none"/>
        </w:rPr>
        <w:t>3.3.3 承包人无正当理由拒绝撤换主要施工管理人员的违约责任：</w:t>
      </w:r>
      <w:r>
        <w:rPr>
          <w:color w:val="auto"/>
          <w:szCs w:val="21"/>
          <w:highlight w:val="none"/>
          <w:u w:val="single"/>
        </w:rPr>
        <w:t>发包人可通知承包人全部解除合同，所有履约担保金归发包人</w:t>
      </w:r>
      <w:r>
        <w:rPr>
          <w:rFonts w:hint="eastAsia"/>
          <w:color w:val="auto"/>
          <w:szCs w:val="21"/>
          <w:highlight w:val="none"/>
          <w:u w:val="single"/>
        </w:rPr>
        <w:t>，同时赔偿发包人损失</w:t>
      </w:r>
      <w:r>
        <w:rPr>
          <w:color w:val="auto"/>
          <w:szCs w:val="21"/>
          <w:highlight w:val="none"/>
          <w:u w:val="single"/>
        </w:rPr>
        <w:t>。</w:t>
      </w:r>
    </w:p>
    <w:p w14:paraId="1DCAC3F5">
      <w:pPr>
        <w:spacing w:line="400" w:lineRule="exact"/>
        <w:ind w:firstLine="420" w:firstLineChars="200"/>
        <w:rPr>
          <w:color w:val="auto"/>
          <w:szCs w:val="21"/>
          <w:highlight w:val="none"/>
          <w:u w:val="single"/>
        </w:rPr>
      </w:pPr>
      <w:r>
        <w:rPr>
          <w:color w:val="auto"/>
          <w:szCs w:val="21"/>
          <w:highlight w:val="none"/>
        </w:rPr>
        <w:t>3.3.4 承包人主要施工管理人员离开施工现场的批准要求：</w:t>
      </w:r>
      <w:r>
        <w:rPr>
          <w:color w:val="auto"/>
          <w:szCs w:val="21"/>
          <w:highlight w:val="none"/>
          <w:u w:val="single"/>
        </w:rPr>
        <w:t>按通用条款执行；</w:t>
      </w:r>
      <w:r>
        <w:rPr>
          <w:rFonts w:hint="eastAsia"/>
          <w:color w:val="auto"/>
          <w:szCs w:val="21"/>
          <w:highlight w:val="none"/>
          <w:u w:val="single"/>
        </w:rPr>
        <w:t>未经批准擅自离开施工现场按相关行业主管部</w:t>
      </w:r>
      <w:r>
        <w:rPr>
          <w:rFonts w:hint="eastAsia"/>
          <w:color w:val="auto"/>
          <w:szCs w:val="21"/>
          <w:highlight w:val="none"/>
          <w:u w:val="single"/>
          <w:lang w:eastAsia="zh-CN"/>
        </w:rPr>
        <w:t>门</w:t>
      </w:r>
      <w:r>
        <w:rPr>
          <w:rFonts w:hint="eastAsia"/>
          <w:color w:val="auto"/>
          <w:szCs w:val="21"/>
          <w:highlight w:val="none"/>
          <w:u w:val="single"/>
        </w:rPr>
        <w:t>发布的规定处理；另遇有工程检查、验收或参观等活动时，无特殊原因不得请假</w:t>
      </w:r>
      <w:r>
        <w:rPr>
          <w:color w:val="auto"/>
          <w:szCs w:val="21"/>
          <w:highlight w:val="none"/>
          <w:u w:val="single"/>
        </w:rPr>
        <w:t>。</w:t>
      </w:r>
    </w:p>
    <w:p w14:paraId="61D19C13">
      <w:pPr>
        <w:spacing w:line="400" w:lineRule="exact"/>
        <w:ind w:firstLine="420" w:firstLineChars="200"/>
        <w:rPr>
          <w:color w:val="auto"/>
          <w:szCs w:val="21"/>
          <w:highlight w:val="none"/>
        </w:rPr>
      </w:pPr>
      <w:r>
        <w:rPr>
          <w:color w:val="auto"/>
          <w:szCs w:val="21"/>
          <w:highlight w:val="none"/>
        </w:rPr>
        <w:t>3.3.5承包人擅自更换主要施工管理人员的违约责任：</w:t>
      </w:r>
      <w:r>
        <w:rPr>
          <w:color w:val="auto"/>
          <w:szCs w:val="21"/>
          <w:highlight w:val="none"/>
          <w:u w:val="single"/>
        </w:rPr>
        <w:t>因发生重大安全事故、因生病住院、终止劳动合同关系（提供相关部门或单位证明材料）、被责令停止执业、羁押或判刑情形，无法继续担任相应岗位工作，承包人向发包人提出申请，发包人应同意更换，并报工程所在地建设行政主管部门批准、备案，对更换到位的技术负责人资质、信用等级应不低于原技术负责人。除上述情形外不允许更换，如承包人擅自更换，按技术负责人每更换一人次扣除履约担保金的10%；其他关键岗位人员每更换一人次扣除履约担保金额的5%。</w:t>
      </w:r>
    </w:p>
    <w:p w14:paraId="4C80A5B1">
      <w:pPr>
        <w:spacing w:line="400" w:lineRule="exact"/>
        <w:ind w:firstLine="420" w:firstLineChars="200"/>
        <w:rPr>
          <w:color w:val="auto"/>
          <w:szCs w:val="21"/>
          <w:highlight w:val="none"/>
          <w:u w:val="single"/>
        </w:rPr>
      </w:pPr>
      <w:r>
        <w:rPr>
          <w:color w:val="auto"/>
          <w:szCs w:val="21"/>
          <w:highlight w:val="none"/>
        </w:rPr>
        <w:t>承包人主要施工管理人员擅自离开施工现场的违约责任</w:t>
      </w:r>
      <w:r>
        <w:rPr>
          <w:rFonts w:hint="eastAsia"/>
          <w:color w:val="auto"/>
          <w:szCs w:val="21"/>
          <w:highlight w:val="none"/>
        </w:rPr>
        <w:t>：</w:t>
      </w:r>
      <w:r>
        <w:rPr>
          <w:rFonts w:hint="eastAsia"/>
          <w:color w:val="auto"/>
          <w:szCs w:val="21"/>
          <w:highlight w:val="none"/>
          <w:u w:val="single"/>
        </w:rPr>
        <w:t>按《台州市建设工程施工现场关键岗位人员管理办法的通知》（台建〔2018〕110号）文件规定，关键岗位人员到岗达不到 24 天的，不足天数每人次每天扣除履约担保金额的 0.05%，每月结算，在当期工程款支付时扣除。某关键岗位人员连续三个月到岗率达不到要求且不能到岗的，一次性扣除履约担保金的 5%（含前三个月已扣除的履约担保金），且发包人有权要求承包人更换该关键岗位人员。</w:t>
      </w:r>
    </w:p>
    <w:p w14:paraId="3F8F2D5A">
      <w:pPr>
        <w:spacing w:line="400" w:lineRule="exact"/>
        <w:ind w:firstLine="420" w:firstLineChars="200"/>
        <w:rPr>
          <w:color w:val="auto"/>
          <w:szCs w:val="21"/>
          <w:highlight w:val="none"/>
        </w:rPr>
      </w:pPr>
      <w:r>
        <w:rPr>
          <w:color w:val="auto"/>
          <w:szCs w:val="21"/>
          <w:highlight w:val="none"/>
        </w:rPr>
        <w:t>3.5 分包</w:t>
      </w:r>
    </w:p>
    <w:p w14:paraId="31C88722">
      <w:pPr>
        <w:spacing w:line="400" w:lineRule="exact"/>
        <w:ind w:firstLine="420" w:firstLineChars="200"/>
        <w:rPr>
          <w:color w:val="auto"/>
          <w:szCs w:val="21"/>
          <w:highlight w:val="none"/>
        </w:rPr>
      </w:pPr>
      <w:r>
        <w:rPr>
          <w:color w:val="auto"/>
          <w:szCs w:val="21"/>
          <w:highlight w:val="none"/>
        </w:rPr>
        <w:t>3.5.1 分包的一般约定</w:t>
      </w:r>
    </w:p>
    <w:p w14:paraId="442E964A">
      <w:pPr>
        <w:spacing w:line="400" w:lineRule="exact"/>
        <w:ind w:firstLine="420" w:firstLineChars="200"/>
        <w:rPr>
          <w:color w:val="auto"/>
          <w:szCs w:val="21"/>
          <w:highlight w:val="none"/>
        </w:rPr>
      </w:pPr>
      <w:r>
        <w:rPr>
          <w:color w:val="auto"/>
          <w:szCs w:val="21"/>
          <w:highlight w:val="none"/>
        </w:rPr>
        <w:t>禁止分包的工程包括：</w:t>
      </w:r>
      <w:r>
        <w:rPr>
          <w:color w:val="auto"/>
          <w:szCs w:val="21"/>
          <w:highlight w:val="none"/>
          <w:u w:val="single"/>
        </w:rPr>
        <w:t></w:t>
      </w:r>
      <w:r>
        <w:rPr>
          <w:rFonts w:hint="eastAsia"/>
          <w:color w:val="auto"/>
          <w:szCs w:val="21"/>
          <w:highlight w:val="none"/>
          <w:u w:val="single"/>
        </w:rPr>
        <w:t xml:space="preserve">   </w:t>
      </w:r>
      <w:r>
        <w:rPr>
          <w:color w:val="auto"/>
          <w:szCs w:val="21"/>
          <w:highlight w:val="none"/>
          <w:u w:val="single"/>
        </w:rPr>
        <w:t>工程主体结构、关键性工作</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13B17391">
      <w:pPr>
        <w:spacing w:line="400" w:lineRule="exact"/>
        <w:ind w:firstLine="420" w:firstLineChars="200"/>
        <w:rPr>
          <w:color w:val="auto"/>
          <w:szCs w:val="21"/>
          <w:highlight w:val="none"/>
          <w:u w:val="single"/>
        </w:rPr>
      </w:pPr>
      <w:r>
        <w:rPr>
          <w:color w:val="auto"/>
          <w:szCs w:val="21"/>
          <w:highlight w:val="none"/>
        </w:rPr>
        <w:t>主体结构、关键性工作的范围：</w:t>
      </w:r>
      <w:r>
        <w:rPr>
          <w:color w:val="auto"/>
          <w:szCs w:val="21"/>
          <w:highlight w:val="none"/>
          <w:u w:val="single"/>
        </w:rPr>
        <w:t xml:space="preserve">  </w:t>
      </w:r>
      <w:r>
        <w:rPr>
          <w:rFonts w:hint="eastAsia"/>
          <w:color w:val="auto"/>
          <w:szCs w:val="21"/>
          <w:highlight w:val="none"/>
          <w:u w:val="single"/>
        </w:rPr>
        <w:t xml:space="preserve">    /          </w:t>
      </w:r>
      <w:r>
        <w:rPr>
          <w:color w:val="auto"/>
          <w:szCs w:val="21"/>
          <w:highlight w:val="none"/>
          <w:u w:val="single"/>
        </w:rPr>
        <w:t xml:space="preserve">       </w:t>
      </w:r>
      <w:r>
        <w:rPr>
          <w:color w:val="auto"/>
          <w:szCs w:val="21"/>
          <w:highlight w:val="none"/>
        </w:rPr>
        <w:t>。</w:t>
      </w:r>
    </w:p>
    <w:p w14:paraId="676EB74B">
      <w:pPr>
        <w:spacing w:line="400" w:lineRule="exact"/>
        <w:ind w:firstLine="315" w:firstLineChars="150"/>
        <w:rPr>
          <w:color w:val="auto"/>
          <w:szCs w:val="21"/>
          <w:highlight w:val="none"/>
        </w:rPr>
      </w:pPr>
      <w:r>
        <w:rPr>
          <w:color w:val="auto"/>
          <w:szCs w:val="21"/>
          <w:highlight w:val="none"/>
        </w:rPr>
        <w:t xml:space="preserve"> 3.5.2分包的确定</w:t>
      </w:r>
    </w:p>
    <w:p w14:paraId="6952B666">
      <w:pPr>
        <w:spacing w:line="400" w:lineRule="exact"/>
        <w:ind w:firstLine="420" w:firstLineChars="200"/>
        <w:rPr>
          <w:color w:val="auto"/>
          <w:szCs w:val="21"/>
          <w:highlight w:val="none"/>
          <w:u w:val="single"/>
        </w:rPr>
      </w:pPr>
      <w:r>
        <w:rPr>
          <w:color w:val="auto"/>
          <w:szCs w:val="21"/>
          <w:highlight w:val="none"/>
        </w:rPr>
        <w:t>允许分包的专业工程包括：</w:t>
      </w:r>
      <w:r>
        <w:rPr>
          <w:color w:val="auto"/>
          <w:szCs w:val="21"/>
          <w:highlight w:val="none"/>
          <w:u w:val="single"/>
        </w:rPr>
        <w:t></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rPr>
        <w:t>。</w:t>
      </w:r>
    </w:p>
    <w:p w14:paraId="785F930B">
      <w:pPr>
        <w:spacing w:line="400" w:lineRule="exact"/>
        <w:ind w:firstLine="420" w:firstLineChars="200"/>
        <w:rPr>
          <w:color w:val="auto"/>
          <w:szCs w:val="21"/>
          <w:highlight w:val="none"/>
        </w:rPr>
      </w:pPr>
      <w:r>
        <w:rPr>
          <w:color w:val="auto"/>
          <w:szCs w:val="21"/>
          <w:highlight w:val="none"/>
        </w:rPr>
        <w:t>其他关于分包的约定：</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45632A03">
      <w:pPr>
        <w:spacing w:line="400" w:lineRule="exact"/>
        <w:ind w:firstLine="420" w:firstLineChars="200"/>
        <w:rPr>
          <w:color w:val="auto"/>
          <w:szCs w:val="21"/>
          <w:highlight w:val="none"/>
        </w:rPr>
      </w:pPr>
      <w:r>
        <w:rPr>
          <w:color w:val="auto"/>
          <w:szCs w:val="21"/>
          <w:highlight w:val="none"/>
        </w:rPr>
        <w:t>3.5.4 分包合同价款</w:t>
      </w:r>
    </w:p>
    <w:p w14:paraId="6DF36D15">
      <w:pPr>
        <w:spacing w:line="400" w:lineRule="exact"/>
        <w:ind w:firstLine="420" w:firstLineChars="200"/>
        <w:rPr>
          <w:color w:val="auto"/>
          <w:szCs w:val="21"/>
          <w:highlight w:val="none"/>
        </w:rPr>
      </w:pPr>
      <w:r>
        <w:rPr>
          <w:color w:val="auto"/>
          <w:szCs w:val="21"/>
          <w:highlight w:val="none"/>
        </w:rPr>
        <w:t>关于分包合同价款支付的约定：</w:t>
      </w:r>
      <w:r>
        <w:rPr>
          <w:color w:val="auto"/>
          <w:szCs w:val="21"/>
          <w:highlight w:val="none"/>
          <w:u w:val="single"/>
        </w:rPr>
        <w:t></w:t>
      </w:r>
      <w:r>
        <w:rPr>
          <w:rFonts w:hint="eastAsia"/>
          <w:color w:val="auto"/>
          <w:szCs w:val="21"/>
          <w:highlight w:val="none"/>
          <w:u w:val="single"/>
        </w:rPr>
        <w:t xml:space="preserve">    /         </w:t>
      </w:r>
      <w:r>
        <w:rPr>
          <w:color w:val="auto"/>
          <w:szCs w:val="21"/>
          <w:highlight w:val="none"/>
        </w:rPr>
        <w:t>。</w:t>
      </w:r>
    </w:p>
    <w:p w14:paraId="4CF38D86">
      <w:pPr>
        <w:spacing w:line="400" w:lineRule="exact"/>
        <w:ind w:firstLine="420" w:firstLineChars="200"/>
        <w:rPr>
          <w:color w:val="auto"/>
          <w:szCs w:val="21"/>
          <w:highlight w:val="none"/>
        </w:rPr>
      </w:pPr>
      <w:r>
        <w:rPr>
          <w:color w:val="auto"/>
          <w:szCs w:val="21"/>
          <w:highlight w:val="none"/>
        </w:rPr>
        <w:t>3.6 工程照管与成品、半成品保护</w:t>
      </w:r>
    </w:p>
    <w:p w14:paraId="5D558B5B">
      <w:pPr>
        <w:spacing w:line="400" w:lineRule="exact"/>
        <w:ind w:firstLine="420" w:firstLineChars="200"/>
        <w:rPr>
          <w:color w:val="auto"/>
          <w:kern w:val="0"/>
          <w:szCs w:val="21"/>
          <w:highlight w:val="none"/>
          <w:u w:val="single"/>
        </w:rPr>
      </w:pPr>
      <w:r>
        <w:rPr>
          <w:color w:val="auto"/>
          <w:kern w:val="0"/>
          <w:szCs w:val="21"/>
          <w:highlight w:val="none"/>
        </w:rPr>
        <w:t>承包人负责照管工程及工程相关的材料、工程设备的起始时间：</w:t>
      </w:r>
      <w:r>
        <w:rPr>
          <w:color w:val="auto"/>
          <w:kern w:val="0"/>
          <w:szCs w:val="21"/>
          <w:highlight w:val="none"/>
          <w:u w:val="single"/>
        </w:rPr>
        <w:t>按合同通用条款执行</w:t>
      </w:r>
      <w:r>
        <w:rPr>
          <w:color w:val="auto"/>
          <w:kern w:val="0"/>
          <w:szCs w:val="21"/>
          <w:highlight w:val="none"/>
        </w:rPr>
        <w:t>。</w:t>
      </w:r>
    </w:p>
    <w:p w14:paraId="748F2449">
      <w:pPr>
        <w:spacing w:line="400" w:lineRule="exact"/>
        <w:ind w:firstLine="420" w:firstLineChars="200"/>
        <w:rPr>
          <w:color w:val="auto"/>
          <w:szCs w:val="21"/>
          <w:highlight w:val="none"/>
        </w:rPr>
      </w:pPr>
      <w:r>
        <w:rPr>
          <w:color w:val="auto"/>
          <w:szCs w:val="21"/>
          <w:highlight w:val="none"/>
        </w:rPr>
        <w:t>3.7 履约担保</w:t>
      </w:r>
    </w:p>
    <w:p w14:paraId="3E710B68">
      <w:pPr>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承包人是否提供履约担保：</w:t>
      </w:r>
      <w:r>
        <w:rPr>
          <w:rFonts w:hint="eastAsia" w:ascii="宋体" w:hAnsi="宋体" w:eastAsia="宋体" w:cs="宋体"/>
          <w:color w:val="auto"/>
          <w:szCs w:val="21"/>
          <w:highlight w:val="none"/>
          <w:u w:val="single"/>
        </w:rPr>
        <w:t xml:space="preserve"> 提</w:t>
      </w:r>
      <w:r>
        <w:rPr>
          <w:rFonts w:hint="eastAsia" w:ascii="宋体" w:hAnsi="宋体" w:eastAsia="宋体" w:cs="宋体"/>
          <w:color w:val="auto"/>
          <w:highlight w:val="none"/>
          <w:u w:val="single"/>
        </w:rPr>
        <w:t>供履约担保</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14:paraId="38BE2A47">
      <w:pPr>
        <w:spacing w:line="480" w:lineRule="exact"/>
        <w:ind w:firstLine="420" w:firstLineChars="200"/>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履约担保的方式、金额及期限: 工程履约担保金额为合同总价的2%；签订工程合同时提供。工程履约担保采用现金或工程保函（仅指银行保函、保险机构保</w:t>
      </w:r>
      <w:r>
        <w:rPr>
          <w:rFonts w:hint="eastAsia" w:ascii="宋体" w:hAnsi="宋体" w:eastAsia="宋体" w:cs="宋体"/>
          <w:snapToGrid w:val="0"/>
          <w:color w:val="auto"/>
          <w:szCs w:val="21"/>
          <w:highlight w:val="none"/>
        </w:rPr>
        <w:t>证保险保单、</w:t>
      </w:r>
      <w:r>
        <w:rPr>
          <w:rFonts w:hint="eastAsia" w:ascii="宋体" w:hAnsi="宋体" w:eastAsia="宋体" w:cs="宋体"/>
          <w:b/>
          <w:snapToGrid w:val="0"/>
          <w:color w:val="auto"/>
          <w:szCs w:val="21"/>
          <w:highlight w:val="none"/>
          <w:u w:val="single"/>
        </w:rPr>
        <w:t>国有担保公司保函</w:t>
      </w:r>
      <w:r>
        <w:rPr>
          <w:rFonts w:hint="eastAsia" w:ascii="宋体" w:hAnsi="宋体" w:eastAsia="宋体" w:cs="宋体"/>
          <w:snapToGrid w:val="0"/>
          <w:color w:val="auto"/>
          <w:szCs w:val="21"/>
          <w:highlight w:val="none"/>
        </w:rPr>
        <w:t>）。如采用现金的，承包人必须通过其基本账户转出的转帐、电汇或银行汇票方式解入发包人指定帐户。采用银行保函、保险机构保证保险保单、</w:t>
      </w:r>
      <w:r>
        <w:rPr>
          <w:rFonts w:hint="eastAsia" w:ascii="宋体" w:hAnsi="宋体" w:eastAsia="宋体" w:cs="宋体"/>
          <w:b/>
          <w:snapToGrid w:val="0"/>
          <w:color w:val="auto"/>
          <w:szCs w:val="21"/>
          <w:highlight w:val="none"/>
          <w:u w:val="single"/>
        </w:rPr>
        <w:t>国有担保公司保函</w:t>
      </w:r>
      <w:r>
        <w:rPr>
          <w:rFonts w:hint="eastAsia" w:ascii="宋体" w:hAnsi="宋体" w:eastAsia="宋体" w:cs="宋体"/>
          <w:snapToGrid w:val="0"/>
          <w:color w:val="auto"/>
          <w:szCs w:val="21"/>
          <w:highlight w:val="none"/>
        </w:rPr>
        <w:t>（以下合称“履约保函”）的，要符合以下条件：（1）履约保函的受益人：</w:t>
      </w:r>
      <w:r>
        <w:rPr>
          <w:rFonts w:hint="eastAsia" w:ascii="宋体" w:hAnsi="宋体" w:eastAsia="宋体" w:cs="宋体"/>
          <w:snapToGrid w:val="0"/>
          <w:color w:val="auto"/>
          <w:szCs w:val="21"/>
          <w:highlight w:val="none"/>
          <w:lang w:eastAsia="zh-CN"/>
        </w:rPr>
        <w:t>三门经济投资开发有限公司</w:t>
      </w:r>
      <w:r>
        <w:rPr>
          <w:rFonts w:hint="eastAsia" w:ascii="宋体" w:hAnsi="宋体" w:eastAsia="宋体" w:cs="宋体"/>
          <w:snapToGrid w:val="0"/>
          <w:color w:val="auto"/>
          <w:szCs w:val="21"/>
          <w:highlight w:val="none"/>
        </w:rPr>
        <w:t>；（2）履约保函提交人为承包人（如果联合体中标则为牵头人）；（3）履约保函的有效期为1年及以上，但是承</w:t>
      </w:r>
      <w:r>
        <w:rPr>
          <w:rFonts w:hint="eastAsia" w:ascii="宋体" w:hAnsi="宋体" w:eastAsia="宋体" w:cs="宋体"/>
          <w:snapToGrid w:val="0"/>
          <w:color w:val="auto"/>
          <w:szCs w:val="21"/>
          <w:highlight w:val="none"/>
        </w:rPr>
        <w:t>包人必须承担费用并保证使履约保函按年出具并始终使其有效并足额相互衔接至至本工程竣工验收通过；（4）履约保函可以是独立保函或者非独立保函；非独立保函的保证方式：连带保证责任；（5）履约保函纠纷处理法院为三门县人民法院。</w:t>
      </w:r>
    </w:p>
    <w:p w14:paraId="4385EBD8">
      <w:pPr>
        <w:spacing w:line="480" w:lineRule="exact"/>
        <w:ind w:firstLine="420" w:firstLineChars="200"/>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特别约定：履约保函的合同性质为担保合同，承包人不得提交保险合同代替担保合同。承包人未按照本合同约定履行义务，需要用履约保证金赔偿损失时，由保函的开立人承担独立保函责任或者承担连带担保责任（非独立保函）；格式由出具单位自拟，但可以参照招标文件</w:t>
      </w:r>
      <w:r>
        <w:rPr>
          <w:rFonts w:hint="eastAsia" w:ascii="宋体" w:hAnsi="宋体" w:eastAsia="宋体" w:cs="宋体"/>
          <w:snapToGrid w:val="0"/>
          <w:color w:val="auto"/>
          <w:szCs w:val="21"/>
          <w:highlight w:val="none"/>
          <w:lang w:eastAsia="zh-CN"/>
        </w:rPr>
        <w:t>附件</w:t>
      </w:r>
      <w:r>
        <w:rPr>
          <w:rFonts w:hint="eastAsia" w:ascii="宋体" w:hAnsi="宋体" w:eastAsia="宋体" w:cs="宋体"/>
          <w:snapToGrid w:val="0"/>
          <w:color w:val="auto"/>
          <w:szCs w:val="21"/>
          <w:highlight w:val="none"/>
        </w:rPr>
        <w:t>格式，由发包人审核同意后采用。</w:t>
      </w:r>
    </w:p>
    <w:p w14:paraId="4348CA56">
      <w:pPr>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snapToGrid w:val="0"/>
          <w:color w:val="auto"/>
          <w:szCs w:val="21"/>
          <w:highlight w:val="none"/>
        </w:rPr>
        <w:t>发包人在工程竣工验收合格后10天内，向承包人全额返还；承包人应保证履约担保在工程竣工验收前持续</w:t>
      </w:r>
      <w:r>
        <w:rPr>
          <w:rFonts w:hint="eastAsia" w:ascii="宋体" w:hAnsi="宋体" w:eastAsia="宋体" w:cs="宋体"/>
          <w:snapToGrid w:val="0"/>
          <w:color w:val="auto"/>
          <w:szCs w:val="21"/>
          <w:highlight w:val="none"/>
          <w:u w:val="none"/>
        </w:rPr>
        <w:t>有效。</w:t>
      </w:r>
    </w:p>
    <w:p w14:paraId="3CB7EF1A">
      <w:pPr>
        <w:pStyle w:val="4"/>
        <w:spacing w:before="0" w:after="0" w:line="400" w:lineRule="exact"/>
        <w:ind w:firstLine="422" w:firstLineChars="200"/>
        <w:rPr>
          <w:rFonts w:ascii="Times New Roman" w:hAnsi="Times New Roman"/>
          <w:color w:val="auto"/>
          <w:sz w:val="21"/>
          <w:szCs w:val="21"/>
          <w:highlight w:val="none"/>
        </w:rPr>
      </w:pPr>
      <w:r>
        <w:rPr>
          <w:rFonts w:ascii="Times New Roman" w:hAnsi="Times New Roman"/>
          <w:color w:val="auto"/>
          <w:sz w:val="21"/>
          <w:szCs w:val="21"/>
          <w:highlight w:val="none"/>
        </w:rPr>
        <w:t>4</w:t>
      </w:r>
      <w:bookmarkStart w:id="36" w:name="_Toc296891202"/>
      <w:bookmarkStart w:id="37" w:name="_Toc267251413"/>
      <w:bookmarkStart w:id="38" w:name="_Toc297048348"/>
      <w:bookmarkStart w:id="39" w:name="_Toc296347161"/>
      <w:bookmarkStart w:id="40" w:name="_Toc296503162"/>
      <w:bookmarkStart w:id="41" w:name="_Toc297120462"/>
      <w:bookmarkStart w:id="42" w:name="_Toc296346663"/>
      <w:bookmarkStart w:id="43" w:name="_Toc296890990"/>
      <w:bookmarkStart w:id="44" w:name="_Toc292559871"/>
      <w:bookmarkStart w:id="45" w:name="_Toc292559366"/>
      <w:bookmarkStart w:id="46" w:name="_Toc296944501"/>
      <w:r>
        <w:rPr>
          <w:rFonts w:ascii="Times New Roman" w:hAnsi="Times New Roman"/>
          <w:color w:val="auto"/>
          <w:sz w:val="21"/>
          <w:szCs w:val="21"/>
          <w:highlight w:val="none"/>
        </w:rPr>
        <w:t>. 监</w:t>
      </w:r>
      <w:bookmarkEnd w:id="36"/>
      <w:bookmarkEnd w:id="37"/>
      <w:bookmarkEnd w:id="38"/>
      <w:bookmarkEnd w:id="39"/>
      <w:bookmarkEnd w:id="40"/>
      <w:bookmarkEnd w:id="41"/>
      <w:bookmarkEnd w:id="42"/>
      <w:bookmarkEnd w:id="43"/>
      <w:bookmarkEnd w:id="44"/>
      <w:bookmarkEnd w:id="45"/>
      <w:bookmarkEnd w:id="46"/>
      <w:r>
        <w:rPr>
          <w:rFonts w:ascii="Times New Roman" w:hAnsi="Times New Roman"/>
          <w:color w:val="auto"/>
          <w:sz w:val="21"/>
          <w:szCs w:val="21"/>
          <w:highlight w:val="none"/>
        </w:rPr>
        <w:t>理人</w:t>
      </w:r>
    </w:p>
    <w:p w14:paraId="2BDB0FE5">
      <w:pPr>
        <w:autoSpaceDE w:val="0"/>
        <w:autoSpaceDN w:val="0"/>
        <w:adjustRightInd w:val="0"/>
        <w:spacing w:line="400" w:lineRule="exact"/>
        <w:ind w:firstLine="420" w:firstLineChars="200"/>
        <w:rPr>
          <w:color w:val="auto"/>
          <w:szCs w:val="21"/>
          <w:highlight w:val="none"/>
        </w:rPr>
      </w:pPr>
      <w:r>
        <w:rPr>
          <w:color w:val="auto"/>
          <w:szCs w:val="21"/>
          <w:highlight w:val="none"/>
        </w:rPr>
        <w:t>4.1监理人的一般规定</w:t>
      </w:r>
    </w:p>
    <w:p w14:paraId="6BA3649D">
      <w:pPr>
        <w:autoSpaceDE w:val="0"/>
        <w:autoSpaceDN w:val="0"/>
        <w:adjustRightInd w:val="0"/>
        <w:spacing w:line="400" w:lineRule="exact"/>
        <w:ind w:firstLine="420" w:firstLineChars="200"/>
        <w:rPr>
          <w:color w:val="auto"/>
          <w:szCs w:val="21"/>
          <w:highlight w:val="none"/>
        </w:rPr>
      </w:pPr>
      <w:r>
        <w:rPr>
          <w:color w:val="auto"/>
          <w:szCs w:val="21"/>
          <w:highlight w:val="none"/>
        </w:rPr>
        <w:t>关于监理人的监理内容：</w:t>
      </w:r>
      <w:r>
        <w:rPr>
          <w:color w:val="auto"/>
          <w:szCs w:val="21"/>
          <w:highlight w:val="none"/>
          <w:u w:val="single"/>
        </w:rPr>
        <w:t xml:space="preserve"> 按本工程监理合同约定内容</w:t>
      </w:r>
      <w:r>
        <w:rPr>
          <w:color w:val="auto"/>
          <w:szCs w:val="21"/>
          <w:highlight w:val="none"/>
        </w:rPr>
        <w:t>。</w:t>
      </w:r>
    </w:p>
    <w:p w14:paraId="7FE05A09">
      <w:pPr>
        <w:autoSpaceDE w:val="0"/>
        <w:autoSpaceDN w:val="0"/>
        <w:adjustRightInd w:val="0"/>
        <w:spacing w:line="400" w:lineRule="exact"/>
        <w:ind w:firstLine="420" w:firstLineChars="200"/>
        <w:rPr>
          <w:color w:val="auto"/>
          <w:szCs w:val="21"/>
          <w:highlight w:val="none"/>
        </w:rPr>
      </w:pPr>
      <w:r>
        <w:rPr>
          <w:color w:val="auto"/>
          <w:szCs w:val="21"/>
          <w:highlight w:val="none"/>
        </w:rPr>
        <w:t>关于监理人的监理权限：〔</w:t>
      </w:r>
      <w:r>
        <w:rPr>
          <w:color w:val="auto"/>
          <w:szCs w:val="21"/>
          <w:highlight w:val="none"/>
          <w:u w:val="single"/>
        </w:rPr>
        <w:t>按本工程监理合同约定内容，涉及工程变更（含设计变更等参建各方变更）均需报发包人审批后生效</w:t>
      </w:r>
      <w:r>
        <w:rPr>
          <w:color w:val="auto"/>
          <w:szCs w:val="21"/>
          <w:highlight w:val="none"/>
        </w:rPr>
        <w:t>〕。</w:t>
      </w:r>
    </w:p>
    <w:p w14:paraId="7C29F7F0">
      <w:pPr>
        <w:autoSpaceDE w:val="0"/>
        <w:autoSpaceDN w:val="0"/>
        <w:adjustRightInd w:val="0"/>
        <w:spacing w:line="400" w:lineRule="exact"/>
        <w:ind w:firstLine="420" w:firstLineChars="200"/>
        <w:rPr>
          <w:color w:val="auto"/>
          <w:szCs w:val="21"/>
          <w:highlight w:val="none"/>
        </w:rPr>
      </w:pPr>
      <w:r>
        <w:rPr>
          <w:color w:val="auto"/>
          <w:szCs w:val="21"/>
          <w:highlight w:val="none"/>
        </w:rPr>
        <w:t>关于监理人在施工现场的办公场所、生活场所的提供和费用承担的约定：</w:t>
      </w:r>
      <w:r>
        <w:rPr>
          <w:color w:val="auto"/>
          <w:szCs w:val="21"/>
          <w:highlight w:val="none"/>
          <w:u w:val="single"/>
        </w:rPr>
        <w:t xml:space="preserve"> 由承包人免费提供办公室1间使用。</w:t>
      </w:r>
    </w:p>
    <w:p w14:paraId="1F9F5549">
      <w:pPr>
        <w:autoSpaceDE w:val="0"/>
        <w:autoSpaceDN w:val="0"/>
        <w:adjustRightInd w:val="0"/>
        <w:spacing w:line="400" w:lineRule="exact"/>
        <w:ind w:firstLine="420" w:firstLineChars="200"/>
        <w:rPr>
          <w:color w:val="auto"/>
          <w:szCs w:val="21"/>
          <w:highlight w:val="none"/>
        </w:rPr>
      </w:pPr>
      <w:r>
        <w:rPr>
          <w:color w:val="auto"/>
          <w:szCs w:val="21"/>
          <w:highlight w:val="none"/>
        </w:rPr>
        <w:t>4.2 监理人员</w:t>
      </w:r>
    </w:p>
    <w:p w14:paraId="221AA192">
      <w:pPr>
        <w:autoSpaceDE w:val="0"/>
        <w:autoSpaceDN w:val="0"/>
        <w:adjustRightInd w:val="0"/>
        <w:spacing w:line="400" w:lineRule="exact"/>
        <w:ind w:firstLine="420" w:firstLineChars="200"/>
        <w:rPr>
          <w:color w:val="auto"/>
          <w:szCs w:val="21"/>
          <w:highlight w:val="none"/>
        </w:rPr>
      </w:pPr>
      <w:r>
        <w:rPr>
          <w:color w:val="auto"/>
          <w:szCs w:val="21"/>
          <w:highlight w:val="none"/>
        </w:rPr>
        <w:t>总监理工程师：</w:t>
      </w:r>
    </w:p>
    <w:p w14:paraId="34EA8940">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姓    名：</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；职    务：</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508559D1">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监理工程师执业资格证书号：</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；联系电话：</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76C35B2C">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电子信箱：</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r>
        <w:rPr>
          <w:rFonts w:hint="eastAsia" w:ascii="宋体" w:hAnsi="宋体"/>
          <w:color w:val="auto"/>
          <w:szCs w:val="21"/>
          <w:highlight w:val="none"/>
        </w:rPr>
        <w:t>；通信地址：</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s="宋体"/>
          <w:color w:val="auto"/>
          <w:szCs w:val="21"/>
          <w:highlight w:val="none"/>
          <w:u w:val="single"/>
        </w:rPr>
        <w:t></w:t>
      </w:r>
      <w:r>
        <w:rPr>
          <w:rFonts w:hint="eastAsia" w:ascii="宋体" w:hAnsi="宋体"/>
          <w:color w:val="auto"/>
          <w:szCs w:val="21"/>
          <w:highlight w:val="none"/>
        </w:rPr>
        <w:t>；</w:t>
      </w:r>
    </w:p>
    <w:p w14:paraId="3599920C">
      <w:pPr>
        <w:autoSpaceDE w:val="0"/>
        <w:autoSpaceDN w:val="0"/>
        <w:adjustRightInd w:val="0"/>
        <w:spacing w:line="400" w:lineRule="exact"/>
        <w:ind w:firstLine="420" w:firstLineChars="200"/>
        <w:rPr>
          <w:color w:val="auto"/>
          <w:szCs w:val="21"/>
          <w:highlight w:val="none"/>
          <w:u w:val="single"/>
        </w:rPr>
      </w:pPr>
      <w:r>
        <w:rPr>
          <w:color w:val="auto"/>
          <w:szCs w:val="21"/>
          <w:highlight w:val="none"/>
        </w:rPr>
        <w:t>关于监理人的其他约定：</w:t>
      </w:r>
    </w:p>
    <w:p w14:paraId="2E5119F2">
      <w:pPr>
        <w:autoSpaceDE w:val="0"/>
        <w:autoSpaceDN w:val="0"/>
        <w:adjustRightInd w:val="0"/>
        <w:spacing w:line="400" w:lineRule="exact"/>
        <w:ind w:firstLine="420" w:firstLineChars="200"/>
        <w:rPr>
          <w:color w:val="auto"/>
          <w:szCs w:val="21"/>
          <w:highlight w:val="none"/>
          <w:u w:val="single"/>
        </w:rPr>
      </w:pPr>
      <w:r>
        <w:rPr>
          <w:color w:val="auto"/>
          <w:szCs w:val="21"/>
          <w:highlight w:val="none"/>
          <w:u w:val="single"/>
        </w:rPr>
        <w:t>（1）监理人授权超出合同约定，承包人有权提出异议，如监理人对于承包人合理的异议不予接受，则承包人可要求发包人就该事项作出处理决定；</w:t>
      </w:r>
    </w:p>
    <w:p w14:paraId="20C8E31D">
      <w:pPr>
        <w:autoSpaceDE w:val="0"/>
        <w:autoSpaceDN w:val="0"/>
        <w:adjustRightInd w:val="0"/>
        <w:spacing w:line="400" w:lineRule="exact"/>
        <w:ind w:firstLine="420" w:firstLineChars="200"/>
        <w:rPr>
          <w:color w:val="auto"/>
          <w:szCs w:val="21"/>
          <w:highlight w:val="none"/>
          <w:u w:val="single"/>
        </w:rPr>
      </w:pPr>
      <w:r>
        <w:rPr>
          <w:color w:val="auto"/>
          <w:szCs w:val="21"/>
          <w:highlight w:val="none"/>
          <w:u w:val="single"/>
        </w:rPr>
        <w:t>（2）对于监理人更换其委派的监理人员的，监理人在征得发包人同意后应当提前48小时书面通知承包人；</w:t>
      </w:r>
    </w:p>
    <w:p w14:paraId="51AB344F">
      <w:pPr>
        <w:autoSpaceDE w:val="0"/>
        <w:autoSpaceDN w:val="0"/>
        <w:adjustRightInd w:val="0"/>
        <w:spacing w:line="400" w:lineRule="exact"/>
        <w:ind w:firstLine="420" w:firstLineChars="200"/>
        <w:rPr>
          <w:rFonts w:hint="eastAsia"/>
          <w:color w:val="auto"/>
          <w:szCs w:val="21"/>
          <w:highlight w:val="none"/>
          <w:u w:val="single"/>
        </w:rPr>
      </w:pPr>
      <w:r>
        <w:rPr>
          <w:color w:val="auto"/>
          <w:szCs w:val="21"/>
          <w:highlight w:val="none"/>
          <w:u w:val="single"/>
        </w:rPr>
        <w:t>（3）监理人对其监理人员的任何授权，承包人均应当要求监理人提供书面的授权，否则，承包人有权拒绝接受监理人员的指示。</w:t>
      </w:r>
    </w:p>
    <w:p w14:paraId="7BAF9DD2">
      <w:pPr>
        <w:autoSpaceDE w:val="0"/>
        <w:autoSpaceDN w:val="0"/>
        <w:adjustRightInd w:val="0"/>
        <w:spacing w:line="400" w:lineRule="exact"/>
        <w:ind w:firstLine="420" w:firstLineChars="200"/>
        <w:rPr>
          <w:color w:val="auto"/>
          <w:szCs w:val="21"/>
          <w:highlight w:val="none"/>
        </w:rPr>
      </w:pPr>
      <w:r>
        <w:rPr>
          <w:color w:val="auto"/>
          <w:szCs w:val="21"/>
          <w:highlight w:val="none"/>
        </w:rPr>
        <w:t>4.4 商定或确定</w:t>
      </w:r>
    </w:p>
    <w:p w14:paraId="0F8E48C7">
      <w:pPr>
        <w:autoSpaceDE w:val="0"/>
        <w:autoSpaceDN w:val="0"/>
        <w:adjustRightInd w:val="0"/>
        <w:spacing w:line="400" w:lineRule="exact"/>
        <w:ind w:firstLine="420" w:firstLineChars="200"/>
        <w:rPr>
          <w:color w:val="auto"/>
          <w:szCs w:val="21"/>
          <w:highlight w:val="none"/>
        </w:rPr>
      </w:pPr>
      <w:r>
        <w:rPr>
          <w:color w:val="auto"/>
          <w:szCs w:val="21"/>
          <w:highlight w:val="none"/>
        </w:rPr>
        <w:t>在发包人和承包人不能通过协商达成一致意见时，发包人授权监理人对以下事项进行确定：</w:t>
      </w:r>
    </w:p>
    <w:p w14:paraId="672E9F1D">
      <w:pPr>
        <w:autoSpaceDE w:val="0"/>
        <w:autoSpaceDN w:val="0"/>
        <w:adjustRightInd w:val="0"/>
        <w:spacing w:line="400" w:lineRule="exact"/>
        <w:ind w:firstLine="420" w:firstLineChars="200"/>
        <w:rPr>
          <w:color w:val="auto"/>
          <w:szCs w:val="21"/>
          <w:highlight w:val="none"/>
        </w:rPr>
      </w:pPr>
      <w:r>
        <w:rPr>
          <w:color w:val="auto"/>
          <w:szCs w:val="21"/>
          <w:highlight w:val="none"/>
        </w:rPr>
        <w:t>（1）</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2553D63D">
      <w:pPr>
        <w:autoSpaceDE w:val="0"/>
        <w:autoSpaceDN w:val="0"/>
        <w:adjustRightInd w:val="0"/>
        <w:spacing w:line="400" w:lineRule="exact"/>
        <w:ind w:firstLine="420" w:firstLineChars="200"/>
        <w:rPr>
          <w:color w:val="auto"/>
          <w:szCs w:val="21"/>
          <w:highlight w:val="none"/>
        </w:rPr>
      </w:pPr>
      <w:r>
        <w:rPr>
          <w:color w:val="auto"/>
          <w:szCs w:val="21"/>
          <w:highlight w:val="none"/>
        </w:rPr>
        <w:t>（2）</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345C5788">
      <w:pPr>
        <w:autoSpaceDE w:val="0"/>
        <w:autoSpaceDN w:val="0"/>
        <w:adjustRightInd w:val="0"/>
        <w:spacing w:line="400" w:lineRule="exact"/>
        <w:ind w:firstLine="420" w:firstLineChars="200"/>
        <w:rPr>
          <w:color w:val="auto"/>
          <w:kern w:val="0"/>
          <w:szCs w:val="21"/>
          <w:highlight w:val="none"/>
        </w:rPr>
      </w:pPr>
      <w:r>
        <w:rPr>
          <w:color w:val="auto"/>
          <w:szCs w:val="21"/>
          <w:highlight w:val="none"/>
        </w:rPr>
        <w:t>（3）</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5710F62F">
      <w:pPr>
        <w:pStyle w:val="4"/>
        <w:spacing w:before="0" w:after="0" w:line="400" w:lineRule="exact"/>
        <w:ind w:firstLine="422" w:firstLineChars="200"/>
        <w:rPr>
          <w:rFonts w:ascii="Times New Roman" w:hAnsi="Times New Roman"/>
          <w:color w:val="auto"/>
          <w:sz w:val="21"/>
          <w:szCs w:val="21"/>
          <w:highlight w:val="none"/>
        </w:rPr>
      </w:pPr>
      <w:bookmarkStart w:id="47" w:name="_Toc351203637"/>
      <w:r>
        <w:rPr>
          <w:rFonts w:ascii="Times New Roman" w:hAnsi="Times New Roman"/>
          <w:color w:val="auto"/>
          <w:sz w:val="21"/>
          <w:szCs w:val="21"/>
          <w:highlight w:val="none"/>
        </w:rPr>
        <w:t>5. 工程质量</w:t>
      </w:r>
      <w:bookmarkEnd w:id="47"/>
    </w:p>
    <w:p w14:paraId="68909137">
      <w:pPr>
        <w:spacing w:line="400" w:lineRule="exact"/>
        <w:ind w:firstLine="420" w:firstLineChars="200"/>
        <w:jc w:val="left"/>
        <w:rPr>
          <w:color w:val="auto"/>
          <w:szCs w:val="21"/>
          <w:highlight w:val="none"/>
        </w:rPr>
      </w:pPr>
      <w:r>
        <w:rPr>
          <w:color w:val="auto"/>
          <w:szCs w:val="21"/>
          <w:highlight w:val="none"/>
        </w:rPr>
        <w:t>5.1 质量要求</w:t>
      </w:r>
    </w:p>
    <w:p w14:paraId="170E3324">
      <w:pPr>
        <w:spacing w:line="400" w:lineRule="exact"/>
        <w:ind w:firstLine="420" w:firstLineChars="200"/>
        <w:jc w:val="left"/>
        <w:rPr>
          <w:color w:val="auto"/>
          <w:szCs w:val="21"/>
          <w:highlight w:val="none"/>
        </w:rPr>
      </w:pPr>
      <w:r>
        <w:rPr>
          <w:color w:val="auto"/>
          <w:szCs w:val="21"/>
          <w:highlight w:val="none"/>
        </w:rPr>
        <w:t>5.1.1 特殊质量标准和要求：</w:t>
      </w:r>
      <w:r>
        <w:rPr>
          <w:rFonts w:hint="eastAsia"/>
          <w:color w:val="auto"/>
          <w:highlight w:val="none"/>
          <w:u w:val="single"/>
        </w:rPr>
        <w:t>除通用条款约定外，要达到设计及国家、地方现行的有关规范和标准的质量要求，并最终一次性验收合格</w:t>
      </w:r>
      <w:r>
        <w:rPr>
          <w:color w:val="auto"/>
          <w:highlight w:val="none"/>
          <w:u w:val="single"/>
        </w:rPr>
        <w:t>。</w:t>
      </w:r>
    </w:p>
    <w:p w14:paraId="0B6DD3E2">
      <w:pPr>
        <w:spacing w:line="400" w:lineRule="exact"/>
        <w:ind w:firstLine="420" w:firstLineChars="200"/>
        <w:jc w:val="left"/>
        <w:rPr>
          <w:color w:val="auto"/>
          <w:szCs w:val="21"/>
          <w:highlight w:val="none"/>
        </w:rPr>
      </w:pPr>
      <w:r>
        <w:rPr>
          <w:color w:val="auto"/>
          <w:szCs w:val="21"/>
          <w:highlight w:val="none"/>
        </w:rPr>
        <w:t>关于工程奖项的约定：</w:t>
      </w:r>
      <w:r>
        <w:rPr>
          <w:color w:val="auto"/>
          <w:szCs w:val="21"/>
          <w:highlight w:val="none"/>
          <w:u w:val="single"/>
        </w:rPr>
        <w:t xml:space="preserve">                 </w:t>
      </w:r>
      <w:r>
        <w:rPr>
          <w:rFonts w:hint="eastAsia"/>
          <w:color w:val="auto"/>
          <w:szCs w:val="21"/>
          <w:highlight w:val="none"/>
          <w:u w:val="single"/>
        </w:rPr>
        <w:t xml:space="preserve">     /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3C3E3F34">
      <w:pPr>
        <w:spacing w:line="400" w:lineRule="exact"/>
        <w:ind w:firstLine="420" w:firstLineChars="200"/>
        <w:jc w:val="left"/>
        <w:rPr>
          <w:color w:val="auto"/>
          <w:szCs w:val="21"/>
          <w:highlight w:val="none"/>
        </w:rPr>
      </w:pPr>
      <w:r>
        <w:rPr>
          <w:color w:val="auto"/>
          <w:szCs w:val="21"/>
          <w:highlight w:val="none"/>
        </w:rPr>
        <w:t>5.3 隐蔽工程检查</w:t>
      </w:r>
    </w:p>
    <w:p w14:paraId="10DE80E7">
      <w:pPr>
        <w:spacing w:line="400" w:lineRule="exact"/>
        <w:ind w:firstLine="420" w:firstLineChars="200"/>
        <w:jc w:val="left"/>
        <w:rPr>
          <w:color w:val="auto"/>
          <w:szCs w:val="21"/>
          <w:highlight w:val="none"/>
        </w:rPr>
      </w:pPr>
      <w:r>
        <w:rPr>
          <w:color w:val="auto"/>
          <w:szCs w:val="21"/>
          <w:highlight w:val="none"/>
        </w:rPr>
        <w:t>5.3.2承包人提前通知监理人隐蔽工程检查的期限的约定：</w:t>
      </w:r>
      <w:r>
        <w:rPr>
          <w:color w:val="auto"/>
          <w:szCs w:val="21"/>
          <w:highlight w:val="none"/>
          <w:u w:val="single"/>
        </w:rPr>
        <w:t xml:space="preserve"> 按通用合同条款执行。</w:t>
      </w:r>
    </w:p>
    <w:p w14:paraId="08B783CF">
      <w:pPr>
        <w:spacing w:line="400" w:lineRule="exact"/>
        <w:ind w:firstLine="420" w:firstLineChars="200"/>
        <w:jc w:val="left"/>
        <w:rPr>
          <w:color w:val="auto"/>
          <w:szCs w:val="21"/>
          <w:highlight w:val="none"/>
        </w:rPr>
      </w:pPr>
      <w:r>
        <w:rPr>
          <w:color w:val="auto"/>
          <w:szCs w:val="21"/>
          <w:highlight w:val="none"/>
        </w:rPr>
        <w:t>监理人不能按时进行检查时，应提前</w:t>
      </w:r>
      <w:r>
        <w:rPr>
          <w:color w:val="auto"/>
          <w:szCs w:val="21"/>
          <w:highlight w:val="none"/>
          <w:u w:val="single"/>
        </w:rPr>
        <w:t xml:space="preserve"> 24 </w:t>
      </w:r>
      <w:r>
        <w:rPr>
          <w:color w:val="auto"/>
          <w:szCs w:val="21"/>
          <w:highlight w:val="none"/>
        </w:rPr>
        <w:t>小时提交书面延期要求。</w:t>
      </w:r>
    </w:p>
    <w:p w14:paraId="03865FF6">
      <w:pPr>
        <w:spacing w:line="400" w:lineRule="exact"/>
        <w:ind w:firstLine="420" w:firstLineChars="200"/>
        <w:jc w:val="left"/>
        <w:rPr>
          <w:color w:val="auto"/>
          <w:szCs w:val="21"/>
          <w:highlight w:val="none"/>
        </w:rPr>
      </w:pPr>
      <w:r>
        <w:rPr>
          <w:color w:val="auto"/>
          <w:szCs w:val="21"/>
          <w:highlight w:val="none"/>
        </w:rPr>
        <w:t>关于延期最长不得超过：</w:t>
      </w:r>
      <w:r>
        <w:rPr>
          <w:color w:val="auto"/>
          <w:szCs w:val="21"/>
          <w:highlight w:val="none"/>
          <w:u w:val="single"/>
        </w:rPr>
        <w:t xml:space="preserve"> 24 </w:t>
      </w:r>
      <w:r>
        <w:rPr>
          <w:color w:val="auto"/>
          <w:szCs w:val="21"/>
          <w:highlight w:val="none"/>
        </w:rPr>
        <w:t>小时，由此导致工期延误的，工期予以顺延。</w:t>
      </w:r>
    </w:p>
    <w:p w14:paraId="0AEE1C0F">
      <w:pPr>
        <w:spacing w:line="400" w:lineRule="exact"/>
        <w:ind w:firstLine="420" w:firstLineChars="200"/>
        <w:jc w:val="left"/>
        <w:rPr>
          <w:rFonts w:hint="eastAsia"/>
          <w:color w:val="auto"/>
          <w:szCs w:val="21"/>
          <w:highlight w:val="none"/>
        </w:rPr>
      </w:pPr>
      <w:r>
        <w:rPr>
          <w:rFonts w:hint="eastAsia"/>
          <w:color w:val="auto"/>
          <w:highlight w:val="none"/>
          <w:u w:val="single"/>
        </w:rPr>
        <w:t>隐蔽工程验收过程、验收部位除办理纸质验收记录，承包人还应保留验收部位、验收过程、验收人员相片、影像等资料。</w:t>
      </w:r>
    </w:p>
    <w:p w14:paraId="414507CF">
      <w:pPr>
        <w:pStyle w:val="4"/>
        <w:spacing w:before="0" w:after="0" w:line="400" w:lineRule="exact"/>
        <w:ind w:firstLine="422" w:firstLineChars="200"/>
        <w:rPr>
          <w:rFonts w:ascii="Times New Roman" w:hAnsi="Times New Roman" w:eastAsia="宋体"/>
          <w:b w:val="0"/>
          <w:color w:val="auto"/>
          <w:sz w:val="21"/>
          <w:szCs w:val="21"/>
          <w:highlight w:val="none"/>
        </w:rPr>
      </w:pPr>
      <w:r>
        <w:rPr>
          <w:rFonts w:ascii="Times New Roman" w:hAnsi="Times New Roman"/>
          <w:color w:val="auto"/>
          <w:sz w:val="21"/>
          <w:szCs w:val="21"/>
          <w:highlight w:val="none"/>
        </w:rPr>
        <w:t>6. 安全文明施工与环境保护</w:t>
      </w:r>
    </w:p>
    <w:p w14:paraId="70B89C93">
      <w:pPr>
        <w:spacing w:line="400" w:lineRule="exact"/>
        <w:ind w:firstLine="420" w:firstLineChars="200"/>
        <w:rPr>
          <w:color w:val="auto"/>
          <w:szCs w:val="21"/>
          <w:highlight w:val="none"/>
        </w:rPr>
      </w:pPr>
      <w:r>
        <w:rPr>
          <w:color w:val="auto"/>
          <w:szCs w:val="21"/>
          <w:highlight w:val="none"/>
        </w:rPr>
        <w:t>6.1安全文明施工</w:t>
      </w:r>
    </w:p>
    <w:p w14:paraId="65FE36F8">
      <w:pPr>
        <w:spacing w:line="400" w:lineRule="exact"/>
        <w:ind w:firstLine="420" w:firstLineChars="200"/>
        <w:jc w:val="left"/>
        <w:rPr>
          <w:rFonts w:hint="eastAsia"/>
          <w:color w:val="auto"/>
          <w:highlight w:val="none"/>
          <w:u w:val="single"/>
        </w:rPr>
      </w:pPr>
      <w:r>
        <w:rPr>
          <w:color w:val="auto"/>
          <w:szCs w:val="21"/>
          <w:highlight w:val="none"/>
        </w:rPr>
        <w:t>6.1.1 项目安全生产的达标目标及相应事项的约定：</w:t>
      </w:r>
      <w:r>
        <w:rPr>
          <w:rFonts w:hint="eastAsia"/>
          <w:color w:val="auto"/>
          <w:highlight w:val="none"/>
          <w:u w:val="single"/>
        </w:rPr>
        <w:t>按《浙江省建筑施工安全标准化管理规定》（浙建建〔2012〕54 号），及工程所在地相关主管部门发布的有关施工现场安全文明施工（含扬尘防护、监测），门禁考勤管理，噪音、污水排放，视频监控等管理规定执行。（注：根据工程所在地管理部门对该区域内现场安全文明施工要求不同调整）</w:t>
      </w:r>
    </w:p>
    <w:p w14:paraId="148EC953">
      <w:pPr>
        <w:spacing w:line="400" w:lineRule="exact"/>
        <w:ind w:firstLine="420" w:firstLineChars="200"/>
        <w:jc w:val="left"/>
        <w:rPr>
          <w:rFonts w:hint="eastAsia"/>
          <w:color w:val="auto"/>
          <w:highlight w:val="none"/>
          <w:u w:val="single"/>
        </w:rPr>
      </w:pPr>
      <w:r>
        <w:rPr>
          <w:rFonts w:hint="eastAsia"/>
          <w:color w:val="auto"/>
          <w:highlight w:val="none"/>
          <w:u w:val="single"/>
        </w:rPr>
        <w:t>（1）承包人在施工期间，应严格执行工程所在地有关建设工程安全、文明施工的规定，由于管理不善引起政府有关部门罚款或责令停工整改等，其发生的费用或导致的损失应由承包人自行承担，在施工单位整改前发包人保留因此而缓付工程进度款的权利。</w:t>
      </w:r>
    </w:p>
    <w:p w14:paraId="60FD7C22">
      <w:pPr>
        <w:spacing w:line="400" w:lineRule="exact"/>
        <w:ind w:firstLine="420" w:firstLineChars="200"/>
        <w:jc w:val="left"/>
        <w:rPr>
          <w:rFonts w:hint="eastAsia"/>
          <w:color w:val="auto"/>
          <w:highlight w:val="none"/>
          <w:u w:val="single"/>
        </w:rPr>
      </w:pPr>
      <w:r>
        <w:rPr>
          <w:rFonts w:hint="eastAsia"/>
          <w:color w:val="auto"/>
          <w:highlight w:val="none"/>
          <w:u w:val="single"/>
        </w:rPr>
        <w:t>（2）承包人在施工过程中造成发包人或第三方人身、财产等损失的，由承包人承担赔偿责任。</w:t>
      </w:r>
    </w:p>
    <w:p w14:paraId="15B67589">
      <w:pPr>
        <w:spacing w:line="400" w:lineRule="exact"/>
        <w:ind w:firstLine="420" w:firstLineChars="200"/>
        <w:rPr>
          <w:color w:val="auto"/>
          <w:szCs w:val="21"/>
          <w:highlight w:val="none"/>
        </w:rPr>
      </w:pPr>
      <w:r>
        <w:rPr>
          <w:color w:val="auto"/>
          <w:szCs w:val="21"/>
          <w:highlight w:val="none"/>
        </w:rPr>
        <w:t>6.1.4 关于治安保卫的特别约定：</w:t>
      </w:r>
      <w:r>
        <w:rPr>
          <w:color w:val="auto"/>
          <w:szCs w:val="21"/>
          <w:highlight w:val="none"/>
          <w:u w:val="single"/>
        </w:rPr>
        <w:t>按通用合同条款</w:t>
      </w:r>
      <w:r>
        <w:rPr>
          <w:color w:val="auto"/>
          <w:szCs w:val="21"/>
          <w:highlight w:val="none"/>
        </w:rPr>
        <w:t>。</w:t>
      </w:r>
    </w:p>
    <w:p w14:paraId="182B670F">
      <w:pPr>
        <w:spacing w:line="400" w:lineRule="exact"/>
        <w:ind w:firstLine="420" w:firstLineChars="200"/>
        <w:rPr>
          <w:color w:val="auto"/>
          <w:szCs w:val="21"/>
          <w:highlight w:val="none"/>
        </w:rPr>
      </w:pPr>
      <w:r>
        <w:rPr>
          <w:color w:val="auto"/>
          <w:szCs w:val="21"/>
          <w:highlight w:val="none"/>
        </w:rPr>
        <w:t>关于编制施工场地治安管理计划的约定：</w:t>
      </w:r>
      <w:r>
        <w:rPr>
          <w:color w:val="auto"/>
          <w:szCs w:val="21"/>
          <w:highlight w:val="none"/>
          <w:u w:val="single"/>
        </w:rPr>
        <w:t>按通用合同条款</w:t>
      </w:r>
      <w:r>
        <w:rPr>
          <w:color w:val="auto"/>
          <w:szCs w:val="21"/>
          <w:highlight w:val="none"/>
        </w:rPr>
        <w:t>。</w:t>
      </w:r>
    </w:p>
    <w:p w14:paraId="086015EB">
      <w:pPr>
        <w:spacing w:line="400" w:lineRule="exact"/>
        <w:ind w:firstLine="420" w:firstLineChars="200"/>
        <w:rPr>
          <w:color w:val="auto"/>
          <w:szCs w:val="21"/>
          <w:highlight w:val="none"/>
        </w:rPr>
      </w:pPr>
      <w:r>
        <w:rPr>
          <w:color w:val="auto"/>
          <w:szCs w:val="21"/>
          <w:highlight w:val="none"/>
        </w:rPr>
        <w:t>6.1.5 文明施工</w:t>
      </w:r>
    </w:p>
    <w:p w14:paraId="4402AB7D">
      <w:pPr>
        <w:spacing w:line="400" w:lineRule="exact"/>
        <w:ind w:firstLine="420" w:firstLineChars="200"/>
        <w:rPr>
          <w:color w:val="auto"/>
          <w:szCs w:val="21"/>
          <w:highlight w:val="none"/>
          <w:u w:val="single"/>
        </w:rPr>
      </w:pPr>
      <w:r>
        <w:rPr>
          <w:color w:val="auto"/>
          <w:szCs w:val="21"/>
          <w:highlight w:val="none"/>
        </w:rPr>
        <w:t>合同当事人对文明施工的要求：</w:t>
      </w:r>
      <w:r>
        <w:rPr>
          <w:color w:val="auto"/>
          <w:szCs w:val="21"/>
          <w:highlight w:val="none"/>
          <w:u w:val="single"/>
        </w:rPr>
        <w:t>按省、市发有关文明施工管理规定执行。</w:t>
      </w:r>
    </w:p>
    <w:p w14:paraId="7FCCADA3">
      <w:pPr>
        <w:spacing w:line="400" w:lineRule="exact"/>
        <w:ind w:firstLine="420" w:firstLineChars="200"/>
        <w:rPr>
          <w:rFonts w:hint="eastAsia"/>
          <w:color w:val="auto"/>
          <w:szCs w:val="21"/>
          <w:highlight w:val="none"/>
          <w:u w:val="single"/>
        </w:rPr>
      </w:pPr>
      <w:r>
        <w:rPr>
          <w:color w:val="auto"/>
          <w:szCs w:val="21"/>
          <w:highlight w:val="none"/>
        </w:rPr>
        <w:t>6.1.6 关于安全文明施工费支付比例和支付期限的约定：</w:t>
      </w:r>
      <w:r>
        <w:rPr>
          <w:rFonts w:hint="eastAsia"/>
          <w:color w:val="auto"/>
          <w:szCs w:val="21"/>
          <w:highlight w:val="none"/>
          <w:u w:val="single"/>
        </w:rPr>
        <w:t>安全文明施工费预付费用包含在工程预付款内，与工程预付款一并支付，支付比例为安全文明施工费(不含创标化工地增加费) 总额的(50) %（注：合同工期在一年以内的，预付费用不得低于该费用总额的50%；合同工期在一年以上的（含一年）项目，预付费用不得低于该费用总额的30%），其余部分与进度款同期支付。安全文明施工费承包人应专款专用，在财务账目中应单独列项备查，不得挪作他用。</w:t>
      </w:r>
    </w:p>
    <w:p w14:paraId="0432C4A4">
      <w:pPr>
        <w:spacing w:line="400" w:lineRule="exact"/>
        <w:ind w:firstLine="420" w:firstLineChars="200"/>
        <w:rPr>
          <w:color w:val="auto"/>
          <w:szCs w:val="21"/>
          <w:highlight w:val="none"/>
        </w:rPr>
      </w:pPr>
      <w:r>
        <w:rPr>
          <w:color w:val="auto"/>
          <w:szCs w:val="21"/>
          <w:highlight w:val="none"/>
          <w:u w:val="single"/>
        </w:rPr>
        <w:t>安全文明施工费包含在签约合同价内。承包人经发包人同意采取合同以外的安全措施所产生的费用，由发、承包人协商处理；未经发包人同意，发包人可不承担由此增加费用</w:t>
      </w:r>
      <w:r>
        <w:rPr>
          <w:color w:val="auto"/>
          <w:szCs w:val="21"/>
          <w:highlight w:val="none"/>
        </w:rPr>
        <w:t>。</w:t>
      </w:r>
    </w:p>
    <w:p w14:paraId="360FE14D">
      <w:pPr>
        <w:pStyle w:val="4"/>
        <w:spacing w:before="0" w:after="0" w:line="400" w:lineRule="exact"/>
        <w:ind w:firstLine="422" w:firstLineChars="200"/>
        <w:rPr>
          <w:rFonts w:ascii="Times New Roman" w:hAnsi="Times New Roman"/>
          <w:color w:val="auto"/>
          <w:sz w:val="21"/>
          <w:szCs w:val="21"/>
          <w:highlight w:val="none"/>
        </w:rPr>
      </w:pPr>
      <w:bookmarkStart w:id="48" w:name="_Toc351203639"/>
      <w:r>
        <w:rPr>
          <w:rFonts w:ascii="Times New Roman" w:hAnsi="Times New Roman"/>
          <w:color w:val="auto"/>
          <w:sz w:val="21"/>
          <w:szCs w:val="21"/>
          <w:highlight w:val="none"/>
        </w:rPr>
        <w:t>7. 工期和进度</w:t>
      </w:r>
      <w:bookmarkEnd w:id="48"/>
    </w:p>
    <w:p w14:paraId="08851C9A">
      <w:pPr>
        <w:spacing w:line="400" w:lineRule="exact"/>
        <w:ind w:firstLine="420" w:firstLineChars="200"/>
        <w:rPr>
          <w:color w:val="auto"/>
          <w:szCs w:val="21"/>
          <w:highlight w:val="none"/>
        </w:rPr>
      </w:pPr>
      <w:r>
        <w:rPr>
          <w:color w:val="auto"/>
          <w:szCs w:val="21"/>
          <w:highlight w:val="none"/>
        </w:rPr>
        <w:t>7.1 施工组织设计</w:t>
      </w:r>
    </w:p>
    <w:p w14:paraId="19205C3B">
      <w:pPr>
        <w:autoSpaceDE w:val="0"/>
        <w:autoSpaceDN w:val="0"/>
        <w:adjustRightInd w:val="0"/>
        <w:spacing w:line="400" w:lineRule="exact"/>
        <w:ind w:firstLine="420" w:firstLineChars="200"/>
        <w:rPr>
          <w:rFonts w:ascii="宋体" w:hAnsi="宋体" w:cs="宋体"/>
          <w:color w:val="auto"/>
          <w:szCs w:val="21"/>
          <w:highlight w:val="none"/>
          <w:u w:val="single"/>
        </w:rPr>
      </w:pPr>
      <w:r>
        <w:rPr>
          <w:color w:val="auto"/>
          <w:szCs w:val="21"/>
          <w:highlight w:val="none"/>
        </w:rPr>
        <w:t>7.1.</w:t>
      </w:r>
      <w:r>
        <w:rPr>
          <w:rFonts w:hint="eastAsia"/>
          <w:color w:val="auto"/>
          <w:szCs w:val="21"/>
          <w:highlight w:val="none"/>
        </w:rPr>
        <w:t>1 合</w:t>
      </w:r>
      <w:r>
        <w:rPr>
          <w:rFonts w:hint="eastAsia"/>
          <w:color w:val="auto"/>
          <w:kern w:val="0"/>
          <w:szCs w:val="21"/>
          <w:highlight w:val="none"/>
        </w:rPr>
        <w:t>同当事人约定的</w:t>
      </w:r>
      <w:r>
        <w:rPr>
          <w:color w:val="auto"/>
          <w:kern w:val="0"/>
          <w:szCs w:val="21"/>
          <w:highlight w:val="none"/>
        </w:rPr>
        <w:t>施工组织设计</w:t>
      </w:r>
      <w:r>
        <w:rPr>
          <w:rFonts w:hint="eastAsia"/>
          <w:color w:val="auto"/>
          <w:kern w:val="0"/>
          <w:szCs w:val="21"/>
          <w:highlight w:val="none"/>
        </w:rPr>
        <w:t>应包括的其他内容</w:t>
      </w:r>
      <w:r>
        <w:rPr>
          <w:color w:val="auto"/>
          <w:kern w:val="0"/>
          <w:szCs w:val="21"/>
          <w:highlight w:val="none"/>
        </w:rPr>
        <w:t>：</w:t>
      </w:r>
      <w:r>
        <w:rPr>
          <w:rFonts w:hint="eastAsia" w:ascii="宋体" w:hAnsi="宋体" w:cs="宋体"/>
          <w:color w:val="auto"/>
          <w:szCs w:val="21"/>
          <w:highlight w:val="none"/>
          <w:u w:val="single"/>
        </w:rPr>
        <w:t>对特殊工艺施工、危险性较大分部分项工程施工（如基坑支护方案、高大支模架方案、外墙悬挑架等专项施工方案），应按规定组织专家论证及办理审批手续。</w:t>
      </w:r>
    </w:p>
    <w:p w14:paraId="19C80564">
      <w:pPr>
        <w:autoSpaceDE w:val="0"/>
        <w:autoSpaceDN w:val="0"/>
        <w:adjustRightInd w:val="0"/>
        <w:spacing w:line="400" w:lineRule="exact"/>
        <w:ind w:firstLine="420" w:firstLineChars="200"/>
        <w:rPr>
          <w:color w:val="auto"/>
          <w:szCs w:val="21"/>
          <w:highlight w:val="none"/>
        </w:rPr>
      </w:pPr>
      <w:r>
        <w:rPr>
          <w:rFonts w:hint="eastAsia" w:ascii="宋体" w:hAnsi="宋体" w:cs="宋体"/>
          <w:color w:val="auto"/>
          <w:szCs w:val="21"/>
          <w:highlight w:val="none"/>
          <w:u w:val="single"/>
        </w:rPr>
        <w:t>监理人、发包人对施工组织设计、专项施工方案的批准，仅表示对施工技术方案的认可；如构成工程变更或者涉及工程价款调整的，承包人应在提交的审批表中载明，并同时提交工程造价文件，经监理人、发包人审批后作为结算依据（注：政府性投资项目，应按当地政府规定的项目变更办理程序办理）。</w:t>
      </w:r>
    </w:p>
    <w:p w14:paraId="18F87C40">
      <w:pPr>
        <w:autoSpaceDE w:val="0"/>
        <w:autoSpaceDN w:val="0"/>
        <w:adjustRightInd w:val="0"/>
        <w:spacing w:line="400" w:lineRule="exact"/>
        <w:ind w:firstLine="420" w:firstLineChars="200"/>
        <w:rPr>
          <w:color w:val="auto"/>
          <w:kern w:val="0"/>
          <w:szCs w:val="21"/>
          <w:highlight w:val="none"/>
        </w:rPr>
      </w:pPr>
      <w:r>
        <w:rPr>
          <w:color w:val="auto"/>
          <w:szCs w:val="21"/>
          <w:highlight w:val="none"/>
        </w:rPr>
        <w:t xml:space="preserve">7.1.2 </w:t>
      </w:r>
      <w:r>
        <w:rPr>
          <w:color w:val="auto"/>
          <w:kern w:val="0"/>
          <w:szCs w:val="21"/>
          <w:highlight w:val="none"/>
        </w:rPr>
        <w:t>施工组织设计的提交和修改</w:t>
      </w:r>
    </w:p>
    <w:p w14:paraId="650F7586">
      <w:pPr>
        <w:autoSpaceDE w:val="0"/>
        <w:autoSpaceDN w:val="0"/>
        <w:adjustRightInd w:val="0"/>
        <w:spacing w:line="400" w:lineRule="exact"/>
        <w:ind w:firstLine="420" w:firstLineChars="200"/>
        <w:rPr>
          <w:color w:val="auto"/>
          <w:szCs w:val="21"/>
          <w:highlight w:val="none"/>
        </w:rPr>
      </w:pPr>
      <w:r>
        <w:rPr>
          <w:color w:val="auto"/>
          <w:kern w:val="0"/>
          <w:szCs w:val="21"/>
          <w:highlight w:val="none"/>
        </w:rPr>
        <w:t>承包人提交详细施工组织设计的期限的约定：</w:t>
      </w:r>
      <w:r>
        <w:rPr>
          <w:rFonts w:hint="eastAsia" w:ascii="宋体" w:hAnsi="宋体"/>
          <w:color w:val="auto"/>
          <w:szCs w:val="21"/>
          <w:highlight w:val="none"/>
          <w:u w:val="single"/>
        </w:rPr>
        <w:t>接到开工通知（或确定开工日期）后7天内，专项施工方案在相应部位施工前7天。发包人对承包人的施工组织设计（或方案）提出质疑和合理修正时，承包人应7天内提供修正完成并重新提交；每月20日前向发包方提交下一月进度计划和施工方案</w:t>
      </w:r>
      <w:r>
        <w:rPr>
          <w:rFonts w:ascii="宋体" w:hAnsi="宋体"/>
          <w:color w:val="auto"/>
          <w:szCs w:val="21"/>
          <w:highlight w:val="none"/>
          <w:u w:val="single"/>
        </w:rPr>
        <w:t>。</w:t>
      </w:r>
    </w:p>
    <w:p w14:paraId="3E739230">
      <w:pPr>
        <w:spacing w:line="400" w:lineRule="exact"/>
        <w:ind w:firstLine="420" w:firstLineChars="200"/>
        <w:rPr>
          <w:color w:val="auto"/>
          <w:szCs w:val="21"/>
          <w:highlight w:val="none"/>
        </w:rPr>
      </w:pPr>
      <w:r>
        <w:rPr>
          <w:color w:val="auto"/>
          <w:szCs w:val="21"/>
          <w:highlight w:val="none"/>
        </w:rPr>
        <w:t>发包人和监理人在收到</w:t>
      </w:r>
      <w:r>
        <w:rPr>
          <w:rFonts w:hint="eastAsia"/>
          <w:color w:val="auto"/>
          <w:szCs w:val="21"/>
          <w:highlight w:val="none"/>
        </w:rPr>
        <w:t>详细的施工组织设计</w:t>
      </w:r>
      <w:r>
        <w:rPr>
          <w:color w:val="auto"/>
          <w:szCs w:val="21"/>
          <w:highlight w:val="none"/>
        </w:rPr>
        <w:t>后确认或提出修改意见的期限：</w:t>
      </w:r>
      <w:r>
        <w:rPr>
          <w:rFonts w:hint="eastAsia"/>
          <w:color w:val="auto"/>
          <w:szCs w:val="21"/>
          <w:highlight w:val="none"/>
          <w:u w:val="single"/>
        </w:rPr>
        <w:t>收到相应文件后7天内</w:t>
      </w:r>
      <w:r>
        <w:rPr>
          <w:color w:val="auto"/>
          <w:szCs w:val="21"/>
          <w:highlight w:val="none"/>
          <w:u w:val="single"/>
        </w:rPr>
        <w:t>。</w:t>
      </w:r>
    </w:p>
    <w:p w14:paraId="5C0AB8E8">
      <w:pPr>
        <w:spacing w:line="400" w:lineRule="exact"/>
        <w:ind w:firstLine="420" w:firstLineChars="200"/>
        <w:rPr>
          <w:color w:val="auto"/>
          <w:szCs w:val="21"/>
          <w:highlight w:val="none"/>
        </w:rPr>
      </w:pPr>
      <w:r>
        <w:rPr>
          <w:color w:val="auto"/>
          <w:szCs w:val="21"/>
          <w:highlight w:val="none"/>
        </w:rPr>
        <w:t>7.2 施工进度计划</w:t>
      </w:r>
    </w:p>
    <w:p w14:paraId="07B30961">
      <w:pPr>
        <w:spacing w:line="400" w:lineRule="exact"/>
        <w:ind w:firstLine="420" w:firstLineChars="200"/>
        <w:rPr>
          <w:color w:val="auto"/>
          <w:szCs w:val="21"/>
          <w:highlight w:val="none"/>
        </w:rPr>
      </w:pPr>
      <w:r>
        <w:rPr>
          <w:color w:val="auto"/>
          <w:szCs w:val="21"/>
          <w:highlight w:val="none"/>
        </w:rPr>
        <w:t>7.2.2 施工进度计划的修订</w:t>
      </w:r>
    </w:p>
    <w:p w14:paraId="7AE94BF3">
      <w:pPr>
        <w:spacing w:line="400" w:lineRule="exact"/>
        <w:ind w:firstLine="420" w:firstLineChars="200"/>
        <w:rPr>
          <w:color w:val="auto"/>
          <w:szCs w:val="21"/>
          <w:highlight w:val="none"/>
        </w:rPr>
      </w:pPr>
      <w:r>
        <w:rPr>
          <w:color w:val="auto"/>
          <w:szCs w:val="21"/>
          <w:highlight w:val="none"/>
        </w:rPr>
        <w:t>发包人和监理人在收到修订的施工进度计划后确认或提出修改意见的期限：</w:t>
      </w:r>
      <w:r>
        <w:rPr>
          <w:color w:val="auto"/>
          <w:szCs w:val="21"/>
          <w:highlight w:val="none"/>
          <w:u w:val="single"/>
        </w:rPr>
        <w:t xml:space="preserve"> 收到相应文件后7天内 </w:t>
      </w:r>
      <w:r>
        <w:rPr>
          <w:color w:val="auto"/>
          <w:szCs w:val="21"/>
          <w:highlight w:val="none"/>
        </w:rPr>
        <w:t>。</w:t>
      </w:r>
    </w:p>
    <w:p w14:paraId="7B71989F">
      <w:pPr>
        <w:spacing w:line="400" w:lineRule="exact"/>
        <w:ind w:firstLine="420" w:firstLineChars="200"/>
        <w:rPr>
          <w:color w:val="auto"/>
          <w:szCs w:val="21"/>
          <w:highlight w:val="none"/>
        </w:rPr>
      </w:pPr>
      <w:r>
        <w:rPr>
          <w:color w:val="auto"/>
          <w:szCs w:val="21"/>
          <w:highlight w:val="none"/>
        </w:rPr>
        <w:t>7.3 开工</w:t>
      </w:r>
    </w:p>
    <w:p w14:paraId="268FAB30">
      <w:pPr>
        <w:spacing w:line="400" w:lineRule="exact"/>
        <w:ind w:firstLine="420" w:firstLineChars="200"/>
        <w:rPr>
          <w:color w:val="auto"/>
          <w:szCs w:val="21"/>
          <w:highlight w:val="none"/>
        </w:rPr>
      </w:pPr>
      <w:r>
        <w:rPr>
          <w:color w:val="auto"/>
          <w:szCs w:val="21"/>
          <w:highlight w:val="none"/>
        </w:rPr>
        <w:t>7.3.1 开工准备</w:t>
      </w:r>
    </w:p>
    <w:p w14:paraId="2C2F4F61">
      <w:pPr>
        <w:spacing w:line="400" w:lineRule="exact"/>
        <w:ind w:firstLine="420" w:firstLineChars="200"/>
        <w:rPr>
          <w:color w:val="auto"/>
          <w:szCs w:val="21"/>
          <w:highlight w:val="none"/>
          <w:u w:val="single"/>
        </w:rPr>
      </w:pPr>
      <w:r>
        <w:rPr>
          <w:color w:val="auto"/>
          <w:szCs w:val="21"/>
          <w:highlight w:val="none"/>
        </w:rPr>
        <w:t>关于承包人提交工程开工报审表的</w:t>
      </w:r>
      <w:r>
        <w:rPr>
          <w:color w:val="auto"/>
          <w:szCs w:val="21"/>
          <w:highlight w:val="none"/>
        </w:rPr>
        <w:t>期限：</w:t>
      </w:r>
      <w:r>
        <w:rPr>
          <w:color w:val="auto"/>
          <w:szCs w:val="21"/>
          <w:highlight w:val="none"/>
          <w:u w:val="single"/>
        </w:rPr>
        <w:t xml:space="preserve">接到开工通知（或确定开工日期）后7天内 </w:t>
      </w:r>
      <w:r>
        <w:rPr>
          <w:color w:val="auto"/>
          <w:szCs w:val="21"/>
          <w:highlight w:val="none"/>
        </w:rPr>
        <w:t>。</w:t>
      </w:r>
    </w:p>
    <w:p w14:paraId="05ED4926">
      <w:pPr>
        <w:spacing w:line="400" w:lineRule="exact"/>
        <w:ind w:firstLine="420" w:firstLineChars="200"/>
        <w:rPr>
          <w:color w:val="auto"/>
          <w:szCs w:val="21"/>
          <w:highlight w:val="none"/>
        </w:rPr>
      </w:pPr>
      <w:r>
        <w:rPr>
          <w:color w:val="auto"/>
          <w:szCs w:val="21"/>
          <w:highlight w:val="none"/>
        </w:rPr>
        <w:t>关于发包人应完成的其他开工准备工作及期限：</w:t>
      </w:r>
      <w:r>
        <w:rPr>
          <w:color w:val="auto"/>
          <w:szCs w:val="21"/>
          <w:highlight w:val="none"/>
          <w:u w:val="single"/>
        </w:rPr>
        <w:t>开工前7天</w:t>
      </w:r>
      <w:r>
        <w:rPr>
          <w:color w:val="auto"/>
          <w:szCs w:val="21"/>
          <w:highlight w:val="none"/>
        </w:rPr>
        <w:t>。</w:t>
      </w:r>
    </w:p>
    <w:p w14:paraId="4E40767A">
      <w:pPr>
        <w:spacing w:line="400" w:lineRule="exact"/>
        <w:ind w:firstLine="420" w:firstLineChars="200"/>
        <w:rPr>
          <w:color w:val="auto"/>
          <w:szCs w:val="21"/>
          <w:highlight w:val="none"/>
        </w:rPr>
      </w:pPr>
      <w:r>
        <w:rPr>
          <w:color w:val="auto"/>
          <w:szCs w:val="21"/>
          <w:highlight w:val="none"/>
        </w:rPr>
        <w:t>关于承包人应完成的其他开工准备工作及期限：</w:t>
      </w:r>
      <w:r>
        <w:rPr>
          <w:color w:val="auto"/>
          <w:szCs w:val="21"/>
          <w:highlight w:val="none"/>
          <w:u w:val="single"/>
        </w:rPr>
        <w:t>开工前。</w:t>
      </w:r>
    </w:p>
    <w:p w14:paraId="75AD1A3A">
      <w:pPr>
        <w:spacing w:line="400" w:lineRule="exact"/>
        <w:ind w:firstLine="420" w:firstLineChars="200"/>
        <w:rPr>
          <w:color w:val="auto"/>
          <w:szCs w:val="21"/>
          <w:highlight w:val="none"/>
        </w:rPr>
      </w:pPr>
      <w:r>
        <w:rPr>
          <w:color w:val="auto"/>
          <w:szCs w:val="21"/>
          <w:highlight w:val="none"/>
        </w:rPr>
        <w:t>7.3.2开工通知</w:t>
      </w:r>
    </w:p>
    <w:p w14:paraId="0F7BC642">
      <w:pPr>
        <w:spacing w:line="400" w:lineRule="exact"/>
        <w:ind w:firstLine="420" w:firstLineChars="200"/>
        <w:rPr>
          <w:color w:val="auto"/>
          <w:szCs w:val="21"/>
          <w:highlight w:val="none"/>
        </w:rPr>
      </w:pPr>
      <w:r>
        <w:rPr>
          <w:color w:val="auto"/>
          <w:szCs w:val="21"/>
          <w:highlight w:val="none"/>
        </w:rPr>
        <w:t>发包人（或监理人）在计划开工日期前7天向承包人发出开工通知，工期自开工通知中载明的开工日期起算。</w:t>
      </w:r>
    </w:p>
    <w:p w14:paraId="0559FF14">
      <w:pPr>
        <w:spacing w:line="400" w:lineRule="exact"/>
        <w:ind w:firstLine="420" w:firstLineChars="200"/>
        <w:rPr>
          <w:color w:val="auto"/>
          <w:szCs w:val="21"/>
          <w:highlight w:val="none"/>
          <w:u w:val="single"/>
        </w:rPr>
      </w:pPr>
      <w:r>
        <w:rPr>
          <w:color w:val="auto"/>
          <w:szCs w:val="21"/>
          <w:highlight w:val="none"/>
          <w:u w:val="single"/>
        </w:rPr>
        <w:t>因发包人原因造成监理人未能在计划开工日期之日起</w:t>
      </w:r>
      <w:r>
        <w:rPr>
          <w:rFonts w:hint="eastAsia"/>
          <w:color w:val="auto"/>
          <w:szCs w:val="21"/>
          <w:highlight w:val="none"/>
          <w:u w:val="single"/>
        </w:rPr>
        <w:t>90</w:t>
      </w:r>
      <w:r>
        <w:rPr>
          <w:color w:val="auto"/>
          <w:szCs w:val="21"/>
          <w:highlight w:val="none"/>
          <w:u w:val="single"/>
        </w:rPr>
        <w:t>天内发出开工通知的，承包人有权提出价格调整要求，或者解除合同。发包人应当承担由此增加的费用或赔偿承包人的损失。</w:t>
      </w:r>
    </w:p>
    <w:p w14:paraId="5F179A71">
      <w:pPr>
        <w:spacing w:line="400" w:lineRule="exact"/>
        <w:ind w:firstLine="420" w:firstLineChars="200"/>
        <w:rPr>
          <w:color w:val="auto"/>
          <w:szCs w:val="21"/>
          <w:highlight w:val="none"/>
        </w:rPr>
      </w:pPr>
      <w:r>
        <w:rPr>
          <w:color w:val="auto"/>
          <w:szCs w:val="21"/>
          <w:highlight w:val="none"/>
        </w:rPr>
        <w:t>7.4 测量放线</w:t>
      </w:r>
    </w:p>
    <w:p w14:paraId="7303677D">
      <w:pPr>
        <w:spacing w:line="400" w:lineRule="exact"/>
        <w:ind w:firstLine="420" w:firstLineChars="200"/>
        <w:rPr>
          <w:color w:val="auto"/>
          <w:szCs w:val="21"/>
          <w:highlight w:val="none"/>
        </w:rPr>
      </w:pPr>
      <w:r>
        <w:rPr>
          <w:color w:val="auto"/>
          <w:szCs w:val="21"/>
          <w:highlight w:val="none"/>
        </w:rPr>
        <w:t>7.4.1发包人通过监理人向承包人提供测量基准点、基准线和水准点及其书面资料的期限：</w:t>
      </w:r>
      <w:r>
        <w:rPr>
          <w:color w:val="auto"/>
          <w:szCs w:val="21"/>
          <w:highlight w:val="none"/>
          <w:u w:val="single"/>
        </w:rPr>
        <w:t xml:space="preserve"> 按通用合同条款执行</w:t>
      </w:r>
      <w:r>
        <w:rPr>
          <w:rFonts w:hint="eastAsia"/>
          <w:color w:val="auto"/>
          <w:szCs w:val="21"/>
          <w:highlight w:val="none"/>
          <w:u w:val="single"/>
          <w:lang w:eastAsia="zh-CN"/>
        </w:rPr>
        <w:t>，其中测量放线的费用由承包人承担</w:t>
      </w:r>
      <w:r>
        <w:rPr>
          <w:color w:val="auto"/>
          <w:szCs w:val="21"/>
          <w:highlight w:val="none"/>
          <w:u w:val="single"/>
        </w:rPr>
        <w:t xml:space="preserve"> </w:t>
      </w:r>
      <w:r>
        <w:rPr>
          <w:color w:val="auto"/>
          <w:szCs w:val="21"/>
          <w:highlight w:val="none"/>
        </w:rPr>
        <w:t>。</w:t>
      </w:r>
    </w:p>
    <w:p w14:paraId="4B50E2BB">
      <w:pPr>
        <w:spacing w:line="400" w:lineRule="exact"/>
        <w:ind w:firstLine="420" w:firstLineChars="200"/>
        <w:rPr>
          <w:color w:val="auto"/>
          <w:szCs w:val="21"/>
          <w:highlight w:val="none"/>
        </w:rPr>
      </w:pPr>
      <w:r>
        <w:rPr>
          <w:color w:val="auto"/>
          <w:szCs w:val="21"/>
          <w:highlight w:val="none"/>
        </w:rPr>
        <w:t>7.5 工期延误</w:t>
      </w:r>
    </w:p>
    <w:p w14:paraId="4D482EC6">
      <w:pPr>
        <w:spacing w:line="400" w:lineRule="exact"/>
        <w:ind w:firstLine="420" w:firstLineChars="200"/>
        <w:rPr>
          <w:color w:val="auto"/>
          <w:szCs w:val="21"/>
          <w:highlight w:val="none"/>
        </w:rPr>
      </w:pPr>
      <w:r>
        <w:rPr>
          <w:color w:val="auto"/>
          <w:szCs w:val="21"/>
          <w:highlight w:val="none"/>
        </w:rPr>
        <w:t>7.5.1 因发包人原因导致工期延误</w:t>
      </w:r>
    </w:p>
    <w:p w14:paraId="32175D4A">
      <w:pPr>
        <w:spacing w:line="400" w:lineRule="exact"/>
        <w:ind w:firstLine="420" w:firstLineChars="200"/>
        <w:rPr>
          <w:rFonts w:ascii="Times New Roman" w:hAnsi="Times New Roman"/>
          <w:color w:val="auto"/>
          <w:szCs w:val="21"/>
          <w:highlight w:val="none"/>
        </w:rPr>
      </w:pPr>
      <w:r>
        <w:rPr>
          <w:color w:val="auto"/>
          <w:szCs w:val="21"/>
          <w:highlight w:val="none"/>
        </w:rPr>
        <w:t>（7）因发包人原因导致工期延误的其他情形：</w:t>
      </w:r>
      <w:r>
        <w:rPr>
          <w:rFonts w:hint="eastAsia"/>
          <w:color w:val="auto"/>
          <w:szCs w:val="21"/>
          <w:highlight w:val="none"/>
          <w:u w:val="single"/>
        </w:rPr>
        <w:t>①设计变更；②因政策处理不完善导致无法施工；③由于配合政府单位要求检查、活动等引起的停工（承包人必须且有义务留存政府单位下达要求的正式文件）。注：因以上原因造成工期延误或停工的，需提供相关证明材料，同时仅顺延工期，费用不增加</w:t>
      </w:r>
      <w:r>
        <w:rPr>
          <w:color w:val="auto"/>
          <w:szCs w:val="21"/>
          <w:highlight w:val="none"/>
          <w:u w:val="single"/>
        </w:rPr>
        <w:t>。</w:t>
      </w:r>
    </w:p>
    <w:p w14:paraId="42729536">
      <w:pPr>
        <w:spacing w:line="400" w:lineRule="exact"/>
        <w:ind w:firstLine="420" w:firstLineChars="200"/>
        <w:rPr>
          <w:color w:val="auto"/>
          <w:szCs w:val="21"/>
          <w:highlight w:val="none"/>
        </w:rPr>
      </w:pPr>
      <w:r>
        <w:rPr>
          <w:color w:val="auto"/>
          <w:szCs w:val="21"/>
          <w:highlight w:val="none"/>
        </w:rPr>
        <w:t>7.5.2 因承包人原因导致工期延误</w:t>
      </w:r>
    </w:p>
    <w:p w14:paraId="1795F20B">
      <w:pPr>
        <w:spacing w:line="400" w:lineRule="exact"/>
        <w:ind w:firstLine="420" w:firstLineChars="200"/>
        <w:rPr>
          <w:rFonts w:hint="eastAsia" w:ascii="宋体" w:hAnsi="宋体" w:cs="宋体"/>
          <w:color w:val="auto"/>
          <w:sz w:val="22"/>
          <w:szCs w:val="20"/>
          <w:highlight w:val="none"/>
          <w:u w:val="single"/>
          <w:lang w:eastAsia="zh-CN"/>
        </w:rPr>
      </w:pPr>
      <w:r>
        <w:rPr>
          <w:color w:val="auto"/>
          <w:szCs w:val="21"/>
          <w:highlight w:val="none"/>
        </w:rPr>
        <w:t>因</w:t>
      </w:r>
      <w:bookmarkStart w:id="49" w:name="_Toc318581170"/>
      <w:bookmarkStart w:id="50" w:name="_Toc312678013"/>
      <w:bookmarkStart w:id="51" w:name="_Toc312677487"/>
      <w:r>
        <w:rPr>
          <w:color w:val="auto"/>
          <w:szCs w:val="21"/>
          <w:highlight w:val="none"/>
        </w:rPr>
        <w:t>承包人原因造成工期延误，逾期竣工违约金的计算方法为</w:t>
      </w:r>
      <w:r>
        <w:rPr>
          <w:color w:val="auto"/>
          <w:szCs w:val="21"/>
          <w:highlight w:val="none"/>
        </w:rPr>
        <w:t>：</w:t>
      </w:r>
      <w:bookmarkEnd w:id="49"/>
      <w:bookmarkEnd w:id="50"/>
      <w:bookmarkEnd w:id="51"/>
      <w:r>
        <w:rPr>
          <w:rFonts w:hint="eastAsia" w:ascii="Times New Roman" w:hAnsi="Times New Roman" w:eastAsia="宋体" w:cs="Times New Roman"/>
          <w:color w:val="auto"/>
          <w:szCs w:val="21"/>
          <w:highlight w:val="none"/>
          <w:u w:val="single"/>
          <w:lang w:val="en-US" w:eastAsia="zh-CN"/>
        </w:rPr>
        <w:t>2000</w:t>
      </w:r>
      <w:r>
        <w:rPr>
          <w:rFonts w:hint="eastAsia" w:ascii="Times New Roman" w:hAnsi="Times New Roman" w:eastAsia="宋体" w:cs="Times New Roman"/>
          <w:color w:val="auto"/>
          <w:szCs w:val="21"/>
          <w:highlight w:val="none"/>
          <w:u w:val="single"/>
        </w:rPr>
        <w:t>元/天</w:t>
      </w:r>
      <w:r>
        <w:rPr>
          <w:rFonts w:hint="eastAsia" w:ascii="Times New Roman" w:hAnsi="Times New Roman" w:eastAsia="宋体" w:cs="Times New Roman"/>
          <w:color w:val="auto"/>
          <w:szCs w:val="21"/>
          <w:highlight w:val="none"/>
          <w:u w:val="single"/>
          <w:lang w:eastAsia="zh-CN"/>
        </w:rPr>
        <w:t>。</w:t>
      </w:r>
    </w:p>
    <w:p w14:paraId="67ABA5F7">
      <w:pPr>
        <w:spacing w:line="400" w:lineRule="exact"/>
        <w:ind w:firstLine="420" w:firstLineChars="200"/>
        <w:rPr>
          <w:rFonts w:hint="eastAsia" w:ascii="Times New Roman" w:hAnsi="Times New Roman" w:eastAsia="宋体" w:cs="Times New Roman"/>
          <w:color w:val="auto"/>
          <w:szCs w:val="21"/>
          <w:highlight w:val="none"/>
          <w:u w:val="single"/>
        </w:rPr>
      </w:pPr>
      <w:r>
        <w:rPr>
          <w:color w:val="auto"/>
          <w:szCs w:val="21"/>
          <w:highlight w:val="none"/>
        </w:rPr>
        <w:t>因承包人原因造成工期延误，逾期竣工违约金的上限：</w:t>
      </w:r>
      <w:r>
        <w:rPr>
          <w:rFonts w:hint="eastAsia" w:ascii="Times New Roman" w:hAnsi="Times New Roman" w:eastAsia="宋体" w:cs="Times New Roman"/>
          <w:color w:val="auto"/>
          <w:szCs w:val="21"/>
          <w:highlight w:val="none"/>
          <w:u w:val="single"/>
        </w:rPr>
        <w:t>履约保证金额度，对发包人造成损失超过违约金的，除承担违约金外同时赔偿发包人损失。</w:t>
      </w:r>
    </w:p>
    <w:p w14:paraId="412E28A8">
      <w:pPr>
        <w:spacing w:line="400" w:lineRule="exact"/>
        <w:ind w:firstLine="420" w:firstLineChars="200"/>
        <w:rPr>
          <w:color w:val="auto"/>
          <w:szCs w:val="21"/>
          <w:highlight w:val="none"/>
        </w:rPr>
      </w:pPr>
      <w:r>
        <w:rPr>
          <w:color w:val="auto"/>
          <w:szCs w:val="21"/>
          <w:highlight w:val="none"/>
        </w:rPr>
        <w:t>7</w:t>
      </w:r>
      <w:bookmarkStart w:id="52" w:name="_Toc297123519"/>
      <w:bookmarkStart w:id="53" w:name="_Toc303539128"/>
      <w:bookmarkStart w:id="54" w:name="_Toc312678015"/>
      <w:bookmarkStart w:id="55" w:name="_Toc304295549"/>
      <w:bookmarkStart w:id="56" w:name="_Toc300934971"/>
      <w:bookmarkStart w:id="57" w:name="_Toc297216178"/>
      <w:r>
        <w:rPr>
          <w:color w:val="auto"/>
          <w:szCs w:val="21"/>
          <w:highlight w:val="none"/>
        </w:rPr>
        <w:t>.6 不</w:t>
      </w:r>
      <w:bookmarkEnd w:id="52"/>
      <w:bookmarkEnd w:id="53"/>
      <w:bookmarkEnd w:id="54"/>
      <w:bookmarkEnd w:id="55"/>
      <w:bookmarkEnd w:id="56"/>
      <w:bookmarkEnd w:id="57"/>
      <w:r>
        <w:rPr>
          <w:color w:val="auto"/>
          <w:szCs w:val="21"/>
          <w:highlight w:val="none"/>
        </w:rPr>
        <w:t>利物质条件</w:t>
      </w:r>
    </w:p>
    <w:p w14:paraId="6254190A">
      <w:pPr>
        <w:spacing w:line="400" w:lineRule="exact"/>
        <w:ind w:firstLine="420" w:firstLineChars="200"/>
        <w:rPr>
          <w:color w:val="auto"/>
          <w:szCs w:val="21"/>
          <w:highlight w:val="none"/>
        </w:rPr>
      </w:pPr>
      <w:r>
        <w:rPr>
          <w:color w:val="auto"/>
          <w:szCs w:val="21"/>
          <w:highlight w:val="none"/>
        </w:rPr>
        <w:t>不利物质条件的其他情形和有关约定：</w:t>
      </w:r>
    </w:p>
    <w:p w14:paraId="4DEA6AB4">
      <w:pPr>
        <w:spacing w:line="400" w:lineRule="exact"/>
        <w:ind w:firstLine="420" w:firstLineChars="200"/>
        <w:rPr>
          <w:color w:val="auto"/>
          <w:szCs w:val="21"/>
          <w:highlight w:val="none"/>
        </w:rPr>
      </w:pPr>
      <w:r>
        <w:rPr>
          <w:color w:val="auto"/>
          <w:szCs w:val="21"/>
          <w:highlight w:val="none"/>
        </w:rPr>
        <w:t>（1）</w:t>
      </w:r>
      <w:r>
        <w:rPr>
          <w:color w:val="auto"/>
          <w:szCs w:val="21"/>
          <w:highlight w:val="none"/>
          <w:u w:val="single"/>
        </w:rPr>
        <w:t>每天连续停水、停电超过8小时以上。</w:t>
      </w:r>
    </w:p>
    <w:p w14:paraId="5C0E0BA5">
      <w:pPr>
        <w:spacing w:line="400" w:lineRule="exact"/>
        <w:ind w:firstLine="420" w:firstLineChars="200"/>
        <w:rPr>
          <w:color w:val="auto"/>
          <w:szCs w:val="21"/>
          <w:highlight w:val="none"/>
          <w:u w:val="single"/>
        </w:rPr>
      </w:pPr>
      <w:r>
        <w:rPr>
          <w:color w:val="auto"/>
          <w:szCs w:val="21"/>
          <w:highlight w:val="none"/>
        </w:rPr>
        <w:t>（2）</w:t>
      </w:r>
      <w:r>
        <w:rPr>
          <w:color w:val="auto"/>
          <w:szCs w:val="21"/>
          <w:highlight w:val="none"/>
          <w:u w:val="single"/>
        </w:rPr>
        <w:t>因政府行政命令（因承包人原因的除外）。</w:t>
      </w:r>
    </w:p>
    <w:p w14:paraId="61319F0F">
      <w:pPr>
        <w:spacing w:line="400" w:lineRule="exact"/>
        <w:ind w:firstLine="420" w:firstLineChars="200"/>
        <w:rPr>
          <w:color w:val="auto"/>
          <w:szCs w:val="21"/>
          <w:highlight w:val="none"/>
          <w:u w:val="single"/>
        </w:rPr>
      </w:pPr>
      <w:r>
        <w:rPr>
          <w:color w:val="auto"/>
          <w:szCs w:val="21"/>
          <w:highlight w:val="none"/>
        </w:rPr>
        <w:t>（3）</w:t>
      </w:r>
      <w:r>
        <w:rPr>
          <w:color w:val="auto"/>
          <w:szCs w:val="21"/>
          <w:highlight w:val="none"/>
          <w:u w:val="single"/>
        </w:rPr>
        <w:t>非因双方原因而无法控制的爆炸、火灾等事件。</w:t>
      </w:r>
    </w:p>
    <w:p w14:paraId="66DA504A">
      <w:pPr>
        <w:spacing w:line="400" w:lineRule="exact"/>
        <w:ind w:firstLine="420" w:firstLineChars="200"/>
        <w:rPr>
          <w:color w:val="auto"/>
          <w:szCs w:val="21"/>
          <w:highlight w:val="none"/>
          <w:u w:val="single"/>
        </w:rPr>
      </w:pPr>
      <w:r>
        <w:rPr>
          <w:color w:val="auto"/>
          <w:szCs w:val="21"/>
          <w:highlight w:val="none"/>
        </w:rPr>
        <w:t>（4）</w:t>
      </w:r>
      <w:r>
        <w:rPr>
          <w:color w:val="auto"/>
          <w:szCs w:val="21"/>
          <w:highlight w:val="none"/>
          <w:u w:val="single"/>
        </w:rPr>
        <w:t>施工场地周围地下管线保护，地下障碍物和污染物排除，邻近建筑物、构筑物的保护要求。</w:t>
      </w:r>
    </w:p>
    <w:p w14:paraId="571ADCF6">
      <w:pPr>
        <w:spacing w:line="400" w:lineRule="exact"/>
        <w:ind w:firstLine="420" w:firstLineChars="200"/>
        <w:rPr>
          <w:rFonts w:hint="eastAsia"/>
          <w:color w:val="auto"/>
          <w:szCs w:val="21"/>
          <w:highlight w:val="none"/>
          <w:u w:val="single"/>
        </w:rPr>
      </w:pPr>
      <w:r>
        <w:rPr>
          <w:color w:val="auto"/>
          <w:szCs w:val="21"/>
          <w:highlight w:val="none"/>
          <w:u w:val="single"/>
        </w:rPr>
        <w:t>（5）地质勘探资料未涉及的地下管道、暗沟、岩层等。</w:t>
      </w:r>
    </w:p>
    <w:p w14:paraId="7ADDADF8">
      <w:pPr>
        <w:spacing w:line="400" w:lineRule="exact"/>
        <w:ind w:firstLine="420" w:firstLineChars="200"/>
        <w:rPr>
          <w:rFonts w:hint="eastAsia"/>
          <w:color w:val="auto"/>
          <w:szCs w:val="21"/>
          <w:highlight w:val="none"/>
          <w:u w:val="single"/>
        </w:rPr>
      </w:pPr>
      <w:r>
        <w:rPr>
          <w:rFonts w:hint="eastAsia"/>
          <w:color w:val="auto"/>
          <w:szCs w:val="21"/>
          <w:highlight w:val="none"/>
          <w:u w:val="single"/>
        </w:rPr>
        <w:t>承包人为克服不利物质条件，所采取合理措施而增加的费用和延误的工期由发包人承担；承包人虽然采取了合理的措施，但不利物质条件发生后，仍导致了工程现场损失，则参照</w:t>
      </w:r>
      <w:r>
        <w:rPr>
          <w:rFonts w:hint="eastAsia"/>
          <w:color w:val="auto"/>
          <w:szCs w:val="21"/>
          <w:highlight w:val="none"/>
          <w:u w:val="single"/>
          <w:lang w:val="en-US" w:eastAsia="zh-CN"/>
        </w:rPr>
        <w:t>专用</w:t>
      </w:r>
      <w:r>
        <w:rPr>
          <w:rFonts w:hint="eastAsia"/>
          <w:color w:val="auto"/>
          <w:szCs w:val="21"/>
          <w:highlight w:val="none"/>
          <w:u w:val="single"/>
        </w:rPr>
        <w:t>合同条款17.3</w:t>
      </w:r>
      <w:r>
        <w:rPr>
          <w:rFonts w:hint="eastAsia"/>
          <w:color w:val="auto"/>
          <w:szCs w:val="21"/>
          <w:highlight w:val="none"/>
          <w:u w:val="single"/>
          <w:lang w:val="en-US" w:eastAsia="zh-CN"/>
        </w:rPr>
        <w:t>条</w:t>
      </w:r>
      <w:r>
        <w:rPr>
          <w:rFonts w:hint="eastAsia"/>
          <w:color w:val="auto"/>
          <w:szCs w:val="21"/>
          <w:highlight w:val="none"/>
          <w:u w:val="single"/>
        </w:rPr>
        <w:t>处理。</w:t>
      </w:r>
    </w:p>
    <w:p w14:paraId="2F25D5C9">
      <w:pPr>
        <w:spacing w:line="400" w:lineRule="exact"/>
        <w:ind w:firstLine="420" w:firstLineChars="200"/>
        <w:rPr>
          <w:color w:val="auto"/>
          <w:szCs w:val="21"/>
          <w:highlight w:val="none"/>
        </w:rPr>
      </w:pPr>
      <w:r>
        <w:rPr>
          <w:color w:val="auto"/>
          <w:szCs w:val="21"/>
          <w:highlight w:val="none"/>
        </w:rPr>
        <w:t>7.7异常恶劣的气候条件</w:t>
      </w:r>
    </w:p>
    <w:p w14:paraId="0BC1888E">
      <w:pPr>
        <w:spacing w:line="400" w:lineRule="exact"/>
        <w:ind w:firstLine="420" w:firstLineChars="200"/>
        <w:rPr>
          <w:color w:val="auto"/>
          <w:szCs w:val="21"/>
          <w:highlight w:val="none"/>
        </w:rPr>
      </w:pPr>
      <w:r>
        <w:rPr>
          <w:color w:val="auto"/>
          <w:szCs w:val="21"/>
          <w:highlight w:val="none"/>
        </w:rPr>
        <w:t>发包人和承包人同意以下情形视为异常恶劣的气候条件：</w:t>
      </w:r>
    </w:p>
    <w:p w14:paraId="3B4D3731">
      <w:pPr>
        <w:spacing w:line="400" w:lineRule="exact"/>
        <w:ind w:firstLine="420" w:firstLineChars="200"/>
        <w:rPr>
          <w:color w:val="auto"/>
          <w:szCs w:val="21"/>
          <w:highlight w:val="none"/>
          <w:u w:val="single"/>
        </w:rPr>
      </w:pPr>
      <w:r>
        <w:rPr>
          <w:color w:val="auto"/>
          <w:szCs w:val="21"/>
          <w:highlight w:val="none"/>
        </w:rPr>
        <w:t>（1）</w:t>
      </w:r>
      <w:r>
        <w:rPr>
          <w:color w:val="auto"/>
          <w:szCs w:val="21"/>
          <w:highlight w:val="none"/>
          <w:u w:val="single"/>
        </w:rPr>
        <w:t>8</w:t>
      </w:r>
      <w:r>
        <w:rPr>
          <w:rFonts w:hint="eastAsia"/>
          <w:color w:val="auto"/>
          <w:szCs w:val="21"/>
          <w:highlight w:val="none"/>
          <w:u w:val="single"/>
        </w:rPr>
        <w:t>-10</w:t>
      </w:r>
      <w:r>
        <w:rPr>
          <w:color w:val="auto"/>
          <w:szCs w:val="21"/>
          <w:highlight w:val="none"/>
          <w:u w:val="single"/>
        </w:rPr>
        <w:t>级</w:t>
      </w:r>
      <w:r>
        <w:rPr>
          <w:rFonts w:hint="eastAsia"/>
          <w:color w:val="auto"/>
          <w:szCs w:val="21"/>
          <w:highlight w:val="none"/>
          <w:u w:val="single"/>
        </w:rPr>
        <w:t>（含10级）</w:t>
      </w:r>
      <w:r>
        <w:rPr>
          <w:color w:val="auto"/>
          <w:szCs w:val="21"/>
          <w:highlight w:val="none"/>
          <w:u w:val="single"/>
        </w:rPr>
        <w:t>持续24小时的大风</w:t>
      </w:r>
      <w:r>
        <w:rPr>
          <w:rFonts w:hint="eastAsia"/>
          <w:color w:val="auto"/>
          <w:szCs w:val="21"/>
          <w:highlight w:val="none"/>
          <w:u w:val="single"/>
        </w:rPr>
        <w:t>（台风）</w:t>
      </w:r>
      <w:r>
        <w:rPr>
          <w:color w:val="auto"/>
          <w:szCs w:val="21"/>
          <w:highlight w:val="none"/>
          <w:u w:val="single"/>
        </w:rPr>
        <w:t>；</w:t>
      </w:r>
    </w:p>
    <w:p w14:paraId="5DF14BB2">
      <w:pPr>
        <w:spacing w:line="400" w:lineRule="exact"/>
        <w:ind w:firstLine="420" w:firstLineChars="200"/>
        <w:rPr>
          <w:color w:val="auto"/>
          <w:szCs w:val="21"/>
          <w:highlight w:val="none"/>
        </w:rPr>
      </w:pPr>
      <w:r>
        <w:rPr>
          <w:color w:val="auto"/>
          <w:szCs w:val="21"/>
          <w:highlight w:val="none"/>
        </w:rPr>
        <w:t>（2）</w:t>
      </w:r>
      <w:r>
        <w:rPr>
          <w:color w:val="auto"/>
          <w:szCs w:val="21"/>
          <w:highlight w:val="none"/>
          <w:u w:val="single"/>
        </w:rPr>
        <w:t>24小时内持续降雨且降水量为200mm以上；</w:t>
      </w:r>
    </w:p>
    <w:p w14:paraId="6D05FF31">
      <w:pPr>
        <w:spacing w:line="400" w:lineRule="exact"/>
        <w:ind w:firstLine="420" w:firstLineChars="200"/>
        <w:rPr>
          <w:rFonts w:hint="eastAsia"/>
          <w:color w:val="auto"/>
          <w:szCs w:val="21"/>
          <w:highlight w:val="none"/>
        </w:rPr>
      </w:pPr>
      <w:r>
        <w:rPr>
          <w:color w:val="auto"/>
          <w:szCs w:val="21"/>
          <w:highlight w:val="none"/>
        </w:rPr>
        <w:t>（3）</w:t>
      </w:r>
      <w:r>
        <w:rPr>
          <w:color w:val="auto"/>
          <w:szCs w:val="21"/>
          <w:highlight w:val="none"/>
          <w:u w:val="single"/>
        </w:rPr>
        <w:t>40摄氏度及以上且持续2天以上的高温天气。</w:t>
      </w:r>
    </w:p>
    <w:p w14:paraId="145731CF">
      <w:pPr>
        <w:spacing w:line="400" w:lineRule="exact"/>
        <w:ind w:firstLine="420" w:firstLineChars="200"/>
        <w:rPr>
          <w:rFonts w:hint="eastAsia"/>
          <w:color w:val="auto"/>
          <w:szCs w:val="21"/>
          <w:highlight w:val="none"/>
          <w:u w:val="single"/>
        </w:rPr>
      </w:pPr>
      <w:r>
        <w:rPr>
          <w:rFonts w:hint="eastAsia"/>
          <w:color w:val="auto"/>
          <w:szCs w:val="21"/>
          <w:highlight w:val="none"/>
          <w:u w:val="single"/>
        </w:rPr>
        <w:t>承包人为克服异常恶劣的气候条件，所采取合理措施而增加的费用和延误的工期由发包人承担；承包人虽然采取了合理的措施，但异常恶劣的气候条件发生后，仍导致了工程现场损失，则参照通用合同条款17.3处理。</w:t>
      </w:r>
    </w:p>
    <w:p w14:paraId="6AF9E2C9">
      <w:pPr>
        <w:spacing w:line="400" w:lineRule="exact"/>
        <w:ind w:firstLine="420" w:firstLineChars="200"/>
        <w:rPr>
          <w:color w:val="auto"/>
          <w:szCs w:val="21"/>
          <w:highlight w:val="none"/>
        </w:rPr>
      </w:pPr>
      <w:r>
        <w:rPr>
          <w:color w:val="auto"/>
          <w:szCs w:val="21"/>
          <w:highlight w:val="none"/>
        </w:rPr>
        <w:t>7.9 提前竣工的奖励</w:t>
      </w:r>
    </w:p>
    <w:p w14:paraId="0A097C76">
      <w:pPr>
        <w:spacing w:line="400" w:lineRule="exact"/>
        <w:ind w:firstLine="420" w:firstLineChars="200"/>
        <w:rPr>
          <w:color w:val="auto"/>
          <w:szCs w:val="21"/>
          <w:highlight w:val="none"/>
          <w:u w:val="single"/>
        </w:rPr>
      </w:pPr>
      <w:r>
        <w:rPr>
          <w:color w:val="auto"/>
          <w:szCs w:val="21"/>
          <w:highlight w:val="none"/>
        </w:rPr>
        <w:t>7.9.2提前竣工</w:t>
      </w:r>
      <w:r>
        <w:rPr>
          <w:color w:val="auto"/>
          <w:szCs w:val="21"/>
          <w:highlight w:val="none"/>
        </w:rPr>
        <w:t>的奖</w:t>
      </w:r>
      <w:r>
        <w:rPr>
          <w:color w:val="auto"/>
          <w:szCs w:val="21"/>
          <w:highlight w:val="none"/>
        </w:rPr>
        <w:t>励：</w:t>
      </w:r>
      <w:r>
        <w:rPr>
          <w:rFonts w:hint="eastAsia" w:ascii="Times New Roman" w:hAnsi="Times New Roman" w:eastAsia="宋体" w:cs="Times New Roman"/>
          <w:color w:val="auto"/>
          <w:szCs w:val="21"/>
          <w:highlight w:val="none"/>
          <w:u w:val="single"/>
          <w:lang w:val="en-US" w:eastAsia="zh-CN"/>
        </w:rPr>
        <w:t>2000</w:t>
      </w:r>
      <w:r>
        <w:rPr>
          <w:rFonts w:hint="eastAsia" w:ascii="Times New Roman" w:hAnsi="Times New Roman" w:eastAsia="宋体" w:cs="Times New Roman"/>
          <w:color w:val="auto"/>
          <w:szCs w:val="21"/>
          <w:highlight w:val="none"/>
          <w:u w:val="single"/>
        </w:rPr>
        <w:t>元/天</w:t>
      </w:r>
      <w:r>
        <w:rPr>
          <w:rFonts w:hint="eastAsia" w:ascii="Times New Roman" w:hAnsi="Times New Roman" w:eastAsia="宋体" w:cs="Times New Roman"/>
          <w:color w:val="auto"/>
          <w:szCs w:val="21"/>
          <w:highlight w:val="none"/>
          <w:u w:val="single"/>
          <w:lang w:eastAsia="zh-CN"/>
        </w:rPr>
        <w:t>。</w:t>
      </w:r>
    </w:p>
    <w:p w14:paraId="1895C5BD">
      <w:pPr>
        <w:spacing w:line="400" w:lineRule="exact"/>
        <w:ind w:firstLine="420" w:firstLineChars="200"/>
        <w:rPr>
          <w:rFonts w:hint="eastAsia" w:eastAsia="宋体"/>
          <w:color w:val="auto"/>
          <w:szCs w:val="21"/>
          <w:highlight w:val="none"/>
          <w:lang w:eastAsia="zh-CN"/>
        </w:rPr>
      </w:pPr>
      <w:r>
        <w:rPr>
          <w:rFonts w:hint="eastAsia"/>
          <w:color w:val="auto"/>
          <w:szCs w:val="21"/>
          <w:highlight w:val="none"/>
        </w:rPr>
        <w:t>提前竣工奖励的上限：</w:t>
      </w:r>
      <w:r>
        <w:rPr>
          <w:rFonts w:hint="eastAsia" w:ascii="Times New Roman" w:hAnsi="Times New Roman" w:eastAsia="宋体" w:cs="Times New Roman"/>
          <w:color w:val="auto"/>
          <w:szCs w:val="21"/>
          <w:highlight w:val="none"/>
          <w:u w:val="single"/>
        </w:rPr>
        <w:t>履约保证金额度</w:t>
      </w:r>
      <w:r>
        <w:rPr>
          <w:rFonts w:hint="eastAsia" w:ascii="Times New Roman" w:hAnsi="Times New Roman" w:eastAsia="宋体" w:cs="Times New Roman"/>
          <w:color w:val="auto"/>
          <w:szCs w:val="21"/>
          <w:highlight w:val="none"/>
          <w:u w:val="single"/>
          <w:lang w:eastAsia="zh-CN"/>
        </w:rPr>
        <w:t>。</w:t>
      </w:r>
    </w:p>
    <w:p w14:paraId="49855DC4">
      <w:pPr>
        <w:pStyle w:val="4"/>
        <w:spacing w:before="0" w:after="0" w:line="400" w:lineRule="exact"/>
        <w:ind w:firstLine="422" w:firstLineChars="200"/>
        <w:rPr>
          <w:rFonts w:ascii="Times New Roman" w:hAnsi="Times New Roman"/>
          <w:color w:val="auto"/>
          <w:sz w:val="21"/>
          <w:szCs w:val="21"/>
          <w:highlight w:val="none"/>
        </w:rPr>
      </w:pPr>
      <w:bookmarkStart w:id="58" w:name="_Toc351203640"/>
      <w:r>
        <w:rPr>
          <w:rFonts w:ascii="Times New Roman" w:hAnsi="Times New Roman"/>
          <w:color w:val="auto"/>
          <w:sz w:val="21"/>
          <w:szCs w:val="21"/>
          <w:highlight w:val="none"/>
        </w:rPr>
        <w:t>8. 材料与设备</w:t>
      </w:r>
      <w:bookmarkEnd w:id="58"/>
    </w:p>
    <w:p w14:paraId="35A18067">
      <w:pPr>
        <w:autoSpaceDE w:val="0"/>
        <w:autoSpaceDN w:val="0"/>
        <w:adjustRightInd w:val="0"/>
        <w:spacing w:line="400" w:lineRule="exact"/>
        <w:ind w:firstLine="420" w:firstLineChars="200"/>
        <w:rPr>
          <w:rFonts w:hint="eastAsia"/>
          <w:color w:val="auto"/>
          <w:szCs w:val="21"/>
          <w:highlight w:val="none"/>
        </w:rPr>
      </w:pPr>
      <w:r>
        <w:rPr>
          <w:color w:val="auto"/>
          <w:szCs w:val="21"/>
          <w:highlight w:val="none"/>
        </w:rPr>
        <w:t>8.1 发包人供应材料与工程设备</w:t>
      </w:r>
      <w:r>
        <w:rPr>
          <w:rFonts w:hint="eastAsia"/>
          <w:color w:val="auto"/>
          <w:szCs w:val="21"/>
          <w:highlight w:val="none"/>
        </w:rPr>
        <w:t>：</w:t>
      </w:r>
    </w:p>
    <w:p w14:paraId="02943CA7">
      <w:pPr>
        <w:spacing w:line="400" w:lineRule="exact"/>
        <w:ind w:firstLine="615"/>
        <w:rPr>
          <w:rFonts w:hAnsi="仿宋"/>
          <w:color w:val="auto"/>
          <w:szCs w:val="21"/>
          <w:highlight w:val="none"/>
        </w:rPr>
      </w:pPr>
      <w:r>
        <w:rPr>
          <w:rFonts w:hint="eastAsia" w:hAnsi="仿宋"/>
          <w:color w:val="auto"/>
          <w:szCs w:val="21"/>
          <w:highlight w:val="none"/>
        </w:rPr>
        <w:t>本工程中</w:t>
      </w:r>
      <w:r>
        <w:rPr>
          <w:rFonts w:hint="eastAsia" w:hAnsi="仿宋"/>
          <w:color w:val="auto"/>
          <w:szCs w:val="21"/>
          <w:highlight w:val="none"/>
          <w:u w:val="single"/>
        </w:rPr>
        <w:t xml:space="preserve">       /    </w:t>
      </w:r>
      <w:r>
        <w:rPr>
          <w:rFonts w:hint="eastAsia" w:hAnsi="仿宋"/>
          <w:color w:val="auto"/>
          <w:szCs w:val="21"/>
          <w:highlight w:val="none"/>
        </w:rPr>
        <w:t>材料由发包人提供，详见附件2：发包人供应材料设备一览表。</w:t>
      </w:r>
    </w:p>
    <w:p w14:paraId="5C07CE12">
      <w:pPr>
        <w:autoSpaceDE w:val="0"/>
        <w:autoSpaceDN w:val="0"/>
        <w:adjustRightInd w:val="0"/>
        <w:spacing w:line="400" w:lineRule="exact"/>
        <w:ind w:firstLine="420" w:firstLineChars="200"/>
        <w:rPr>
          <w:rFonts w:hint="eastAsia" w:hAnsi="仿宋"/>
          <w:color w:val="auto"/>
          <w:szCs w:val="21"/>
          <w:highlight w:val="none"/>
        </w:rPr>
      </w:pPr>
      <w:r>
        <w:rPr>
          <w:rFonts w:hint="eastAsia" w:hAnsi="仿宋"/>
          <w:color w:val="auto"/>
          <w:szCs w:val="21"/>
          <w:highlight w:val="none"/>
        </w:rPr>
        <w:t>发包人提供的</w:t>
      </w:r>
      <w:r>
        <w:rPr>
          <w:rFonts w:hint="eastAsia" w:hAnsi="仿宋"/>
          <w:color w:val="auto"/>
          <w:szCs w:val="21"/>
          <w:highlight w:val="none"/>
          <w:u w:val="single"/>
        </w:rPr>
        <w:t xml:space="preserve">     /       </w:t>
      </w:r>
      <w:r>
        <w:rPr>
          <w:rFonts w:hint="eastAsia" w:hAnsi="仿宋"/>
          <w:color w:val="auto"/>
          <w:szCs w:val="21"/>
          <w:highlight w:val="none"/>
        </w:rPr>
        <w:t>材料费用（除税价款）在每期应付工程款（或竣工结算）的税前工程造价中扣回。（适用一般计税方法）</w:t>
      </w:r>
    </w:p>
    <w:p w14:paraId="53BBEBB9">
      <w:pPr>
        <w:spacing w:line="400" w:lineRule="exact"/>
        <w:ind w:firstLine="615"/>
        <w:rPr>
          <w:rFonts w:hAnsi="仿宋"/>
          <w:color w:val="auto"/>
          <w:szCs w:val="21"/>
          <w:highlight w:val="none"/>
          <w:u w:val="single"/>
        </w:rPr>
      </w:pPr>
      <w:r>
        <w:rPr>
          <w:rFonts w:hint="eastAsia" w:hAnsi="仿宋"/>
          <w:color w:val="auto"/>
          <w:szCs w:val="21"/>
          <w:highlight w:val="none"/>
          <w:u w:val="single"/>
        </w:rPr>
        <w:t xml:space="preserve"> (注：应具体约定发包人提供材料数量、价格的计算方法)</w:t>
      </w:r>
    </w:p>
    <w:p w14:paraId="1B74FF81">
      <w:pPr>
        <w:autoSpaceDE w:val="0"/>
        <w:autoSpaceDN w:val="0"/>
        <w:adjustRightInd w:val="0"/>
        <w:spacing w:line="400" w:lineRule="exact"/>
        <w:ind w:firstLine="420" w:firstLineChars="200"/>
        <w:rPr>
          <w:color w:val="auto"/>
          <w:szCs w:val="21"/>
          <w:highlight w:val="none"/>
        </w:rPr>
      </w:pPr>
      <w:r>
        <w:rPr>
          <w:color w:val="auto"/>
          <w:szCs w:val="21"/>
          <w:highlight w:val="none"/>
        </w:rPr>
        <w:t>8.2 承包人采购材料与工程设备</w:t>
      </w:r>
    </w:p>
    <w:p w14:paraId="00945D80">
      <w:pPr>
        <w:autoSpaceDE w:val="0"/>
        <w:autoSpaceDN w:val="0"/>
        <w:adjustRightInd w:val="0"/>
        <w:spacing w:line="400" w:lineRule="exact"/>
        <w:ind w:firstLine="420" w:firstLineChars="200"/>
        <w:rPr>
          <w:color w:val="auto"/>
          <w:szCs w:val="21"/>
          <w:highlight w:val="none"/>
          <w:u w:val="single"/>
        </w:rPr>
      </w:pPr>
      <w:r>
        <w:rPr>
          <w:color w:val="auto"/>
          <w:szCs w:val="21"/>
          <w:highlight w:val="none"/>
          <w:u w:val="single"/>
        </w:rPr>
        <w:t>（1）材料品牌、规格和使用要求：按招标文件（相应）技术标准和要求执行。</w:t>
      </w:r>
      <w:r>
        <w:rPr>
          <w:rFonts w:hint="eastAsia"/>
          <w:color w:val="auto"/>
          <w:szCs w:val="21"/>
          <w:highlight w:val="none"/>
          <w:u w:val="single"/>
        </w:rPr>
        <w:t>凡是招标文件注明规格、型号或品牌、产地的材料，承包人必须按照招标文件要求采购和施工；如需调整，必须经得发包人认可。</w:t>
      </w:r>
    </w:p>
    <w:p w14:paraId="78AA55CA">
      <w:pPr>
        <w:autoSpaceDE w:val="0"/>
        <w:autoSpaceDN w:val="0"/>
        <w:adjustRightInd w:val="0"/>
        <w:spacing w:line="400" w:lineRule="exact"/>
        <w:ind w:firstLine="420" w:firstLineChars="200"/>
        <w:rPr>
          <w:rFonts w:hint="eastAsia"/>
          <w:color w:val="auto"/>
          <w:szCs w:val="21"/>
          <w:highlight w:val="none"/>
          <w:u w:val="single"/>
        </w:rPr>
      </w:pPr>
      <w:r>
        <w:rPr>
          <w:color w:val="auto"/>
          <w:szCs w:val="21"/>
          <w:highlight w:val="none"/>
          <w:u w:val="single"/>
        </w:rPr>
        <w:t>（2）本工程</w:t>
      </w:r>
      <w:r>
        <w:rPr>
          <w:rFonts w:hint="eastAsia"/>
          <w:color w:val="auto"/>
          <w:szCs w:val="21"/>
          <w:highlight w:val="none"/>
          <w:u w:val="single"/>
        </w:rPr>
        <w:t>已确定承包价的建筑材料均由承包人自行询价、采购、运输和保管。水泥、商品混凝土材料的使用须符合相关规定，否则相关押金由承包人承担。</w:t>
      </w:r>
    </w:p>
    <w:p w14:paraId="2DD03208">
      <w:pPr>
        <w:autoSpaceDE w:val="0"/>
        <w:autoSpaceDN w:val="0"/>
        <w:adjustRightInd w:val="0"/>
        <w:spacing w:line="400" w:lineRule="exact"/>
        <w:ind w:firstLine="420" w:firstLineChars="200"/>
        <w:rPr>
          <w:color w:val="auto"/>
          <w:szCs w:val="21"/>
          <w:highlight w:val="none"/>
          <w:u w:val="single"/>
        </w:rPr>
      </w:pPr>
      <w:r>
        <w:rPr>
          <w:color w:val="auto"/>
          <w:szCs w:val="21"/>
          <w:highlight w:val="none"/>
          <w:u w:val="single"/>
        </w:rPr>
        <w:t>（3）本工程要求使用材料要求</w:t>
      </w:r>
      <w:r>
        <w:rPr>
          <w:rFonts w:hint="eastAsia"/>
          <w:color w:val="auto"/>
          <w:szCs w:val="21"/>
          <w:highlight w:val="none"/>
          <w:u w:val="single"/>
        </w:rPr>
        <w:t>：</w:t>
      </w:r>
      <w:r>
        <w:rPr>
          <w:rFonts w:hint="eastAsia"/>
          <w:color w:val="auto"/>
          <w:szCs w:val="21"/>
          <w:highlight w:val="none"/>
          <w:u w:val="single"/>
          <w:lang w:val="en-US" w:eastAsia="zh-CN"/>
        </w:rPr>
        <w:t xml:space="preserve">商品砼  </w:t>
      </w:r>
      <w:r>
        <w:rPr>
          <w:color w:val="auto"/>
          <w:szCs w:val="21"/>
          <w:highlight w:val="none"/>
          <w:u w:val="single"/>
        </w:rPr>
        <w:t>。</w:t>
      </w:r>
    </w:p>
    <w:p w14:paraId="251ADFFE">
      <w:pPr>
        <w:autoSpaceDE w:val="0"/>
        <w:autoSpaceDN w:val="0"/>
        <w:adjustRightInd w:val="0"/>
        <w:spacing w:line="400" w:lineRule="exact"/>
        <w:ind w:firstLine="420" w:firstLineChars="200"/>
        <w:rPr>
          <w:color w:val="auto"/>
          <w:szCs w:val="21"/>
          <w:highlight w:val="none"/>
          <w:u w:val="single"/>
        </w:rPr>
      </w:pPr>
      <w:r>
        <w:rPr>
          <w:color w:val="auto"/>
          <w:szCs w:val="21"/>
          <w:highlight w:val="none"/>
          <w:u w:val="single"/>
        </w:rPr>
        <w:t>（4）所有材料必须有质保书或合格证，符合施工图纸和规范要求，且品牌、产地需报</w:t>
      </w:r>
      <w:r>
        <w:rPr>
          <w:rFonts w:hint="eastAsia"/>
          <w:color w:val="auto"/>
          <w:szCs w:val="21"/>
          <w:highlight w:val="none"/>
          <w:u w:val="single"/>
        </w:rPr>
        <w:t>监理人及</w:t>
      </w:r>
      <w:r>
        <w:rPr>
          <w:color w:val="auto"/>
          <w:szCs w:val="21"/>
          <w:highlight w:val="none"/>
          <w:u w:val="single"/>
        </w:rPr>
        <w:t>发包人备案</w:t>
      </w:r>
      <w:r>
        <w:rPr>
          <w:rFonts w:hint="eastAsia"/>
          <w:color w:val="auto"/>
          <w:szCs w:val="21"/>
          <w:highlight w:val="none"/>
          <w:u w:val="single"/>
        </w:rPr>
        <w:t>后方可进场</w:t>
      </w:r>
      <w:r>
        <w:rPr>
          <w:color w:val="auto"/>
          <w:szCs w:val="21"/>
          <w:highlight w:val="none"/>
          <w:u w:val="single"/>
        </w:rPr>
        <w:t>。</w:t>
      </w:r>
    </w:p>
    <w:p w14:paraId="2138A113">
      <w:pPr>
        <w:autoSpaceDE w:val="0"/>
        <w:autoSpaceDN w:val="0"/>
        <w:adjustRightInd w:val="0"/>
        <w:spacing w:line="400" w:lineRule="exact"/>
        <w:ind w:firstLine="420" w:firstLineChars="200"/>
        <w:rPr>
          <w:rFonts w:hint="eastAsia"/>
          <w:color w:val="auto"/>
          <w:szCs w:val="21"/>
          <w:highlight w:val="none"/>
          <w:u w:val="single"/>
        </w:rPr>
      </w:pPr>
      <w:r>
        <w:rPr>
          <w:color w:val="auto"/>
          <w:szCs w:val="21"/>
          <w:highlight w:val="none"/>
          <w:u w:val="single"/>
        </w:rPr>
        <w:t>（</w:t>
      </w:r>
      <w:r>
        <w:rPr>
          <w:rFonts w:hint="eastAsia"/>
          <w:color w:val="auto"/>
          <w:szCs w:val="21"/>
          <w:highlight w:val="none"/>
          <w:u w:val="single"/>
        </w:rPr>
        <w:t>5</w:t>
      </w:r>
      <w:r>
        <w:rPr>
          <w:color w:val="auto"/>
          <w:szCs w:val="21"/>
          <w:highlight w:val="none"/>
          <w:u w:val="single"/>
        </w:rPr>
        <w:t>）</w:t>
      </w:r>
      <w:r>
        <w:rPr>
          <w:rFonts w:hint="eastAsia"/>
          <w:color w:val="auto"/>
          <w:szCs w:val="21"/>
          <w:highlight w:val="none"/>
          <w:u w:val="single"/>
        </w:rPr>
        <w:t>凡是招标文件注明规格、型号或相当于的厂家(品牌、产地) 的材料，承包人必须按照招标文件要求采购和施工，优先使用相当于的厂家(品牌、产地) ，如需调整，必须经得发包人认可，否则由此引起的后果由承包人承担。</w:t>
      </w:r>
    </w:p>
    <w:p w14:paraId="49CDB987">
      <w:pPr>
        <w:autoSpaceDE w:val="0"/>
        <w:autoSpaceDN w:val="0"/>
        <w:adjustRightInd w:val="0"/>
        <w:spacing w:line="400" w:lineRule="exact"/>
        <w:ind w:firstLine="420" w:firstLineChars="200"/>
        <w:rPr>
          <w:rFonts w:hint="eastAsia"/>
          <w:color w:val="auto"/>
          <w:szCs w:val="21"/>
          <w:highlight w:val="none"/>
          <w:u w:val="single"/>
        </w:rPr>
      </w:pPr>
      <w:r>
        <w:rPr>
          <w:rFonts w:hint="eastAsia"/>
          <w:color w:val="auto"/>
          <w:szCs w:val="21"/>
          <w:highlight w:val="none"/>
          <w:u w:val="single"/>
        </w:rPr>
        <w:t>(6) 所有设备、材料和预制构件等均需有产品合格证和质保书、试验(试车) 报告等必要资料，符合国家规定的技术标准和设计图纸要求的标准，并且须经发包人及监理单位验收合格后方可使用。</w:t>
      </w:r>
    </w:p>
    <w:p w14:paraId="78C500D3">
      <w:pPr>
        <w:autoSpaceDE w:val="0"/>
        <w:autoSpaceDN w:val="0"/>
        <w:adjustRightInd w:val="0"/>
        <w:spacing w:line="400" w:lineRule="exact"/>
        <w:ind w:firstLine="420" w:firstLineChars="200"/>
        <w:rPr>
          <w:rFonts w:hint="eastAsia"/>
          <w:color w:val="auto"/>
          <w:szCs w:val="21"/>
          <w:highlight w:val="none"/>
          <w:u w:val="single"/>
        </w:rPr>
      </w:pPr>
      <w:r>
        <w:rPr>
          <w:rFonts w:hint="eastAsia"/>
          <w:color w:val="auto"/>
          <w:szCs w:val="21"/>
          <w:highlight w:val="none"/>
          <w:u w:val="single"/>
        </w:rPr>
        <w:t>(7) 根据工程需要，发包人有权对承包人投标时确认的品牌进行更换，更换后的材料价格由发包人签证进行结算。</w:t>
      </w:r>
    </w:p>
    <w:p w14:paraId="407E5B32">
      <w:pPr>
        <w:autoSpaceDE w:val="0"/>
        <w:autoSpaceDN w:val="0"/>
        <w:adjustRightInd w:val="0"/>
        <w:spacing w:line="400" w:lineRule="exact"/>
        <w:ind w:firstLine="420" w:firstLineChars="200"/>
        <w:rPr>
          <w:rFonts w:hint="eastAsia"/>
          <w:color w:val="auto"/>
          <w:szCs w:val="21"/>
          <w:highlight w:val="none"/>
          <w:u w:val="single"/>
        </w:rPr>
      </w:pPr>
      <w:r>
        <w:rPr>
          <w:rFonts w:hint="eastAsia"/>
          <w:color w:val="auto"/>
          <w:szCs w:val="21"/>
          <w:highlight w:val="none"/>
          <w:u w:val="single"/>
        </w:rPr>
        <w:t>(8) 合同中原暂定价材料或由工程变更产生的无价材料(按有关规定可不组织招标采购的)由承包人采购时，应由发包人签证确定价格后采购，发包人收到承包人价格确定申请后，7 日内审批完毕。</w:t>
      </w:r>
    </w:p>
    <w:p w14:paraId="72757BE5">
      <w:pPr>
        <w:autoSpaceDE w:val="0"/>
        <w:autoSpaceDN w:val="0"/>
        <w:adjustRightInd w:val="0"/>
        <w:spacing w:line="400" w:lineRule="exact"/>
        <w:ind w:firstLine="420" w:firstLineChars="200"/>
        <w:rPr>
          <w:color w:val="auto"/>
          <w:szCs w:val="21"/>
          <w:highlight w:val="none"/>
        </w:rPr>
      </w:pPr>
      <w:r>
        <w:rPr>
          <w:color w:val="auto"/>
          <w:szCs w:val="21"/>
          <w:highlight w:val="none"/>
        </w:rPr>
        <w:t>8.4材料与工程设备的保管与使用</w:t>
      </w:r>
    </w:p>
    <w:p w14:paraId="73668CAB">
      <w:pPr>
        <w:spacing w:line="400" w:lineRule="exact"/>
        <w:ind w:firstLine="420" w:firstLineChars="200"/>
        <w:rPr>
          <w:rFonts w:hint="eastAsia"/>
          <w:color w:val="auto"/>
          <w:szCs w:val="21"/>
          <w:highlight w:val="none"/>
        </w:rPr>
      </w:pPr>
      <w:r>
        <w:rPr>
          <w:color w:val="auto"/>
          <w:szCs w:val="21"/>
          <w:highlight w:val="none"/>
        </w:rPr>
        <w:t>8</w:t>
      </w:r>
      <w:bookmarkStart w:id="59" w:name="_Toc292559373"/>
      <w:bookmarkStart w:id="60" w:name="_Toc292559878"/>
      <w:r>
        <w:rPr>
          <w:color w:val="auto"/>
          <w:szCs w:val="21"/>
          <w:highlight w:val="none"/>
        </w:rPr>
        <w:t>.4.1发包人供应的材料设备的保管费用的承担</w:t>
      </w:r>
      <w:bookmarkEnd w:id="59"/>
      <w:bookmarkEnd w:id="60"/>
      <w:r>
        <w:rPr>
          <w:rFonts w:hint="eastAsia"/>
          <w:color w:val="auto"/>
          <w:szCs w:val="21"/>
          <w:highlight w:val="none"/>
        </w:rPr>
        <w:t>：</w:t>
      </w:r>
    </w:p>
    <w:p w14:paraId="720F2274">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（1）</w:t>
      </w:r>
      <w:r>
        <w:rPr>
          <w:rFonts w:hint="eastAsia" w:ascii="宋体" w:hAnsi="宋体"/>
          <w:color w:val="auto"/>
          <w:szCs w:val="21"/>
          <w:highlight w:val="none"/>
          <w:u w:val="single"/>
        </w:rPr>
        <w:t>发包人支付承包人保管费（或称总承包服务费），以提供材料金额（含进项税）为基数，乘以费率（  /  ）%计算。</w:t>
      </w:r>
    </w:p>
    <w:p w14:paraId="5FB6F06B">
      <w:pPr>
        <w:spacing w:line="400" w:lineRule="exact"/>
        <w:ind w:firstLine="420" w:firstLineChars="200"/>
        <w:rPr>
          <w:rFonts w:hAnsi="仿宋"/>
          <w:color w:val="auto"/>
          <w:sz w:val="28"/>
          <w:szCs w:val="28"/>
          <w:highlight w:val="none"/>
        </w:rPr>
      </w:pPr>
      <w:r>
        <w:rPr>
          <w:rFonts w:hint="eastAsia" w:ascii="宋体" w:hAnsi="宋体"/>
          <w:color w:val="auto"/>
          <w:szCs w:val="21"/>
          <w:highlight w:val="none"/>
        </w:rPr>
        <w:t>（2）</w:t>
      </w:r>
      <w:r>
        <w:rPr>
          <w:rFonts w:hint="eastAsia" w:ascii="宋体" w:hAnsi="宋体"/>
          <w:color w:val="auto"/>
          <w:szCs w:val="21"/>
          <w:highlight w:val="none"/>
          <w:u w:val="single"/>
        </w:rPr>
        <w:t>发包人支付承包人保管费（或称总承包服务费），以提供设备金额（含进项税）为基数，乘以费率（  /   ）%计算。</w:t>
      </w:r>
    </w:p>
    <w:p w14:paraId="7BEBDDCD">
      <w:pPr>
        <w:autoSpaceDE w:val="0"/>
        <w:autoSpaceDN w:val="0"/>
        <w:adjustRightInd w:val="0"/>
        <w:spacing w:line="400" w:lineRule="exact"/>
        <w:ind w:firstLine="420" w:firstLineChars="200"/>
        <w:rPr>
          <w:color w:val="auto"/>
          <w:szCs w:val="21"/>
          <w:highlight w:val="none"/>
        </w:rPr>
      </w:pPr>
      <w:r>
        <w:rPr>
          <w:color w:val="auto"/>
          <w:szCs w:val="21"/>
          <w:highlight w:val="none"/>
        </w:rPr>
        <w:t>8.6 样品</w:t>
      </w:r>
    </w:p>
    <w:p w14:paraId="094BB5A5">
      <w:pPr>
        <w:autoSpaceDE w:val="0"/>
        <w:autoSpaceDN w:val="0"/>
        <w:adjustRightInd w:val="0"/>
        <w:spacing w:line="400" w:lineRule="exact"/>
        <w:ind w:firstLine="420" w:firstLineChars="200"/>
        <w:rPr>
          <w:color w:val="auto"/>
          <w:szCs w:val="21"/>
          <w:highlight w:val="none"/>
        </w:rPr>
      </w:pPr>
      <w:r>
        <w:rPr>
          <w:color w:val="auto"/>
          <w:szCs w:val="21"/>
          <w:highlight w:val="none"/>
        </w:rPr>
        <w:t>8.6.1 样品的报送与封存</w:t>
      </w:r>
    </w:p>
    <w:p w14:paraId="3A65C6D7">
      <w:pPr>
        <w:spacing w:line="400" w:lineRule="exact"/>
        <w:ind w:firstLine="420" w:firstLineChars="200"/>
        <w:rPr>
          <w:rFonts w:ascii="宋体" w:hAnsi="宋体"/>
          <w:color w:val="auto"/>
          <w:szCs w:val="21"/>
          <w:highlight w:val="none"/>
          <w:u w:val="single"/>
        </w:rPr>
      </w:pPr>
      <w:r>
        <w:rPr>
          <w:color w:val="auto"/>
          <w:szCs w:val="21"/>
          <w:highlight w:val="none"/>
        </w:rPr>
        <w:t>需要承包人报送样品的材料或工程设备，样品的种类、名称、规格、数量要求：</w:t>
      </w:r>
      <w:r>
        <w:rPr>
          <w:rFonts w:hint="eastAsia" w:ascii="宋体" w:hAnsi="宋体"/>
          <w:color w:val="auto"/>
          <w:szCs w:val="21"/>
          <w:highlight w:val="none"/>
          <w:u w:val="single"/>
        </w:rPr>
        <w:t>（如有</w:t>
      </w:r>
      <w:r>
        <w:rPr>
          <w:rFonts w:ascii="宋体" w:hAnsi="宋体"/>
          <w:color w:val="auto"/>
          <w:szCs w:val="21"/>
          <w:highlight w:val="none"/>
          <w:u w:val="single"/>
        </w:rPr>
        <w:t>，</w:t>
      </w:r>
      <w:r>
        <w:rPr>
          <w:rFonts w:hint="eastAsia" w:ascii="宋体" w:hAnsi="宋体"/>
          <w:color w:val="auto"/>
          <w:szCs w:val="21"/>
          <w:highlight w:val="none"/>
          <w:u w:val="single"/>
        </w:rPr>
        <w:t>承包人须按发包人要求提供样品，样品的报送与封存按合同通用条款执行。样品费用包含在合同价内，不再另行计取，承包人综合考虑。）</w:t>
      </w:r>
    </w:p>
    <w:p w14:paraId="182F9885">
      <w:pPr>
        <w:autoSpaceDE w:val="0"/>
        <w:autoSpaceDN w:val="0"/>
        <w:adjustRightInd w:val="0"/>
        <w:spacing w:line="400" w:lineRule="exact"/>
        <w:ind w:firstLine="420" w:firstLineChars="200"/>
        <w:rPr>
          <w:color w:val="auto"/>
          <w:szCs w:val="21"/>
          <w:highlight w:val="none"/>
        </w:rPr>
      </w:pPr>
      <w:r>
        <w:rPr>
          <w:color w:val="auto"/>
          <w:szCs w:val="21"/>
          <w:highlight w:val="none"/>
        </w:rPr>
        <w:t>8.8 施工设备和临时设施</w:t>
      </w:r>
    </w:p>
    <w:p w14:paraId="04ED6620">
      <w:pPr>
        <w:autoSpaceDE w:val="0"/>
        <w:autoSpaceDN w:val="0"/>
        <w:adjustRightInd w:val="0"/>
        <w:spacing w:line="400" w:lineRule="exact"/>
        <w:ind w:firstLine="420" w:firstLineChars="200"/>
        <w:rPr>
          <w:color w:val="auto"/>
          <w:szCs w:val="21"/>
          <w:highlight w:val="none"/>
        </w:rPr>
      </w:pPr>
      <w:r>
        <w:rPr>
          <w:color w:val="auto"/>
          <w:szCs w:val="21"/>
          <w:highlight w:val="none"/>
        </w:rPr>
        <w:t>8.8.1 承包人提供的施工设备和临时设施</w:t>
      </w:r>
    </w:p>
    <w:p w14:paraId="2C5C8D40">
      <w:pPr>
        <w:autoSpaceDE w:val="0"/>
        <w:autoSpaceDN w:val="0"/>
        <w:adjustRightInd w:val="0"/>
        <w:spacing w:line="400" w:lineRule="exact"/>
        <w:ind w:firstLine="420" w:firstLineChars="200"/>
        <w:rPr>
          <w:color w:val="auto"/>
          <w:szCs w:val="21"/>
          <w:highlight w:val="none"/>
        </w:rPr>
      </w:pPr>
      <w:r>
        <w:rPr>
          <w:color w:val="auto"/>
          <w:szCs w:val="21"/>
          <w:highlight w:val="none"/>
        </w:rPr>
        <w:t>关于修建临时设施费用承担的约定：</w:t>
      </w:r>
      <w:r>
        <w:rPr>
          <w:color w:val="auto"/>
          <w:szCs w:val="21"/>
          <w:highlight w:val="none"/>
          <w:u w:val="single"/>
        </w:rPr>
        <w:t xml:space="preserve"> 由承包人承担  </w:t>
      </w:r>
      <w:r>
        <w:rPr>
          <w:color w:val="auto"/>
          <w:szCs w:val="21"/>
          <w:highlight w:val="none"/>
        </w:rPr>
        <w:t>。</w:t>
      </w:r>
    </w:p>
    <w:p w14:paraId="088F2BA2">
      <w:pPr>
        <w:pStyle w:val="4"/>
        <w:spacing w:before="0" w:after="0" w:line="400" w:lineRule="exact"/>
        <w:ind w:firstLine="422" w:firstLineChars="200"/>
        <w:rPr>
          <w:rFonts w:ascii="Times New Roman" w:hAnsi="Times New Roman"/>
          <w:color w:val="auto"/>
          <w:sz w:val="21"/>
          <w:szCs w:val="21"/>
          <w:highlight w:val="none"/>
        </w:rPr>
      </w:pPr>
      <w:bookmarkStart w:id="61" w:name="_Toc351203641"/>
      <w:r>
        <w:rPr>
          <w:rFonts w:ascii="Times New Roman" w:hAnsi="Times New Roman"/>
          <w:color w:val="auto"/>
          <w:sz w:val="21"/>
          <w:szCs w:val="21"/>
          <w:highlight w:val="none"/>
        </w:rPr>
        <w:t>9. 试验与检验</w:t>
      </w:r>
      <w:bookmarkEnd w:id="61"/>
    </w:p>
    <w:p w14:paraId="673FF83A">
      <w:pPr>
        <w:spacing w:line="400" w:lineRule="exact"/>
        <w:ind w:firstLine="420" w:firstLineChars="200"/>
        <w:rPr>
          <w:color w:val="auto"/>
          <w:szCs w:val="21"/>
          <w:highlight w:val="none"/>
        </w:rPr>
      </w:pPr>
      <w:r>
        <w:rPr>
          <w:color w:val="auto"/>
          <w:szCs w:val="21"/>
          <w:highlight w:val="none"/>
        </w:rPr>
        <w:t>9.1试验设备与试验人员</w:t>
      </w:r>
    </w:p>
    <w:p w14:paraId="20EA00BF">
      <w:pPr>
        <w:spacing w:line="400" w:lineRule="exact"/>
        <w:ind w:firstLine="420" w:firstLineChars="200"/>
        <w:rPr>
          <w:color w:val="auto"/>
          <w:szCs w:val="21"/>
          <w:highlight w:val="none"/>
        </w:rPr>
      </w:pPr>
      <w:r>
        <w:rPr>
          <w:color w:val="auto"/>
          <w:szCs w:val="21"/>
          <w:highlight w:val="none"/>
        </w:rPr>
        <w:t>9.1.2 试验设备</w:t>
      </w:r>
    </w:p>
    <w:p w14:paraId="0DC56CB8">
      <w:pPr>
        <w:spacing w:line="400" w:lineRule="exact"/>
        <w:ind w:firstLine="420" w:firstLineChars="200"/>
        <w:rPr>
          <w:color w:val="auto"/>
          <w:szCs w:val="21"/>
          <w:highlight w:val="none"/>
        </w:rPr>
      </w:pPr>
      <w:r>
        <w:rPr>
          <w:color w:val="auto"/>
          <w:szCs w:val="21"/>
          <w:highlight w:val="none"/>
        </w:rPr>
        <w:t>施工现场需要配置的试验场所：</w:t>
      </w:r>
      <w:r>
        <w:rPr>
          <w:rFonts w:hint="eastAsia" w:hAnsi="仿宋"/>
          <w:color w:val="auto"/>
          <w:szCs w:val="21"/>
          <w:highlight w:val="none"/>
          <w:u w:val="single"/>
        </w:rPr>
        <w:t>按规范及（当地）建设行政主管部门要求配置</w:t>
      </w:r>
      <w:r>
        <w:rPr>
          <w:color w:val="auto"/>
          <w:szCs w:val="21"/>
          <w:highlight w:val="none"/>
        </w:rPr>
        <w:t>。</w:t>
      </w:r>
    </w:p>
    <w:p w14:paraId="41308280">
      <w:pPr>
        <w:spacing w:line="400" w:lineRule="exact"/>
        <w:ind w:firstLine="420" w:firstLineChars="200"/>
        <w:rPr>
          <w:color w:val="auto"/>
          <w:szCs w:val="21"/>
          <w:highlight w:val="none"/>
        </w:rPr>
      </w:pPr>
      <w:r>
        <w:rPr>
          <w:color w:val="auto"/>
          <w:szCs w:val="21"/>
          <w:highlight w:val="none"/>
        </w:rPr>
        <w:t>施工现场需要配备的试验设备：</w:t>
      </w:r>
      <w:r>
        <w:rPr>
          <w:rFonts w:hint="eastAsia" w:hAnsi="仿宋"/>
          <w:color w:val="auto"/>
          <w:szCs w:val="21"/>
          <w:highlight w:val="none"/>
          <w:u w:val="single"/>
        </w:rPr>
        <w:t>按规范及（当地）建设行政主管部门要求配置</w:t>
      </w:r>
      <w:r>
        <w:rPr>
          <w:color w:val="auto"/>
          <w:szCs w:val="21"/>
          <w:highlight w:val="none"/>
        </w:rPr>
        <w:t>。</w:t>
      </w:r>
    </w:p>
    <w:p w14:paraId="7F2E910C">
      <w:pPr>
        <w:spacing w:line="400" w:lineRule="exact"/>
        <w:ind w:firstLine="420" w:firstLineChars="200"/>
        <w:rPr>
          <w:color w:val="auto"/>
          <w:szCs w:val="21"/>
          <w:highlight w:val="none"/>
        </w:rPr>
      </w:pPr>
      <w:r>
        <w:rPr>
          <w:color w:val="auto"/>
          <w:szCs w:val="21"/>
          <w:highlight w:val="none"/>
        </w:rPr>
        <w:t>施工现场需要具备的其他试验条件：</w:t>
      </w:r>
      <w:r>
        <w:rPr>
          <w:rFonts w:hint="eastAsia" w:hAnsi="仿宋"/>
          <w:color w:val="auto"/>
          <w:szCs w:val="21"/>
          <w:highlight w:val="none"/>
          <w:u w:val="single"/>
        </w:rPr>
        <w:t>按规范及（当地）建设行政主管部门要求配置</w:t>
      </w:r>
      <w:r>
        <w:rPr>
          <w:color w:val="auto"/>
          <w:szCs w:val="21"/>
          <w:highlight w:val="none"/>
        </w:rPr>
        <w:t>。</w:t>
      </w:r>
    </w:p>
    <w:p w14:paraId="6477AF14">
      <w:pPr>
        <w:spacing w:line="400" w:lineRule="exact"/>
        <w:ind w:firstLine="420" w:firstLineChars="200"/>
        <w:rPr>
          <w:color w:val="auto"/>
          <w:szCs w:val="21"/>
          <w:highlight w:val="none"/>
        </w:rPr>
      </w:pPr>
      <w:r>
        <w:rPr>
          <w:color w:val="auto"/>
          <w:szCs w:val="21"/>
          <w:highlight w:val="none"/>
        </w:rPr>
        <w:t>9.3 材料、工程设备和工程的试验和检验</w:t>
      </w:r>
    </w:p>
    <w:p w14:paraId="2CD1E5F9">
      <w:pPr>
        <w:spacing w:line="400" w:lineRule="exact"/>
        <w:ind w:firstLine="420" w:firstLineChars="200"/>
        <w:rPr>
          <w:color w:val="auto"/>
          <w:szCs w:val="21"/>
          <w:highlight w:val="none"/>
        </w:rPr>
      </w:pPr>
      <w:r>
        <w:rPr>
          <w:color w:val="auto"/>
          <w:szCs w:val="21"/>
          <w:highlight w:val="none"/>
        </w:rPr>
        <w:t>材料、设备和工程的试验和检验的费用：</w:t>
      </w:r>
    </w:p>
    <w:p w14:paraId="0E81F117">
      <w:pPr>
        <w:spacing w:line="4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u w:val="single"/>
        </w:rPr>
        <w:t>（1）材料、设备和工程的试验按《建设工程质量管理条例》、《房屋建筑工程和市政基础设施工程实行见证取样和送检的规定》、《浙江省房屋建筑和市政基础设施工程质量检测管理实施办法》等及工程所在地有关工程质量检测的规定实施。</w:t>
      </w:r>
    </w:p>
    <w:p w14:paraId="608A63AC">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2）对建筑材料、构件和建筑安装物进行一般鉴定、检查所发生的费用，包括建设工程质量见证取样检测费、建筑施工企业配合检测及自设试验室进行试验所耗用的材料和化学药品等费用由承包人承担；专项检测试验费、新结构、新材料、构件破坏性试验及其他特殊要求检测试验等检测试验费由发包人承担。</w:t>
      </w:r>
    </w:p>
    <w:p w14:paraId="302E7465">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3）当发包人或监理人指示承包人为核实本工程某一部分或某种材料设备是否有缺陷时，承包人应按要求进行检（试）验。如果该检（试）验表明确有缺陷存在，则检（试）验和试样的费用，发包人供应材料设备的，由发包人承担；承包人采购材料设备的，由承包人承担。如果该检（试）验表明没有缺陷，则由发包人承担检（试）验和试样的费用。</w:t>
      </w:r>
    </w:p>
    <w:p w14:paraId="70799FBF">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4）当质量安全管理机构根据规范，要求发包人与承包人开展本工程某一部分质量实体或某项材料设备质量抽检，如地基基础工程检测、主体结构工程现场实体检测、建筑节能检验、空气检测等专项检测需要时，发包人与承包人应配合，按要求进行检（试）验，检测、恢复费用由发包人承担。如检测不合格，则由承包人承担本次及重新检测、恢复费用。</w:t>
      </w:r>
    </w:p>
    <w:p w14:paraId="6425BBD3">
      <w:pPr>
        <w:spacing w:line="400" w:lineRule="exact"/>
        <w:ind w:firstLine="420" w:firstLineChars="200"/>
        <w:rPr>
          <w:color w:val="auto"/>
          <w:szCs w:val="21"/>
          <w:highlight w:val="none"/>
        </w:rPr>
      </w:pPr>
      <w:r>
        <w:rPr>
          <w:color w:val="auto"/>
          <w:szCs w:val="21"/>
          <w:highlight w:val="none"/>
        </w:rPr>
        <w:t>9.4 现场工艺试验</w:t>
      </w:r>
    </w:p>
    <w:p w14:paraId="31DB5666">
      <w:pPr>
        <w:autoSpaceDE w:val="0"/>
        <w:autoSpaceDN w:val="0"/>
        <w:adjustRightInd w:val="0"/>
        <w:spacing w:line="400" w:lineRule="exact"/>
        <w:ind w:firstLine="420" w:firstLineChars="200"/>
        <w:rPr>
          <w:rFonts w:ascii="宋体" w:hAnsi="宋体"/>
          <w:color w:val="auto"/>
          <w:szCs w:val="21"/>
          <w:highlight w:val="none"/>
          <w:u w:val="single"/>
        </w:rPr>
      </w:pPr>
      <w:r>
        <w:rPr>
          <w:color w:val="auto"/>
          <w:szCs w:val="21"/>
          <w:highlight w:val="none"/>
        </w:rPr>
        <w:t>现场工艺试验的有关约定：</w:t>
      </w:r>
      <w:r>
        <w:rPr>
          <w:rFonts w:hint="eastAsia" w:ascii="宋体" w:hAnsi="宋体"/>
          <w:color w:val="auto"/>
          <w:szCs w:val="21"/>
          <w:highlight w:val="none"/>
          <w:u w:val="single"/>
        </w:rPr>
        <w:t>按通用合同条款执行，试验检验应符合施工图纸、验收规范要求，并符合工程所在地质量监督部门的要求</w:t>
      </w:r>
      <w:r>
        <w:rPr>
          <w:rFonts w:ascii="宋体" w:hAnsi="宋体"/>
          <w:color w:val="auto"/>
          <w:szCs w:val="21"/>
          <w:highlight w:val="none"/>
          <w:u w:val="single"/>
        </w:rPr>
        <w:t>。</w:t>
      </w:r>
    </w:p>
    <w:p w14:paraId="1C1541B2">
      <w:pPr>
        <w:pStyle w:val="4"/>
        <w:spacing w:before="0" w:after="0" w:line="400" w:lineRule="exact"/>
        <w:ind w:firstLine="422" w:firstLineChars="200"/>
        <w:rPr>
          <w:rFonts w:ascii="Times New Roman" w:hAnsi="Times New Roman"/>
          <w:color w:val="auto"/>
          <w:sz w:val="21"/>
          <w:szCs w:val="21"/>
          <w:highlight w:val="none"/>
        </w:rPr>
      </w:pPr>
      <w:bookmarkStart w:id="62" w:name="_Toc351203642"/>
      <w:r>
        <w:rPr>
          <w:rFonts w:ascii="Times New Roman" w:hAnsi="Times New Roman"/>
          <w:color w:val="auto"/>
          <w:sz w:val="21"/>
          <w:szCs w:val="21"/>
          <w:highlight w:val="none"/>
        </w:rPr>
        <w:t>1</w:t>
      </w:r>
      <w:bookmarkStart w:id="63" w:name="_Toc297216199"/>
      <w:bookmarkStart w:id="64" w:name="_Toc292559903"/>
      <w:bookmarkStart w:id="65" w:name="_Toc297120493"/>
      <w:bookmarkStart w:id="66" w:name="_Toc296347192"/>
      <w:bookmarkStart w:id="67" w:name="_Toc296503193"/>
      <w:bookmarkStart w:id="68" w:name="_Toc300934989"/>
      <w:bookmarkStart w:id="69" w:name="_Toc297048379"/>
      <w:bookmarkStart w:id="70" w:name="_Toc304295566"/>
      <w:bookmarkStart w:id="71" w:name="_Toc296891233"/>
      <w:bookmarkStart w:id="72" w:name="_Toc292559398"/>
      <w:bookmarkStart w:id="73" w:name="_Toc296346694"/>
      <w:bookmarkStart w:id="74" w:name="_Toc303539146"/>
      <w:bookmarkStart w:id="75" w:name="_Toc297123540"/>
      <w:bookmarkStart w:id="76" w:name="_Toc296891021"/>
      <w:bookmarkStart w:id="77" w:name="_Toc296944532"/>
      <w:r>
        <w:rPr>
          <w:rFonts w:ascii="Times New Roman" w:hAnsi="Times New Roman"/>
          <w:color w:val="auto"/>
          <w:sz w:val="21"/>
          <w:szCs w:val="21"/>
          <w:highlight w:val="none"/>
        </w:rPr>
        <w:t>0. 变更</w:t>
      </w:r>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p>
    <w:p w14:paraId="3A887429">
      <w:pPr>
        <w:autoSpaceDE w:val="0"/>
        <w:autoSpaceDN w:val="0"/>
        <w:adjustRightInd w:val="0"/>
        <w:spacing w:line="400" w:lineRule="exact"/>
        <w:ind w:firstLine="420" w:firstLineChars="200"/>
        <w:rPr>
          <w:color w:val="auto"/>
          <w:szCs w:val="21"/>
          <w:highlight w:val="none"/>
        </w:rPr>
      </w:pPr>
      <w:r>
        <w:rPr>
          <w:color w:val="auto"/>
          <w:szCs w:val="21"/>
          <w:highlight w:val="none"/>
        </w:rPr>
        <w:t>10.1变更的范围</w:t>
      </w:r>
    </w:p>
    <w:p w14:paraId="1C46724C">
      <w:pPr>
        <w:autoSpaceDE w:val="0"/>
        <w:autoSpaceDN w:val="0"/>
        <w:adjustRightInd w:val="0"/>
        <w:spacing w:line="400" w:lineRule="exact"/>
        <w:ind w:firstLine="420" w:firstLineChars="200"/>
        <w:rPr>
          <w:rFonts w:ascii="宋体" w:hAnsi="宋体"/>
          <w:color w:val="auto"/>
          <w:szCs w:val="21"/>
          <w:highlight w:val="none"/>
          <w:u w:val="single"/>
        </w:rPr>
      </w:pPr>
      <w:r>
        <w:rPr>
          <w:color w:val="auto"/>
          <w:szCs w:val="21"/>
          <w:highlight w:val="none"/>
        </w:rPr>
        <w:t>关于变更的范围的约定：</w:t>
      </w:r>
      <w:r>
        <w:rPr>
          <w:rFonts w:hint="eastAsia" w:ascii="宋体" w:hAnsi="宋体"/>
          <w:color w:val="auto"/>
          <w:szCs w:val="21"/>
          <w:highlight w:val="none"/>
          <w:u w:val="single"/>
        </w:rPr>
        <w:t>按通用合同条款。工程变更引起工程量的减少或增加，承包人不得因此拒绝施工。</w:t>
      </w:r>
    </w:p>
    <w:p w14:paraId="2E100BBA">
      <w:pPr>
        <w:autoSpaceDE w:val="0"/>
        <w:autoSpaceDN w:val="0"/>
        <w:adjustRightInd w:val="0"/>
        <w:spacing w:line="400" w:lineRule="exact"/>
        <w:ind w:firstLine="420" w:firstLineChars="200"/>
        <w:rPr>
          <w:color w:val="auto"/>
          <w:szCs w:val="21"/>
          <w:highlight w:val="none"/>
        </w:rPr>
      </w:pPr>
      <w:r>
        <w:rPr>
          <w:color w:val="auto"/>
          <w:szCs w:val="21"/>
          <w:highlight w:val="none"/>
        </w:rPr>
        <w:t>10.4 变更估价</w:t>
      </w:r>
    </w:p>
    <w:p w14:paraId="4613E7E6">
      <w:pPr>
        <w:autoSpaceDE w:val="0"/>
        <w:autoSpaceDN w:val="0"/>
        <w:adjustRightInd w:val="0"/>
        <w:spacing w:line="400" w:lineRule="exact"/>
        <w:ind w:firstLine="420" w:firstLineChars="200"/>
        <w:rPr>
          <w:color w:val="auto"/>
          <w:szCs w:val="21"/>
          <w:highlight w:val="none"/>
        </w:rPr>
      </w:pPr>
      <w:r>
        <w:rPr>
          <w:color w:val="auto"/>
          <w:szCs w:val="21"/>
          <w:highlight w:val="none"/>
        </w:rPr>
        <w:t>10.4.1 变更估价原则</w:t>
      </w:r>
    </w:p>
    <w:p w14:paraId="423C0275">
      <w:pPr>
        <w:autoSpaceDE w:val="0"/>
        <w:autoSpaceDN w:val="0"/>
        <w:adjustRightInd w:val="0"/>
        <w:spacing w:line="400" w:lineRule="exact"/>
        <w:ind w:firstLine="420" w:firstLineChars="200"/>
        <w:rPr>
          <w:color w:val="auto"/>
          <w:szCs w:val="21"/>
          <w:highlight w:val="none"/>
          <w:u w:val="single"/>
        </w:rPr>
      </w:pPr>
      <w:r>
        <w:rPr>
          <w:color w:val="auto"/>
          <w:szCs w:val="21"/>
          <w:highlight w:val="none"/>
        </w:rPr>
        <w:t>关于变更估价的约定</w:t>
      </w:r>
      <w:r>
        <w:rPr>
          <w:rFonts w:hint="eastAsia"/>
          <w:color w:val="auto"/>
          <w:szCs w:val="21"/>
          <w:highlight w:val="none"/>
        </w:rPr>
        <w:t>：</w:t>
      </w:r>
    </w:p>
    <w:p w14:paraId="6CCC5D45">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1）变更后项目与承包人已标价工程量清单有相同项目的，按照相同项目综合单价确定。如该综合单价异常，则投标清单中合价金额占合同总价2%及以上的分部分项清单项目，其工程量增加超过本项目工程数量15%以上；或投标清单中合价金额占合同总价不到2%的分部分项清单项目，工程量增加超过本项目工程数量25%以上，该分部分项清单超过约定幅度外部分工程量的综合单价按专用条款10.4.1（2）（3）（4）条约定调整，工程量减少按投标综合单价计算，不调整综合单价。</w:t>
      </w:r>
    </w:p>
    <w:p w14:paraId="61BD60E2">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综合单价异常是指：投标综合单价与本项目招标控制价（预算审核价）编制依据计算的综合单价偏差±30%以上。</w:t>
      </w:r>
    </w:p>
    <w:p w14:paraId="04F13937">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（2）变更后项目与承包人已标价工程量清单中没有适用的综合单价，但有类似的工程项目综合单价，承包人可参照类似工程项目综合单价计算，并报发包人确定。</w:t>
      </w:r>
    </w:p>
    <w:p w14:paraId="59B69FA3">
      <w:pPr>
        <w:spacing w:line="4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rPr>
        <w:t>a、</w:t>
      </w:r>
      <w:r>
        <w:rPr>
          <w:rFonts w:hint="eastAsia" w:ascii="宋体" w:hAnsi="宋体"/>
          <w:color w:val="auto"/>
          <w:szCs w:val="21"/>
          <w:highlight w:val="none"/>
          <w:u w:val="single"/>
        </w:rPr>
        <w:t>某种材料（或半成品及成品）等级、标准变化的，清单组合子目不变，仅调整不同的材料市场价格之差；</w:t>
      </w:r>
    </w:p>
    <w:p w14:paraId="4A6B4FDB">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b、</w:t>
      </w:r>
      <w:r>
        <w:rPr>
          <w:rFonts w:hint="eastAsia" w:ascii="宋体" w:hAnsi="宋体"/>
          <w:color w:val="auto"/>
          <w:szCs w:val="21"/>
          <w:highlight w:val="none"/>
          <w:u w:val="single"/>
        </w:rPr>
        <w:t>清单项目组合内容中某一个（或多个）定额子目发生变化，不影响其他特征及工程内容价格的，仅调整发生变化的定额子目价格。</w:t>
      </w:r>
    </w:p>
    <w:p w14:paraId="15547D84">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c、</w:t>
      </w:r>
      <w:r>
        <w:rPr>
          <w:rFonts w:hint="eastAsia" w:ascii="宋体" w:hAnsi="宋体"/>
          <w:color w:val="auto"/>
          <w:szCs w:val="21"/>
          <w:highlight w:val="none"/>
          <w:u w:val="single"/>
        </w:rPr>
        <w:t>如该类似工程项目的综合单价异常，则不宜参照，按专用条款10.4.1（3）（4）款重新计算综合单价。</w:t>
      </w:r>
    </w:p>
    <w:p w14:paraId="19CCB50D">
      <w:pPr>
        <w:spacing w:line="4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u w:val="single"/>
        </w:rPr>
        <w:t>（3）变更后项目与已标价工程量清单没有适用的综合单价，由承包人按招标控制价（或预算审核价）编制依据计算综合单</w:t>
      </w:r>
      <w:r>
        <w:rPr>
          <w:rFonts w:hint="eastAsia" w:ascii="宋体" w:hAnsi="宋体"/>
          <w:color w:val="auto"/>
          <w:szCs w:val="21"/>
          <w:highlight w:val="none"/>
          <w:u w:val="single"/>
        </w:rPr>
        <w:t>价，乘以投标总报价与招标控制价（或预算审核价）下降幅度（即结算综合单价=按招标控制价（或预算审核价）编制依据计算的综合单价×投标总报价/招标控制价（或预算审核价））编制变更项目的综合单价，报发包</w:t>
      </w:r>
      <w:r>
        <w:rPr>
          <w:rFonts w:hint="eastAsia" w:ascii="宋体" w:hAnsi="宋体"/>
          <w:color w:val="auto"/>
          <w:szCs w:val="21"/>
          <w:highlight w:val="none"/>
          <w:u w:val="single"/>
        </w:rPr>
        <w:t>人审核后确定。但确定综合单价时，合同中约定的人工、材料、机械可调整的内容，仍按合同约定调整;合同中未约定的，按施工期信息价（或签证价）确定。</w:t>
      </w:r>
    </w:p>
    <w:p w14:paraId="5EBF1999">
      <w:pPr>
        <w:spacing w:line="4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u w:val="single"/>
        </w:rPr>
        <w:t>（4）如按以上编制依据缺项的内容，承包人应通过市场调查等手段提出单价，并报发包人确定后执行。</w:t>
      </w:r>
    </w:p>
    <w:p w14:paraId="7DB0EA1C">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（5）清单项目组合内容项目特征描述中，局部工程内容对应的工程数量变化，可仅调整计算变化部分的差价。</w:t>
      </w:r>
    </w:p>
    <w:p w14:paraId="53167D12">
      <w:pPr>
        <w:autoSpaceDE w:val="0"/>
        <w:autoSpaceDN w:val="0"/>
        <w:adjustRightInd w:val="0"/>
        <w:spacing w:line="400" w:lineRule="exact"/>
        <w:ind w:firstLine="420" w:firstLineChars="200"/>
        <w:rPr>
          <w:color w:val="auto"/>
          <w:szCs w:val="21"/>
          <w:highlight w:val="none"/>
        </w:rPr>
      </w:pPr>
      <w:r>
        <w:rPr>
          <w:color w:val="auto"/>
          <w:szCs w:val="21"/>
          <w:highlight w:val="none"/>
        </w:rPr>
        <w:t>10.4.2 变更估价程序</w:t>
      </w:r>
    </w:p>
    <w:p w14:paraId="419D384D">
      <w:pPr>
        <w:autoSpaceDE w:val="0"/>
        <w:autoSpaceDN w:val="0"/>
        <w:adjustRightInd w:val="0"/>
        <w:spacing w:line="400" w:lineRule="exact"/>
        <w:ind w:firstLine="420" w:firstLineChars="200"/>
        <w:rPr>
          <w:rFonts w:hint="eastAsia"/>
          <w:color w:val="auto"/>
          <w:szCs w:val="21"/>
          <w:highlight w:val="none"/>
          <w:u w:val="single"/>
        </w:rPr>
      </w:pPr>
      <w:r>
        <w:rPr>
          <w:color w:val="auto"/>
          <w:szCs w:val="21"/>
          <w:highlight w:val="none"/>
          <w:u w:val="single"/>
        </w:rPr>
        <w:t>承包人收到发包人、监理人、设计单位的变更指示后14日内向发包人提交变更估价申请</w:t>
      </w:r>
      <w:r>
        <w:rPr>
          <w:rFonts w:hint="eastAsia"/>
          <w:color w:val="auto"/>
          <w:szCs w:val="21"/>
          <w:highlight w:val="none"/>
          <w:u w:val="single"/>
        </w:rPr>
        <w:t>。</w:t>
      </w:r>
    </w:p>
    <w:p w14:paraId="5045A1A6">
      <w:pPr>
        <w:autoSpaceDE w:val="0"/>
        <w:autoSpaceDN w:val="0"/>
        <w:adjustRightInd w:val="0"/>
        <w:spacing w:line="400" w:lineRule="exact"/>
        <w:ind w:firstLine="420" w:firstLineChars="200"/>
        <w:rPr>
          <w:color w:val="auto"/>
          <w:szCs w:val="21"/>
          <w:highlight w:val="none"/>
          <w:u w:val="single"/>
        </w:rPr>
      </w:pPr>
      <w:r>
        <w:rPr>
          <w:color w:val="auto"/>
          <w:szCs w:val="21"/>
          <w:highlight w:val="none"/>
          <w:u w:val="single"/>
        </w:rPr>
        <w:t>承包人提出工程变更、</w:t>
      </w:r>
      <w:r>
        <w:rPr>
          <w:rFonts w:hint="eastAsia"/>
          <w:color w:val="auto"/>
          <w:szCs w:val="21"/>
          <w:highlight w:val="none"/>
          <w:u w:val="single"/>
        </w:rPr>
        <w:t>专项</w:t>
      </w:r>
      <w:r>
        <w:rPr>
          <w:color w:val="auto"/>
          <w:szCs w:val="21"/>
          <w:highlight w:val="none"/>
          <w:u w:val="single"/>
        </w:rPr>
        <w:t>施工方案等变更应同时提交变更估价申请。</w:t>
      </w:r>
    </w:p>
    <w:p w14:paraId="7747424C">
      <w:pPr>
        <w:autoSpaceDE w:val="0"/>
        <w:autoSpaceDN w:val="0"/>
        <w:adjustRightInd w:val="0"/>
        <w:spacing w:line="400" w:lineRule="exact"/>
        <w:ind w:firstLine="420" w:firstLineChars="200"/>
        <w:rPr>
          <w:rFonts w:hint="eastAsia"/>
          <w:color w:val="auto"/>
          <w:szCs w:val="21"/>
          <w:highlight w:val="none"/>
          <w:u w:val="single"/>
        </w:rPr>
      </w:pPr>
      <w:r>
        <w:rPr>
          <w:color w:val="auto"/>
          <w:szCs w:val="21"/>
          <w:highlight w:val="none"/>
          <w:u w:val="single"/>
        </w:rPr>
        <w:t>承包人提交的变更估价申请，发包人</w:t>
      </w:r>
      <w:r>
        <w:rPr>
          <w:rFonts w:hint="eastAsia"/>
          <w:color w:val="auto"/>
          <w:szCs w:val="21"/>
          <w:highlight w:val="none"/>
          <w:u w:val="single"/>
        </w:rPr>
        <w:t>和监理人</w:t>
      </w:r>
      <w:r>
        <w:rPr>
          <w:color w:val="auto"/>
          <w:szCs w:val="21"/>
          <w:highlight w:val="none"/>
          <w:u w:val="single"/>
        </w:rPr>
        <w:t>应予以签收，并在14日内审批完毕。</w:t>
      </w:r>
    </w:p>
    <w:p w14:paraId="472CD3EC">
      <w:pPr>
        <w:autoSpaceDE w:val="0"/>
        <w:autoSpaceDN w:val="0"/>
        <w:adjustRightInd w:val="0"/>
        <w:spacing w:line="400" w:lineRule="exact"/>
        <w:ind w:firstLine="422" w:firstLineChars="200"/>
        <w:rPr>
          <w:rFonts w:hint="eastAsia"/>
          <w:b/>
          <w:color w:val="auto"/>
          <w:szCs w:val="21"/>
          <w:highlight w:val="none"/>
          <w:u w:val="single"/>
        </w:rPr>
      </w:pPr>
      <w:r>
        <w:rPr>
          <w:b/>
          <w:color w:val="auto"/>
          <w:szCs w:val="21"/>
          <w:highlight w:val="none"/>
          <w:u w:val="single"/>
        </w:rPr>
        <w:t>工程中</w:t>
      </w:r>
      <w:r>
        <w:rPr>
          <w:rFonts w:hint="eastAsia"/>
          <w:b/>
          <w:color w:val="auto"/>
          <w:szCs w:val="21"/>
          <w:highlight w:val="none"/>
          <w:u w:val="single"/>
        </w:rPr>
        <w:t>凡涉及工程项目变更管理均严格按《三门县政府投资项目变更管理办法》（三政办规【2023】4号）、《关于进一步规范报送工程变更资料的通知》（三发改【2021】42号）执行，具体详见三门县政府性投资项目工程变更操作手册。</w:t>
      </w:r>
      <w:r>
        <w:rPr>
          <w:rFonts w:hint="eastAsia"/>
          <w:color w:val="auto"/>
          <w:szCs w:val="21"/>
          <w:highlight w:val="none"/>
          <w:u w:val="single"/>
        </w:rPr>
        <w:t>上述管理办法如有变动时，按从新原则执行。</w:t>
      </w:r>
    </w:p>
    <w:p w14:paraId="3ED523FD">
      <w:pPr>
        <w:autoSpaceDE w:val="0"/>
        <w:autoSpaceDN w:val="0"/>
        <w:adjustRightInd w:val="0"/>
        <w:spacing w:line="400" w:lineRule="exact"/>
        <w:ind w:firstLine="420" w:firstLineChars="200"/>
        <w:rPr>
          <w:color w:val="auto"/>
          <w:szCs w:val="21"/>
          <w:highlight w:val="none"/>
        </w:rPr>
      </w:pPr>
      <w:r>
        <w:rPr>
          <w:color w:val="auto"/>
          <w:szCs w:val="21"/>
          <w:highlight w:val="none"/>
        </w:rPr>
        <w:t>1</w:t>
      </w:r>
      <w:bookmarkStart w:id="78" w:name="_Toc297216203"/>
      <w:bookmarkStart w:id="79" w:name="_Toc300934993"/>
      <w:bookmarkStart w:id="80" w:name="_Toc296891025"/>
      <w:bookmarkStart w:id="81" w:name="_Toc297123544"/>
      <w:bookmarkStart w:id="82" w:name="_Toc297120497"/>
      <w:bookmarkStart w:id="83" w:name="_Toc303539150"/>
      <w:bookmarkStart w:id="84" w:name="_Toc296891237"/>
      <w:bookmarkStart w:id="85" w:name="_Toc296346698"/>
      <w:bookmarkStart w:id="86" w:name="_Toc296347196"/>
      <w:bookmarkStart w:id="87" w:name="_Toc292559402"/>
      <w:bookmarkStart w:id="88" w:name="_Toc297048383"/>
      <w:bookmarkStart w:id="89" w:name="_Toc296944536"/>
      <w:bookmarkStart w:id="90" w:name="_Toc292559907"/>
      <w:bookmarkStart w:id="91" w:name="_Toc296503197"/>
      <w:r>
        <w:rPr>
          <w:color w:val="auto"/>
          <w:szCs w:val="21"/>
          <w:highlight w:val="none"/>
        </w:rPr>
        <w:t>0.5承</w:t>
      </w:r>
      <w:bookmarkEnd w:id="78"/>
      <w:bookmarkEnd w:id="79"/>
      <w:bookmarkEnd w:id="80"/>
      <w:bookmarkEnd w:id="81"/>
      <w:bookmarkEnd w:id="82"/>
      <w:bookmarkEnd w:id="83"/>
      <w:bookmarkEnd w:id="84"/>
      <w:bookmarkEnd w:id="85"/>
      <w:bookmarkEnd w:id="86"/>
      <w:bookmarkEnd w:id="87"/>
      <w:bookmarkEnd w:id="88"/>
      <w:bookmarkEnd w:id="89"/>
      <w:bookmarkEnd w:id="90"/>
      <w:bookmarkEnd w:id="91"/>
      <w:r>
        <w:rPr>
          <w:color w:val="auto"/>
          <w:szCs w:val="21"/>
          <w:highlight w:val="none"/>
        </w:rPr>
        <w:t>包人的合理化建议</w:t>
      </w:r>
    </w:p>
    <w:p w14:paraId="5EA6AD49">
      <w:pPr>
        <w:autoSpaceDE w:val="0"/>
        <w:autoSpaceDN w:val="0"/>
        <w:adjustRightInd w:val="0"/>
        <w:spacing w:line="400" w:lineRule="exact"/>
        <w:ind w:firstLine="420" w:firstLineChars="200"/>
        <w:rPr>
          <w:color w:val="auto"/>
          <w:szCs w:val="21"/>
          <w:highlight w:val="none"/>
        </w:rPr>
      </w:pPr>
      <w:r>
        <w:rPr>
          <w:color w:val="auto"/>
          <w:szCs w:val="21"/>
          <w:highlight w:val="none"/>
        </w:rPr>
        <w:t>监理人审查承包人合理化建议的期限：</w:t>
      </w:r>
      <w:r>
        <w:rPr>
          <w:color w:val="auto"/>
          <w:szCs w:val="21"/>
          <w:highlight w:val="none"/>
          <w:u w:val="single"/>
        </w:rPr>
        <w:t xml:space="preserve"> 按通用条款执行  </w:t>
      </w:r>
      <w:r>
        <w:rPr>
          <w:color w:val="auto"/>
          <w:szCs w:val="21"/>
          <w:highlight w:val="none"/>
        </w:rPr>
        <w:t>。</w:t>
      </w:r>
    </w:p>
    <w:p w14:paraId="088A93AB">
      <w:pPr>
        <w:autoSpaceDE w:val="0"/>
        <w:autoSpaceDN w:val="0"/>
        <w:adjustRightInd w:val="0"/>
        <w:spacing w:line="400" w:lineRule="exact"/>
        <w:ind w:firstLine="420" w:firstLineChars="200"/>
        <w:rPr>
          <w:color w:val="auto"/>
          <w:szCs w:val="21"/>
          <w:highlight w:val="none"/>
        </w:rPr>
      </w:pPr>
      <w:r>
        <w:rPr>
          <w:color w:val="auto"/>
          <w:szCs w:val="21"/>
          <w:highlight w:val="none"/>
        </w:rPr>
        <w:t>发包人审批承包人合理化建议的期限：</w:t>
      </w:r>
      <w:r>
        <w:rPr>
          <w:color w:val="auto"/>
          <w:szCs w:val="21"/>
          <w:highlight w:val="none"/>
          <w:u w:val="single"/>
        </w:rPr>
        <w:t xml:space="preserve">按通用条款执行   </w:t>
      </w:r>
      <w:r>
        <w:rPr>
          <w:color w:val="auto"/>
          <w:szCs w:val="21"/>
          <w:highlight w:val="none"/>
        </w:rPr>
        <w:t>。</w:t>
      </w:r>
    </w:p>
    <w:p w14:paraId="2760C918">
      <w:pPr>
        <w:autoSpaceDE w:val="0"/>
        <w:autoSpaceDN w:val="0"/>
        <w:adjustRightInd w:val="0"/>
        <w:spacing w:line="400" w:lineRule="exact"/>
        <w:ind w:firstLine="420" w:firstLineChars="200"/>
        <w:rPr>
          <w:color w:val="auto"/>
          <w:szCs w:val="21"/>
          <w:highlight w:val="none"/>
          <w:u w:val="single"/>
        </w:rPr>
      </w:pPr>
      <w:r>
        <w:rPr>
          <w:color w:val="auto"/>
          <w:szCs w:val="21"/>
          <w:highlight w:val="none"/>
        </w:rPr>
        <w:t>承包人提出的合理化建议降低了合同价格或者提高了工程经济效益的奖励的方法和金额为：</w:t>
      </w:r>
      <w:r>
        <w:rPr>
          <w:color w:val="auto"/>
          <w:szCs w:val="21"/>
          <w:highlight w:val="none"/>
          <w:u w:val="single"/>
        </w:rPr>
        <w:t xml:space="preserve">                </w:t>
      </w:r>
      <w:r>
        <w:rPr>
          <w:color w:val="auto"/>
          <w:szCs w:val="21"/>
          <w:highlight w:val="none"/>
        </w:rPr>
        <w:t>。</w:t>
      </w:r>
    </w:p>
    <w:p w14:paraId="7B4E6C85">
      <w:pPr>
        <w:autoSpaceDE w:val="0"/>
        <w:autoSpaceDN w:val="0"/>
        <w:adjustRightInd w:val="0"/>
        <w:spacing w:line="400" w:lineRule="exact"/>
        <w:ind w:firstLine="420" w:firstLineChars="200"/>
        <w:rPr>
          <w:color w:val="auto"/>
          <w:szCs w:val="21"/>
          <w:highlight w:val="none"/>
        </w:rPr>
      </w:pPr>
      <w:r>
        <w:rPr>
          <w:color w:val="auto"/>
          <w:szCs w:val="21"/>
          <w:highlight w:val="none"/>
        </w:rPr>
        <w:t>10.7 暂估价</w:t>
      </w:r>
    </w:p>
    <w:p w14:paraId="3F644D61">
      <w:pPr>
        <w:autoSpaceDE w:val="0"/>
        <w:autoSpaceDN w:val="0"/>
        <w:adjustRightInd w:val="0"/>
        <w:spacing w:line="400" w:lineRule="exact"/>
        <w:ind w:firstLine="420" w:firstLineChars="200"/>
        <w:rPr>
          <w:color w:val="auto"/>
          <w:szCs w:val="21"/>
          <w:highlight w:val="none"/>
        </w:rPr>
      </w:pPr>
      <w:r>
        <w:rPr>
          <w:color w:val="auto"/>
          <w:szCs w:val="21"/>
          <w:highlight w:val="none"/>
        </w:rPr>
        <w:t>暂估价材料和工程设备的明细详见附件11：《暂估价一览表》。</w:t>
      </w:r>
    </w:p>
    <w:p w14:paraId="28397EFE">
      <w:pPr>
        <w:autoSpaceDE w:val="0"/>
        <w:autoSpaceDN w:val="0"/>
        <w:adjustRightInd w:val="0"/>
        <w:spacing w:line="400" w:lineRule="exact"/>
        <w:ind w:firstLine="420" w:firstLineChars="200"/>
        <w:rPr>
          <w:color w:val="auto"/>
          <w:szCs w:val="21"/>
          <w:highlight w:val="none"/>
        </w:rPr>
      </w:pPr>
      <w:r>
        <w:rPr>
          <w:color w:val="auto"/>
          <w:szCs w:val="21"/>
          <w:highlight w:val="none"/>
        </w:rPr>
        <w:t>10.7.1 依法必须招标的暂估价项目</w:t>
      </w:r>
    </w:p>
    <w:p w14:paraId="02BE6B9E">
      <w:pPr>
        <w:autoSpaceDE w:val="0"/>
        <w:autoSpaceDN w:val="0"/>
        <w:adjustRightInd w:val="0"/>
        <w:spacing w:line="400" w:lineRule="exact"/>
        <w:ind w:firstLine="420" w:firstLineChars="200"/>
        <w:rPr>
          <w:color w:val="auto"/>
          <w:szCs w:val="21"/>
          <w:highlight w:val="none"/>
          <w:u w:val="single"/>
        </w:rPr>
      </w:pPr>
      <w:r>
        <w:rPr>
          <w:rFonts w:hint="eastAsia"/>
          <w:color w:val="auto"/>
          <w:szCs w:val="21"/>
          <w:highlight w:val="none"/>
          <w:u w:val="single"/>
        </w:rPr>
        <w:t>无承包价（暂定价）或工程变更新增的单项材料、设备、专</w:t>
      </w:r>
      <w:r>
        <w:rPr>
          <w:rFonts w:hint="eastAsia"/>
          <w:color w:val="auto"/>
          <w:szCs w:val="21"/>
          <w:highlight w:val="none"/>
          <w:u w:val="single"/>
        </w:rPr>
        <w:t>业分包工程估算价在（</w:t>
      </w:r>
      <w:r>
        <w:rPr>
          <w:rFonts w:hint="eastAsia"/>
          <w:color w:val="auto"/>
          <w:szCs w:val="21"/>
          <w:highlight w:val="none"/>
          <w:u w:val="single"/>
          <w:lang w:val="en-US" w:eastAsia="zh-CN"/>
        </w:rPr>
        <w:t>30</w:t>
      </w:r>
      <w:r>
        <w:rPr>
          <w:rFonts w:hint="eastAsia"/>
          <w:color w:val="auto"/>
          <w:szCs w:val="21"/>
          <w:highlight w:val="none"/>
          <w:u w:val="single"/>
        </w:rPr>
        <w:t>）万</w:t>
      </w:r>
      <w:r>
        <w:rPr>
          <w:rFonts w:hint="eastAsia"/>
          <w:color w:val="auto"/>
          <w:szCs w:val="21"/>
          <w:highlight w:val="none"/>
          <w:u w:val="single"/>
        </w:rPr>
        <w:t>元以上的（指可以向同一家供应商采购的同类材料总价），须由发、承包双方通过招标确定价格、供应商或分包人。承包人应按照施工进度计划，在招标工作启动前 28 天通知发包人，并提交暂估价招标方案和工作分工</w:t>
      </w:r>
      <w:r>
        <w:rPr>
          <w:rFonts w:hint="eastAsia"/>
          <w:color w:val="auto"/>
          <w:szCs w:val="21"/>
          <w:highlight w:val="none"/>
          <w:u w:val="single"/>
          <w:lang w:eastAsia="zh-CN"/>
        </w:rPr>
        <w:t>，</w:t>
      </w:r>
      <w:r>
        <w:rPr>
          <w:rFonts w:hint="eastAsia"/>
          <w:color w:val="auto"/>
          <w:szCs w:val="21"/>
          <w:highlight w:val="none"/>
          <w:u w:val="single"/>
        </w:rPr>
        <w:t>招标工作接受有管辖权的建设工程招投标监督部门的监督。与组织招标工作有关的费用由发包人承担。</w:t>
      </w:r>
    </w:p>
    <w:p w14:paraId="25ED1BA6">
      <w:pPr>
        <w:autoSpaceDE w:val="0"/>
        <w:autoSpaceDN w:val="0"/>
        <w:adjustRightInd w:val="0"/>
        <w:spacing w:line="400" w:lineRule="exact"/>
        <w:ind w:firstLine="420" w:firstLineChars="200"/>
        <w:rPr>
          <w:color w:val="auto"/>
          <w:szCs w:val="21"/>
          <w:highlight w:val="none"/>
        </w:rPr>
      </w:pPr>
      <w:r>
        <w:rPr>
          <w:color w:val="auto"/>
          <w:szCs w:val="21"/>
          <w:highlight w:val="none"/>
        </w:rPr>
        <w:t>10.7.2 不属于依法必须招标的暂估价项目：</w:t>
      </w:r>
      <w:r>
        <w:rPr>
          <w:rFonts w:hint="eastAsia"/>
          <w:color w:val="auto"/>
          <w:szCs w:val="21"/>
          <w:highlight w:val="none"/>
          <w:u w:val="single"/>
        </w:rPr>
        <w:t>按通用合同条款执行</w:t>
      </w:r>
      <w:r>
        <w:rPr>
          <w:color w:val="auto"/>
          <w:szCs w:val="21"/>
          <w:highlight w:val="none"/>
          <w:u w:val="single"/>
        </w:rPr>
        <w:t>。</w:t>
      </w:r>
    </w:p>
    <w:p w14:paraId="5B36E47E">
      <w:pPr>
        <w:autoSpaceDE w:val="0"/>
        <w:autoSpaceDN w:val="0"/>
        <w:adjustRightInd w:val="0"/>
        <w:spacing w:line="400" w:lineRule="exact"/>
        <w:ind w:firstLine="420" w:firstLineChars="200"/>
        <w:rPr>
          <w:color w:val="auto"/>
          <w:szCs w:val="21"/>
          <w:highlight w:val="none"/>
        </w:rPr>
      </w:pPr>
      <w:r>
        <w:rPr>
          <w:color w:val="auto"/>
          <w:szCs w:val="21"/>
          <w:highlight w:val="none"/>
        </w:rPr>
        <w:t>第3种方式：承包人直接实施的暂估价项目</w:t>
      </w:r>
    </w:p>
    <w:p w14:paraId="23A6E58B">
      <w:pPr>
        <w:autoSpaceDE w:val="0"/>
        <w:autoSpaceDN w:val="0"/>
        <w:adjustRightInd w:val="0"/>
        <w:spacing w:line="400" w:lineRule="exact"/>
        <w:ind w:firstLine="420" w:firstLineChars="200"/>
        <w:rPr>
          <w:rFonts w:hint="eastAsia"/>
          <w:color w:val="auto"/>
          <w:szCs w:val="21"/>
          <w:highlight w:val="none"/>
        </w:rPr>
      </w:pPr>
      <w:r>
        <w:rPr>
          <w:color w:val="auto"/>
          <w:szCs w:val="21"/>
          <w:highlight w:val="none"/>
        </w:rPr>
        <w:t>承包人直接实施的暂估价项目的约定：</w:t>
      </w:r>
      <w:r>
        <w:rPr>
          <w:color w:val="auto"/>
          <w:szCs w:val="21"/>
          <w:highlight w:val="none"/>
          <w:u w:val="single"/>
        </w:rPr>
        <w:t xml:space="preserve">    </w:t>
      </w:r>
      <w:r>
        <w:rPr>
          <w:rFonts w:hint="eastAsia" w:ascii="宋体" w:hAnsi="宋体"/>
          <w:b/>
          <w:color w:val="auto"/>
          <w:szCs w:val="21"/>
          <w:highlight w:val="none"/>
          <w:u w:val="single"/>
        </w:rPr>
        <w:t>/</w:t>
      </w:r>
      <w:r>
        <w:rPr>
          <w:color w:val="auto"/>
          <w:szCs w:val="21"/>
          <w:highlight w:val="none"/>
          <w:u w:val="single"/>
        </w:rPr>
        <w:t xml:space="preserve">    </w:t>
      </w:r>
      <w:r>
        <w:rPr>
          <w:color w:val="auto"/>
          <w:szCs w:val="21"/>
          <w:highlight w:val="none"/>
        </w:rPr>
        <w:t>。</w:t>
      </w:r>
    </w:p>
    <w:p w14:paraId="34A85556">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10.7.4专业发包工程管理费</w:t>
      </w:r>
    </w:p>
    <w:p w14:paraId="44240A98">
      <w:pPr>
        <w:autoSpaceDE w:val="0"/>
        <w:autoSpaceDN w:val="0"/>
        <w:adjustRightInd w:val="0"/>
        <w:spacing w:line="400" w:lineRule="exact"/>
        <w:ind w:firstLine="420" w:firstLineChars="200"/>
        <w:rPr>
          <w:rFonts w:hint="eastAsia"/>
          <w:color w:val="auto"/>
          <w:szCs w:val="21"/>
          <w:highlight w:val="none"/>
        </w:rPr>
      </w:pPr>
      <w:r>
        <w:rPr>
          <w:rFonts w:hint="eastAsia"/>
          <w:color w:val="auto"/>
          <w:szCs w:val="21"/>
          <w:highlight w:val="none"/>
        </w:rPr>
        <w:t>本工程</w:t>
      </w:r>
      <w:r>
        <w:rPr>
          <w:color w:val="auto"/>
          <w:szCs w:val="21"/>
          <w:highlight w:val="none"/>
        </w:rPr>
        <w:t>无专业发包。</w:t>
      </w:r>
    </w:p>
    <w:p w14:paraId="0640F513">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需总承包人配合的具体事项：</w:t>
      </w:r>
      <w:r>
        <w:rPr>
          <w:rFonts w:hint="eastAsia" w:ascii="宋体" w:hAnsi="宋体"/>
          <w:color w:val="auto"/>
          <w:szCs w:val="21"/>
          <w:highlight w:val="none"/>
          <w:u w:val="single"/>
        </w:rPr>
        <w:t xml:space="preserve">                  </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2173482C">
      <w:pPr>
        <w:autoSpaceDE w:val="0"/>
        <w:autoSpaceDN w:val="0"/>
        <w:adjustRightInd w:val="0"/>
        <w:spacing w:line="400" w:lineRule="exact"/>
        <w:ind w:firstLine="420" w:firstLineChars="200"/>
        <w:rPr>
          <w:color w:val="auto"/>
          <w:szCs w:val="21"/>
          <w:highlight w:val="none"/>
        </w:rPr>
      </w:pPr>
      <w:r>
        <w:rPr>
          <w:rFonts w:hint="eastAsia" w:ascii="宋体" w:hAnsi="宋体"/>
          <w:color w:val="auto"/>
          <w:szCs w:val="21"/>
          <w:highlight w:val="none"/>
        </w:rPr>
        <w:t>发包人另行发包的专业工程：</w:t>
      </w:r>
      <w:r>
        <w:rPr>
          <w:rFonts w:hint="eastAsia" w:ascii="宋体" w:hAnsi="宋体"/>
          <w:color w:val="auto"/>
          <w:szCs w:val="21"/>
          <w:highlight w:val="none"/>
          <w:u w:val="single"/>
        </w:rPr>
        <w:t xml:space="preserve">                  </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0D5BB004">
      <w:pPr>
        <w:autoSpaceDE w:val="0"/>
        <w:autoSpaceDN w:val="0"/>
        <w:adjustRightInd w:val="0"/>
        <w:spacing w:line="400" w:lineRule="exact"/>
        <w:ind w:firstLine="420" w:firstLineChars="200"/>
        <w:rPr>
          <w:color w:val="auto"/>
          <w:szCs w:val="21"/>
          <w:highlight w:val="none"/>
        </w:rPr>
      </w:pPr>
      <w:r>
        <w:rPr>
          <w:color w:val="auto"/>
          <w:szCs w:val="21"/>
          <w:highlight w:val="none"/>
        </w:rPr>
        <w:t>10.8 暂列金额</w:t>
      </w:r>
    </w:p>
    <w:p w14:paraId="6BF40AF2">
      <w:pPr>
        <w:autoSpaceDE w:val="0"/>
        <w:autoSpaceDN w:val="0"/>
        <w:adjustRightInd w:val="0"/>
        <w:spacing w:line="400" w:lineRule="exact"/>
        <w:ind w:firstLine="420" w:firstLineChars="200"/>
        <w:rPr>
          <w:color w:val="auto"/>
          <w:szCs w:val="21"/>
          <w:highlight w:val="none"/>
        </w:rPr>
      </w:pPr>
      <w:r>
        <w:rPr>
          <w:color w:val="auto"/>
          <w:szCs w:val="21"/>
          <w:highlight w:val="none"/>
        </w:rPr>
        <w:t>合同当事人关于暂列金额使用的约定：</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401717EF">
      <w:pPr>
        <w:autoSpaceDE w:val="0"/>
        <w:autoSpaceDN w:val="0"/>
        <w:adjustRightInd w:val="0"/>
        <w:spacing w:line="400" w:lineRule="exact"/>
        <w:ind w:firstLine="420" w:firstLineChars="200"/>
        <w:rPr>
          <w:color w:val="auto"/>
          <w:szCs w:val="21"/>
          <w:highlight w:val="none"/>
          <w:u w:val="single"/>
        </w:rPr>
      </w:pPr>
      <w:r>
        <w:rPr>
          <w:color w:val="auto"/>
          <w:szCs w:val="21"/>
          <w:highlight w:val="none"/>
        </w:rPr>
        <w:t>创标化工地增加费</w:t>
      </w:r>
      <w:r>
        <w:rPr>
          <w:rFonts w:hint="eastAsia"/>
          <w:color w:val="auto"/>
          <w:szCs w:val="21"/>
          <w:highlight w:val="none"/>
        </w:rPr>
        <w:t>计算方法：</w:t>
      </w:r>
      <w:r>
        <w:rPr>
          <w:rFonts w:hint="eastAsia"/>
          <w:color w:val="auto"/>
          <w:szCs w:val="21"/>
          <w:highlight w:val="none"/>
          <w:u w:val="single"/>
        </w:rPr>
        <w:t>本工程无创标化工地目标</w:t>
      </w:r>
      <w:r>
        <w:rPr>
          <w:color w:val="auto"/>
          <w:szCs w:val="21"/>
          <w:highlight w:val="none"/>
          <w:u w:val="single"/>
        </w:rPr>
        <w:t>。</w:t>
      </w:r>
    </w:p>
    <w:p w14:paraId="718DA2BD">
      <w:pPr>
        <w:autoSpaceDE w:val="0"/>
        <w:autoSpaceDN w:val="0"/>
        <w:adjustRightInd w:val="0"/>
        <w:spacing w:line="400" w:lineRule="exact"/>
        <w:ind w:firstLine="420" w:firstLineChars="200"/>
        <w:rPr>
          <w:color w:val="auto"/>
          <w:szCs w:val="21"/>
          <w:highlight w:val="none"/>
        </w:rPr>
      </w:pPr>
      <w:r>
        <w:rPr>
          <w:color w:val="auto"/>
          <w:szCs w:val="21"/>
          <w:highlight w:val="none"/>
        </w:rPr>
        <w:t>创优质工程增加费</w:t>
      </w:r>
      <w:r>
        <w:rPr>
          <w:rFonts w:hint="eastAsia"/>
          <w:color w:val="auto"/>
          <w:szCs w:val="21"/>
          <w:highlight w:val="none"/>
        </w:rPr>
        <w:t>计算方法：</w:t>
      </w:r>
      <w:r>
        <w:rPr>
          <w:rFonts w:hint="eastAsia"/>
          <w:color w:val="auto"/>
          <w:szCs w:val="21"/>
          <w:highlight w:val="none"/>
          <w:u w:val="single"/>
        </w:rPr>
        <w:t>本工程无创优质工程目标</w:t>
      </w:r>
      <w:r>
        <w:rPr>
          <w:color w:val="auto"/>
          <w:szCs w:val="21"/>
          <w:highlight w:val="none"/>
          <w:u w:val="single"/>
        </w:rPr>
        <w:t>。</w:t>
      </w:r>
    </w:p>
    <w:p w14:paraId="7474C0FF">
      <w:pPr>
        <w:pStyle w:val="4"/>
        <w:spacing w:before="0" w:after="0" w:line="400" w:lineRule="exact"/>
        <w:ind w:firstLine="422" w:firstLineChars="200"/>
        <w:rPr>
          <w:rFonts w:ascii="Times New Roman" w:hAnsi="Times New Roman"/>
          <w:color w:val="auto"/>
          <w:sz w:val="21"/>
          <w:szCs w:val="21"/>
          <w:highlight w:val="none"/>
        </w:rPr>
      </w:pPr>
      <w:bookmarkStart w:id="92" w:name="_Toc351203643"/>
      <w:r>
        <w:rPr>
          <w:rFonts w:ascii="Times New Roman" w:hAnsi="Times New Roman"/>
          <w:color w:val="auto"/>
          <w:sz w:val="21"/>
          <w:szCs w:val="21"/>
          <w:highlight w:val="none"/>
        </w:rPr>
        <w:t>11. 价格调整</w:t>
      </w:r>
      <w:bookmarkEnd w:id="92"/>
    </w:p>
    <w:p w14:paraId="7043D27C">
      <w:pPr>
        <w:spacing w:line="400" w:lineRule="exact"/>
        <w:ind w:firstLine="420" w:firstLineChars="200"/>
        <w:rPr>
          <w:rFonts w:ascii="宋体" w:hAnsi="宋体"/>
          <w:color w:val="auto"/>
          <w:szCs w:val="21"/>
          <w:highlight w:val="none"/>
        </w:rPr>
      </w:pPr>
      <w:r>
        <w:rPr>
          <w:rFonts w:ascii="宋体" w:hAnsi="宋体"/>
          <w:color w:val="auto"/>
          <w:szCs w:val="21"/>
          <w:highlight w:val="none"/>
        </w:rPr>
        <w:t>11.1 市场价格波动引起的调整</w:t>
      </w:r>
    </w:p>
    <w:p w14:paraId="4EB30B33">
      <w:pPr>
        <w:autoSpaceDE w:val="0"/>
        <w:autoSpaceDN w:val="0"/>
        <w:adjustRightInd w:val="0"/>
        <w:spacing w:line="400" w:lineRule="exact"/>
        <w:ind w:firstLine="420" w:firstLineChars="200"/>
        <w:rPr>
          <w:rFonts w:hint="eastAsia"/>
          <w:color w:val="auto"/>
          <w:szCs w:val="21"/>
          <w:highlight w:val="none"/>
          <w:u w:val="single"/>
        </w:rPr>
      </w:pPr>
      <w:r>
        <w:rPr>
          <w:rFonts w:ascii="宋体" w:hAnsi="宋体"/>
          <w:color w:val="auto"/>
          <w:szCs w:val="21"/>
          <w:highlight w:val="none"/>
        </w:rPr>
        <w:t>市场价格波动是否调整合同价格的约定：</w:t>
      </w:r>
      <w:r>
        <w:rPr>
          <w:rFonts w:hint="eastAsia"/>
          <w:color w:val="auto"/>
          <w:szCs w:val="21"/>
          <w:highlight w:val="none"/>
          <w:u w:val="single"/>
        </w:rPr>
        <w:t>分部分项及技术措施项目综合单价中的〔具体调整的材料（</w:t>
      </w:r>
      <w:r>
        <w:rPr>
          <w:rFonts w:hint="eastAsia" w:ascii="宋体" w:hAnsi="宋体"/>
          <w:color w:val="auto"/>
          <w:szCs w:val="21"/>
          <w:highlight w:val="none"/>
          <w:u w:val="single"/>
        </w:rPr>
        <w:t>钢材、水泥、商品砼、砂、石子、砖</w:t>
      </w:r>
      <w:r>
        <w:rPr>
          <w:rFonts w:hint="eastAsia"/>
          <w:color w:val="auto"/>
          <w:szCs w:val="21"/>
          <w:highlight w:val="none"/>
          <w:u w:val="single"/>
        </w:rPr>
        <w:t>）〕市场价格波动调整价格，再按投标含量调整综合单价；其余材料及人工市场价格波动不调整。调整时间均为在合同工期范围内。</w:t>
      </w:r>
    </w:p>
    <w:p w14:paraId="27524D79">
      <w:pPr>
        <w:autoSpaceDE w:val="0"/>
        <w:autoSpaceDN w:val="0"/>
        <w:adjustRightInd w:val="0"/>
        <w:spacing w:line="400" w:lineRule="exact"/>
        <w:ind w:firstLine="420" w:firstLineChars="200"/>
        <w:rPr>
          <w:rFonts w:hint="eastAsia"/>
          <w:color w:val="auto"/>
          <w:szCs w:val="21"/>
          <w:highlight w:val="none"/>
        </w:rPr>
      </w:pPr>
      <w:r>
        <w:rPr>
          <w:rFonts w:hint="eastAsia"/>
          <w:color w:val="auto"/>
          <w:szCs w:val="21"/>
          <w:highlight w:val="none"/>
        </w:rPr>
        <w:t>因市场价格波动调整合同价格，采用以下第</w:t>
      </w:r>
      <w:r>
        <w:rPr>
          <w:rFonts w:hint="eastAsia"/>
          <w:color w:val="auto"/>
          <w:szCs w:val="21"/>
          <w:highlight w:val="none"/>
          <w:u w:val="single"/>
        </w:rPr>
        <w:t xml:space="preserve"> </w:t>
      </w:r>
      <w:r>
        <w:rPr>
          <w:color w:val="auto"/>
          <w:szCs w:val="21"/>
          <w:highlight w:val="none"/>
          <w:u w:val="single"/>
        </w:rPr>
        <w:t>2</w:t>
      </w:r>
      <w:r>
        <w:rPr>
          <w:rFonts w:hint="eastAsia"/>
          <w:color w:val="auto"/>
          <w:szCs w:val="21"/>
          <w:highlight w:val="none"/>
          <w:u w:val="single"/>
        </w:rPr>
        <w:t xml:space="preserve"> </w:t>
      </w:r>
      <w:r>
        <w:rPr>
          <w:rFonts w:hint="eastAsia"/>
          <w:color w:val="auto"/>
          <w:szCs w:val="21"/>
          <w:highlight w:val="none"/>
        </w:rPr>
        <w:t>种方式对合同价格进行调整：</w:t>
      </w:r>
    </w:p>
    <w:p w14:paraId="426319A3">
      <w:pPr>
        <w:autoSpaceDE w:val="0"/>
        <w:autoSpaceDN w:val="0"/>
        <w:adjustRightInd w:val="0"/>
        <w:spacing w:line="400" w:lineRule="exact"/>
        <w:ind w:firstLine="420" w:firstLineChars="200"/>
        <w:rPr>
          <w:rFonts w:hint="eastAsia"/>
          <w:color w:val="auto"/>
          <w:szCs w:val="21"/>
          <w:highlight w:val="none"/>
        </w:rPr>
      </w:pPr>
      <w:r>
        <w:rPr>
          <w:rFonts w:hint="eastAsia"/>
          <w:color w:val="auto"/>
          <w:szCs w:val="21"/>
          <w:highlight w:val="none"/>
        </w:rPr>
        <w:t>第 1 种方式：采用价格指数进行价格调整。</w:t>
      </w:r>
    </w:p>
    <w:p w14:paraId="06599614">
      <w:pPr>
        <w:autoSpaceDE w:val="0"/>
        <w:autoSpaceDN w:val="0"/>
        <w:adjustRightInd w:val="0"/>
        <w:spacing w:line="400" w:lineRule="exact"/>
        <w:ind w:firstLine="420" w:firstLineChars="200"/>
        <w:rPr>
          <w:rFonts w:hint="eastAsia"/>
          <w:color w:val="auto"/>
          <w:szCs w:val="21"/>
          <w:highlight w:val="none"/>
          <w:u w:val="single"/>
        </w:rPr>
      </w:pPr>
      <w:r>
        <w:rPr>
          <w:rFonts w:hint="eastAsia"/>
          <w:color w:val="auto"/>
          <w:szCs w:val="21"/>
          <w:highlight w:val="none"/>
        </w:rPr>
        <w:t>关于各可调因子、定值和变值权重，以及基本价格指数及其来源的约定：</w:t>
      </w:r>
      <w:r>
        <w:rPr>
          <w:rFonts w:hint="eastAsia"/>
          <w:color w:val="auto"/>
          <w:szCs w:val="21"/>
          <w:highlight w:val="none"/>
          <w:u w:val="single"/>
        </w:rPr>
        <w:t xml:space="preserve">         </w:t>
      </w:r>
      <w:r>
        <w:rPr>
          <w:rFonts w:hint="eastAsia"/>
          <w:color w:val="auto"/>
          <w:szCs w:val="21"/>
          <w:highlight w:val="none"/>
        </w:rPr>
        <w:t>；</w:t>
      </w:r>
    </w:p>
    <w:p w14:paraId="01D08775">
      <w:pPr>
        <w:autoSpaceDE w:val="0"/>
        <w:autoSpaceDN w:val="0"/>
        <w:adjustRightInd w:val="0"/>
        <w:spacing w:line="400" w:lineRule="exact"/>
        <w:ind w:firstLine="420" w:firstLineChars="200"/>
        <w:rPr>
          <w:rFonts w:hint="eastAsia"/>
          <w:color w:val="auto"/>
          <w:szCs w:val="21"/>
          <w:highlight w:val="none"/>
        </w:rPr>
      </w:pPr>
      <w:r>
        <w:rPr>
          <w:rFonts w:hint="eastAsia"/>
          <w:color w:val="auto"/>
          <w:szCs w:val="21"/>
          <w:highlight w:val="none"/>
        </w:rPr>
        <w:t>第 2 种方式：采用造价信息进行价格调整。</w:t>
      </w:r>
    </w:p>
    <w:p w14:paraId="264A6E05">
      <w:pPr>
        <w:autoSpaceDE w:val="0"/>
        <w:autoSpaceDN w:val="0"/>
        <w:adjustRightInd w:val="0"/>
        <w:spacing w:line="400" w:lineRule="exact"/>
        <w:ind w:firstLine="420" w:firstLineChars="200"/>
        <w:rPr>
          <w:rFonts w:hint="eastAsia"/>
          <w:color w:val="auto"/>
          <w:szCs w:val="21"/>
          <w:highlight w:val="none"/>
          <w:u w:val="single"/>
        </w:rPr>
      </w:pPr>
      <w:r>
        <w:rPr>
          <w:rFonts w:hint="eastAsia"/>
          <w:color w:val="auto"/>
          <w:szCs w:val="21"/>
          <w:highlight w:val="none"/>
        </w:rPr>
        <w:t>(1) 关于基准价格的约定：</w:t>
      </w:r>
      <w:r>
        <w:rPr>
          <w:rFonts w:hint="eastAsia"/>
          <w:color w:val="auto"/>
          <w:szCs w:val="21"/>
          <w:highlight w:val="none"/>
          <w:u w:val="single"/>
        </w:rPr>
        <w:t>A1=编制招标控制价(预算审核书) 时所采用《台州造价(工程所在地) 》对应月份的人工、材料价格。</w:t>
      </w:r>
    </w:p>
    <w:p w14:paraId="030E8B92">
      <w:pPr>
        <w:autoSpaceDE w:val="0"/>
        <w:autoSpaceDN w:val="0"/>
        <w:adjustRightInd w:val="0"/>
        <w:spacing w:line="400" w:lineRule="exact"/>
        <w:ind w:firstLine="420" w:firstLineChars="200"/>
        <w:rPr>
          <w:rFonts w:hint="eastAsia"/>
          <w:color w:val="auto"/>
          <w:szCs w:val="21"/>
          <w:highlight w:val="none"/>
        </w:rPr>
      </w:pPr>
      <w:r>
        <w:rPr>
          <w:rFonts w:hint="eastAsia"/>
          <w:color w:val="auto"/>
          <w:szCs w:val="21"/>
          <w:highlight w:val="none"/>
        </w:rPr>
        <w:t>(2) 市场价格约定：</w:t>
      </w:r>
      <w:r>
        <w:rPr>
          <w:rFonts w:hint="eastAsia"/>
          <w:color w:val="auto"/>
          <w:szCs w:val="21"/>
          <w:highlight w:val="none"/>
          <w:u w:val="single"/>
        </w:rPr>
        <w:t>A2＝施工期所对应</w:t>
      </w:r>
      <w:r>
        <w:rPr>
          <w:color w:val="auto"/>
          <w:szCs w:val="21"/>
          <w:highlight w:val="none"/>
          <w:u w:val="single"/>
        </w:rPr>
        <w:t>的</w:t>
      </w:r>
      <w:r>
        <w:rPr>
          <w:rFonts w:hint="eastAsia"/>
          <w:color w:val="auto"/>
          <w:szCs w:val="21"/>
          <w:highlight w:val="none"/>
          <w:u w:val="single"/>
        </w:rPr>
        <w:t>《台州造价》(正刊) 三门信息价所对应的材料(人工) 信息价算术平均价。</w:t>
      </w:r>
    </w:p>
    <w:p w14:paraId="746373DB">
      <w:pPr>
        <w:autoSpaceDE w:val="0"/>
        <w:autoSpaceDN w:val="0"/>
        <w:adjustRightInd w:val="0"/>
        <w:spacing w:line="400" w:lineRule="exact"/>
        <w:ind w:firstLine="420" w:firstLineChars="200"/>
        <w:rPr>
          <w:rFonts w:hint="eastAsia"/>
          <w:color w:val="auto"/>
          <w:szCs w:val="21"/>
          <w:highlight w:val="none"/>
        </w:rPr>
      </w:pPr>
      <w:r>
        <w:rPr>
          <w:rFonts w:hint="eastAsia"/>
          <w:color w:val="auto"/>
          <w:szCs w:val="21"/>
          <w:highlight w:val="none"/>
        </w:rPr>
        <w:t>(3) 调整方法</w:t>
      </w:r>
    </w:p>
    <w:p w14:paraId="6C4385AB">
      <w:pPr>
        <w:autoSpaceDE w:val="0"/>
        <w:autoSpaceDN w:val="0"/>
        <w:adjustRightInd w:val="0"/>
        <w:spacing w:line="400" w:lineRule="exact"/>
        <w:ind w:firstLine="420" w:firstLineChars="200"/>
        <w:rPr>
          <w:rFonts w:hint="eastAsia"/>
          <w:color w:val="auto"/>
          <w:szCs w:val="21"/>
          <w:highlight w:val="none"/>
          <w:u w:val="single"/>
        </w:rPr>
      </w:pPr>
      <w:r>
        <w:rPr>
          <w:rFonts w:hint="eastAsia"/>
          <w:color w:val="auto"/>
          <w:szCs w:val="21"/>
          <w:highlight w:val="none"/>
          <w:u w:val="single"/>
        </w:rPr>
        <w:t>a.当 A2＞A1 时，该材料(人工) 结算单价按超出的金额调增，即该材料(人工) 结算单价=承包人的投标单价+ (A2－A1) ；</w:t>
      </w:r>
    </w:p>
    <w:p w14:paraId="154ED40E">
      <w:pPr>
        <w:autoSpaceDE w:val="0"/>
        <w:autoSpaceDN w:val="0"/>
        <w:adjustRightInd w:val="0"/>
        <w:spacing w:line="400" w:lineRule="exact"/>
        <w:ind w:firstLine="420" w:firstLineChars="200"/>
        <w:rPr>
          <w:rFonts w:hint="eastAsia"/>
          <w:color w:val="auto"/>
          <w:szCs w:val="21"/>
          <w:highlight w:val="none"/>
          <w:u w:val="single"/>
        </w:rPr>
      </w:pPr>
      <w:r>
        <w:rPr>
          <w:rFonts w:hint="eastAsia"/>
          <w:color w:val="auto"/>
          <w:szCs w:val="21"/>
          <w:highlight w:val="none"/>
          <w:u w:val="single"/>
        </w:rPr>
        <w:t>b.当 A2＜A1 时，该材料(人工) 结算单价按低于的金额调减，即该材料(人工) 结算单价=承包人的投标单价－(A1－A2) ；</w:t>
      </w:r>
    </w:p>
    <w:p w14:paraId="01EBF9C9">
      <w:pPr>
        <w:autoSpaceDE w:val="0"/>
        <w:autoSpaceDN w:val="0"/>
        <w:adjustRightInd w:val="0"/>
        <w:spacing w:line="400" w:lineRule="exact"/>
        <w:ind w:firstLine="420" w:firstLineChars="200"/>
        <w:rPr>
          <w:rFonts w:hint="eastAsia"/>
          <w:color w:val="auto"/>
          <w:szCs w:val="21"/>
          <w:highlight w:val="none"/>
          <w:u w:val="single"/>
        </w:rPr>
      </w:pPr>
      <w:r>
        <w:rPr>
          <w:rFonts w:hint="eastAsia"/>
          <w:color w:val="auto"/>
          <w:szCs w:val="21"/>
          <w:highlight w:val="none"/>
          <w:u w:val="single"/>
        </w:rPr>
        <w:t>c.当 A2＝A1 时，该材料(人工) 结算单价不作调整。</w:t>
      </w:r>
    </w:p>
    <w:p w14:paraId="5B412603">
      <w:pPr>
        <w:autoSpaceDE w:val="0"/>
        <w:autoSpaceDN w:val="0"/>
        <w:adjustRightInd w:val="0"/>
        <w:spacing w:line="400" w:lineRule="exact"/>
        <w:ind w:firstLine="420" w:firstLineChars="200"/>
        <w:rPr>
          <w:rFonts w:hint="eastAsia"/>
          <w:color w:val="auto"/>
          <w:szCs w:val="21"/>
          <w:highlight w:val="none"/>
          <w:u w:val="single"/>
        </w:rPr>
      </w:pPr>
      <w:r>
        <w:rPr>
          <w:rFonts w:hint="eastAsia"/>
          <w:color w:val="auto"/>
          <w:szCs w:val="21"/>
          <w:highlight w:val="none"/>
        </w:rPr>
        <w:t>第 3 种方式：其他价格调整方式：</w:t>
      </w:r>
      <w:r>
        <w:rPr>
          <w:rFonts w:hint="eastAsia"/>
          <w:color w:val="auto"/>
          <w:szCs w:val="21"/>
          <w:highlight w:val="none"/>
          <w:u w:val="single"/>
        </w:rPr>
        <w:t xml:space="preserve">            /             </w:t>
      </w:r>
    </w:p>
    <w:p w14:paraId="3B88195F">
      <w:pPr>
        <w:spacing w:line="400" w:lineRule="exact"/>
        <w:ind w:firstLine="420" w:firstLineChars="200"/>
        <w:rPr>
          <w:color w:val="auto"/>
          <w:szCs w:val="21"/>
          <w:highlight w:val="none"/>
        </w:rPr>
      </w:pPr>
      <w:r>
        <w:rPr>
          <w:rFonts w:hint="eastAsia" w:ascii="宋体" w:hAnsi="宋体"/>
          <w:color w:val="auto"/>
          <w:szCs w:val="21"/>
          <w:highlight w:val="none"/>
        </w:rPr>
        <w:t>11.2 法律变化引起的调整：</w:t>
      </w:r>
      <w:r>
        <w:rPr>
          <w:rFonts w:hint="eastAsia"/>
          <w:color w:val="auto"/>
          <w:szCs w:val="21"/>
          <w:highlight w:val="none"/>
          <w:u w:val="single"/>
        </w:rPr>
        <w:t>基准日期以后变化由发包人承担，但由承包人原因导致工期延误时的</w:t>
      </w:r>
      <w:r>
        <w:rPr>
          <w:rFonts w:hint="eastAsia"/>
          <w:color w:val="auto"/>
          <w:szCs w:val="21"/>
          <w:highlight w:val="none"/>
          <w:u w:val="single"/>
        </w:rPr>
        <w:t>法律变化引起合同价增加的由承包人承担，合同价下降的由发包人受益。</w:t>
      </w:r>
    </w:p>
    <w:p w14:paraId="133E2037">
      <w:pPr>
        <w:pStyle w:val="4"/>
        <w:spacing w:before="0" w:after="0" w:line="400" w:lineRule="exact"/>
        <w:ind w:firstLine="422" w:firstLineChars="200"/>
        <w:rPr>
          <w:rFonts w:ascii="Times New Roman" w:hAnsi="Times New Roman"/>
          <w:color w:val="auto"/>
          <w:sz w:val="21"/>
          <w:szCs w:val="21"/>
          <w:highlight w:val="none"/>
        </w:rPr>
      </w:pPr>
      <w:bookmarkStart w:id="93" w:name="_Toc296503205"/>
      <w:bookmarkStart w:id="94" w:name="_Toc297120505"/>
      <w:bookmarkStart w:id="95" w:name="_Toc292559915"/>
      <w:bookmarkStart w:id="96" w:name="_Toc296346706"/>
      <w:bookmarkStart w:id="97" w:name="_Toc297048391"/>
      <w:bookmarkStart w:id="98" w:name="_Toc296891033"/>
      <w:bookmarkStart w:id="99" w:name="_Toc292559410"/>
      <w:bookmarkStart w:id="100" w:name="_Toc296944544"/>
      <w:bookmarkStart w:id="101" w:name="_Toc296347204"/>
      <w:bookmarkStart w:id="102" w:name="_Toc296891245"/>
      <w:bookmarkStart w:id="103" w:name="_Toc351203644"/>
      <w:r>
        <w:rPr>
          <w:rFonts w:ascii="Times New Roman" w:hAnsi="Times New Roman"/>
          <w:color w:val="auto"/>
          <w:sz w:val="21"/>
          <w:szCs w:val="21"/>
          <w:highlight w:val="none"/>
        </w:rPr>
        <w:t xml:space="preserve">12. </w:t>
      </w:r>
      <w:bookmarkEnd w:id="93"/>
      <w:bookmarkEnd w:id="94"/>
      <w:bookmarkEnd w:id="95"/>
      <w:bookmarkEnd w:id="96"/>
      <w:bookmarkEnd w:id="97"/>
      <w:bookmarkEnd w:id="98"/>
      <w:bookmarkEnd w:id="99"/>
      <w:bookmarkEnd w:id="100"/>
      <w:bookmarkEnd w:id="101"/>
      <w:bookmarkEnd w:id="102"/>
      <w:r>
        <w:rPr>
          <w:rFonts w:ascii="Times New Roman" w:hAnsi="Times New Roman"/>
          <w:color w:val="auto"/>
          <w:sz w:val="21"/>
          <w:szCs w:val="21"/>
          <w:highlight w:val="none"/>
        </w:rPr>
        <w:t>合同价格、计量与支付</w:t>
      </w:r>
      <w:bookmarkEnd w:id="103"/>
    </w:p>
    <w:p w14:paraId="619EE85C">
      <w:pPr>
        <w:spacing w:line="400" w:lineRule="exact"/>
        <w:ind w:firstLine="420" w:firstLineChars="200"/>
        <w:rPr>
          <w:color w:val="auto"/>
          <w:szCs w:val="21"/>
          <w:highlight w:val="none"/>
        </w:rPr>
      </w:pPr>
      <w:bookmarkStart w:id="104" w:name="_Toc292559411"/>
      <w:bookmarkStart w:id="105" w:name="_Toc292559916"/>
      <w:bookmarkStart w:id="106" w:name="_Toc267251461"/>
      <w:bookmarkStart w:id="107" w:name="_Toc296347205"/>
      <w:bookmarkStart w:id="108" w:name="_Toc296891034"/>
      <w:bookmarkStart w:id="109" w:name="_Toc297120506"/>
      <w:bookmarkStart w:id="110" w:name="_Toc296346707"/>
      <w:bookmarkStart w:id="111" w:name="_Toc296503206"/>
      <w:bookmarkStart w:id="112" w:name="_Toc296944545"/>
      <w:bookmarkStart w:id="113" w:name="_Toc296891246"/>
      <w:bookmarkStart w:id="114" w:name="_Toc297048392"/>
      <w:r>
        <w:rPr>
          <w:color w:val="auto"/>
          <w:szCs w:val="21"/>
          <w:highlight w:val="none"/>
        </w:rPr>
        <w:t>12.1 合</w:t>
      </w:r>
      <w:bookmarkEnd w:id="104"/>
      <w:bookmarkEnd w:id="105"/>
      <w:bookmarkEnd w:id="106"/>
      <w:r>
        <w:rPr>
          <w:color w:val="auto"/>
          <w:szCs w:val="21"/>
          <w:highlight w:val="none"/>
        </w:rPr>
        <w:t>同价</w:t>
      </w:r>
      <w:bookmarkEnd w:id="107"/>
      <w:bookmarkEnd w:id="108"/>
      <w:bookmarkEnd w:id="109"/>
      <w:bookmarkEnd w:id="110"/>
      <w:bookmarkEnd w:id="111"/>
      <w:bookmarkEnd w:id="112"/>
      <w:bookmarkEnd w:id="113"/>
      <w:bookmarkEnd w:id="114"/>
      <w:r>
        <w:rPr>
          <w:color w:val="auto"/>
          <w:szCs w:val="21"/>
          <w:highlight w:val="none"/>
        </w:rPr>
        <w:t>格形式</w:t>
      </w:r>
    </w:p>
    <w:p w14:paraId="77609D39">
      <w:pPr>
        <w:spacing w:line="400" w:lineRule="exact"/>
        <w:ind w:firstLine="420" w:firstLineChars="200"/>
        <w:rPr>
          <w:color w:val="auto"/>
          <w:szCs w:val="21"/>
          <w:highlight w:val="none"/>
        </w:rPr>
      </w:pPr>
      <w:r>
        <w:rPr>
          <w:color w:val="auto"/>
          <w:szCs w:val="21"/>
          <w:highlight w:val="none"/>
        </w:rPr>
        <w:t>本合同价款采用第</w:t>
      </w:r>
      <w:r>
        <w:rPr>
          <w:color w:val="auto"/>
          <w:szCs w:val="21"/>
          <w:highlight w:val="none"/>
          <w:u w:val="single"/>
        </w:rPr>
        <w:t xml:space="preserve">  1  </w:t>
      </w:r>
      <w:r>
        <w:rPr>
          <w:color w:val="auto"/>
          <w:szCs w:val="21"/>
          <w:highlight w:val="none"/>
        </w:rPr>
        <w:t>种方式</w:t>
      </w:r>
      <w:r>
        <w:rPr>
          <w:color w:val="auto"/>
          <w:szCs w:val="21"/>
          <w:highlight w:val="none"/>
          <w:u w:val="single"/>
        </w:rPr>
        <w:t xml:space="preserve">  单价合同   </w:t>
      </w:r>
      <w:r>
        <w:rPr>
          <w:color w:val="auto"/>
          <w:szCs w:val="21"/>
          <w:highlight w:val="none"/>
        </w:rPr>
        <w:t>确定。</w:t>
      </w:r>
    </w:p>
    <w:p w14:paraId="0B1B81D2">
      <w:pPr>
        <w:spacing w:line="400" w:lineRule="exact"/>
        <w:ind w:firstLine="420" w:firstLineChars="200"/>
        <w:rPr>
          <w:color w:val="auto"/>
          <w:szCs w:val="21"/>
          <w:highlight w:val="none"/>
        </w:rPr>
      </w:pPr>
      <w:r>
        <w:rPr>
          <w:color w:val="auto"/>
          <w:szCs w:val="21"/>
          <w:highlight w:val="none"/>
        </w:rPr>
        <w:t>1．单价合同。</w:t>
      </w:r>
    </w:p>
    <w:p w14:paraId="3270CF04">
      <w:pPr>
        <w:spacing w:line="400" w:lineRule="exact"/>
        <w:ind w:firstLine="420" w:firstLineChars="200"/>
        <w:rPr>
          <w:color w:val="auto"/>
          <w:szCs w:val="21"/>
          <w:highlight w:val="none"/>
        </w:rPr>
      </w:pPr>
      <w:r>
        <w:rPr>
          <w:color w:val="auto"/>
          <w:szCs w:val="21"/>
          <w:highlight w:val="none"/>
        </w:rPr>
        <w:t>综合单价包含的风险范围：</w:t>
      </w:r>
    </w:p>
    <w:p w14:paraId="5025C99F">
      <w:pPr>
        <w:spacing w:line="400" w:lineRule="exact"/>
        <w:ind w:firstLine="420" w:firstLineChars="200"/>
        <w:rPr>
          <w:color w:val="auto"/>
          <w:szCs w:val="21"/>
          <w:highlight w:val="none"/>
          <w:u w:val="single"/>
        </w:rPr>
      </w:pPr>
      <w:r>
        <w:rPr>
          <w:color w:val="auto"/>
          <w:szCs w:val="21"/>
          <w:highlight w:val="none"/>
          <w:u w:val="single"/>
        </w:rPr>
        <w:t>本工程结算价的计算方式同投标价。除风险范围以外约</w:t>
      </w:r>
      <w:r>
        <w:rPr>
          <w:color w:val="auto"/>
          <w:szCs w:val="21"/>
          <w:highlight w:val="none"/>
          <w:u w:val="single"/>
        </w:rPr>
        <w:t>定的调整外，以下内容按承包人的投标承诺</w:t>
      </w:r>
      <w:r>
        <w:rPr>
          <w:rFonts w:hint="eastAsia"/>
          <w:color w:val="auto"/>
          <w:szCs w:val="21"/>
          <w:highlight w:val="none"/>
          <w:u w:val="single"/>
        </w:rPr>
        <w:t>不作调整</w:t>
      </w:r>
      <w:r>
        <w:rPr>
          <w:color w:val="auto"/>
          <w:szCs w:val="21"/>
          <w:highlight w:val="none"/>
          <w:u w:val="single"/>
        </w:rPr>
        <w:t>：</w:t>
      </w:r>
    </w:p>
    <w:p w14:paraId="7A528027">
      <w:pPr>
        <w:spacing w:line="400" w:lineRule="exact"/>
        <w:ind w:firstLine="420" w:firstLineChars="200"/>
        <w:rPr>
          <w:color w:val="auto"/>
          <w:szCs w:val="21"/>
          <w:highlight w:val="none"/>
          <w:u w:val="single"/>
        </w:rPr>
      </w:pPr>
      <w:r>
        <w:rPr>
          <w:color w:val="auto"/>
          <w:szCs w:val="21"/>
          <w:highlight w:val="none"/>
          <w:u w:val="single"/>
        </w:rPr>
        <w:t>（1）综合单价；</w:t>
      </w:r>
    </w:p>
    <w:p w14:paraId="0DE5BB23">
      <w:pPr>
        <w:spacing w:line="400" w:lineRule="exact"/>
        <w:ind w:firstLine="420" w:firstLineChars="200"/>
        <w:rPr>
          <w:color w:val="auto"/>
          <w:szCs w:val="21"/>
          <w:highlight w:val="none"/>
          <w:u w:val="single"/>
        </w:rPr>
      </w:pPr>
      <w:r>
        <w:rPr>
          <w:color w:val="auto"/>
          <w:szCs w:val="21"/>
          <w:highlight w:val="none"/>
          <w:u w:val="single"/>
        </w:rPr>
        <w:t>（2）</w:t>
      </w:r>
      <w:r>
        <w:rPr>
          <w:rFonts w:hint="eastAsia"/>
          <w:color w:val="auto"/>
          <w:szCs w:val="21"/>
          <w:highlight w:val="none"/>
          <w:u w:val="single"/>
        </w:rPr>
        <w:t>施工组织措施项目费的费项及费率</w:t>
      </w:r>
      <w:r>
        <w:rPr>
          <w:color w:val="auto"/>
          <w:szCs w:val="21"/>
          <w:highlight w:val="none"/>
          <w:u w:val="single"/>
        </w:rPr>
        <w:t>；</w:t>
      </w:r>
    </w:p>
    <w:p w14:paraId="48D7F08E">
      <w:pPr>
        <w:spacing w:line="400" w:lineRule="exact"/>
        <w:ind w:firstLine="420" w:firstLineChars="200"/>
        <w:rPr>
          <w:color w:val="auto"/>
          <w:szCs w:val="21"/>
          <w:highlight w:val="none"/>
          <w:u w:val="single"/>
        </w:rPr>
      </w:pPr>
      <w:r>
        <w:rPr>
          <w:color w:val="auto"/>
          <w:szCs w:val="21"/>
          <w:highlight w:val="none"/>
          <w:u w:val="single"/>
        </w:rPr>
        <w:t>（3）规费费率、税金税率；</w:t>
      </w:r>
    </w:p>
    <w:p w14:paraId="0AF063A5">
      <w:pPr>
        <w:spacing w:line="400" w:lineRule="exact"/>
        <w:ind w:firstLine="420" w:firstLineChars="200"/>
        <w:rPr>
          <w:color w:val="auto"/>
          <w:szCs w:val="21"/>
          <w:highlight w:val="none"/>
          <w:u w:val="single"/>
        </w:rPr>
      </w:pPr>
      <w:r>
        <w:rPr>
          <w:color w:val="auto"/>
          <w:szCs w:val="21"/>
          <w:highlight w:val="none"/>
          <w:u w:val="single"/>
        </w:rPr>
        <w:t>（4）</w:t>
      </w:r>
      <w:r>
        <w:rPr>
          <w:rFonts w:hint="eastAsia"/>
          <w:color w:val="auto"/>
          <w:szCs w:val="21"/>
          <w:highlight w:val="none"/>
          <w:u w:val="single"/>
        </w:rPr>
        <w:t>计日工单</w:t>
      </w:r>
      <w:r>
        <w:rPr>
          <w:rFonts w:hint="eastAsia"/>
          <w:color w:val="auto"/>
          <w:szCs w:val="21"/>
          <w:highlight w:val="none"/>
          <w:u w:val="single"/>
        </w:rPr>
        <w:t>价：技术工 310 元/工日、普工 205 元/工日，工</w:t>
      </w:r>
      <w:r>
        <w:rPr>
          <w:rFonts w:hint="eastAsia"/>
          <w:color w:val="auto"/>
          <w:szCs w:val="21"/>
          <w:highlight w:val="none"/>
          <w:u w:val="single"/>
        </w:rPr>
        <w:t>日数经发包人签证，该项费用仅另计算税金；</w:t>
      </w:r>
    </w:p>
    <w:p w14:paraId="251F547D">
      <w:pPr>
        <w:spacing w:line="400" w:lineRule="exact"/>
        <w:ind w:firstLine="420" w:firstLineChars="200"/>
        <w:rPr>
          <w:color w:val="auto"/>
          <w:szCs w:val="21"/>
          <w:highlight w:val="none"/>
          <w:u w:val="single"/>
        </w:rPr>
      </w:pPr>
      <w:r>
        <w:rPr>
          <w:color w:val="auto"/>
          <w:szCs w:val="21"/>
          <w:highlight w:val="none"/>
          <w:u w:val="single"/>
        </w:rPr>
        <w:t>（5）</w:t>
      </w:r>
      <w:r>
        <w:rPr>
          <w:rFonts w:hint="eastAsia"/>
          <w:color w:val="auto"/>
          <w:szCs w:val="21"/>
          <w:highlight w:val="none"/>
          <w:u w:val="single"/>
        </w:rPr>
        <w:t>以下可能发生的费用，已包含在合同价内，不再另行计取</w:t>
      </w:r>
      <w:r>
        <w:rPr>
          <w:color w:val="auto"/>
          <w:szCs w:val="21"/>
          <w:highlight w:val="none"/>
          <w:u w:val="single"/>
        </w:rPr>
        <w:t>：</w:t>
      </w:r>
    </w:p>
    <w:p w14:paraId="169B06CF">
      <w:pPr>
        <w:spacing w:line="400" w:lineRule="exact"/>
        <w:ind w:firstLine="420" w:firstLineChars="200"/>
        <w:rPr>
          <w:color w:val="auto"/>
          <w:szCs w:val="21"/>
          <w:highlight w:val="none"/>
          <w:u w:val="single"/>
        </w:rPr>
      </w:pPr>
      <w:r>
        <w:rPr>
          <w:color w:val="auto"/>
          <w:szCs w:val="21"/>
          <w:highlight w:val="none"/>
          <w:u w:val="single"/>
        </w:rPr>
        <w:t>a.</w:t>
      </w:r>
      <w:r>
        <w:rPr>
          <w:rFonts w:hint="eastAsia"/>
          <w:color w:val="auto"/>
          <w:szCs w:val="21"/>
          <w:highlight w:val="none"/>
          <w:u w:val="single"/>
        </w:rPr>
        <w:t>自备发电机、储水设施费用：包括由于停电、停水及施工用水加压而增加的费用。</w:t>
      </w:r>
    </w:p>
    <w:p w14:paraId="73C650D3">
      <w:pPr>
        <w:spacing w:line="400" w:lineRule="exact"/>
        <w:ind w:firstLine="420" w:firstLineChars="200"/>
        <w:rPr>
          <w:rFonts w:hint="eastAsia"/>
          <w:color w:val="auto"/>
          <w:szCs w:val="21"/>
          <w:highlight w:val="none"/>
          <w:u w:val="single"/>
        </w:rPr>
      </w:pPr>
      <w:r>
        <w:rPr>
          <w:rFonts w:hint="eastAsia"/>
          <w:color w:val="auto"/>
          <w:szCs w:val="21"/>
          <w:highlight w:val="none"/>
          <w:u w:val="single"/>
        </w:rPr>
        <w:t>b.</w:t>
      </w:r>
      <w:r>
        <w:rPr>
          <w:color w:val="auto"/>
          <w:szCs w:val="21"/>
          <w:highlight w:val="none"/>
          <w:u w:val="single"/>
        </w:rPr>
        <w:t>因施工噪音、物体坠落、材料抛散而扰民及影响环境卫生、交通城管、现场文明和施工安全等问题而产生的费用，由承包人自行解决。因此而造成的工期延长由承包人负责。如给发包人另行造成额外的经济损失，发包人可从承包人的工程款中扣回。</w:t>
      </w:r>
    </w:p>
    <w:p w14:paraId="3BDB15CD">
      <w:pPr>
        <w:spacing w:line="400" w:lineRule="exact"/>
        <w:ind w:firstLine="420" w:firstLineChars="200"/>
        <w:rPr>
          <w:color w:val="auto"/>
          <w:szCs w:val="21"/>
          <w:highlight w:val="none"/>
          <w:u w:val="single"/>
        </w:rPr>
      </w:pPr>
      <w:r>
        <w:rPr>
          <w:rFonts w:hint="eastAsia"/>
          <w:color w:val="auto"/>
          <w:szCs w:val="21"/>
          <w:highlight w:val="none"/>
          <w:u w:val="single"/>
        </w:rPr>
        <w:t>c</w:t>
      </w:r>
      <w:r>
        <w:rPr>
          <w:color w:val="auto"/>
          <w:szCs w:val="21"/>
          <w:highlight w:val="none"/>
          <w:u w:val="single"/>
        </w:rPr>
        <w:t>.实际施工中可能发生街道管理费、干扰费、环保费、占道押金等其它管理费。</w:t>
      </w:r>
    </w:p>
    <w:p w14:paraId="21A702FC">
      <w:pPr>
        <w:spacing w:line="400" w:lineRule="exact"/>
        <w:ind w:firstLine="420" w:firstLineChars="200"/>
        <w:rPr>
          <w:rFonts w:hint="eastAsia"/>
          <w:color w:val="auto"/>
          <w:szCs w:val="21"/>
          <w:highlight w:val="none"/>
          <w:u w:val="single"/>
        </w:rPr>
      </w:pPr>
      <w:r>
        <w:rPr>
          <w:color w:val="auto"/>
          <w:szCs w:val="21"/>
          <w:highlight w:val="none"/>
          <w:u w:val="single"/>
        </w:rPr>
        <w:t>d</w:t>
      </w:r>
      <w:r>
        <w:rPr>
          <w:rFonts w:hint="eastAsia"/>
          <w:color w:val="auto"/>
          <w:szCs w:val="21"/>
          <w:highlight w:val="none"/>
          <w:u w:val="single"/>
        </w:rPr>
        <w:t>.</w:t>
      </w:r>
      <w:r>
        <w:rPr>
          <w:color w:val="auto"/>
          <w:szCs w:val="21"/>
          <w:highlight w:val="none"/>
          <w:u w:val="single"/>
        </w:rPr>
        <w:t>土方开挖及外运、处置及泥浆外运、处置按当地有关要求办理，</w:t>
      </w:r>
      <w:r>
        <w:rPr>
          <w:rFonts w:hint="eastAsia"/>
          <w:color w:val="auto"/>
          <w:szCs w:val="21"/>
          <w:highlight w:val="none"/>
          <w:u w:val="single"/>
        </w:rPr>
        <w:t>施工过程中不管运距是否有变化，不再另行计取费用，承包人报价自行考虑</w:t>
      </w:r>
      <w:r>
        <w:rPr>
          <w:color w:val="auto"/>
          <w:szCs w:val="21"/>
          <w:highlight w:val="none"/>
          <w:u w:val="single"/>
        </w:rPr>
        <w:t>。</w:t>
      </w:r>
      <w:r>
        <w:rPr>
          <w:rFonts w:hint="eastAsia"/>
          <w:color w:val="auto"/>
          <w:szCs w:val="21"/>
          <w:highlight w:val="none"/>
          <w:u w:val="single"/>
        </w:rPr>
        <w:t xml:space="preserve"> </w:t>
      </w:r>
    </w:p>
    <w:p w14:paraId="1744C6D6">
      <w:pPr>
        <w:autoSpaceDE w:val="0"/>
        <w:autoSpaceDN w:val="0"/>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e</w:t>
      </w:r>
      <w:r>
        <w:rPr>
          <w:color w:val="auto"/>
          <w:szCs w:val="21"/>
          <w:highlight w:val="none"/>
          <w:u w:val="single"/>
        </w:rPr>
        <w:t>.</w:t>
      </w:r>
      <w:r>
        <w:rPr>
          <w:rFonts w:ascii="宋体" w:hAnsi="宋体"/>
          <w:color w:val="auto"/>
          <w:szCs w:val="21"/>
          <w:highlight w:val="none"/>
          <w:u w:val="single"/>
        </w:rPr>
        <w:t>除合同另有规定外，承包人应在工程完工后竣工验收前，无条件清除施工区和生活区及其附近的施工废弃物，并按监理人批准的环境保护措施计划完成环境恢复。</w:t>
      </w:r>
    </w:p>
    <w:p w14:paraId="187777C7">
      <w:pPr>
        <w:autoSpaceDE w:val="0"/>
        <w:autoSpaceDN w:val="0"/>
        <w:spacing w:line="4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u w:val="single"/>
        </w:rPr>
        <w:t>f</w:t>
      </w:r>
      <w:r>
        <w:rPr>
          <w:rFonts w:ascii="宋体" w:hAnsi="宋体"/>
          <w:color w:val="auto"/>
          <w:szCs w:val="21"/>
          <w:highlight w:val="none"/>
          <w:u w:val="single"/>
        </w:rPr>
        <w:t>.建筑垃圾外运应按当地有关要求办理，如垃圾运至指定地点集中处理等。建筑垃圾外运及场地清理</w:t>
      </w:r>
      <w:r>
        <w:rPr>
          <w:rFonts w:ascii="宋体" w:hAnsi="宋体"/>
          <w:color w:val="auto"/>
          <w:szCs w:val="21"/>
          <w:highlight w:val="none"/>
          <w:u w:val="single"/>
        </w:rPr>
        <w:t>发生的费用已包含在合同价内，不再另行计取。</w:t>
      </w:r>
    </w:p>
    <w:p w14:paraId="369546AF">
      <w:pPr>
        <w:autoSpaceDE w:val="0"/>
        <w:autoSpaceDN w:val="0"/>
        <w:spacing w:line="4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u w:val="single"/>
        </w:rPr>
        <w:t>g.施工中有关报批手续及相关工程报批、测试、验收及检测单位所有检测费用（含竣工验收所需的各类检测费用</w:t>
      </w:r>
      <w:r>
        <w:rPr>
          <w:rFonts w:hint="eastAsia" w:ascii="宋体" w:hAnsi="宋体"/>
          <w:color w:val="auto"/>
          <w:szCs w:val="21"/>
          <w:highlight w:val="none"/>
          <w:u w:val="single"/>
          <w:lang w:eastAsia="zh-CN"/>
        </w:rPr>
        <w:t>，除本合同明确由发包人支付的除外</w:t>
      </w:r>
      <w:r>
        <w:rPr>
          <w:rFonts w:hint="eastAsia" w:ascii="宋体" w:hAnsi="宋体"/>
          <w:color w:val="auto"/>
          <w:szCs w:val="21"/>
          <w:highlight w:val="none"/>
          <w:u w:val="single"/>
        </w:rPr>
        <w:t>）由承包人支付。检测单位由发包人指定，由此引起的费用承包人应在报价中综合考虑。</w:t>
      </w:r>
    </w:p>
    <w:p w14:paraId="0D2818F8">
      <w:pPr>
        <w:autoSpaceDE w:val="0"/>
        <w:autoSpaceDN w:val="0"/>
        <w:spacing w:line="4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u w:val="single"/>
        </w:rPr>
        <w:t>h.项目竣工验收备案相关费用（包括资料费等）由承包人在投标报价时综合考虑，不再另行计取。</w:t>
      </w:r>
    </w:p>
    <w:p w14:paraId="6F6ADE17">
      <w:pPr>
        <w:spacing w:line="48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u w:val="single"/>
          <w:lang w:val="en-US" w:eastAsia="zh-CN"/>
        </w:rPr>
        <w:t>i.</w:t>
      </w:r>
      <w:r>
        <w:rPr>
          <w:color w:val="auto"/>
          <w:szCs w:val="21"/>
          <w:highlight w:val="none"/>
          <w:u w:val="single"/>
        </w:rPr>
        <w:t>.</w:t>
      </w:r>
      <w:r>
        <w:rPr>
          <w:rFonts w:hint="eastAsia" w:ascii="宋体" w:hAnsi="宋体"/>
          <w:color w:val="auto"/>
          <w:szCs w:val="21"/>
          <w:highlight w:val="none"/>
          <w:u w:val="single"/>
        </w:rPr>
        <w:t>本工程项目报价要求承包人根据施工图纸、工程内容综合报价，对于没有在工程量清单中列出的工序内容，各承包人在投标报价时根据施工规范要求在相应子目中综合考虑，不再另行计取。</w:t>
      </w:r>
    </w:p>
    <w:p w14:paraId="20AC1259">
      <w:pPr>
        <w:spacing w:line="480" w:lineRule="exact"/>
        <w:ind w:firstLine="422" w:firstLineChars="200"/>
        <w:rPr>
          <w:rFonts w:ascii="Times New Roman" w:hAnsi="Times New Roman"/>
          <w:b/>
          <w:bCs/>
          <w:color w:val="auto"/>
          <w:szCs w:val="21"/>
          <w:highlight w:val="none"/>
          <w:u w:val="single"/>
          <w:lang w:val="zh-CN"/>
        </w:rPr>
      </w:pPr>
      <w:r>
        <w:rPr>
          <w:rFonts w:hint="eastAsia" w:ascii="Times New Roman" w:hAnsi="Times New Roman"/>
          <w:b/>
          <w:bCs/>
          <w:color w:val="auto"/>
          <w:szCs w:val="21"/>
          <w:highlight w:val="none"/>
          <w:u w:val="single"/>
          <w:lang w:val="en-US" w:eastAsia="zh-CN"/>
        </w:rPr>
        <w:t>j</w:t>
      </w:r>
      <w:r>
        <w:rPr>
          <w:rFonts w:ascii="Times New Roman" w:hAnsi="Times New Roman"/>
          <w:b/>
          <w:bCs/>
          <w:color w:val="auto"/>
          <w:szCs w:val="21"/>
          <w:highlight w:val="none"/>
          <w:u w:val="single"/>
        </w:rPr>
        <w:t>.</w:t>
      </w:r>
      <w:r>
        <w:rPr>
          <w:rFonts w:ascii="Times New Roman" w:hAnsi="Times New Roman"/>
          <w:b/>
          <w:bCs/>
          <w:color w:val="auto"/>
          <w:szCs w:val="21"/>
          <w:highlight w:val="none"/>
          <w:u w:val="single"/>
          <w:lang w:val="zh-CN"/>
        </w:rPr>
        <w:t>意向苗圃确定后，苗木需经业主、监理现场确认后才可采购。</w:t>
      </w:r>
    </w:p>
    <w:p w14:paraId="2EDDD916">
      <w:pPr>
        <w:spacing w:line="480" w:lineRule="exact"/>
        <w:ind w:firstLine="422" w:firstLineChars="200"/>
        <w:rPr>
          <w:rFonts w:ascii="Times New Roman" w:hAnsi="Times New Roman"/>
          <w:b/>
          <w:bCs/>
          <w:color w:val="auto"/>
          <w:szCs w:val="21"/>
          <w:highlight w:val="none"/>
          <w:u w:val="single"/>
          <w:lang w:val="zh-CN"/>
        </w:rPr>
      </w:pPr>
      <w:r>
        <w:rPr>
          <w:rFonts w:hint="eastAsia" w:ascii="Times New Roman" w:hAnsi="Times New Roman"/>
          <w:b/>
          <w:bCs/>
          <w:color w:val="auto"/>
          <w:szCs w:val="21"/>
          <w:highlight w:val="none"/>
          <w:u w:val="single"/>
          <w:lang w:val="en-US" w:eastAsia="zh-CN"/>
        </w:rPr>
        <w:t>k</w:t>
      </w:r>
      <w:r>
        <w:rPr>
          <w:rFonts w:ascii="Times New Roman" w:hAnsi="Times New Roman"/>
          <w:b/>
          <w:bCs/>
          <w:color w:val="auto"/>
          <w:szCs w:val="21"/>
          <w:highlight w:val="none"/>
          <w:u w:val="single"/>
          <w:lang w:val="zh-CN"/>
        </w:rPr>
        <w:t>. 预算审核书中的苗木规格应为修剪后的苗木规格，所有苗木不得采用杀头苗。</w:t>
      </w:r>
    </w:p>
    <w:p w14:paraId="43025727">
      <w:pPr>
        <w:spacing w:line="480" w:lineRule="exact"/>
        <w:ind w:firstLine="422" w:firstLineChars="200"/>
        <w:rPr>
          <w:rFonts w:ascii="Times New Roman" w:hAnsi="Times New Roman"/>
          <w:b/>
          <w:bCs/>
          <w:color w:val="auto"/>
          <w:szCs w:val="21"/>
          <w:highlight w:val="none"/>
          <w:u w:val="single"/>
          <w:lang w:val="zh-CN"/>
        </w:rPr>
      </w:pPr>
      <w:r>
        <w:rPr>
          <w:rFonts w:hint="eastAsia" w:ascii="Times New Roman" w:hAnsi="Times New Roman"/>
          <w:b/>
          <w:bCs/>
          <w:color w:val="auto"/>
          <w:szCs w:val="21"/>
          <w:highlight w:val="none"/>
          <w:u w:val="single"/>
          <w:lang w:val="en-US" w:eastAsia="zh-CN"/>
        </w:rPr>
        <w:t>l</w:t>
      </w:r>
      <w:r>
        <w:rPr>
          <w:rFonts w:ascii="Times New Roman" w:hAnsi="Times New Roman"/>
          <w:b/>
          <w:bCs/>
          <w:color w:val="auto"/>
          <w:szCs w:val="21"/>
          <w:highlight w:val="none"/>
          <w:u w:val="single"/>
          <w:lang w:val="zh-CN"/>
        </w:rPr>
        <w:t>. 绿化种植苗木损耗已包含在合同价内，不再另行计取。</w:t>
      </w:r>
    </w:p>
    <w:p w14:paraId="35DDB9D3">
      <w:pPr>
        <w:spacing w:line="480" w:lineRule="exact"/>
        <w:ind w:firstLine="422" w:firstLineChars="200"/>
        <w:rPr>
          <w:rFonts w:hint="eastAsia" w:ascii="Times New Roman" w:hAnsi="Times New Roman"/>
          <w:b/>
          <w:bCs/>
          <w:color w:val="auto"/>
          <w:szCs w:val="21"/>
          <w:highlight w:val="none"/>
          <w:u w:val="single"/>
        </w:rPr>
      </w:pPr>
      <w:r>
        <w:rPr>
          <w:rFonts w:hint="eastAsia" w:ascii="Times New Roman" w:hAnsi="Times New Roman"/>
          <w:b/>
          <w:bCs/>
          <w:color w:val="auto"/>
          <w:szCs w:val="21"/>
          <w:highlight w:val="none"/>
          <w:u w:val="single"/>
          <w:lang w:val="en-US" w:eastAsia="zh-CN"/>
        </w:rPr>
        <w:t>m</w:t>
      </w:r>
      <w:r>
        <w:rPr>
          <w:rFonts w:ascii="Times New Roman" w:hAnsi="Times New Roman"/>
          <w:b/>
          <w:bCs/>
          <w:color w:val="auto"/>
          <w:szCs w:val="21"/>
          <w:highlight w:val="none"/>
          <w:u w:val="single"/>
        </w:rPr>
        <w:t>.养护期内死亡的花草苗木由承包方及时免费补种（补种的花草苗木按发包人要求的标准，并经发包人认可），补种的花草苗木尚需负责养护。承包人在养护期间应组织养护队伍进行日常养护，及时除去杂草和修剪、施肥、浇水、有效防治病虫害等，确保绿化效果。</w:t>
      </w:r>
    </w:p>
    <w:p w14:paraId="4373ABA3">
      <w:pPr>
        <w:spacing w:line="480" w:lineRule="exact"/>
        <w:ind w:firstLine="422" w:firstLineChars="200"/>
        <w:rPr>
          <w:rFonts w:hint="eastAsia" w:ascii="Times New Roman" w:hAnsi="Times New Roman"/>
          <w:b/>
          <w:bCs/>
          <w:color w:val="auto"/>
          <w:szCs w:val="21"/>
          <w:highlight w:val="none"/>
          <w:u w:val="single"/>
        </w:rPr>
      </w:pPr>
      <w:r>
        <w:rPr>
          <w:rFonts w:hint="eastAsia" w:ascii="Times New Roman" w:hAnsi="Times New Roman"/>
          <w:b/>
          <w:bCs/>
          <w:color w:val="auto"/>
          <w:szCs w:val="21"/>
          <w:highlight w:val="none"/>
          <w:u w:val="single"/>
          <w:lang w:val="en-US" w:eastAsia="zh-CN"/>
        </w:rPr>
        <w:t>n</w:t>
      </w:r>
      <w:r>
        <w:rPr>
          <w:rFonts w:hint="eastAsia" w:ascii="Times New Roman" w:hAnsi="Times New Roman"/>
          <w:b/>
          <w:bCs/>
          <w:color w:val="auto"/>
          <w:szCs w:val="21"/>
          <w:highlight w:val="none"/>
          <w:u w:val="single"/>
        </w:rPr>
        <w:t>.现状苗木清理按项包干，包含现状大乔木的迁移、处置等，由承包人在报价时自行考虑,结算时不做调整。</w:t>
      </w:r>
    </w:p>
    <w:p w14:paraId="251B14F9">
      <w:pPr>
        <w:autoSpaceDE w:val="0"/>
        <w:autoSpaceDN w:val="0"/>
        <w:spacing w:line="4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u w:val="single"/>
        </w:rPr>
        <w:t>以上项目所产生的所有费用由承包人自行测算，在投标报价的综合单价中综合考虑所需要的全部费用，工程结算时，不作调整。</w:t>
      </w:r>
    </w:p>
    <w:p w14:paraId="6D9C77FC">
      <w:pPr>
        <w:spacing w:line="400" w:lineRule="exact"/>
        <w:ind w:firstLine="420" w:firstLineChars="200"/>
        <w:rPr>
          <w:color w:val="auto"/>
          <w:szCs w:val="21"/>
          <w:highlight w:val="none"/>
        </w:rPr>
      </w:pPr>
      <w:r>
        <w:rPr>
          <w:color w:val="auto"/>
          <w:szCs w:val="21"/>
          <w:highlight w:val="none"/>
        </w:rPr>
        <w:t>风险费用的计算方法：</w:t>
      </w:r>
      <w:r>
        <w:rPr>
          <w:color w:val="auto"/>
          <w:szCs w:val="21"/>
          <w:highlight w:val="none"/>
          <w:u w:val="single"/>
        </w:rPr>
        <w:t>已包含在合同价内</w:t>
      </w:r>
      <w:r>
        <w:rPr>
          <w:color w:val="auto"/>
          <w:szCs w:val="21"/>
          <w:highlight w:val="none"/>
        </w:rPr>
        <w:t>。</w:t>
      </w:r>
    </w:p>
    <w:p w14:paraId="591B622D">
      <w:pPr>
        <w:spacing w:line="400" w:lineRule="exact"/>
        <w:ind w:firstLine="420" w:firstLineChars="200"/>
        <w:rPr>
          <w:color w:val="auto"/>
          <w:szCs w:val="21"/>
          <w:highlight w:val="none"/>
        </w:rPr>
      </w:pPr>
      <w:r>
        <w:rPr>
          <w:color w:val="auto"/>
          <w:szCs w:val="21"/>
          <w:highlight w:val="none"/>
        </w:rPr>
        <w:t>风险范围以外合同价格的调整方法：</w:t>
      </w:r>
    </w:p>
    <w:p w14:paraId="2006CA0E">
      <w:pPr>
        <w:spacing w:line="400" w:lineRule="exact"/>
        <w:ind w:firstLine="420" w:firstLineChars="200"/>
        <w:rPr>
          <w:color w:val="auto"/>
          <w:szCs w:val="21"/>
          <w:highlight w:val="none"/>
          <w:u w:val="single"/>
        </w:rPr>
      </w:pPr>
      <w:r>
        <w:rPr>
          <w:color w:val="auto"/>
          <w:szCs w:val="21"/>
          <w:highlight w:val="none"/>
          <w:u w:val="single"/>
        </w:rPr>
        <w:t>（</w:t>
      </w:r>
      <w:r>
        <w:rPr>
          <w:rFonts w:hint="eastAsia"/>
          <w:color w:val="auto"/>
          <w:szCs w:val="21"/>
          <w:highlight w:val="none"/>
          <w:u w:val="single"/>
        </w:rPr>
        <w:t>1</w:t>
      </w:r>
      <w:r>
        <w:rPr>
          <w:color w:val="auto"/>
          <w:szCs w:val="21"/>
          <w:highlight w:val="none"/>
          <w:u w:val="single"/>
        </w:rPr>
        <w:t>）</w:t>
      </w:r>
      <w:r>
        <w:rPr>
          <w:rFonts w:hint="eastAsia"/>
          <w:color w:val="auto"/>
          <w:spacing w:val="20"/>
          <w:szCs w:val="21"/>
          <w:highlight w:val="none"/>
          <w:u w:val="single"/>
        </w:rPr>
        <w:t>工程量按照专用条款12.3.1条规定，</w:t>
      </w:r>
      <w:r>
        <w:rPr>
          <w:color w:val="auto"/>
          <w:szCs w:val="21"/>
          <w:highlight w:val="none"/>
          <w:u w:val="single"/>
        </w:rPr>
        <w:t>由承包人计量</w:t>
      </w:r>
      <w:r>
        <w:rPr>
          <w:rFonts w:hint="eastAsia"/>
          <w:color w:val="auto"/>
          <w:szCs w:val="21"/>
          <w:highlight w:val="none"/>
          <w:u w:val="single"/>
        </w:rPr>
        <w:t>，</w:t>
      </w:r>
      <w:r>
        <w:rPr>
          <w:color w:val="auto"/>
          <w:szCs w:val="21"/>
          <w:highlight w:val="none"/>
          <w:u w:val="single"/>
        </w:rPr>
        <w:t>发包人</w:t>
      </w:r>
      <w:r>
        <w:rPr>
          <w:rFonts w:hint="eastAsia"/>
          <w:color w:val="auto"/>
          <w:szCs w:val="21"/>
          <w:highlight w:val="none"/>
          <w:u w:val="single"/>
        </w:rPr>
        <w:t>及有委托的相</w:t>
      </w:r>
      <w:r>
        <w:rPr>
          <w:rFonts w:hint="eastAsia"/>
          <w:color w:val="auto"/>
          <w:szCs w:val="21"/>
          <w:highlight w:val="none"/>
          <w:u w:val="single"/>
        </w:rPr>
        <w:t>关机构审核；</w:t>
      </w:r>
    </w:p>
    <w:p w14:paraId="5F8FB7B3">
      <w:pPr>
        <w:spacing w:line="400" w:lineRule="exact"/>
        <w:ind w:firstLine="420" w:firstLineChars="200"/>
        <w:rPr>
          <w:color w:val="auto"/>
          <w:szCs w:val="21"/>
          <w:highlight w:val="none"/>
          <w:u w:val="single"/>
          <w:lang w:val="zh-CN"/>
        </w:rPr>
      </w:pPr>
      <w:r>
        <w:rPr>
          <w:color w:val="auto"/>
          <w:szCs w:val="21"/>
          <w:highlight w:val="none"/>
          <w:u w:val="single"/>
        </w:rPr>
        <w:t>（2）</w:t>
      </w:r>
      <w:r>
        <w:rPr>
          <w:rFonts w:ascii="宋体" w:hAnsi="宋体"/>
          <w:color w:val="auto"/>
          <w:szCs w:val="21"/>
          <w:highlight w:val="none"/>
          <w:u w:val="single"/>
        </w:rPr>
        <w:t>市场价格波动引起的调整按本专用合同条款第11.1款的约定调整</w:t>
      </w:r>
      <w:r>
        <w:rPr>
          <w:rFonts w:hint="eastAsia"/>
          <w:color w:val="auto"/>
          <w:szCs w:val="21"/>
          <w:highlight w:val="none"/>
          <w:u w:val="single"/>
        </w:rPr>
        <w:t>；</w:t>
      </w:r>
    </w:p>
    <w:p w14:paraId="42515A7D">
      <w:pPr>
        <w:spacing w:line="400" w:lineRule="exact"/>
        <w:ind w:firstLine="420" w:firstLineChars="200"/>
        <w:rPr>
          <w:color w:val="auto"/>
          <w:szCs w:val="21"/>
          <w:highlight w:val="none"/>
          <w:u w:val="single"/>
          <w:lang w:val="zh-CN"/>
        </w:rPr>
      </w:pPr>
      <w:r>
        <w:rPr>
          <w:rFonts w:ascii="宋体" w:hAnsi="宋体"/>
          <w:color w:val="auto"/>
          <w:szCs w:val="21"/>
          <w:highlight w:val="none"/>
          <w:u w:val="single"/>
        </w:rPr>
        <w:t>（3）</w:t>
      </w:r>
      <w:r>
        <w:rPr>
          <w:rFonts w:hint="eastAsia" w:ascii="宋体" w:hAnsi="宋体"/>
          <w:color w:val="auto"/>
          <w:szCs w:val="21"/>
          <w:highlight w:val="none"/>
          <w:u w:val="single"/>
        </w:rPr>
        <w:t>因发包人提供的工程量清单项目工程数量计算偏差或工程变更引起的工程量增加，综合单价的确定按专用条款10.4.1条执行；</w:t>
      </w:r>
    </w:p>
    <w:p w14:paraId="66FC4B81">
      <w:pPr>
        <w:spacing w:line="400" w:lineRule="exact"/>
        <w:ind w:firstLine="420" w:firstLineChars="200"/>
        <w:rPr>
          <w:color w:val="auto"/>
          <w:szCs w:val="21"/>
          <w:highlight w:val="none"/>
          <w:u w:val="single"/>
        </w:rPr>
      </w:pPr>
      <w:r>
        <w:rPr>
          <w:color w:val="auto"/>
          <w:szCs w:val="21"/>
          <w:highlight w:val="none"/>
          <w:u w:val="single"/>
          <w:lang w:val="zh-CN"/>
        </w:rPr>
        <w:t>（4）</w:t>
      </w:r>
      <w:r>
        <w:rPr>
          <w:rFonts w:hint="eastAsia"/>
          <w:color w:val="auto"/>
          <w:szCs w:val="21"/>
          <w:highlight w:val="none"/>
          <w:u w:val="single"/>
        </w:rPr>
        <w:t>发包人提供的工程量清单项目漏项、错项、工程变更引起的新增项目、工程量清单项目特征局部变更，与已标价工程量清单项目不同或相类似项目，其综合单价的确定方法按专用条款10.4.1条约定调整；</w:t>
      </w:r>
    </w:p>
    <w:p w14:paraId="3BC27FD0">
      <w:pPr>
        <w:spacing w:line="400" w:lineRule="exact"/>
        <w:ind w:firstLine="420" w:firstLineChars="200"/>
        <w:rPr>
          <w:rFonts w:hint="eastAsia"/>
          <w:color w:val="auto"/>
          <w:szCs w:val="21"/>
          <w:highlight w:val="none"/>
          <w:u w:val="single"/>
        </w:rPr>
      </w:pPr>
      <w:r>
        <w:rPr>
          <w:color w:val="auto"/>
          <w:szCs w:val="21"/>
          <w:highlight w:val="none"/>
          <w:u w:val="single"/>
        </w:rPr>
        <w:t>（5）</w:t>
      </w:r>
      <w:r>
        <w:rPr>
          <w:rFonts w:hint="eastAsia"/>
          <w:color w:val="auto"/>
          <w:szCs w:val="21"/>
          <w:highlight w:val="none"/>
          <w:u w:val="single"/>
        </w:rPr>
        <w:t>因非承包人原因的分部分项工程量清单漏项、错项、工程变更及清单工程量增减等，引起措施项目内容、工程数量发生变化，则调整措施项目费用：</w:t>
      </w:r>
    </w:p>
    <w:p w14:paraId="2CD417D4">
      <w:pPr>
        <w:spacing w:line="400" w:lineRule="exact"/>
        <w:ind w:firstLine="420" w:firstLineChars="200"/>
        <w:rPr>
          <w:rFonts w:hint="eastAsia"/>
          <w:color w:val="auto"/>
          <w:szCs w:val="21"/>
          <w:highlight w:val="none"/>
          <w:u w:val="single"/>
        </w:rPr>
      </w:pPr>
      <w:r>
        <w:rPr>
          <w:rFonts w:hint="eastAsia"/>
          <w:color w:val="auto"/>
          <w:szCs w:val="21"/>
          <w:highlight w:val="none"/>
          <w:u w:val="single"/>
        </w:rPr>
        <w:t>a.采用综合单价计价的按专用条款第10.4.1条计算综合单价。</w:t>
      </w:r>
    </w:p>
    <w:p w14:paraId="4B42FBBE">
      <w:pPr>
        <w:spacing w:line="400" w:lineRule="exact"/>
        <w:ind w:firstLine="420" w:firstLineChars="200"/>
        <w:rPr>
          <w:rFonts w:hint="eastAsia"/>
          <w:color w:val="auto"/>
          <w:szCs w:val="21"/>
          <w:highlight w:val="none"/>
          <w:u w:val="single"/>
        </w:rPr>
      </w:pPr>
      <w:r>
        <w:rPr>
          <w:rFonts w:hint="eastAsia"/>
          <w:color w:val="auto"/>
          <w:szCs w:val="21"/>
          <w:highlight w:val="none"/>
          <w:u w:val="single"/>
        </w:rPr>
        <w:t>b.计量单位采用以“项”计价的措施项目，工程量清单项目及工程数量变化引起措施变动部分重新组价。</w:t>
      </w:r>
    </w:p>
    <w:p w14:paraId="61B3284F">
      <w:pPr>
        <w:spacing w:line="400" w:lineRule="exact"/>
        <w:ind w:firstLine="420" w:firstLineChars="200"/>
        <w:rPr>
          <w:rFonts w:hint="eastAsia"/>
          <w:color w:val="auto"/>
          <w:szCs w:val="21"/>
          <w:highlight w:val="none"/>
          <w:u w:val="single"/>
        </w:rPr>
      </w:pPr>
      <w:r>
        <w:rPr>
          <w:rFonts w:hint="eastAsia"/>
          <w:color w:val="auto"/>
          <w:szCs w:val="21"/>
          <w:highlight w:val="none"/>
          <w:u w:val="single"/>
        </w:rPr>
        <w:t>c.施工组织措施项目，按合同约定费率内容，调整措施费用计算基数。</w:t>
      </w:r>
    </w:p>
    <w:p w14:paraId="36B9B0D5">
      <w:pPr>
        <w:spacing w:line="400" w:lineRule="exact"/>
        <w:ind w:firstLine="420" w:firstLineChars="200"/>
        <w:rPr>
          <w:rFonts w:hint="eastAsia"/>
          <w:color w:val="auto"/>
          <w:szCs w:val="21"/>
          <w:highlight w:val="none"/>
          <w:u w:val="single"/>
        </w:rPr>
      </w:pPr>
      <w:r>
        <w:rPr>
          <w:color w:val="auto"/>
          <w:szCs w:val="21"/>
          <w:highlight w:val="none"/>
          <w:u w:val="single"/>
        </w:rPr>
        <w:t>（6）</w:t>
      </w:r>
      <w:r>
        <w:rPr>
          <w:rFonts w:hint="eastAsia"/>
          <w:color w:val="auto"/>
          <w:szCs w:val="21"/>
          <w:highlight w:val="none"/>
          <w:u w:val="single"/>
        </w:rPr>
        <w:t>未在投标价中包含的专项施工方案（注：主要指超过一定规模的危险性较大的分部分项工程）的施工及论证费用，根据施工现场实际参照合同专用条款10.4.1款约定方法确定或签证。</w:t>
      </w:r>
    </w:p>
    <w:p w14:paraId="169E3473">
      <w:pPr>
        <w:pStyle w:val="5"/>
        <w:spacing w:line="480" w:lineRule="exact"/>
        <w:ind w:firstLine="482"/>
        <w:rPr>
          <w:rFonts w:hint="eastAsia"/>
          <w:color w:val="auto"/>
          <w:szCs w:val="21"/>
          <w:highlight w:val="none"/>
          <w:u w:val="single"/>
        </w:rPr>
      </w:pPr>
      <w:r>
        <w:rPr>
          <w:b/>
          <w:color w:val="auto"/>
          <w:szCs w:val="21"/>
          <w:highlight w:val="none"/>
          <w:u w:val="single"/>
        </w:rPr>
        <w:t>（</w:t>
      </w:r>
      <w:r>
        <w:rPr>
          <w:rFonts w:hint="eastAsia"/>
          <w:b/>
          <w:color w:val="auto"/>
          <w:szCs w:val="21"/>
          <w:highlight w:val="none"/>
          <w:u w:val="single"/>
          <w:lang w:val="en-US" w:eastAsia="zh-CN"/>
        </w:rPr>
        <w:t>7</w:t>
      </w:r>
      <w:r>
        <w:rPr>
          <w:b/>
          <w:color w:val="auto"/>
          <w:szCs w:val="21"/>
          <w:highlight w:val="none"/>
          <w:u w:val="single"/>
        </w:rPr>
        <w:t>）投标人使用招标文件中推荐品牌材料以外的其他相当于推荐品牌产品时必须在采购前一个月内征得发包人同意，否则由投标人自行承担不计价等相应后果。</w:t>
      </w:r>
    </w:p>
    <w:p w14:paraId="57ACABFE">
      <w:pPr>
        <w:spacing w:line="400" w:lineRule="exact"/>
        <w:ind w:firstLine="420" w:firstLineChars="200"/>
        <w:rPr>
          <w:rFonts w:hint="eastAsia"/>
          <w:color w:val="auto"/>
          <w:szCs w:val="21"/>
          <w:highlight w:val="none"/>
          <w:u w:val="single"/>
        </w:rPr>
      </w:pPr>
      <w:r>
        <w:rPr>
          <w:rFonts w:hint="eastAsia"/>
          <w:color w:val="auto"/>
          <w:szCs w:val="21"/>
          <w:highlight w:val="none"/>
        </w:rPr>
        <w:t>2</w:t>
      </w:r>
      <w:r>
        <w:rPr>
          <w:color w:val="auto"/>
          <w:szCs w:val="21"/>
          <w:highlight w:val="none"/>
        </w:rPr>
        <w:t>．</w:t>
      </w:r>
      <w:r>
        <w:rPr>
          <w:rFonts w:hint="eastAsia"/>
          <w:color w:val="auto"/>
          <w:szCs w:val="21"/>
          <w:highlight w:val="none"/>
        </w:rPr>
        <w:t>总价合同。</w:t>
      </w:r>
    </w:p>
    <w:p w14:paraId="32F610D6">
      <w:pPr>
        <w:spacing w:line="400" w:lineRule="exact"/>
        <w:ind w:firstLine="420" w:firstLineChars="200"/>
        <w:rPr>
          <w:rFonts w:hint="eastAsia"/>
          <w:color w:val="auto"/>
          <w:szCs w:val="21"/>
          <w:highlight w:val="none"/>
          <w:u w:val="single"/>
        </w:rPr>
      </w:pPr>
      <w:r>
        <w:rPr>
          <w:rFonts w:hint="eastAsia"/>
          <w:color w:val="auto"/>
          <w:szCs w:val="21"/>
          <w:highlight w:val="none"/>
        </w:rPr>
        <w:t>总价包含的风险范围：</w:t>
      </w:r>
      <w:r>
        <w:rPr>
          <w:rFonts w:hint="eastAsia"/>
          <w:color w:val="auto"/>
          <w:szCs w:val="21"/>
          <w:highlight w:val="none"/>
          <w:u w:val="single"/>
        </w:rPr>
        <w:t xml:space="preserve">         /         </w:t>
      </w:r>
      <w:r>
        <w:rPr>
          <w:rFonts w:hint="eastAsia"/>
          <w:color w:val="auto"/>
          <w:szCs w:val="21"/>
          <w:highlight w:val="none"/>
        </w:rPr>
        <w:t>。</w:t>
      </w:r>
    </w:p>
    <w:p w14:paraId="2FB5753A">
      <w:pPr>
        <w:spacing w:line="400" w:lineRule="exact"/>
        <w:ind w:firstLine="420" w:firstLineChars="200"/>
        <w:rPr>
          <w:rFonts w:hint="eastAsia"/>
          <w:color w:val="auto"/>
          <w:szCs w:val="21"/>
          <w:highlight w:val="none"/>
          <w:u w:val="single"/>
        </w:rPr>
      </w:pPr>
      <w:r>
        <w:rPr>
          <w:rFonts w:hint="eastAsia"/>
          <w:color w:val="auto"/>
          <w:szCs w:val="21"/>
          <w:highlight w:val="none"/>
        </w:rPr>
        <w:t>风险费用的计算方法：</w:t>
      </w:r>
      <w:r>
        <w:rPr>
          <w:rFonts w:hint="eastAsia"/>
          <w:color w:val="auto"/>
          <w:szCs w:val="21"/>
          <w:highlight w:val="none"/>
          <w:u w:val="single"/>
        </w:rPr>
        <w:t xml:space="preserve">        /          </w:t>
      </w:r>
      <w:r>
        <w:rPr>
          <w:rFonts w:hint="eastAsia"/>
          <w:color w:val="auto"/>
          <w:szCs w:val="21"/>
          <w:highlight w:val="none"/>
        </w:rPr>
        <w:t>。</w:t>
      </w:r>
    </w:p>
    <w:p w14:paraId="370AC46A">
      <w:pPr>
        <w:spacing w:line="400" w:lineRule="exact"/>
        <w:ind w:firstLine="420" w:firstLineChars="200"/>
        <w:rPr>
          <w:rFonts w:hint="eastAsia"/>
          <w:color w:val="auto"/>
          <w:szCs w:val="21"/>
          <w:highlight w:val="none"/>
          <w:u w:val="single"/>
        </w:rPr>
      </w:pPr>
      <w:r>
        <w:rPr>
          <w:rFonts w:hint="eastAsia"/>
          <w:color w:val="auto"/>
          <w:szCs w:val="21"/>
          <w:highlight w:val="none"/>
        </w:rPr>
        <w:t>风险范围以外合同价格的调整方法：</w:t>
      </w:r>
      <w:r>
        <w:rPr>
          <w:rFonts w:hint="eastAsia"/>
          <w:color w:val="auto"/>
          <w:szCs w:val="21"/>
          <w:highlight w:val="none"/>
          <w:u w:val="single"/>
        </w:rPr>
        <w:t xml:space="preserve">         /        </w:t>
      </w:r>
      <w:r>
        <w:rPr>
          <w:rFonts w:hint="eastAsia"/>
          <w:color w:val="auto"/>
          <w:szCs w:val="21"/>
          <w:highlight w:val="none"/>
        </w:rPr>
        <w:t>。</w:t>
      </w:r>
    </w:p>
    <w:p w14:paraId="401BE335">
      <w:pPr>
        <w:spacing w:line="400" w:lineRule="exact"/>
        <w:ind w:firstLine="420" w:firstLineChars="200"/>
        <w:rPr>
          <w:rFonts w:hint="eastAsia"/>
          <w:color w:val="auto"/>
          <w:szCs w:val="21"/>
          <w:highlight w:val="none"/>
          <w:u w:val="single"/>
        </w:rPr>
      </w:pPr>
      <w:r>
        <w:rPr>
          <w:rFonts w:hint="eastAsia"/>
          <w:color w:val="auto"/>
          <w:szCs w:val="21"/>
          <w:highlight w:val="none"/>
        </w:rPr>
        <w:t>3．其他价格方式：</w:t>
      </w:r>
      <w:r>
        <w:rPr>
          <w:rFonts w:hint="eastAsia"/>
          <w:color w:val="auto"/>
          <w:szCs w:val="21"/>
          <w:highlight w:val="none"/>
          <w:u w:val="single"/>
        </w:rPr>
        <w:t xml:space="preserve">                  </w:t>
      </w:r>
      <w:r>
        <w:rPr>
          <w:color w:val="auto"/>
          <w:szCs w:val="21"/>
          <w:highlight w:val="none"/>
          <w:u w:val="single"/>
        </w:rPr>
        <w:t>/</w:t>
      </w:r>
      <w:r>
        <w:rPr>
          <w:rFonts w:hint="eastAsia"/>
          <w:color w:val="auto"/>
          <w:szCs w:val="21"/>
          <w:highlight w:val="none"/>
          <w:u w:val="single"/>
        </w:rPr>
        <w:t xml:space="preserve">                 </w:t>
      </w:r>
      <w:r>
        <w:rPr>
          <w:rFonts w:hint="eastAsia"/>
          <w:color w:val="auto"/>
          <w:szCs w:val="21"/>
          <w:highlight w:val="none"/>
        </w:rPr>
        <w:t>。</w:t>
      </w:r>
    </w:p>
    <w:p w14:paraId="45D34F7C">
      <w:pPr>
        <w:spacing w:line="400" w:lineRule="exact"/>
        <w:ind w:firstLine="420" w:firstLineChars="200"/>
        <w:rPr>
          <w:color w:val="auto"/>
          <w:szCs w:val="21"/>
          <w:highlight w:val="none"/>
        </w:rPr>
      </w:pPr>
      <w:r>
        <w:rPr>
          <w:color w:val="auto"/>
          <w:szCs w:val="21"/>
          <w:highlight w:val="none"/>
        </w:rPr>
        <w:t>12.2 预付款</w:t>
      </w:r>
    </w:p>
    <w:p w14:paraId="37A9E02F">
      <w:pPr>
        <w:spacing w:line="400" w:lineRule="exact"/>
        <w:ind w:firstLine="420" w:firstLineChars="200"/>
        <w:rPr>
          <w:color w:val="auto"/>
          <w:szCs w:val="21"/>
          <w:highlight w:val="none"/>
        </w:rPr>
      </w:pPr>
      <w:r>
        <w:rPr>
          <w:color w:val="auto"/>
          <w:szCs w:val="21"/>
          <w:highlight w:val="none"/>
        </w:rPr>
        <w:t>12.2.1 预付款的支付</w:t>
      </w:r>
    </w:p>
    <w:p w14:paraId="358D628B">
      <w:pPr>
        <w:spacing w:line="400" w:lineRule="exact"/>
        <w:ind w:firstLine="420" w:firstLineChars="200"/>
        <w:rPr>
          <w:rFonts w:hint="eastAsia"/>
          <w:color w:val="auto"/>
          <w:szCs w:val="21"/>
          <w:highlight w:val="none"/>
          <w:u w:val="single"/>
        </w:rPr>
      </w:pPr>
      <w:r>
        <w:rPr>
          <w:rFonts w:hint="eastAsia"/>
          <w:color w:val="auto"/>
          <w:szCs w:val="21"/>
          <w:highlight w:val="none"/>
        </w:rPr>
        <w:t>预付款支付比例或</w:t>
      </w:r>
      <w:r>
        <w:rPr>
          <w:rFonts w:hint="eastAsia"/>
          <w:color w:val="auto"/>
          <w:szCs w:val="21"/>
          <w:highlight w:val="none"/>
        </w:rPr>
        <w:t>金额：</w:t>
      </w:r>
      <w:r>
        <w:rPr>
          <w:rFonts w:hint="eastAsia"/>
          <w:color w:val="auto"/>
          <w:szCs w:val="21"/>
          <w:highlight w:val="none"/>
          <w:u w:val="single"/>
        </w:rPr>
        <w:t xml:space="preserve">签约合同价的 </w:t>
      </w:r>
      <w:r>
        <w:rPr>
          <w:rFonts w:hint="eastAsia"/>
          <w:color w:val="auto"/>
          <w:szCs w:val="21"/>
          <w:highlight w:val="none"/>
          <w:u w:val="single"/>
          <w:lang w:val="en-US" w:eastAsia="zh-CN"/>
        </w:rPr>
        <w:t>10</w:t>
      </w:r>
      <w:r>
        <w:rPr>
          <w:rFonts w:hint="eastAsia"/>
          <w:color w:val="auto"/>
          <w:szCs w:val="21"/>
          <w:highlight w:val="none"/>
          <w:u w:val="single"/>
        </w:rPr>
        <w:t>%</w:t>
      </w:r>
      <w:r>
        <w:rPr>
          <w:rFonts w:hint="eastAsia"/>
          <w:color w:val="auto"/>
          <w:szCs w:val="21"/>
          <w:highlight w:val="none"/>
          <w:u w:val="single"/>
        </w:rPr>
        <w:t>，包含专用条款 6.1.6 条所列的安全文明施工费，其余作为备料款。</w:t>
      </w:r>
    </w:p>
    <w:p w14:paraId="08D787B4">
      <w:pPr>
        <w:spacing w:line="400" w:lineRule="exact"/>
        <w:ind w:firstLine="420" w:firstLineChars="200"/>
        <w:rPr>
          <w:color w:val="auto"/>
          <w:szCs w:val="21"/>
          <w:highlight w:val="none"/>
          <w:u w:val="single"/>
        </w:rPr>
      </w:pPr>
      <w:r>
        <w:rPr>
          <w:rFonts w:hint="eastAsia"/>
          <w:color w:val="auto"/>
          <w:szCs w:val="21"/>
          <w:highlight w:val="none"/>
        </w:rPr>
        <w:t>预付款支付期限：</w:t>
      </w:r>
      <w:r>
        <w:rPr>
          <w:rFonts w:hint="eastAsia"/>
          <w:color w:val="auto"/>
          <w:szCs w:val="21"/>
          <w:highlight w:val="none"/>
          <w:u w:val="single"/>
        </w:rPr>
        <w:t xml:space="preserve"> 开工通知载明的开工日期 7 天前支付。</w:t>
      </w:r>
    </w:p>
    <w:p w14:paraId="17DBA129">
      <w:pPr>
        <w:spacing w:line="360" w:lineRule="exact"/>
        <w:ind w:firstLine="420" w:firstLineChars="200"/>
        <w:rPr>
          <w:rFonts w:hint="eastAsia"/>
          <w:color w:val="auto"/>
          <w:szCs w:val="21"/>
          <w:highlight w:val="none"/>
          <w:u w:val="single"/>
          <w:lang w:eastAsia="zh-CN"/>
        </w:rPr>
      </w:pPr>
      <w:r>
        <w:rPr>
          <w:rFonts w:hint="eastAsia"/>
          <w:color w:val="auto"/>
          <w:szCs w:val="21"/>
          <w:highlight w:val="none"/>
        </w:rPr>
        <w:t>预付款扣回的方式：</w:t>
      </w:r>
      <w:r>
        <w:rPr>
          <w:rFonts w:hint="eastAsia" w:ascii="宋体" w:hAnsi="宋体" w:cs="宋体"/>
          <w:color w:val="auto"/>
          <w:szCs w:val="21"/>
          <w:highlight w:val="none"/>
          <w:u w:val="single"/>
        </w:rPr>
        <w:t>不扣回。作为工程款，抵扣每期完成工程量价款的</w:t>
      </w:r>
      <w:r>
        <w:rPr>
          <w:rFonts w:hint="eastAsia" w:ascii="宋体" w:hAnsi="宋体" w:cs="宋体"/>
          <w:color w:val="auto"/>
          <w:szCs w:val="21"/>
          <w:highlight w:val="none"/>
          <w:u w:val="single"/>
          <w:lang w:val="en-US" w:eastAsia="zh-CN"/>
        </w:rPr>
        <w:t>10</w:t>
      </w:r>
      <w:r>
        <w:rPr>
          <w:rFonts w:hint="eastAsia" w:ascii="宋体" w:hAnsi="宋体" w:cs="宋体"/>
          <w:color w:val="auto"/>
          <w:szCs w:val="21"/>
          <w:highlight w:val="none"/>
          <w:u w:val="single"/>
        </w:rPr>
        <w:t>%，待竣工验收合格，计量价款付至合同价的90%前全部抵扣完。</w:t>
      </w:r>
    </w:p>
    <w:p w14:paraId="59C24EE3">
      <w:pPr>
        <w:spacing w:line="400" w:lineRule="exact"/>
        <w:ind w:firstLine="420" w:firstLineChars="200"/>
        <w:rPr>
          <w:rFonts w:hint="eastAsia"/>
          <w:color w:val="auto"/>
          <w:szCs w:val="21"/>
          <w:highlight w:val="none"/>
        </w:rPr>
      </w:pPr>
      <w:r>
        <w:rPr>
          <w:rFonts w:hint="eastAsia"/>
          <w:color w:val="auto"/>
          <w:szCs w:val="21"/>
          <w:highlight w:val="none"/>
        </w:rPr>
        <w:t>12.2.2 预付款担保</w:t>
      </w:r>
    </w:p>
    <w:p w14:paraId="6A25ABAB">
      <w:pPr>
        <w:spacing w:line="400" w:lineRule="exact"/>
        <w:ind w:firstLine="420" w:firstLineChars="200"/>
        <w:rPr>
          <w:rFonts w:hint="eastAsia"/>
          <w:color w:val="auto"/>
          <w:szCs w:val="21"/>
          <w:highlight w:val="none"/>
          <w:u w:val="single"/>
        </w:rPr>
      </w:pPr>
      <w:r>
        <w:rPr>
          <w:rFonts w:hint="eastAsia"/>
          <w:color w:val="auto"/>
          <w:szCs w:val="21"/>
          <w:highlight w:val="none"/>
        </w:rPr>
        <w:t>承包人提交预付款担保的期限：</w:t>
      </w:r>
      <w:r>
        <w:rPr>
          <w:rFonts w:hint="eastAsia"/>
          <w:color w:val="auto"/>
          <w:szCs w:val="21"/>
          <w:highlight w:val="none"/>
          <w:u w:val="single"/>
        </w:rPr>
        <w:t>在发包人向承包人支付预付款48小时前，承包人须向发包人提交等额的预付款保函。</w:t>
      </w:r>
    </w:p>
    <w:p w14:paraId="11A1375D">
      <w:pPr>
        <w:spacing w:line="400" w:lineRule="exact"/>
        <w:ind w:firstLine="420" w:firstLineChars="200"/>
        <w:rPr>
          <w:rFonts w:hint="eastAsia"/>
          <w:color w:val="auto"/>
          <w:szCs w:val="21"/>
          <w:highlight w:val="none"/>
          <w:u w:val="single"/>
        </w:rPr>
      </w:pPr>
      <w:r>
        <w:rPr>
          <w:rFonts w:hint="eastAsia"/>
          <w:color w:val="auto"/>
          <w:szCs w:val="21"/>
          <w:highlight w:val="none"/>
        </w:rPr>
        <w:t>预付款担保的形式为：</w:t>
      </w:r>
      <w:r>
        <w:rPr>
          <w:rFonts w:hint="eastAsia"/>
          <w:color w:val="auto"/>
          <w:szCs w:val="21"/>
          <w:highlight w:val="none"/>
          <w:u w:val="single"/>
        </w:rPr>
        <w:t>预付款保函采用银行保函、保险机构保证保险保单。</w:t>
      </w:r>
    </w:p>
    <w:p w14:paraId="690C93C4">
      <w:pPr>
        <w:spacing w:line="400" w:lineRule="exact"/>
        <w:ind w:firstLine="420" w:firstLineChars="200"/>
        <w:rPr>
          <w:color w:val="auto"/>
          <w:szCs w:val="21"/>
          <w:highlight w:val="none"/>
        </w:rPr>
      </w:pPr>
      <w:r>
        <w:rPr>
          <w:color w:val="auto"/>
          <w:szCs w:val="21"/>
          <w:highlight w:val="none"/>
        </w:rPr>
        <w:t>12.3 计量</w:t>
      </w:r>
    </w:p>
    <w:p w14:paraId="568AC929">
      <w:pPr>
        <w:spacing w:line="400" w:lineRule="exact"/>
        <w:ind w:firstLine="420" w:firstLineChars="200"/>
        <w:rPr>
          <w:color w:val="auto"/>
          <w:szCs w:val="21"/>
          <w:highlight w:val="none"/>
        </w:rPr>
      </w:pPr>
      <w:r>
        <w:rPr>
          <w:color w:val="auto"/>
          <w:szCs w:val="21"/>
          <w:highlight w:val="none"/>
        </w:rPr>
        <w:t>12.3.1 计量原则</w:t>
      </w:r>
    </w:p>
    <w:p w14:paraId="53AF2FAE">
      <w:pPr>
        <w:spacing w:line="440" w:lineRule="exact"/>
        <w:ind w:firstLine="420" w:firstLineChars="200"/>
        <w:rPr>
          <w:color w:val="auto"/>
          <w:szCs w:val="21"/>
          <w:highlight w:val="none"/>
          <w:u w:val="single"/>
        </w:rPr>
      </w:pPr>
      <w:r>
        <w:rPr>
          <w:rFonts w:hint="eastAsia"/>
          <w:color w:val="auto"/>
          <w:szCs w:val="21"/>
          <w:highlight w:val="none"/>
          <w:u w:val="single"/>
        </w:rPr>
        <w:t>工程量计算按照实际完成施工图纸范围内和经发包人同意增加的施工内容按实计算，工程量计算规则按照《建设工程工程量清单计价规范》（GB50500-2013）、《房屋建筑与装饰工程工程量计算规范》（GB50854-2013）、《通用安装工程工程量计算规范》（GB50856-2013）、《市政工程工程量计算规范》（GB50857-2013）、《园林绿化工程工程量计算规范》（GB50858-2013）、《浙江省建设工程计价规则》（2018版）、《浙江省房屋建筑与装饰工程预算定额》（2018版）、《浙江省通用安装工程预算定额》（2018版）、《浙江省市政工程预算定额》（2018版）、《浙江省园林绿化及仿古建筑工程预算定额》(2018版)、《浙江省建设工程施工机械台班费用定额》(2018版)、《浙江省建筑安装材料基期价格》以及相关补充规定与综合解释等</w:t>
      </w:r>
      <w:r>
        <w:rPr>
          <w:color w:val="auto"/>
          <w:szCs w:val="21"/>
          <w:highlight w:val="none"/>
          <w:u w:val="single"/>
        </w:rPr>
        <w:t>及发包人提供的工程量清单中说明的工程量计算规则计算，由承包人计量、发包人及有关部门审核。</w:t>
      </w:r>
    </w:p>
    <w:p w14:paraId="389BD377">
      <w:pPr>
        <w:spacing w:line="400" w:lineRule="exact"/>
        <w:ind w:firstLine="420" w:firstLineChars="200"/>
        <w:rPr>
          <w:color w:val="auto"/>
          <w:szCs w:val="21"/>
          <w:highlight w:val="none"/>
        </w:rPr>
      </w:pPr>
      <w:r>
        <w:rPr>
          <w:color w:val="auto"/>
          <w:szCs w:val="21"/>
          <w:highlight w:val="none"/>
        </w:rPr>
        <w:t>12.3.2 计量周期：</w:t>
      </w:r>
    </w:p>
    <w:p w14:paraId="3FDF4F4E">
      <w:pPr>
        <w:spacing w:line="400" w:lineRule="exact"/>
        <w:ind w:firstLine="420" w:firstLineChars="200"/>
        <w:rPr>
          <w:color w:val="auto"/>
          <w:szCs w:val="21"/>
          <w:highlight w:val="none"/>
        </w:rPr>
      </w:pPr>
      <w:r>
        <w:rPr>
          <w:color w:val="auto"/>
          <w:szCs w:val="21"/>
          <w:highlight w:val="none"/>
        </w:rPr>
        <w:t>关于计量周期的约定：</w:t>
      </w:r>
      <w:r>
        <w:rPr>
          <w:color w:val="auto"/>
          <w:szCs w:val="21"/>
          <w:highlight w:val="none"/>
          <w:u w:val="single"/>
        </w:rPr>
        <w:t>按月</w:t>
      </w:r>
      <w:r>
        <w:rPr>
          <w:rFonts w:hint="eastAsia"/>
          <w:color w:val="auto"/>
          <w:szCs w:val="21"/>
          <w:highlight w:val="none"/>
          <w:u w:val="single"/>
        </w:rPr>
        <w:t>进度</w:t>
      </w:r>
      <w:r>
        <w:rPr>
          <w:color w:val="auto"/>
          <w:szCs w:val="21"/>
          <w:highlight w:val="none"/>
          <w:u w:val="single"/>
        </w:rPr>
        <w:t>计量</w:t>
      </w:r>
      <w:r>
        <w:rPr>
          <w:color w:val="auto"/>
          <w:szCs w:val="21"/>
          <w:highlight w:val="none"/>
        </w:rPr>
        <w:t>。</w:t>
      </w:r>
    </w:p>
    <w:p w14:paraId="4CD5A77C">
      <w:pPr>
        <w:spacing w:line="400" w:lineRule="exact"/>
        <w:ind w:firstLine="420" w:firstLineChars="200"/>
        <w:rPr>
          <w:color w:val="auto"/>
          <w:szCs w:val="21"/>
          <w:highlight w:val="none"/>
        </w:rPr>
      </w:pPr>
      <w:r>
        <w:rPr>
          <w:color w:val="auto"/>
          <w:szCs w:val="21"/>
          <w:highlight w:val="none"/>
        </w:rPr>
        <w:t>12.3.3 单价合同的计量</w:t>
      </w:r>
    </w:p>
    <w:p w14:paraId="45D530EF">
      <w:pPr>
        <w:spacing w:line="400" w:lineRule="exact"/>
        <w:ind w:firstLine="420" w:firstLineChars="200"/>
        <w:rPr>
          <w:rFonts w:hint="eastAsia"/>
          <w:color w:val="auto"/>
          <w:szCs w:val="21"/>
          <w:highlight w:val="none"/>
          <w:u w:val="single"/>
        </w:rPr>
      </w:pPr>
      <w:r>
        <w:rPr>
          <w:color w:val="auto"/>
          <w:szCs w:val="21"/>
          <w:highlight w:val="none"/>
        </w:rPr>
        <w:t>关于单价合同计量的约定：</w:t>
      </w:r>
      <w:r>
        <w:rPr>
          <w:color w:val="auto"/>
          <w:szCs w:val="21"/>
          <w:highlight w:val="none"/>
          <w:u w:val="single"/>
        </w:rPr>
        <w:t>按通用合同条款执行</w:t>
      </w:r>
      <w:r>
        <w:rPr>
          <w:rFonts w:hint="eastAsia"/>
          <w:color w:val="auto"/>
          <w:szCs w:val="21"/>
          <w:highlight w:val="none"/>
          <w:u w:val="single"/>
        </w:rPr>
        <w:t>。</w:t>
      </w:r>
    </w:p>
    <w:p w14:paraId="6A7916B4">
      <w:pPr>
        <w:spacing w:line="400" w:lineRule="exact"/>
        <w:ind w:firstLine="420" w:firstLineChars="200"/>
        <w:rPr>
          <w:rFonts w:ascii="宋体" w:hAnsi="宋体" w:cs="宋体"/>
          <w:color w:val="auto"/>
          <w:kern w:val="0"/>
          <w:szCs w:val="21"/>
          <w:highlight w:val="none"/>
          <w:u w:val="single"/>
        </w:rPr>
      </w:pPr>
      <w:r>
        <w:rPr>
          <w:rFonts w:hint="eastAsia" w:ascii="宋体" w:hAnsi="宋体" w:cs="宋体"/>
          <w:color w:val="auto"/>
          <w:szCs w:val="21"/>
          <w:highlight w:val="none"/>
          <w:u w:val="single"/>
        </w:rPr>
        <w:t>（</w:t>
      </w:r>
      <w:r>
        <w:rPr>
          <w:rFonts w:hint="eastAsia" w:ascii="宋体" w:hAnsi="宋体" w:cs="宋体"/>
          <w:color w:val="auto"/>
          <w:kern w:val="0"/>
          <w:szCs w:val="21"/>
          <w:highlight w:val="none"/>
          <w:u w:val="single"/>
        </w:rPr>
        <w:t>4）确认的当期工程量和单价仅作为当期工程进度款支付的依据。</w:t>
      </w:r>
    </w:p>
    <w:p w14:paraId="521DA7AA">
      <w:pPr>
        <w:spacing w:line="400" w:lineRule="exact"/>
        <w:ind w:firstLine="420" w:firstLineChars="200"/>
        <w:rPr>
          <w:color w:val="auto"/>
          <w:szCs w:val="21"/>
          <w:highlight w:val="none"/>
        </w:rPr>
      </w:pPr>
      <w:r>
        <w:rPr>
          <w:rFonts w:hint="eastAsia"/>
          <w:color w:val="auto"/>
          <w:szCs w:val="21"/>
          <w:highlight w:val="none"/>
        </w:rPr>
        <w:t>12.3.4总价合同的计量</w:t>
      </w:r>
    </w:p>
    <w:p w14:paraId="3BEBD883">
      <w:pPr>
        <w:spacing w:line="400" w:lineRule="exact"/>
        <w:ind w:firstLine="420" w:firstLineChars="200"/>
        <w:rPr>
          <w:color w:val="auto"/>
          <w:szCs w:val="21"/>
          <w:highlight w:val="none"/>
        </w:rPr>
      </w:pPr>
      <w:r>
        <w:rPr>
          <w:rFonts w:hint="eastAsia"/>
          <w:color w:val="auto"/>
          <w:szCs w:val="21"/>
          <w:highlight w:val="none"/>
        </w:rPr>
        <w:t>关于总价合同计量的约定：</w:t>
      </w:r>
      <w:r>
        <w:rPr>
          <w:rFonts w:hint="eastAsia"/>
          <w:color w:val="auto"/>
          <w:szCs w:val="21"/>
          <w:highlight w:val="none"/>
          <w:u w:val="single"/>
        </w:rPr>
        <w:t xml:space="preserve">             /                </w:t>
      </w:r>
      <w:r>
        <w:rPr>
          <w:rFonts w:hint="eastAsia"/>
          <w:color w:val="auto"/>
          <w:szCs w:val="21"/>
          <w:highlight w:val="none"/>
        </w:rPr>
        <w:t xml:space="preserve"> 。</w:t>
      </w:r>
    </w:p>
    <w:p w14:paraId="5A8855C7">
      <w:pPr>
        <w:spacing w:line="400" w:lineRule="exact"/>
        <w:ind w:firstLine="420" w:firstLineChars="200"/>
        <w:rPr>
          <w:color w:val="auto"/>
          <w:szCs w:val="21"/>
          <w:highlight w:val="none"/>
        </w:rPr>
      </w:pPr>
      <w:r>
        <w:rPr>
          <w:rFonts w:hint="eastAsia"/>
          <w:color w:val="auto"/>
          <w:szCs w:val="21"/>
          <w:highlight w:val="none"/>
        </w:rPr>
        <w:t>12.3.5总价合同采用支付分解表计量支付的，是否适用第12.3.4 项〔总价合同的计量〕约定进行计量：</w:t>
      </w:r>
      <w:r>
        <w:rPr>
          <w:rFonts w:hint="eastAsia"/>
          <w:color w:val="auto"/>
          <w:szCs w:val="21"/>
          <w:highlight w:val="none"/>
          <w:u w:val="single"/>
        </w:rPr>
        <w:t xml:space="preserve">           /          </w:t>
      </w:r>
      <w:r>
        <w:rPr>
          <w:rFonts w:hint="eastAsia"/>
          <w:color w:val="auto"/>
          <w:szCs w:val="21"/>
          <w:highlight w:val="none"/>
        </w:rPr>
        <w:t>。</w:t>
      </w:r>
    </w:p>
    <w:p w14:paraId="433D3D57">
      <w:pPr>
        <w:spacing w:line="400" w:lineRule="exact"/>
        <w:ind w:firstLine="420" w:firstLineChars="200"/>
        <w:rPr>
          <w:color w:val="auto"/>
          <w:szCs w:val="21"/>
          <w:highlight w:val="none"/>
        </w:rPr>
      </w:pPr>
      <w:r>
        <w:rPr>
          <w:color w:val="auto"/>
          <w:szCs w:val="21"/>
          <w:highlight w:val="none"/>
        </w:rPr>
        <w:t>12.3.6 其他价格形式合同的计量</w:t>
      </w:r>
    </w:p>
    <w:p w14:paraId="150AFE3E">
      <w:pPr>
        <w:spacing w:line="400" w:lineRule="exact"/>
        <w:ind w:firstLine="420" w:firstLineChars="200"/>
        <w:rPr>
          <w:color w:val="auto"/>
          <w:szCs w:val="21"/>
          <w:highlight w:val="none"/>
        </w:rPr>
      </w:pPr>
      <w:r>
        <w:rPr>
          <w:color w:val="auto"/>
          <w:szCs w:val="21"/>
          <w:highlight w:val="none"/>
        </w:rPr>
        <w:t>其他价格形式的计量方式和程序：</w:t>
      </w:r>
      <w:r>
        <w:rPr>
          <w:rFonts w:hint="eastAsia"/>
          <w:color w:val="auto"/>
          <w:szCs w:val="21"/>
          <w:highlight w:val="none"/>
          <w:u w:val="single"/>
        </w:rPr>
        <w:t xml:space="preserve">   /   </w:t>
      </w:r>
      <w:r>
        <w:rPr>
          <w:color w:val="auto"/>
          <w:szCs w:val="21"/>
          <w:highlight w:val="none"/>
          <w:u w:val="single"/>
        </w:rPr>
        <w:t>。</w:t>
      </w:r>
    </w:p>
    <w:p w14:paraId="1BEA9515">
      <w:pPr>
        <w:spacing w:line="400" w:lineRule="exact"/>
        <w:ind w:firstLine="420" w:firstLineChars="200"/>
        <w:rPr>
          <w:color w:val="auto"/>
          <w:szCs w:val="21"/>
          <w:highlight w:val="none"/>
        </w:rPr>
      </w:pPr>
      <w:r>
        <w:rPr>
          <w:color w:val="auto"/>
          <w:szCs w:val="21"/>
          <w:highlight w:val="none"/>
        </w:rPr>
        <w:t>12.4 工程进度款支付</w:t>
      </w:r>
    </w:p>
    <w:p w14:paraId="21188FA9">
      <w:pPr>
        <w:spacing w:line="400" w:lineRule="exact"/>
        <w:ind w:firstLine="420" w:firstLineChars="200"/>
        <w:rPr>
          <w:color w:val="auto"/>
          <w:szCs w:val="21"/>
          <w:highlight w:val="none"/>
        </w:rPr>
      </w:pPr>
      <w:r>
        <w:rPr>
          <w:color w:val="auto"/>
          <w:szCs w:val="21"/>
          <w:highlight w:val="none"/>
        </w:rPr>
        <w:t>12.4.1 付款周期</w:t>
      </w:r>
    </w:p>
    <w:p w14:paraId="228B97EA">
      <w:pPr>
        <w:spacing w:line="400" w:lineRule="exact"/>
        <w:ind w:firstLine="420" w:firstLineChars="200"/>
        <w:rPr>
          <w:color w:val="auto"/>
          <w:szCs w:val="21"/>
          <w:highlight w:val="none"/>
        </w:rPr>
      </w:pPr>
      <w:r>
        <w:rPr>
          <w:color w:val="auto"/>
          <w:szCs w:val="21"/>
          <w:highlight w:val="none"/>
        </w:rPr>
        <w:t>关于付款周期的约定：</w:t>
      </w:r>
      <w:r>
        <w:rPr>
          <w:color w:val="auto"/>
          <w:szCs w:val="21"/>
          <w:highlight w:val="none"/>
          <w:u w:val="single"/>
        </w:rPr>
        <w:t>按月</w:t>
      </w:r>
      <w:r>
        <w:rPr>
          <w:rFonts w:hint="eastAsia"/>
          <w:color w:val="auto"/>
          <w:szCs w:val="21"/>
          <w:highlight w:val="none"/>
          <w:u w:val="single"/>
        </w:rPr>
        <w:t>进度</w:t>
      </w:r>
      <w:r>
        <w:rPr>
          <w:color w:val="auto"/>
          <w:szCs w:val="21"/>
          <w:highlight w:val="none"/>
          <w:u w:val="single"/>
        </w:rPr>
        <w:t>支付</w:t>
      </w:r>
      <w:r>
        <w:rPr>
          <w:color w:val="auto"/>
          <w:szCs w:val="21"/>
          <w:highlight w:val="none"/>
        </w:rPr>
        <w:t>。</w:t>
      </w:r>
    </w:p>
    <w:p w14:paraId="3BF4D46F">
      <w:pPr>
        <w:spacing w:line="400" w:lineRule="exact"/>
        <w:ind w:firstLine="420" w:firstLineChars="200"/>
        <w:rPr>
          <w:color w:val="auto"/>
          <w:szCs w:val="21"/>
          <w:highlight w:val="none"/>
        </w:rPr>
      </w:pPr>
      <w:r>
        <w:rPr>
          <w:color w:val="auto"/>
          <w:szCs w:val="21"/>
          <w:highlight w:val="none"/>
        </w:rPr>
        <w:t>12.4.2 进度付款申请单的编制</w:t>
      </w:r>
    </w:p>
    <w:p w14:paraId="21A1E120">
      <w:pPr>
        <w:spacing w:line="400" w:lineRule="exact"/>
        <w:ind w:firstLine="420" w:firstLineChars="200"/>
        <w:rPr>
          <w:rFonts w:hint="eastAsia"/>
          <w:color w:val="auto"/>
          <w:szCs w:val="21"/>
          <w:highlight w:val="none"/>
        </w:rPr>
      </w:pPr>
      <w:r>
        <w:rPr>
          <w:color w:val="auto"/>
          <w:szCs w:val="21"/>
          <w:highlight w:val="none"/>
        </w:rPr>
        <w:t>关于</w:t>
      </w:r>
      <w:r>
        <w:rPr>
          <w:color w:val="auto"/>
          <w:szCs w:val="21"/>
          <w:highlight w:val="none"/>
        </w:rPr>
        <w:t>进度付款申请单编制的约定：</w:t>
      </w:r>
    </w:p>
    <w:p w14:paraId="74226585">
      <w:pPr>
        <w:spacing w:line="400" w:lineRule="exact"/>
        <w:ind w:firstLine="422" w:firstLineChars="200"/>
        <w:rPr>
          <w:rFonts w:hint="eastAsia" w:ascii="宋体" w:hAnsi="宋体" w:cs="宋体"/>
          <w:b/>
          <w:color w:val="auto"/>
          <w:szCs w:val="21"/>
          <w:highlight w:val="none"/>
          <w:u w:val="single"/>
        </w:rPr>
      </w:pPr>
      <w:r>
        <w:rPr>
          <w:rFonts w:hint="eastAsia"/>
          <w:b/>
          <w:color w:val="auto"/>
          <w:szCs w:val="21"/>
          <w:highlight w:val="none"/>
          <w:u w:val="single"/>
        </w:rPr>
        <w:t>（1）</w:t>
      </w:r>
      <w:r>
        <w:rPr>
          <w:rFonts w:hint="eastAsia" w:ascii="宋体" w:hAnsi="宋体" w:cs="宋体"/>
          <w:b/>
          <w:color w:val="auto"/>
          <w:szCs w:val="21"/>
          <w:highlight w:val="none"/>
          <w:u w:val="single"/>
        </w:rPr>
        <w:t>发包人向承包人支付当期按12.1、12.3款计量工程量价款的</w:t>
      </w:r>
      <w:r>
        <w:rPr>
          <w:rFonts w:hint="eastAsia" w:ascii="宋体" w:hAnsi="宋体" w:cs="宋体"/>
          <w:b/>
          <w:color w:val="auto"/>
          <w:szCs w:val="21"/>
          <w:highlight w:val="none"/>
          <w:u w:val="single"/>
          <w:lang w:val="en-US" w:eastAsia="zh-CN"/>
        </w:rPr>
        <w:t>85</w:t>
      </w:r>
      <w:r>
        <w:rPr>
          <w:rFonts w:hint="eastAsia" w:ascii="宋体" w:hAnsi="宋体" w:cs="宋体"/>
          <w:b/>
          <w:color w:val="auto"/>
          <w:szCs w:val="21"/>
          <w:highlight w:val="none"/>
          <w:u w:val="single"/>
        </w:rPr>
        <w:t>%工程价款（含预付款）。人工、材料市场价格调整引起合同价款调整，在完成专用条款第11.1条约定的调整节点后，计入该节点所在当期工程进度款；工程变更、索赔、现场签证等办理完毕的（审计</w:t>
      </w:r>
      <w:r>
        <w:rPr>
          <w:rFonts w:ascii="宋体" w:hAnsi="宋体" w:cs="宋体"/>
          <w:b/>
          <w:color w:val="auto"/>
          <w:szCs w:val="21"/>
          <w:highlight w:val="none"/>
          <w:u w:val="single"/>
        </w:rPr>
        <w:t>结束后</w:t>
      </w:r>
      <w:r>
        <w:rPr>
          <w:rFonts w:hint="eastAsia" w:ascii="宋体" w:hAnsi="宋体" w:cs="宋体"/>
          <w:b/>
          <w:color w:val="auto"/>
          <w:szCs w:val="21"/>
          <w:highlight w:val="none"/>
          <w:u w:val="single"/>
        </w:rPr>
        <w:t>），计入当期工程进度款。</w:t>
      </w:r>
    </w:p>
    <w:p w14:paraId="3CC258E3">
      <w:pPr>
        <w:spacing w:line="400" w:lineRule="exact"/>
        <w:ind w:firstLine="422" w:firstLineChars="200"/>
        <w:rPr>
          <w:rFonts w:hint="eastAsia"/>
          <w:b/>
          <w:color w:val="auto"/>
          <w:szCs w:val="21"/>
          <w:highlight w:val="none"/>
          <w:u w:val="single"/>
        </w:rPr>
      </w:pPr>
      <w:r>
        <w:rPr>
          <w:rFonts w:hint="eastAsia"/>
          <w:b/>
          <w:color w:val="auto"/>
          <w:szCs w:val="21"/>
          <w:highlight w:val="none"/>
          <w:u w:val="single"/>
        </w:rPr>
        <w:t>（2）合同范围内的施工内容施工完成，参建各方（建设、监理、施工、勘察、设计单位等）对工程验收并签署工程质量合格文件后，支付至进度款审核汇总的合同价格的90%（含预付款）；</w:t>
      </w:r>
    </w:p>
    <w:p w14:paraId="75C9090C">
      <w:pPr>
        <w:spacing w:line="400" w:lineRule="exact"/>
        <w:ind w:firstLine="422" w:firstLineChars="200"/>
        <w:rPr>
          <w:rFonts w:hint="eastAsia"/>
          <w:b/>
          <w:color w:val="auto"/>
          <w:szCs w:val="21"/>
          <w:highlight w:val="none"/>
          <w:u w:val="single"/>
        </w:rPr>
      </w:pPr>
      <w:r>
        <w:rPr>
          <w:rFonts w:hint="eastAsia"/>
          <w:b/>
          <w:color w:val="auto"/>
          <w:szCs w:val="21"/>
          <w:highlight w:val="none"/>
          <w:u w:val="single"/>
        </w:rPr>
        <w:t>（3）工程结算款经审定后付至结算价100%。发包人支付最后工程结算付款前，承包人向发包人提供质量保证金保函（金额为工程结算价的1.5%）。</w:t>
      </w:r>
    </w:p>
    <w:p w14:paraId="565A85EE">
      <w:pPr>
        <w:spacing w:line="400" w:lineRule="exact"/>
        <w:ind w:firstLine="422" w:firstLineChars="200"/>
        <w:rPr>
          <w:b/>
          <w:color w:val="auto"/>
          <w:szCs w:val="21"/>
          <w:highlight w:val="none"/>
          <w:u w:val="single"/>
        </w:rPr>
      </w:pPr>
      <w:r>
        <w:rPr>
          <w:rFonts w:hint="eastAsia"/>
          <w:b/>
          <w:color w:val="auto"/>
          <w:szCs w:val="21"/>
          <w:highlight w:val="none"/>
          <w:u w:val="single"/>
        </w:rPr>
        <w:t>（4）</w:t>
      </w:r>
      <w:r>
        <w:rPr>
          <w:b/>
          <w:color w:val="auto"/>
          <w:szCs w:val="21"/>
          <w:highlight w:val="none"/>
          <w:u w:val="single"/>
        </w:rPr>
        <w:t>发包人将当期应付工程进度款</w:t>
      </w:r>
      <w:r>
        <w:rPr>
          <w:rFonts w:hint="eastAsia"/>
          <w:b/>
          <w:color w:val="auto"/>
          <w:szCs w:val="21"/>
          <w:highlight w:val="none"/>
          <w:u w:val="single"/>
        </w:rPr>
        <w:t>（</w:t>
      </w:r>
      <w:r>
        <w:rPr>
          <w:rFonts w:hint="eastAsia" w:ascii="宋体" w:hAnsi="宋体" w:cs="宋体"/>
          <w:b/>
          <w:color w:val="auto"/>
          <w:szCs w:val="21"/>
          <w:highlight w:val="none"/>
          <w:u w:val="single"/>
        </w:rPr>
        <w:t>含预付款</w:t>
      </w:r>
      <w:r>
        <w:rPr>
          <w:rFonts w:hint="eastAsia"/>
          <w:b/>
          <w:color w:val="auto"/>
          <w:szCs w:val="21"/>
          <w:highlight w:val="none"/>
          <w:u w:val="single"/>
        </w:rPr>
        <w:t>）</w:t>
      </w:r>
      <w:r>
        <w:rPr>
          <w:b/>
          <w:color w:val="auto"/>
          <w:szCs w:val="21"/>
          <w:highlight w:val="none"/>
          <w:u w:val="single"/>
        </w:rPr>
        <w:t>的20%单独拨付到承包人开设的农民工工资（劳务费）专用账户，承包人应确保专款专用。</w:t>
      </w:r>
    </w:p>
    <w:p w14:paraId="64412DA4">
      <w:pPr>
        <w:spacing w:line="400" w:lineRule="exact"/>
        <w:ind w:firstLine="422" w:firstLineChars="200"/>
        <w:rPr>
          <w:rFonts w:hint="eastAsia" w:eastAsiaTheme="minorEastAsia"/>
          <w:b/>
          <w:color w:val="auto"/>
          <w:szCs w:val="21"/>
          <w:highlight w:val="none"/>
          <w:u w:val="single"/>
          <w:lang w:eastAsia="zh-CN"/>
        </w:rPr>
      </w:pPr>
      <w:r>
        <w:rPr>
          <w:rFonts w:hint="eastAsia"/>
          <w:b/>
          <w:color w:val="auto"/>
          <w:szCs w:val="21"/>
          <w:highlight w:val="none"/>
          <w:u w:val="single"/>
        </w:rPr>
        <w:t>（</w:t>
      </w:r>
      <w:r>
        <w:rPr>
          <w:rFonts w:hint="eastAsia"/>
          <w:b/>
          <w:color w:val="auto"/>
          <w:szCs w:val="21"/>
          <w:highlight w:val="none"/>
          <w:u w:val="single"/>
          <w:lang w:val="en-US" w:eastAsia="zh-CN"/>
        </w:rPr>
        <w:t>5</w:t>
      </w:r>
      <w:r>
        <w:rPr>
          <w:rFonts w:hint="eastAsia"/>
          <w:b/>
          <w:color w:val="auto"/>
          <w:szCs w:val="21"/>
          <w:highlight w:val="none"/>
          <w:u w:val="single"/>
        </w:rPr>
        <w:t>）承包人收取每期工程款时应开具正式发票</w:t>
      </w:r>
      <w:r>
        <w:rPr>
          <w:rFonts w:hint="eastAsia"/>
          <w:b/>
          <w:color w:val="auto"/>
          <w:szCs w:val="21"/>
          <w:highlight w:val="none"/>
          <w:u w:val="single"/>
          <w:lang w:eastAsia="zh-CN"/>
        </w:rPr>
        <w:t>。</w:t>
      </w:r>
    </w:p>
    <w:p w14:paraId="0ECBB73C">
      <w:pPr>
        <w:spacing w:line="400" w:lineRule="exact"/>
        <w:ind w:firstLine="420" w:firstLineChars="200"/>
        <w:rPr>
          <w:color w:val="auto"/>
          <w:szCs w:val="21"/>
          <w:highlight w:val="none"/>
        </w:rPr>
      </w:pPr>
      <w:r>
        <w:rPr>
          <w:color w:val="auto"/>
          <w:szCs w:val="21"/>
          <w:highlight w:val="none"/>
        </w:rPr>
        <w:t>12.4.3 进度付款申请单的提交</w:t>
      </w:r>
    </w:p>
    <w:p w14:paraId="363C849B">
      <w:pPr>
        <w:spacing w:line="400" w:lineRule="exact"/>
        <w:ind w:firstLine="420" w:firstLineChars="200"/>
        <w:rPr>
          <w:color w:val="auto"/>
          <w:szCs w:val="21"/>
          <w:highlight w:val="none"/>
        </w:rPr>
      </w:pPr>
      <w:r>
        <w:rPr>
          <w:color w:val="auto"/>
          <w:szCs w:val="21"/>
          <w:highlight w:val="none"/>
        </w:rPr>
        <w:t>（1）单价合同进度付款申请单提交的约定：</w:t>
      </w:r>
      <w:r>
        <w:rPr>
          <w:color w:val="auto"/>
          <w:szCs w:val="21"/>
          <w:highlight w:val="none"/>
          <w:u w:val="single"/>
        </w:rPr>
        <w:t>按通用合同条款</w:t>
      </w:r>
      <w:r>
        <w:rPr>
          <w:color w:val="auto"/>
          <w:szCs w:val="21"/>
          <w:highlight w:val="none"/>
        </w:rPr>
        <w:t>。</w:t>
      </w:r>
    </w:p>
    <w:p w14:paraId="3DB0D6AE">
      <w:pPr>
        <w:spacing w:line="400" w:lineRule="exact"/>
        <w:ind w:firstLine="420" w:firstLineChars="200"/>
        <w:rPr>
          <w:color w:val="auto"/>
          <w:szCs w:val="21"/>
          <w:highlight w:val="none"/>
        </w:rPr>
      </w:pPr>
      <w:r>
        <w:rPr>
          <w:color w:val="auto"/>
          <w:szCs w:val="21"/>
          <w:highlight w:val="none"/>
        </w:rPr>
        <w:t>（2）总价合同进度付款申请单提交的约定：</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22B6B864">
      <w:pPr>
        <w:spacing w:line="400" w:lineRule="exact"/>
        <w:ind w:firstLine="420" w:firstLineChars="200"/>
        <w:rPr>
          <w:color w:val="auto"/>
          <w:szCs w:val="21"/>
          <w:highlight w:val="none"/>
        </w:rPr>
      </w:pPr>
      <w:r>
        <w:rPr>
          <w:color w:val="auto"/>
          <w:szCs w:val="21"/>
          <w:highlight w:val="none"/>
        </w:rPr>
        <w:t>（3）其他价格形式合同进度付款申请单提交的约定：</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7E872AD2">
      <w:pPr>
        <w:spacing w:line="400" w:lineRule="exact"/>
        <w:ind w:firstLine="420" w:firstLineChars="200"/>
        <w:rPr>
          <w:color w:val="auto"/>
          <w:szCs w:val="21"/>
          <w:highlight w:val="none"/>
        </w:rPr>
      </w:pPr>
      <w:r>
        <w:rPr>
          <w:color w:val="auto"/>
          <w:szCs w:val="21"/>
          <w:highlight w:val="none"/>
        </w:rPr>
        <w:t>12.4.4 进度款审核和支付</w:t>
      </w:r>
    </w:p>
    <w:p w14:paraId="3F1AFA46">
      <w:pPr>
        <w:spacing w:line="400" w:lineRule="exact"/>
        <w:ind w:firstLine="420" w:firstLineChars="200"/>
        <w:rPr>
          <w:color w:val="auto"/>
          <w:szCs w:val="21"/>
          <w:highlight w:val="none"/>
          <w:u w:val="single"/>
        </w:rPr>
      </w:pPr>
      <w:r>
        <w:rPr>
          <w:color w:val="auto"/>
          <w:szCs w:val="21"/>
          <w:highlight w:val="none"/>
        </w:rPr>
        <w:t>（1）监理人审查并报送发包人的期限：</w:t>
      </w:r>
      <w:r>
        <w:rPr>
          <w:color w:val="auto"/>
          <w:szCs w:val="21"/>
          <w:highlight w:val="none"/>
          <w:u w:val="single"/>
        </w:rPr>
        <w:t xml:space="preserve">按通用合同条款 </w:t>
      </w:r>
      <w:r>
        <w:rPr>
          <w:color w:val="auto"/>
          <w:szCs w:val="21"/>
          <w:highlight w:val="none"/>
        </w:rPr>
        <w:t>。</w:t>
      </w:r>
    </w:p>
    <w:p w14:paraId="7BDB786B">
      <w:pPr>
        <w:spacing w:line="400" w:lineRule="exact"/>
        <w:ind w:firstLine="420" w:firstLineChars="200"/>
        <w:rPr>
          <w:color w:val="auto"/>
          <w:szCs w:val="21"/>
          <w:highlight w:val="none"/>
        </w:rPr>
      </w:pPr>
      <w:r>
        <w:rPr>
          <w:color w:val="auto"/>
          <w:szCs w:val="21"/>
          <w:highlight w:val="none"/>
        </w:rPr>
        <w:t>发包人完成审批并签发进度款支付证书的期限：</w:t>
      </w:r>
      <w:r>
        <w:rPr>
          <w:color w:val="auto"/>
          <w:szCs w:val="21"/>
          <w:highlight w:val="none"/>
          <w:u w:val="single"/>
        </w:rPr>
        <w:t>按通用合同条款</w:t>
      </w:r>
      <w:r>
        <w:rPr>
          <w:color w:val="auto"/>
          <w:szCs w:val="21"/>
          <w:highlight w:val="none"/>
        </w:rPr>
        <w:t>。</w:t>
      </w:r>
    </w:p>
    <w:p w14:paraId="458A1520">
      <w:pPr>
        <w:spacing w:line="400" w:lineRule="exact"/>
        <w:ind w:firstLine="420" w:firstLineChars="200"/>
        <w:rPr>
          <w:rFonts w:hint="eastAsia"/>
          <w:color w:val="auto"/>
          <w:szCs w:val="21"/>
          <w:highlight w:val="none"/>
          <w:u w:val="single"/>
        </w:rPr>
      </w:pPr>
      <w:r>
        <w:rPr>
          <w:color w:val="auto"/>
          <w:szCs w:val="21"/>
          <w:highlight w:val="none"/>
        </w:rPr>
        <w:t>（2）发包人支付进度款的</w:t>
      </w:r>
      <w:r>
        <w:rPr>
          <w:color w:val="auto"/>
          <w:szCs w:val="21"/>
          <w:highlight w:val="none"/>
        </w:rPr>
        <w:t>期限：</w:t>
      </w:r>
      <w:r>
        <w:rPr>
          <w:color w:val="auto"/>
          <w:szCs w:val="21"/>
          <w:highlight w:val="none"/>
          <w:u w:val="single"/>
        </w:rPr>
        <w:t>在发包人确认计量结果后14天内完成支付。</w:t>
      </w:r>
    </w:p>
    <w:p w14:paraId="0623C0C3">
      <w:pPr>
        <w:spacing w:line="400" w:lineRule="exact"/>
        <w:ind w:firstLine="420" w:firstLineChars="200"/>
        <w:rPr>
          <w:color w:val="auto"/>
          <w:szCs w:val="21"/>
          <w:highlight w:val="none"/>
          <w:u w:val="single"/>
        </w:rPr>
      </w:pPr>
      <w:r>
        <w:rPr>
          <w:rFonts w:hint="eastAsia"/>
          <w:color w:val="auto"/>
          <w:szCs w:val="21"/>
          <w:highlight w:val="none"/>
          <w:u w:val="single"/>
        </w:rPr>
        <w:t>发包人将当期</w:t>
      </w:r>
      <w:r>
        <w:rPr>
          <w:rFonts w:hint="eastAsia"/>
          <w:color w:val="auto"/>
          <w:szCs w:val="21"/>
          <w:highlight w:val="none"/>
          <w:u w:val="single"/>
          <w:lang w:eastAsia="zh-CN"/>
        </w:rPr>
        <w:t>完成工程量价款</w:t>
      </w:r>
      <w:r>
        <w:rPr>
          <w:rFonts w:hint="eastAsia"/>
          <w:color w:val="auto"/>
          <w:szCs w:val="21"/>
          <w:highlight w:val="none"/>
          <w:u w:val="single"/>
        </w:rPr>
        <w:t>（</w:t>
      </w:r>
      <w:r>
        <w:rPr>
          <w:rFonts w:hint="eastAsia" w:ascii="宋体" w:hAnsi="宋体" w:cs="宋体"/>
          <w:color w:val="auto"/>
          <w:szCs w:val="21"/>
          <w:highlight w:val="none"/>
          <w:u w:val="single"/>
        </w:rPr>
        <w:t>含预付款</w:t>
      </w:r>
      <w:r>
        <w:rPr>
          <w:rFonts w:hint="eastAsia"/>
          <w:color w:val="auto"/>
          <w:szCs w:val="21"/>
          <w:highlight w:val="none"/>
          <w:u w:val="single"/>
        </w:rPr>
        <w:t>）的20%单独拨付到承包人开设的农民工工资(劳务费) 专用账户，承包人应确保专款专用。</w:t>
      </w:r>
    </w:p>
    <w:p w14:paraId="63C515E2">
      <w:pPr>
        <w:spacing w:line="400" w:lineRule="exact"/>
        <w:ind w:firstLine="420" w:firstLineChars="200"/>
        <w:rPr>
          <w:color w:val="auto"/>
          <w:szCs w:val="21"/>
          <w:highlight w:val="none"/>
          <w:u w:val="single"/>
        </w:rPr>
      </w:pPr>
      <w:r>
        <w:rPr>
          <w:color w:val="auto"/>
          <w:szCs w:val="21"/>
          <w:highlight w:val="none"/>
        </w:rPr>
        <w:t>发包人逾期支付进度款的违约金的计算方式：</w:t>
      </w:r>
      <w:r>
        <w:rPr>
          <w:rFonts w:hint="eastAsia"/>
          <w:color w:val="auto"/>
          <w:szCs w:val="21"/>
          <w:highlight w:val="none"/>
          <w:u w:val="single"/>
        </w:rPr>
        <w:t>支付应付工程进度(备料) 款的利息，利率</w:t>
      </w:r>
      <w:r>
        <w:rPr>
          <w:rFonts w:hint="eastAsia"/>
          <w:color w:val="auto"/>
          <w:szCs w:val="21"/>
          <w:highlight w:val="none"/>
          <w:u w:val="single"/>
          <w:lang w:eastAsia="zh-CN"/>
        </w:rPr>
        <w:t>按全国银行间同业拆借中心公布的同期贷款市场报价利率</w:t>
      </w:r>
      <w:r>
        <w:rPr>
          <w:rFonts w:hint="eastAsia"/>
          <w:color w:val="auto"/>
          <w:szCs w:val="21"/>
          <w:highlight w:val="none"/>
          <w:u w:val="single"/>
        </w:rPr>
        <w:t>，时间为从约定应付之日起至支付之日止计算利息。</w:t>
      </w:r>
    </w:p>
    <w:p w14:paraId="4007145D">
      <w:pPr>
        <w:spacing w:line="400" w:lineRule="exact"/>
        <w:ind w:firstLine="420" w:firstLineChars="200"/>
        <w:rPr>
          <w:color w:val="auto"/>
          <w:szCs w:val="21"/>
          <w:highlight w:val="none"/>
          <w:u w:val="single"/>
        </w:rPr>
      </w:pPr>
      <w:r>
        <w:rPr>
          <w:color w:val="auto"/>
          <w:szCs w:val="21"/>
          <w:highlight w:val="none"/>
        </w:rPr>
        <w:t>（3）</w:t>
      </w:r>
      <w:r>
        <w:rPr>
          <w:rFonts w:hint="eastAsia"/>
          <w:color w:val="auto"/>
          <w:szCs w:val="21"/>
          <w:highlight w:val="none"/>
          <w:u w:val="single"/>
        </w:rPr>
        <w:t>发包人每月签发的工程量审核报告、进度款支付证书或临时进度款支付证书，不表明发包人已同意、批准或接受了承包人完成的相应部分工作或已确认计量结果，仅为本期工程款</w:t>
      </w:r>
      <w:r>
        <w:rPr>
          <w:rFonts w:hint="eastAsia"/>
          <w:color w:val="auto"/>
          <w:szCs w:val="21"/>
          <w:highlight w:val="none"/>
          <w:u w:val="single"/>
        </w:rPr>
        <w:t>支付依据。</w:t>
      </w:r>
    </w:p>
    <w:p w14:paraId="416A7527">
      <w:pPr>
        <w:spacing w:line="400" w:lineRule="exact"/>
        <w:ind w:firstLine="422" w:firstLineChars="200"/>
        <w:rPr>
          <w:b/>
          <w:color w:val="auto"/>
          <w:szCs w:val="21"/>
          <w:highlight w:val="none"/>
        </w:rPr>
      </w:pPr>
      <w:r>
        <w:rPr>
          <w:b/>
          <w:color w:val="auto"/>
          <w:szCs w:val="21"/>
          <w:highlight w:val="none"/>
        </w:rPr>
        <w:t>12.4.6 支付分解表的编制</w:t>
      </w:r>
    </w:p>
    <w:p w14:paraId="0CEBDF8D">
      <w:pPr>
        <w:spacing w:line="400" w:lineRule="exact"/>
        <w:ind w:firstLine="420" w:firstLineChars="200"/>
        <w:rPr>
          <w:color w:val="auto"/>
          <w:szCs w:val="21"/>
          <w:highlight w:val="none"/>
        </w:rPr>
      </w:pPr>
      <w:r>
        <w:rPr>
          <w:color w:val="auto"/>
          <w:szCs w:val="21"/>
          <w:highlight w:val="none"/>
        </w:rPr>
        <w:t>2、总价合同支付分解表的编制与审批：</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1DB3505C">
      <w:pPr>
        <w:spacing w:line="400" w:lineRule="exact"/>
        <w:ind w:firstLine="420" w:firstLineChars="200"/>
        <w:rPr>
          <w:color w:val="auto"/>
          <w:szCs w:val="21"/>
          <w:highlight w:val="none"/>
        </w:rPr>
      </w:pPr>
      <w:r>
        <w:rPr>
          <w:color w:val="auto"/>
          <w:szCs w:val="21"/>
          <w:highlight w:val="none"/>
        </w:rPr>
        <w:t>3、单价合同的总价项目支付分解表的编制与审批：</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261F8A0D">
      <w:pPr>
        <w:spacing w:line="400" w:lineRule="exact"/>
        <w:ind w:firstLine="422" w:firstLineChars="200"/>
        <w:rPr>
          <w:b/>
          <w:color w:val="auto"/>
          <w:szCs w:val="21"/>
          <w:highlight w:val="none"/>
        </w:rPr>
      </w:pPr>
      <w:r>
        <w:rPr>
          <w:b/>
          <w:color w:val="auto"/>
          <w:szCs w:val="21"/>
          <w:highlight w:val="none"/>
        </w:rPr>
        <w:t>12.5 支付账户：</w:t>
      </w:r>
    </w:p>
    <w:p w14:paraId="00952066">
      <w:pPr>
        <w:spacing w:line="400" w:lineRule="exact"/>
        <w:ind w:firstLine="420" w:firstLineChars="200"/>
        <w:rPr>
          <w:color w:val="auto"/>
          <w:szCs w:val="21"/>
          <w:highlight w:val="none"/>
          <w:u w:val="single"/>
        </w:rPr>
      </w:pPr>
      <w:r>
        <w:rPr>
          <w:rFonts w:hint="eastAsia"/>
          <w:color w:val="auto"/>
          <w:szCs w:val="21"/>
          <w:highlight w:val="none"/>
          <w:u w:val="single"/>
        </w:rPr>
        <w:t>发包人将当期应付工程进度款的（</w:t>
      </w:r>
      <w:r>
        <w:rPr>
          <w:color w:val="auto"/>
          <w:szCs w:val="21"/>
          <w:highlight w:val="none"/>
          <w:u w:val="single"/>
        </w:rPr>
        <w:t>20</w:t>
      </w:r>
      <w:r>
        <w:rPr>
          <w:rFonts w:hint="eastAsia"/>
          <w:color w:val="auto"/>
          <w:szCs w:val="21"/>
          <w:highlight w:val="none"/>
          <w:u w:val="single"/>
        </w:rPr>
        <w:t>）%拨付到承包人的农民工工资专用账户：       ；</w:t>
      </w:r>
      <w:r>
        <w:rPr>
          <w:rFonts w:hint="eastAsia"/>
          <w:color w:val="auto"/>
          <w:szCs w:val="21"/>
          <w:highlight w:val="none"/>
        </w:rPr>
        <w:t>其余合</w:t>
      </w:r>
      <w:r>
        <w:rPr>
          <w:rFonts w:hint="eastAsia" w:hAnsi="仿宋"/>
          <w:color w:val="auto"/>
          <w:szCs w:val="21"/>
          <w:highlight w:val="none"/>
        </w:rPr>
        <w:t>同价款支付至合同协议书中约定的承包人帐户。</w:t>
      </w:r>
    </w:p>
    <w:p w14:paraId="4C422832">
      <w:pPr>
        <w:spacing w:line="400" w:lineRule="exact"/>
        <w:ind w:firstLine="420" w:firstLineChars="200"/>
        <w:rPr>
          <w:color w:val="auto"/>
          <w:szCs w:val="21"/>
          <w:highlight w:val="none"/>
        </w:rPr>
      </w:pPr>
      <w:r>
        <w:rPr>
          <w:rFonts w:hint="eastAsia" w:hAnsi="仿宋"/>
          <w:color w:val="auto"/>
          <w:szCs w:val="21"/>
          <w:highlight w:val="none"/>
        </w:rPr>
        <w:t>如承包人因经营需要将工程款支付至其他指定帐户时，应向发包人书面申请，并由承包人法定代表人或授权代表签字、盖章。</w:t>
      </w:r>
    </w:p>
    <w:p w14:paraId="46E5ADBD">
      <w:pPr>
        <w:pStyle w:val="4"/>
        <w:spacing w:before="0" w:after="0" w:line="400" w:lineRule="exact"/>
        <w:ind w:firstLine="422" w:firstLineChars="200"/>
        <w:rPr>
          <w:rFonts w:ascii="Times New Roman" w:hAnsi="Times New Roman"/>
          <w:color w:val="auto"/>
          <w:sz w:val="21"/>
          <w:szCs w:val="21"/>
          <w:highlight w:val="none"/>
        </w:rPr>
      </w:pPr>
      <w:bookmarkStart w:id="115" w:name="_Toc351203645"/>
      <w:r>
        <w:rPr>
          <w:rFonts w:ascii="Times New Roman" w:hAnsi="Times New Roman"/>
          <w:color w:val="auto"/>
          <w:sz w:val="21"/>
          <w:szCs w:val="21"/>
          <w:highlight w:val="none"/>
        </w:rPr>
        <w:t>13. 验收和工程试车</w:t>
      </w:r>
      <w:bookmarkEnd w:id="115"/>
    </w:p>
    <w:p w14:paraId="0174679E">
      <w:pPr>
        <w:spacing w:line="400" w:lineRule="exact"/>
        <w:ind w:firstLine="420" w:firstLineChars="200"/>
        <w:rPr>
          <w:color w:val="auto"/>
          <w:szCs w:val="21"/>
          <w:highlight w:val="none"/>
        </w:rPr>
      </w:pPr>
      <w:r>
        <w:rPr>
          <w:color w:val="auto"/>
          <w:szCs w:val="21"/>
          <w:highlight w:val="none"/>
        </w:rPr>
        <w:t>13.1 分部分项工程验收</w:t>
      </w:r>
    </w:p>
    <w:p w14:paraId="0AEE5E4F">
      <w:pPr>
        <w:spacing w:line="400" w:lineRule="exact"/>
        <w:ind w:firstLine="420" w:firstLineChars="200"/>
        <w:rPr>
          <w:color w:val="auto"/>
          <w:szCs w:val="21"/>
          <w:highlight w:val="none"/>
        </w:rPr>
      </w:pPr>
      <w:r>
        <w:rPr>
          <w:color w:val="auto"/>
          <w:szCs w:val="21"/>
          <w:highlight w:val="none"/>
        </w:rPr>
        <w:t>13.1.2监理人不能按时进行验收时，应提前</w:t>
      </w:r>
      <w:r>
        <w:rPr>
          <w:color w:val="auto"/>
          <w:szCs w:val="21"/>
          <w:highlight w:val="none"/>
          <w:u w:val="single"/>
        </w:rPr>
        <w:t xml:space="preserve">  24  </w:t>
      </w:r>
      <w:r>
        <w:rPr>
          <w:color w:val="auto"/>
          <w:szCs w:val="21"/>
          <w:highlight w:val="none"/>
        </w:rPr>
        <w:t>小时提交书面延期要求。</w:t>
      </w:r>
    </w:p>
    <w:p w14:paraId="2CDD9A40">
      <w:pPr>
        <w:spacing w:line="400" w:lineRule="exact"/>
        <w:ind w:firstLine="420" w:firstLineChars="200"/>
        <w:rPr>
          <w:color w:val="auto"/>
          <w:szCs w:val="21"/>
          <w:highlight w:val="none"/>
        </w:rPr>
      </w:pPr>
      <w:r>
        <w:rPr>
          <w:color w:val="auto"/>
          <w:szCs w:val="21"/>
          <w:highlight w:val="none"/>
        </w:rPr>
        <w:t>关于延期最长不得超过：</w:t>
      </w:r>
      <w:r>
        <w:rPr>
          <w:color w:val="auto"/>
          <w:szCs w:val="21"/>
          <w:highlight w:val="none"/>
          <w:u w:val="single"/>
        </w:rPr>
        <w:t xml:space="preserve">  24 </w:t>
      </w:r>
      <w:r>
        <w:rPr>
          <w:color w:val="auto"/>
          <w:szCs w:val="21"/>
          <w:highlight w:val="none"/>
        </w:rPr>
        <w:t>小时。</w:t>
      </w:r>
    </w:p>
    <w:p w14:paraId="1BBF8C33">
      <w:pPr>
        <w:spacing w:line="400" w:lineRule="exact"/>
        <w:ind w:firstLine="420" w:firstLineChars="200"/>
        <w:rPr>
          <w:b/>
          <w:color w:val="auto"/>
          <w:szCs w:val="21"/>
          <w:highlight w:val="none"/>
          <w:u w:val="single"/>
        </w:rPr>
      </w:pPr>
      <w:r>
        <w:rPr>
          <w:color w:val="auto"/>
          <w:szCs w:val="21"/>
          <w:highlight w:val="none"/>
          <w:u w:val="single"/>
        </w:rPr>
        <w:t>工程验收过程、验收部位除办理纸质验收记录，还应留置验收部位、验收过程、主要验收人员相片、影像等资料。</w:t>
      </w:r>
    </w:p>
    <w:p w14:paraId="78B95673">
      <w:pPr>
        <w:spacing w:line="400" w:lineRule="exact"/>
        <w:ind w:firstLine="420" w:firstLineChars="200"/>
        <w:rPr>
          <w:color w:val="auto"/>
          <w:szCs w:val="21"/>
          <w:highlight w:val="none"/>
        </w:rPr>
      </w:pPr>
      <w:r>
        <w:rPr>
          <w:color w:val="auto"/>
          <w:szCs w:val="21"/>
          <w:highlight w:val="none"/>
        </w:rPr>
        <w:t>13.2 竣工验收</w:t>
      </w:r>
    </w:p>
    <w:p w14:paraId="6EDD515C">
      <w:pPr>
        <w:spacing w:line="400" w:lineRule="exact"/>
        <w:ind w:firstLine="420" w:firstLineChars="200"/>
        <w:rPr>
          <w:color w:val="auto"/>
          <w:szCs w:val="21"/>
          <w:highlight w:val="none"/>
        </w:rPr>
      </w:pPr>
      <w:r>
        <w:rPr>
          <w:color w:val="auto"/>
          <w:szCs w:val="21"/>
          <w:highlight w:val="none"/>
        </w:rPr>
        <w:t>13.2.2竣工验收程序</w:t>
      </w:r>
    </w:p>
    <w:p w14:paraId="3688A11E">
      <w:pPr>
        <w:spacing w:line="400" w:lineRule="exact"/>
        <w:ind w:firstLine="420" w:firstLineChars="200"/>
        <w:rPr>
          <w:rFonts w:hint="eastAsia"/>
          <w:color w:val="auto"/>
          <w:szCs w:val="21"/>
          <w:highlight w:val="none"/>
        </w:rPr>
      </w:pPr>
      <w:r>
        <w:rPr>
          <w:color w:val="auto"/>
          <w:szCs w:val="21"/>
          <w:highlight w:val="none"/>
        </w:rPr>
        <w:t>关于竣工验收程序的约定：</w:t>
      </w:r>
      <w:r>
        <w:rPr>
          <w:color w:val="auto"/>
          <w:szCs w:val="21"/>
          <w:highlight w:val="none"/>
          <w:u w:val="single"/>
        </w:rPr>
        <w:t>按通用</w:t>
      </w:r>
      <w:r>
        <w:rPr>
          <w:rFonts w:hint="eastAsia"/>
          <w:color w:val="auto"/>
          <w:szCs w:val="21"/>
          <w:highlight w:val="none"/>
          <w:u w:val="single"/>
        </w:rPr>
        <w:t>合同</w:t>
      </w:r>
      <w:r>
        <w:rPr>
          <w:color w:val="auto"/>
          <w:szCs w:val="21"/>
          <w:highlight w:val="none"/>
          <w:u w:val="single"/>
        </w:rPr>
        <w:t>条款</w:t>
      </w:r>
      <w:r>
        <w:rPr>
          <w:color w:val="auto"/>
          <w:szCs w:val="21"/>
          <w:highlight w:val="none"/>
        </w:rPr>
        <w:t>。</w:t>
      </w:r>
    </w:p>
    <w:p w14:paraId="5463E4A2">
      <w:pPr>
        <w:spacing w:line="400" w:lineRule="exact"/>
        <w:ind w:firstLine="451" w:firstLineChars="215"/>
        <w:rPr>
          <w:color w:val="auto"/>
          <w:szCs w:val="21"/>
          <w:highlight w:val="none"/>
          <w:u w:val="single"/>
        </w:rPr>
      </w:pPr>
      <w:r>
        <w:rPr>
          <w:rFonts w:hint="eastAsia"/>
          <w:color w:val="auto"/>
          <w:szCs w:val="21"/>
          <w:highlight w:val="none"/>
          <w:u w:val="single"/>
        </w:rPr>
        <w:t>承包人完成合同范围内的工程内容，向发包人或监理人提出验收申请，发包人应在监理人收到承包人提交的验收申请报告42天内组织监理人、承包人、设计勘察人等相关单位完成验收，并签署工程质量合格文件。承包人须配合发包人进行工程竣工验收。</w:t>
      </w:r>
    </w:p>
    <w:p w14:paraId="560B6635">
      <w:pPr>
        <w:spacing w:line="400" w:lineRule="exact"/>
        <w:ind w:firstLine="420" w:firstLineChars="200"/>
        <w:rPr>
          <w:color w:val="auto"/>
          <w:szCs w:val="21"/>
          <w:highlight w:val="none"/>
          <w:u w:val="single"/>
        </w:rPr>
      </w:pPr>
      <w:r>
        <w:rPr>
          <w:color w:val="auto"/>
          <w:szCs w:val="21"/>
          <w:highlight w:val="none"/>
        </w:rPr>
        <w:t>发包人不按照本项约定组织竣工验收、颁发工程接收证书的违约金的计算方法：</w:t>
      </w:r>
      <w:r>
        <w:rPr>
          <w:color w:val="auto"/>
          <w:szCs w:val="21"/>
          <w:highlight w:val="none"/>
          <w:u w:val="single"/>
        </w:rPr>
        <w:t xml:space="preserve">  不计违约金。</w:t>
      </w:r>
    </w:p>
    <w:p w14:paraId="2EAA0F99">
      <w:pPr>
        <w:spacing w:line="400" w:lineRule="exact"/>
        <w:ind w:firstLine="420" w:firstLineChars="200"/>
        <w:rPr>
          <w:color w:val="auto"/>
          <w:szCs w:val="21"/>
          <w:highlight w:val="none"/>
        </w:rPr>
      </w:pPr>
      <w:r>
        <w:rPr>
          <w:color w:val="auto"/>
          <w:szCs w:val="21"/>
          <w:highlight w:val="none"/>
          <w:u w:val="single"/>
        </w:rPr>
        <w:t>因发包人原因，未在监理人接收到承包人提交的竣工验收申请报告42天内完成验收，或完成验收不予签发工程接收证书的，以提交竣工验收申请报告的日期为实际竣工日期</w:t>
      </w:r>
      <w:r>
        <w:rPr>
          <w:rFonts w:hint="eastAsia"/>
          <w:color w:val="auto"/>
          <w:szCs w:val="21"/>
          <w:highlight w:val="none"/>
          <w:u w:val="single"/>
        </w:rPr>
        <w:t xml:space="preserve"> </w:t>
      </w:r>
      <w:r>
        <w:rPr>
          <w:color w:val="auto"/>
          <w:szCs w:val="21"/>
          <w:highlight w:val="none"/>
        </w:rPr>
        <w:t>。</w:t>
      </w:r>
    </w:p>
    <w:p w14:paraId="59382270">
      <w:pPr>
        <w:spacing w:line="400" w:lineRule="exact"/>
        <w:ind w:firstLine="420" w:firstLineChars="200"/>
        <w:rPr>
          <w:color w:val="auto"/>
          <w:szCs w:val="21"/>
          <w:highlight w:val="none"/>
        </w:rPr>
      </w:pPr>
      <w:r>
        <w:rPr>
          <w:color w:val="auto"/>
          <w:szCs w:val="21"/>
          <w:highlight w:val="none"/>
        </w:rPr>
        <w:t>13.2.5移交、接收全部与部分工程</w:t>
      </w:r>
    </w:p>
    <w:p w14:paraId="4754A116">
      <w:pPr>
        <w:spacing w:line="400" w:lineRule="exact"/>
        <w:ind w:firstLine="420" w:firstLineChars="200"/>
        <w:rPr>
          <w:color w:val="auto"/>
          <w:szCs w:val="21"/>
          <w:highlight w:val="none"/>
        </w:rPr>
      </w:pPr>
      <w:r>
        <w:rPr>
          <w:color w:val="auto"/>
          <w:szCs w:val="21"/>
          <w:highlight w:val="none"/>
        </w:rPr>
        <w:t>承包人向发包人移交工程的期限：</w:t>
      </w:r>
      <w:r>
        <w:rPr>
          <w:color w:val="auto"/>
          <w:szCs w:val="21"/>
          <w:highlight w:val="none"/>
          <w:u w:val="single"/>
        </w:rPr>
        <w:t xml:space="preserve">  按通用条款执行  </w:t>
      </w:r>
      <w:r>
        <w:rPr>
          <w:color w:val="auto"/>
          <w:szCs w:val="21"/>
          <w:highlight w:val="none"/>
        </w:rPr>
        <w:t>。</w:t>
      </w:r>
    </w:p>
    <w:p w14:paraId="26B35F26">
      <w:pPr>
        <w:spacing w:line="400" w:lineRule="exact"/>
        <w:ind w:firstLine="420" w:firstLineChars="200"/>
        <w:rPr>
          <w:color w:val="auto"/>
          <w:szCs w:val="21"/>
          <w:highlight w:val="none"/>
          <w:u w:val="single"/>
        </w:rPr>
      </w:pPr>
      <w:r>
        <w:rPr>
          <w:color w:val="auto"/>
          <w:szCs w:val="21"/>
          <w:highlight w:val="none"/>
        </w:rPr>
        <w:t>发包人未按本合同约定接收全部或部分工程的，违约金的计算方法为：</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02A20B46">
      <w:pPr>
        <w:spacing w:line="400" w:lineRule="exact"/>
        <w:ind w:firstLine="420" w:firstLineChars="200"/>
        <w:rPr>
          <w:color w:val="auto"/>
          <w:szCs w:val="21"/>
          <w:highlight w:val="none"/>
        </w:rPr>
      </w:pPr>
      <w:r>
        <w:rPr>
          <w:color w:val="auto"/>
          <w:szCs w:val="21"/>
          <w:highlight w:val="none"/>
        </w:rPr>
        <w:t>承包人未按时移交工程的，违约金的计算方法为：</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5F496B68">
      <w:pPr>
        <w:spacing w:line="400" w:lineRule="exact"/>
        <w:ind w:firstLine="420" w:firstLineChars="200"/>
        <w:rPr>
          <w:color w:val="auto"/>
          <w:szCs w:val="21"/>
          <w:highlight w:val="none"/>
        </w:rPr>
      </w:pPr>
      <w:r>
        <w:rPr>
          <w:color w:val="auto"/>
          <w:szCs w:val="21"/>
          <w:highlight w:val="none"/>
        </w:rPr>
        <w:t>13.3 工程试车</w:t>
      </w:r>
    </w:p>
    <w:p w14:paraId="4B151490">
      <w:pPr>
        <w:spacing w:line="400" w:lineRule="exact"/>
        <w:ind w:firstLine="420" w:firstLineChars="200"/>
        <w:rPr>
          <w:color w:val="auto"/>
          <w:szCs w:val="21"/>
          <w:highlight w:val="none"/>
        </w:rPr>
      </w:pPr>
      <w:r>
        <w:rPr>
          <w:color w:val="auto"/>
          <w:szCs w:val="21"/>
          <w:highlight w:val="none"/>
        </w:rPr>
        <w:t>13.3.1 试车程序</w:t>
      </w:r>
    </w:p>
    <w:p w14:paraId="4624C8D2">
      <w:pPr>
        <w:spacing w:line="400" w:lineRule="exact"/>
        <w:ind w:firstLine="420" w:firstLineChars="200"/>
        <w:rPr>
          <w:color w:val="auto"/>
          <w:szCs w:val="21"/>
          <w:highlight w:val="none"/>
        </w:rPr>
      </w:pPr>
      <w:r>
        <w:rPr>
          <w:color w:val="auto"/>
          <w:szCs w:val="21"/>
          <w:highlight w:val="none"/>
        </w:rPr>
        <w:t>工程试车内容：</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45C1A62E">
      <w:pPr>
        <w:spacing w:line="400" w:lineRule="exact"/>
        <w:ind w:firstLine="420" w:firstLineChars="200"/>
        <w:rPr>
          <w:color w:val="auto"/>
          <w:szCs w:val="21"/>
          <w:highlight w:val="none"/>
        </w:rPr>
      </w:pPr>
      <w:r>
        <w:rPr>
          <w:color w:val="auto"/>
          <w:szCs w:val="21"/>
          <w:highlight w:val="none"/>
        </w:rPr>
        <w:t>（1）单机无负荷试车费用由</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承担；</w:t>
      </w:r>
    </w:p>
    <w:p w14:paraId="50B7376D">
      <w:pPr>
        <w:spacing w:line="400" w:lineRule="exact"/>
        <w:ind w:firstLine="420" w:firstLineChars="200"/>
        <w:rPr>
          <w:color w:val="auto"/>
          <w:szCs w:val="21"/>
          <w:highlight w:val="none"/>
        </w:rPr>
      </w:pPr>
      <w:r>
        <w:rPr>
          <w:color w:val="auto"/>
          <w:szCs w:val="21"/>
          <w:highlight w:val="none"/>
        </w:rPr>
        <w:t>（2）无负荷联动试车费用由</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承担。</w:t>
      </w:r>
    </w:p>
    <w:p w14:paraId="26361F90">
      <w:pPr>
        <w:spacing w:line="400" w:lineRule="exact"/>
        <w:ind w:firstLine="420" w:firstLineChars="200"/>
        <w:rPr>
          <w:color w:val="auto"/>
          <w:szCs w:val="21"/>
          <w:highlight w:val="none"/>
        </w:rPr>
      </w:pPr>
      <w:r>
        <w:rPr>
          <w:color w:val="auto"/>
          <w:szCs w:val="21"/>
          <w:highlight w:val="none"/>
        </w:rPr>
        <w:t>13.3.3 投料试车</w:t>
      </w:r>
    </w:p>
    <w:p w14:paraId="4A5B81CA">
      <w:pPr>
        <w:spacing w:line="400" w:lineRule="exact"/>
        <w:ind w:firstLine="420" w:firstLineChars="200"/>
        <w:rPr>
          <w:color w:val="auto"/>
          <w:szCs w:val="21"/>
          <w:highlight w:val="none"/>
        </w:rPr>
      </w:pPr>
      <w:r>
        <w:rPr>
          <w:color w:val="auto"/>
          <w:szCs w:val="21"/>
          <w:highlight w:val="none"/>
        </w:rPr>
        <w:t>关于投料试车相关事项的约定：</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579969BD">
      <w:pPr>
        <w:spacing w:line="400" w:lineRule="exact"/>
        <w:ind w:firstLine="420" w:firstLineChars="200"/>
        <w:rPr>
          <w:color w:val="auto"/>
          <w:szCs w:val="21"/>
          <w:highlight w:val="none"/>
        </w:rPr>
      </w:pPr>
      <w:r>
        <w:rPr>
          <w:color w:val="auto"/>
          <w:szCs w:val="21"/>
          <w:highlight w:val="none"/>
        </w:rPr>
        <w:t>13.6 竣工退场</w:t>
      </w:r>
    </w:p>
    <w:p w14:paraId="5E46F54E">
      <w:pPr>
        <w:spacing w:line="400" w:lineRule="exact"/>
        <w:ind w:firstLine="420" w:firstLineChars="200"/>
        <w:rPr>
          <w:color w:val="auto"/>
          <w:szCs w:val="21"/>
          <w:highlight w:val="none"/>
        </w:rPr>
      </w:pPr>
      <w:r>
        <w:rPr>
          <w:color w:val="auto"/>
          <w:szCs w:val="21"/>
          <w:highlight w:val="none"/>
        </w:rPr>
        <w:t>13.6.1 竣工退场</w:t>
      </w:r>
    </w:p>
    <w:p w14:paraId="01039EB5">
      <w:pPr>
        <w:spacing w:line="400" w:lineRule="exact"/>
        <w:ind w:firstLine="420" w:firstLineChars="200"/>
        <w:rPr>
          <w:color w:val="auto"/>
          <w:szCs w:val="21"/>
          <w:highlight w:val="none"/>
        </w:rPr>
      </w:pPr>
      <w:r>
        <w:rPr>
          <w:color w:val="auto"/>
          <w:szCs w:val="21"/>
          <w:highlight w:val="none"/>
        </w:rPr>
        <w:t>承包人完成竣工退场的期限：</w:t>
      </w:r>
      <w:r>
        <w:rPr>
          <w:color w:val="auto"/>
          <w:szCs w:val="21"/>
          <w:highlight w:val="none"/>
          <w:u w:val="single"/>
        </w:rPr>
        <w:t xml:space="preserve"> 颁发工程接收证书后7天内</w:t>
      </w:r>
      <w:r>
        <w:rPr>
          <w:color w:val="auto"/>
          <w:szCs w:val="21"/>
          <w:highlight w:val="none"/>
        </w:rPr>
        <w:t>。</w:t>
      </w:r>
    </w:p>
    <w:p w14:paraId="3881B1A3">
      <w:pPr>
        <w:spacing w:line="400" w:lineRule="exact"/>
        <w:ind w:firstLine="420" w:firstLineChars="200"/>
        <w:rPr>
          <w:rFonts w:hint="eastAsia"/>
          <w:color w:val="auto"/>
          <w:szCs w:val="21"/>
          <w:highlight w:val="none"/>
        </w:rPr>
      </w:pPr>
      <w:r>
        <w:rPr>
          <w:rFonts w:hint="eastAsia"/>
          <w:color w:val="auto"/>
          <w:szCs w:val="21"/>
          <w:highlight w:val="none"/>
        </w:rPr>
        <w:t>13.6.2 地表还原</w:t>
      </w:r>
    </w:p>
    <w:p w14:paraId="39490A4A">
      <w:pPr>
        <w:spacing w:line="400" w:lineRule="exact"/>
        <w:ind w:firstLine="420" w:firstLineChars="200"/>
        <w:rPr>
          <w:rFonts w:hint="eastAsia"/>
          <w:color w:val="auto"/>
          <w:szCs w:val="21"/>
          <w:highlight w:val="none"/>
        </w:rPr>
      </w:pPr>
      <w:r>
        <w:rPr>
          <w:rFonts w:hint="eastAsia"/>
          <w:color w:val="auto"/>
          <w:szCs w:val="21"/>
          <w:highlight w:val="none"/>
        </w:rPr>
        <w:t>承包人应按发包人要求恢复临时占地及清理场地，承包人未按发包人的要求恢复临时占地，或者场地清理未达到合同约定要求的，发包人有权委托其他人恢复或清理，所发生的费用由承包人承担。</w:t>
      </w:r>
    </w:p>
    <w:p w14:paraId="22DA3FDC">
      <w:pPr>
        <w:spacing w:line="400" w:lineRule="exact"/>
        <w:ind w:firstLine="420" w:firstLineChars="200"/>
        <w:rPr>
          <w:color w:val="auto"/>
          <w:szCs w:val="21"/>
          <w:highlight w:val="none"/>
        </w:rPr>
      </w:pPr>
      <w:r>
        <w:rPr>
          <w:rFonts w:hint="eastAsia"/>
          <w:color w:val="auto"/>
          <w:szCs w:val="21"/>
          <w:highlight w:val="none"/>
        </w:rPr>
        <w:t>本工程场地恢复的要求：</w:t>
      </w:r>
    </w:p>
    <w:p w14:paraId="6A9C0CB4">
      <w:pPr>
        <w:spacing w:line="400" w:lineRule="exact"/>
        <w:ind w:firstLine="420" w:firstLineChars="200"/>
        <w:rPr>
          <w:rFonts w:hint="eastAsia"/>
          <w:color w:val="auto"/>
          <w:szCs w:val="21"/>
          <w:highlight w:val="none"/>
        </w:rPr>
      </w:pPr>
      <w:r>
        <w:rPr>
          <w:rFonts w:hint="eastAsia"/>
          <w:color w:val="auto"/>
          <w:szCs w:val="21"/>
          <w:highlight w:val="none"/>
        </w:rPr>
        <w:t>（1）清理完成施工现场垃圾，临建的拆除与场地复原；</w:t>
      </w:r>
    </w:p>
    <w:p w14:paraId="17A0B904">
      <w:pPr>
        <w:spacing w:line="400" w:lineRule="exact"/>
        <w:ind w:firstLine="420" w:firstLineChars="200"/>
        <w:rPr>
          <w:rFonts w:hint="eastAsia"/>
          <w:color w:val="auto"/>
          <w:szCs w:val="21"/>
          <w:highlight w:val="none"/>
        </w:rPr>
      </w:pPr>
      <w:r>
        <w:rPr>
          <w:rFonts w:hint="eastAsia"/>
          <w:color w:val="auto"/>
          <w:szCs w:val="21"/>
          <w:highlight w:val="none"/>
        </w:rPr>
        <w:t>（2）施工后废弃材料、设备清理撤离；</w:t>
      </w:r>
    </w:p>
    <w:p w14:paraId="2F8D934A">
      <w:pPr>
        <w:spacing w:line="400" w:lineRule="exact"/>
        <w:ind w:firstLine="420" w:firstLineChars="200"/>
        <w:rPr>
          <w:rFonts w:hint="eastAsia"/>
          <w:color w:val="auto"/>
          <w:szCs w:val="21"/>
          <w:highlight w:val="none"/>
        </w:rPr>
      </w:pPr>
      <w:r>
        <w:rPr>
          <w:rFonts w:hint="eastAsia"/>
          <w:color w:val="auto"/>
          <w:szCs w:val="21"/>
          <w:highlight w:val="none"/>
        </w:rPr>
        <w:t>（3）承包人造成的施工现场周边施工堆积物及场地清理。</w:t>
      </w:r>
    </w:p>
    <w:p w14:paraId="0EF12105">
      <w:pPr>
        <w:spacing w:line="400" w:lineRule="exact"/>
        <w:ind w:firstLine="420" w:firstLineChars="200"/>
        <w:rPr>
          <w:rFonts w:hint="eastAsia"/>
          <w:color w:val="auto"/>
          <w:szCs w:val="21"/>
          <w:highlight w:val="none"/>
        </w:rPr>
      </w:pPr>
      <w:r>
        <w:rPr>
          <w:rFonts w:hint="eastAsia"/>
          <w:color w:val="auto"/>
          <w:szCs w:val="21"/>
          <w:highlight w:val="none"/>
        </w:rPr>
        <w:t>（4）其它要求：</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rFonts w:hint="eastAsia"/>
          <w:color w:val="auto"/>
          <w:szCs w:val="21"/>
          <w:highlight w:val="none"/>
          <w:u w:val="single"/>
        </w:rPr>
        <w:t xml:space="preserve"> </w:t>
      </w:r>
    </w:p>
    <w:p w14:paraId="65A23398">
      <w:pPr>
        <w:pStyle w:val="4"/>
        <w:spacing w:before="0" w:after="0" w:line="400" w:lineRule="exact"/>
        <w:ind w:firstLine="422" w:firstLineChars="200"/>
        <w:rPr>
          <w:rFonts w:ascii="Times New Roman" w:hAnsi="Times New Roman"/>
          <w:color w:val="auto"/>
          <w:sz w:val="21"/>
          <w:szCs w:val="21"/>
          <w:highlight w:val="none"/>
        </w:rPr>
      </w:pPr>
      <w:bookmarkStart w:id="116" w:name="_Toc351203646"/>
      <w:r>
        <w:rPr>
          <w:rFonts w:ascii="Times New Roman" w:hAnsi="Times New Roman"/>
          <w:color w:val="auto"/>
          <w:sz w:val="21"/>
          <w:szCs w:val="21"/>
          <w:highlight w:val="none"/>
        </w:rPr>
        <w:t>14. 竣工结算</w:t>
      </w:r>
      <w:bookmarkEnd w:id="116"/>
    </w:p>
    <w:p w14:paraId="3FC3F0DF">
      <w:pPr>
        <w:spacing w:after="120" w:line="400" w:lineRule="exact"/>
        <w:ind w:firstLine="420" w:firstLineChars="200"/>
        <w:rPr>
          <w:color w:val="auto"/>
          <w:highlight w:val="none"/>
        </w:rPr>
      </w:pPr>
      <w:r>
        <w:rPr>
          <w:color w:val="auto"/>
          <w:highlight w:val="none"/>
        </w:rPr>
        <w:t>14.1竣工</w:t>
      </w:r>
      <w:r>
        <w:rPr>
          <w:rFonts w:hint="eastAsia"/>
          <w:color w:val="auto"/>
          <w:highlight w:val="none"/>
          <w:lang w:val="en-US" w:eastAsia="zh-CN"/>
        </w:rPr>
        <w:t>结算</w:t>
      </w:r>
      <w:r>
        <w:rPr>
          <w:color w:val="auto"/>
          <w:highlight w:val="none"/>
        </w:rPr>
        <w:t>申请</w:t>
      </w:r>
    </w:p>
    <w:p w14:paraId="24E83C07">
      <w:pPr>
        <w:spacing w:line="400" w:lineRule="exact"/>
        <w:ind w:firstLine="420" w:firstLineChars="200"/>
        <w:rPr>
          <w:rFonts w:hint="eastAsia"/>
          <w:color w:val="auto"/>
          <w:szCs w:val="21"/>
          <w:highlight w:val="none"/>
          <w:u w:val="single"/>
        </w:rPr>
      </w:pPr>
      <w:r>
        <w:rPr>
          <w:rFonts w:hint="eastAsia"/>
          <w:color w:val="auto"/>
          <w:highlight w:val="none"/>
        </w:rPr>
        <w:t>1.</w:t>
      </w:r>
      <w:r>
        <w:rPr>
          <w:color w:val="auto"/>
          <w:highlight w:val="none"/>
        </w:rPr>
        <w:t>承包人提交竣工</w:t>
      </w:r>
      <w:r>
        <w:rPr>
          <w:rFonts w:hint="eastAsia"/>
          <w:color w:val="auto"/>
          <w:highlight w:val="none"/>
        </w:rPr>
        <w:t>结算申请</w:t>
      </w:r>
      <w:r>
        <w:rPr>
          <w:color w:val="auto"/>
          <w:highlight w:val="none"/>
        </w:rPr>
        <w:t>的期限：</w:t>
      </w:r>
    </w:p>
    <w:p w14:paraId="5FEA0FD0">
      <w:pPr>
        <w:spacing w:line="400" w:lineRule="exact"/>
        <w:ind w:firstLine="420" w:firstLineChars="200"/>
        <w:rPr>
          <w:rFonts w:hint="eastAsia"/>
          <w:color w:val="auto"/>
          <w:szCs w:val="21"/>
          <w:highlight w:val="none"/>
          <w:u w:val="single"/>
        </w:rPr>
      </w:pPr>
      <w:r>
        <w:rPr>
          <w:color w:val="auto"/>
          <w:szCs w:val="21"/>
          <w:highlight w:val="none"/>
          <w:u w:val="single"/>
        </w:rPr>
        <w:t>承包人应在完成合同范围内施工内容，</w:t>
      </w:r>
      <w:r>
        <w:rPr>
          <w:rFonts w:hint="eastAsia"/>
          <w:color w:val="auto"/>
          <w:szCs w:val="21"/>
          <w:highlight w:val="none"/>
          <w:u w:val="single"/>
        </w:rPr>
        <w:t>参建</w:t>
      </w:r>
      <w:r>
        <w:rPr>
          <w:color w:val="auto"/>
          <w:szCs w:val="21"/>
          <w:highlight w:val="none"/>
          <w:u w:val="single"/>
        </w:rPr>
        <w:t>各方主体（建设、监理、施工、勘察、设计单位等）对工程验收并签署工程质量合格文件后</w:t>
      </w:r>
      <w:r>
        <w:rPr>
          <w:rFonts w:hint="eastAsia"/>
          <w:color w:val="auto"/>
          <w:szCs w:val="21"/>
          <w:highlight w:val="none"/>
          <w:u w:val="single"/>
          <w:lang w:eastAsia="zh-CN"/>
        </w:rPr>
        <w:t>的</w:t>
      </w:r>
      <w:r>
        <w:rPr>
          <w:rFonts w:hint="eastAsia"/>
          <w:color w:val="auto"/>
          <w:szCs w:val="21"/>
          <w:highlight w:val="none"/>
          <w:u w:val="single"/>
        </w:rPr>
        <w:t>28天内，</w:t>
      </w:r>
      <w:r>
        <w:rPr>
          <w:color w:val="auto"/>
          <w:szCs w:val="21"/>
          <w:highlight w:val="none"/>
          <w:u w:val="single"/>
        </w:rPr>
        <w:t>向发包人或监理人</w:t>
      </w:r>
      <w:r>
        <w:rPr>
          <w:rFonts w:hint="eastAsia"/>
          <w:color w:val="auto"/>
          <w:szCs w:val="21"/>
          <w:highlight w:val="none"/>
          <w:u w:val="single"/>
        </w:rPr>
        <w:t>、发包人委托的中介机构</w:t>
      </w:r>
      <w:r>
        <w:rPr>
          <w:color w:val="auto"/>
          <w:szCs w:val="21"/>
          <w:highlight w:val="none"/>
          <w:u w:val="single"/>
        </w:rPr>
        <w:t>提交</w:t>
      </w:r>
      <w:r>
        <w:rPr>
          <w:rFonts w:hint="eastAsia"/>
          <w:color w:val="auto"/>
          <w:szCs w:val="21"/>
          <w:highlight w:val="none"/>
          <w:u w:val="single"/>
        </w:rPr>
        <w:t>最终工程</w:t>
      </w:r>
      <w:r>
        <w:rPr>
          <w:color w:val="auto"/>
          <w:szCs w:val="21"/>
          <w:highlight w:val="none"/>
          <w:u w:val="single"/>
        </w:rPr>
        <w:t>结算申请，并提交完整的工程结算资料一套。</w:t>
      </w:r>
    </w:p>
    <w:p w14:paraId="7B30C8E0">
      <w:pPr>
        <w:spacing w:line="400" w:lineRule="exact"/>
        <w:ind w:firstLine="420" w:firstLineChars="200"/>
        <w:rPr>
          <w:rFonts w:hint="eastAsia"/>
          <w:color w:val="auto"/>
          <w:szCs w:val="21"/>
          <w:highlight w:val="none"/>
          <w:u w:val="single"/>
        </w:rPr>
      </w:pPr>
      <w:r>
        <w:rPr>
          <w:rFonts w:hint="eastAsia"/>
          <w:color w:val="auto"/>
          <w:szCs w:val="21"/>
          <w:highlight w:val="none"/>
          <w:u w:val="single"/>
        </w:rPr>
        <w:t>工程验收后，承包人</w:t>
      </w:r>
      <w:r>
        <w:rPr>
          <w:color w:val="auto"/>
          <w:szCs w:val="21"/>
          <w:highlight w:val="none"/>
          <w:u w:val="single"/>
        </w:rPr>
        <w:t>超过90天未提交</w:t>
      </w:r>
      <w:r>
        <w:rPr>
          <w:rFonts w:hint="eastAsia"/>
          <w:color w:val="auto"/>
          <w:szCs w:val="21"/>
          <w:highlight w:val="none"/>
          <w:u w:val="single"/>
        </w:rPr>
        <w:t>最终工程</w:t>
      </w:r>
      <w:r>
        <w:rPr>
          <w:color w:val="auto"/>
          <w:szCs w:val="21"/>
          <w:highlight w:val="none"/>
          <w:u w:val="single"/>
        </w:rPr>
        <w:t>结算资料，经发包人催告后28天，承包人还不提</w:t>
      </w:r>
      <w:r>
        <w:rPr>
          <w:rFonts w:hint="eastAsia" w:ascii="Times New Roman" w:hAnsi="Times New Roman" w:eastAsia="宋体" w:cs="Times New Roman"/>
          <w:color w:val="auto"/>
          <w:szCs w:val="21"/>
          <w:highlight w:val="none"/>
          <w:u w:val="single"/>
          <w:lang w:val="en-US" w:eastAsia="zh-CN"/>
        </w:rPr>
        <w:t>交</w:t>
      </w:r>
      <w:r>
        <w:rPr>
          <w:rFonts w:hint="eastAsia"/>
          <w:color w:val="auto"/>
          <w:szCs w:val="21"/>
          <w:highlight w:val="none"/>
          <w:u w:val="single"/>
        </w:rPr>
        <w:t>工程</w:t>
      </w:r>
      <w:r>
        <w:rPr>
          <w:color w:val="auto"/>
          <w:szCs w:val="21"/>
          <w:highlight w:val="none"/>
          <w:u w:val="single"/>
        </w:rPr>
        <w:t>结算资料的，发包人可根据自己资料办理</w:t>
      </w:r>
      <w:r>
        <w:rPr>
          <w:rFonts w:hint="eastAsia"/>
          <w:color w:val="auto"/>
          <w:szCs w:val="21"/>
          <w:highlight w:val="none"/>
          <w:u w:val="single"/>
        </w:rPr>
        <w:t>工程</w:t>
      </w:r>
      <w:r>
        <w:rPr>
          <w:color w:val="auto"/>
          <w:szCs w:val="21"/>
          <w:highlight w:val="none"/>
          <w:u w:val="single"/>
        </w:rPr>
        <w:t>结算，且视为承包人认可</w:t>
      </w:r>
      <w:r>
        <w:rPr>
          <w:rFonts w:hint="eastAsia"/>
          <w:color w:val="auto"/>
          <w:szCs w:val="21"/>
          <w:highlight w:val="none"/>
          <w:u w:val="single"/>
        </w:rPr>
        <w:t>工程</w:t>
      </w:r>
      <w:r>
        <w:rPr>
          <w:color w:val="auto"/>
          <w:szCs w:val="21"/>
          <w:highlight w:val="none"/>
          <w:u w:val="single"/>
        </w:rPr>
        <w:t>结算结果。</w:t>
      </w:r>
    </w:p>
    <w:p w14:paraId="4FC4D4FE">
      <w:pPr>
        <w:spacing w:line="400" w:lineRule="exact"/>
        <w:ind w:firstLine="420" w:firstLineChars="200"/>
        <w:rPr>
          <w:rFonts w:hint="eastAsia"/>
          <w:color w:val="auto"/>
          <w:szCs w:val="21"/>
          <w:highlight w:val="none"/>
          <w:u w:val="single"/>
        </w:rPr>
      </w:pPr>
      <w:r>
        <w:rPr>
          <w:rFonts w:hint="eastAsia"/>
          <w:color w:val="auto"/>
          <w:szCs w:val="21"/>
          <w:highlight w:val="none"/>
        </w:rPr>
        <w:t>2. 竣工结算申请单应包括的内容：</w:t>
      </w:r>
      <w:r>
        <w:rPr>
          <w:rFonts w:hint="eastAsia"/>
          <w:color w:val="auto"/>
          <w:szCs w:val="21"/>
          <w:highlight w:val="none"/>
          <w:u w:val="single"/>
        </w:rPr>
        <w:t>包括但不限于施工合同、补充协议、招标文件、投标文件、竣工图纸、施工方案以及经确认的工程变更、工程索赔、现场签证，相关施工记录，〔各分段节点工程结算审核报告〕工程款收款证明、逾期付款利息计算书等相关资料。</w:t>
      </w:r>
    </w:p>
    <w:p w14:paraId="080EDAD5">
      <w:pPr>
        <w:spacing w:line="400" w:lineRule="exact"/>
        <w:ind w:firstLine="315" w:firstLineChars="150"/>
        <w:rPr>
          <w:color w:val="auto"/>
          <w:szCs w:val="21"/>
          <w:highlight w:val="none"/>
        </w:rPr>
      </w:pPr>
      <w:r>
        <w:rPr>
          <w:color w:val="auto"/>
          <w:szCs w:val="21"/>
          <w:highlight w:val="none"/>
        </w:rPr>
        <w:t>14.2 竣工结算审核</w:t>
      </w:r>
    </w:p>
    <w:p w14:paraId="17C0B57A">
      <w:pPr>
        <w:spacing w:line="400" w:lineRule="exact"/>
        <w:ind w:left="420" w:leftChars="200" w:firstLine="0" w:firstLineChars="0"/>
        <w:rPr>
          <w:color w:val="auto"/>
          <w:szCs w:val="21"/>
          <w:highlight w:val="none"/>
        </w:rPr>
      </w:pPr>
      <w:r>
        <w:rPr>
          <w:color w:val="auto"/>
          <w:szCs w:val="21"/>
          <w:highlight w:val="none"/>
        </w:rPr>
        <w:t>（1）</w:t>
      </w:r>
      <w:r>
        <w:rPr>
          <w:rFonts w:hint="eastAsia"/>
          <w:color w:val="auto"/>
          <w:szCs w:val="21"/>
          <w:highlight w:val="none"/>
        </w:rPr>
        <w:t>发包人结算审核</w:t>
      </w:r>
      <w:r>
        <w:rPr>
          <w:rFonts w:hint="eastAsia"/>
          <w:color w:val="auto"/>
          <w:szCs w:val="21"/>
          <w:highlight w:val="none"/>
        </w:rPr>
        <w:t>时间：</w:t>
      </w:r>
      <w:r>
        <w:rPr>
          <w:rFonts w:hint="eastAsia"/>
          <w:color w:val="auto"/>
          <w:szCs w:val="21"/>
          <w:highlight w:val="none"/>
          <w:u w:val="single"/>
        </w:rPr>
        <w:t>发包人收到承包人递交的最终工程结算报告及结算资料后，</w:t>
      </w:r>
      <w:r>
        <w:rPr>
          <w:rFonts w:hint="eastAsia" w:ascii="Times New Roman" w:hAnsi="Times New Roman" w:eastAsia="宋体" w:cs="Times New Roman"/>
          <w:color w:val="auto"/>
          <w:szCs w:val="21"/>
          <w:highlight w:val="none"/>
          <w:u w:val="single"/>
        </w:rPr>
        <w:t>在</w:t>
      </w:r>
      <w:r>
        <w:rPr>
          <w:rFonts w:hint="eastAsia" w:ascii="Times New Roman" w:hAnsi="Times New Roman" w:eastAsia="宋体" w:cs="Times New Roman"/>
          <w:color w:val="auto"/>
          <w:szCs w:val="21"/>
          <w:highlight w:val="none"/>
          <w:u w:val="single"/>
          <w:lang w:eastAsia="zh-CN"/>
        </w:rPr>
        <w:t>（</w:t>
      </w:r>
      <w:r>
        <w:rPr>
          <w:rFonts w:hint="eastAsia" w:ascii="Times New Roman" w:hAnsi="Times New Roman" w:eastAsia="宋体" w:cs="Times New Roman"/>
          <w:color w:val="auto"/>
          <w:szCs w:val="21"/>
          <w:highlight w:val="none"/>
          <w:u w:val="single"/>
          <w:lang w:val="en-US" w:eastAsia="zh-CN"/>
        </w:rPr>
        <w:t xml:space="preserve">  ）天内</w:t>
      </w:r>
      <w:r>
        <w:rPr>
          <w:rFonts w:hint="eastAsia" w:ascii="Times New Roman" w:hAnsi="Times New Roman" w:eastAsia="宋体" w:cs="Times New Roman"/>
          <w:color w:val="auto"/>
          <w:szCs w:val="21"/>
          <w:highlight w:val="none"/>
          <w:u w:val="single"/>
        </w:rPr>
        <w:t>送三门县财政审核中心审计。待审计结束后，并签发竣工结算证书。</w:t>
      </w:r>
    </w:p>
    <w:p w14:paraId="05F08C14">
      <w:pPr>
        <w:spacing w:line="480" w:lineRule="exact"/>
        <w:ind w:firstLine="420" w:firstLineChars="200"/>
        <w:rPr>
          <w:rFonts w:ascii="Times New Roman" w:hAnsi="Times New Roman"/>
          <w:color w:val="auto"/>
          <w:szCs w:val="21"/>
          <w:highlight w:val="none"/>
          <w:u w:val="single"/>
        </w:rPr>
      </w:pPr>
      <w:r>
        <w:rPr>
          <w:rFonts w:ascii="Times New Roman" w:hAnsi="Times New Roman"/>
          <w:color w:val="auto"/>
          <w:highlight w:val="none"/>
          <w:u w:val="single"/>
        </w:rPr>
        <w:t>因非承包人原因逾期审核责任：发包人（或其委托监理、造价审核单位）收到承包人递交的最终工程结算申请后，由非承包人原因导致的未在约定时间内完成审核。发包人向承包人支付违约金，违约金为工程结算后应付工程款的利息，逾期审核时间 60 天内，利率</w:t>
      </w:r>
      <w:r>
        <w:rPr>
          <w:rFonts w:hint="eastAsia" w:ascii="Times New Roman" w:hAnsi="Times New Roman"/>
          <w:color w:val="auto"/>
          <w:highlight w:val="none"/>
          <w:u w:val="single"/>
          <w:lang w:eastAsia="zh-CN"/>
        </w:rPr>
        <w:t>按全国银行间同业拆借中心公布的同期贷款市场报价利率</w:t>
      </w:r>
      <w:r>
        <w:rPr>
          <w:rFonts w:ascii="Times New Roman" w:hAnsi="Times New Roman"/>
          <w:color w:val="auto"/>
          <w:highlight w:val="none"/>
          <w:u w:val="single"/>
        </w:rPr>
        <w:t>，利息计算时间为应付工程款日至支付工程款日止；逾期审核时间超过60天，超过时间的利率</w:t>
      </w:r>
      <w:r>
        <w:rPr>
          <w:rFonts w:hint="eastAsia" w:ascii="Times New Roman" w:hAnsi="Times New Roman"/>
          <w:color w:val="auto"/>
          <w:highlight w:val="none"/>
          <w:u w:val="single"/>
          <w:lang w:eastAsia="zh-CN"/>
        </w:rPr>
        <w:t>按全国银行间同业拆借中心公布的同期贷款市场报价利率</w:t>
      </w:r>
      <w:r>
        <w:rPr>
          <w:rFonts w:ascii="Times New Roman" w:hAnsi="Times New Roman"/>
          <w:color w:val="auto"/>
          <w:highlight w:val="none"/>
          <w:u w:val="single"/>
        </w:rPr>
        <w:t>的 2 倍计算；</w:t>
      </w:r>
    </w:p>
    <w:p w14:paraId="064F2B8A">
      <w:pPr>
        <w:spacing w:line="480" w:lineRule="exact"/>
        <w:ind w:firstLine="420" w:firstLineChars="200"/>
        <w:rPr>
          <w:rFonts w:ascii="Times New Roman" w:hAnsi="Times New Roman"/>
          <w:b/>
          <w:bCs/>
          <w:color w:val="auto"/>
          <w:szCs w:val="21"/>
          <w:highlight w:val="none"/>
          <w:u w:val="single"/>
        </w:rPr>
      </w:pPr>
      <w:r>
        <w:rPr>
          <w:rFonts w:hint="eastAsia" w:ascii="Times New Roman" w:hAnsi="Times New Roman"/>
          <w:color w:val="auto"/>
          <w:highlight w:val="none"/>
          <w:u w:val="single"/>
          <w:lang w:eastAsia="zh-CN"/>
        </w:rPr>
        <w:t>（</w:t>
      </w:r>
      <w:r>
        <w:rPr>
          <w:rFonts w:hint="eastAsia" w:ascii="Times New Roman" w:hAnsi="Times New Roman"/>
          <w:color w:val="auto"/>
          <w:highlight w:val="none"/>
          <w:u w:val="single"/>
          <w:lang w:val="en-US" w:eastAsia="zh-CN"/>
        </w:rPr>
        <w:t>2）</w:t>
      </w:r>
      <w:r>
        <w:rPr>
          <w:rFonts w:ascii="Times New Roman" w:hAnsi="Times New Roman"/>
          <w:color w:val="auto"/>
          <w:highlight w:val="none"/>
          <w:u w:val="single"/>
        </w:rPr>
        <w:t>发包人在签署最终工程结算证书后 14 天内，按专用条款 15.3 条办理工程质量保证金留置手续后完成对承包人的付款。逾期支付</w:t>
      </w:r>
      <w:r>
        <w:rPr>
          <w:rFonts w:hint="eastAsia" w:ascii="Times New Roman" w:hAnsi="Times New Roman"/>
          <w:color w:val="auto"/>
          <w:highlight w:val="none"/>
          <w:u w:val="single"/>
          <w:lang w:eastAsia="zh-CN"/>
        </w:rPr>
        <w:t>按全国银行间同业拆借中心公布的同期贷款市场报价利率</w:t>
      </w:r>
      <w:r>
        <w:rPr>
          <w:rFonts w:ascii="Times New Roman" w:hAnsi="Times New Roman"/>
          <w:color w:val="auto"/>
          <w:highlight w:val="none"/>
          <w:u w:val="single"/>
        </w:rPr>
        <w:t>支付违约金；逾期超过 56 天，</w:t>
      </w:r>
      <w:r>
        <w:rPr>
          <w:rFonts w:hint="eastAsia" w:ascii="Times New Roman" w:hAnsi="Times New Roman"/>
          <w:color w:val="auto"/>
          <w:highlight w:val="none"/>
          <w:u w:val="single"/>
          <w:lang w:eastAsia="zh-CN"/>
        </w:rPr>
        <w:t>按全国银行间同业拆借中心公布的同期贷款市场报价利率</w:t>
      </w:r>
      <w:r>
        <w:rPr>
          <w:rFonts w:ascii="Times New Roman" w:hAnsi="Times New Roman"/>
          <w:color w:val="auto"/>
          <w:highlight w:val="none"/>
          <w:u w:val="single"/>
        </w:rPr>
        <w:t>的 2 倍支付违约金。</w:t>
      </w:r>
    </w:p>
    <w:p w14:paraId="02EA3A50">
      <w:pPr>
        <w:numPr>
          <w:ilvl w:val="0"/>
          <w:numId w:val="0"/>
        </w:numPr>
        <w:spacing w:line="400" w:lineRule="exact"/>
        <w:ind w:firstLine="420" w:firstLineChars="200"/>
        <w:rPr>
          <w:rFonts w:hint="eastAsia"/>
          <w:color w:val="auto"/>
          <w:szCs w:val="21"/>
          <w:highlight w:val="none"/>
          <w:u w:val="single"/>
        </w:rPr>
      </w:pPr>
      <w:r>
        <w:rPr>
          <w:rFonts w:hint="eastAsia"/>
          <w:color w:val="auto"/>
          <w:szCs w:val="21"/>
          <w:highlight w:val="none"/>
          <w:u w:val="single"/>
        </w:rPr>
        <w:t>（3）承包人对发包人签认的最终工程结算证书有异议的，可对无异议部</w:t>
      </w:r>
      <w:r>
        <w:rPr>
          <w:rFonts w:hint="eastAsia"/>
          <w:color w:val="auto"/>
          <w:szCs w:val="21"/>
          <w:highlight w:val="none"/>
          <w:u w:val="single"/>
        </w:rPr>
        <w:t>分签署确认意见，同时对有异议部分签署争议解决途径意见。发包人先支付承包人无异议部分工程结算价款，异议部分重新进行复核或按照第20条处理。</w:t>
      </w:r>
    </w:p>
    <w:p w14:paraId="1072150F">
      <w:pPr>
        <w:spacing w:line="400" w:lineRule="exact"/>
        <w:ind w:firstLine="420" w:firstLineChars="200"/>
        <w:rPr>
          <w:rFonts w:hint="eastAsia"/>
          <w:color w:val="auto"/>
          <w:szCs w:val="21"/>
          <w:highlight w:val="none"/>
          <w:u w:val="single"/>
        </w:rPr>
      </w:pPr>
      <w:r>
        <w:rPr>
          <w:color w:val="auto"/>
          <w:szCs w:val="21"/>
          <w:highlight w:val="none"/>
        </w:rPr>
        <w:t>（4）</w:t>
      </w:r>
      <w:r>
        <w:rPr>
          <w:rFonts w:hint="eastAsia"/>
          <w:color w:val="auto"/>
          <w:szCs w:val="21"/>
          <w:highlight w:val="none"/>
          <w:u w:val="single"/>
        </w:rPr>
        <w:t>结算特殊要求：</w:t>
      </w:r>
      <w:r>
        <w:rPr>
          <w:rFonts w:hint="eastAsia"/>
          <w:b/>
          <w:color w:val="auto"/>
          <w:szCs w:val="21"/>
          <w:highlight w:val="none"/>
          <w:u w:val="single"/>
        </w:rPr>
        <w:t>工程结算由发包人委托三门县财政</w:t>
      </w:r>
      <w:r>
        <w:rPr>
          <w:b/>
          <w:color w:val="auto"/>
          <w:szCs w:val="21"/>
          <w:highlight w:val="none"/>
          <w:u w:val="single"/>
        </w:rPr>
        <w:t>审核中心</w:t>
      </w:r>
      <w:r>
        <w:rPr>
          <w:rFonts w:hint="eastAsia"/>
          <w:b/>
          <w:color w:val="auto"/>
          <w:szCs w:val="21"/>
          <w:highlight w:val="none"/>
          <w:u w:val="single"/>
        </w:rPr>
        <w:t>审核确定，工程款以第三方审定结论为依据。审核费按《浙江省物价局关于进一步完善工程造价咨询服务收费的通知》（浙价服〔2021〕13号）计算，其中结算超过5%核减率（超过送审造价5%以外的核减额）和核增造价引起的追加收费（核增、核减不相互抵扣），由承包人承担，并可由发包人在应付工程款中扣除直接支付给中介审核机构。</w:t>
      </w:r>
    </w:p>
    <w:p w14:paraId="61A24C7D">
      <w:pPr>
        <w:spacing w:line="400" w:lineRule="exact"/>
        <w:ind w:firstLine="420" w:firstLineChars="200"/>
        <w:rPr>
          <w:color w:val="auto"/>
          <w:szCs w:val="21"/>
          <w:highlight w:val="none"/>
        </w:rPr>
      </w:pPr>
      <w:r>
        <w:rPr>
          <w:rFonts w:hint="eastAsia"/>
          <w:color w:val="auto"/>
          <w:szCs w:val="21"/>
          <w:highlight w:val="none"/>
        </w:rPr>
        <w:t>1</w:t>
      </w:r>
      <w:r>
        <w:rPr>
          <w:color w:val="auto"/>
          <w:szCs w:val="21"/>
          <w:highlight w:val="none"/>
        </w:rPr>
        <w:t>4.4 最终结清</w:t>
      </w:r>
    </w:p>
    <w:p w14:paraId="035C8403">
      <w:pPr>
        <w:spacing w:line="400" w:lineRule="exact"/>
        <w:ind w:firstLine="420" w:firstLineChars="200"/>
        <w:rPr>
          <w:color w:val="auto"/>
          <w:szCs w:val="21"/>
          <w:highlight w:val="none"/>
        </w:rPr>
      </w:pPr>
      <w:r>
        <w:rPr>
          <w:color w:val="auto"/>
          <w:szCs w:val="21"/>
          <w:highlight w:val="none"/>
        </w:rPr>
        <w:t>14.4.1 最终结清申请单</w:t>
      </w:r>
    </w:p>
    <w:p w14:paraId="522442C3">
      <w:pPr>
        <w:spacing w:line="400" w:lineRule="exact"/>
        <w:ind w:firstLine="420" w:firstLineChars="200"/>
        <w:rPr>
          <w:color w:val="auto"/>
          <w:szCs w:val="21"/>
          <w:highlight w:val="none"/>
          <w:u w:val="single"/>
        </w:rPr>
      </w:pPr>
      <w:r>
        <w:rPr>
          <w:color w:val="auto"/>
          <w:szCs w:val="21"/>
          <w:highlight w:val="none"/>
        </w:rPr>
        <w:t>承包人提交最终结清申请单的份数：</w:t>
      </w:r>
      <w:r>
        <w:rPr>
          <w:color w:val="auto"/>
          <w:szCs w:val="21"/>
          <w:highlight w:val="none"/>
          <w:u w:val="single"/>
        </w:rPr>
        <w:t xml:space="preserve">   </w:t>
      </w:r>
      <w:r>
        <w:rPr>
          <w:rFonts w:hint="eastAsia"/>
          <w:color w:val="auto"/>
          <w:szCs w:val="21"/>
          <w:highlight w:val="none"/>
          <w:u w:val="single"/>
        </w:rPr>
        <w:t>按发包人实际需求</w:t>
      </w:r>
      <w:r>
        <w:rPr>
          <w:color w:val="auto"/>
          <w:szCs w:val="21"/>
          <w:highlight w:val="none"/>
          <w:u w:val="single"/>
        </w:rPr>
        <w:t>。</w:t>
      </w:r>
    </w:p>
    <w:p w14:paraId="60D01BAA">
      <w:pPr>
        <w:spacing w:line="400" w:lineRule="exact"/>
        <w:ind w:firstLine="420" w:firstLineChars="200"/>
        <w:rPr>
          <w:rFonts w:hint="eastAsia"/>
          <w:color w:val="auto"/>
          <w:szCs w:val="21"/>
          <w:highlight w:val="none"/>
          <w:u w:val="single"/>
        </w:rPr>
      </w:pPr>
      <w:r>
        <w:rPr>
          <w:color w:val="auto"/>
          <w:szCs w:val="21"/>
          <w:highlight w:val="none"/>
        </w:rPr>
        <w:t>承包人提交最终结算申请单的期限：</w:t>
      </w:r>
      <w:r>
        <w:rPr>
          <w:color w:val="auto"/>
          <w:szCs w:val="21"/>
          <w:highlight w:val="none"/>
          <w:u w:val="single"/>
        </w:rPr>
        <w:t xml:space="preserve">  </w:t>
      </w:r>
      <w:r>
        <w:rPr>
          <w:rFonts w:hint="eastAsia"/>
          <w:color w:val="auto"/>
          <w:szCs w:val="21"/>
          <w:highlight w:val="none"/>
          <w:u w:val="single"/>
        </w:rPr>
        <w:t>缺陷责任期终止后7天内</w:t>
      </w:r>
      <w:r>
        <w:rPr>
          <w:color w:val="auto"/>
          <w:szCs w:val="21"/>
          <w:highlight w:val="none"/>
          <w:u w:val="single"/>
        </w:rPr>
        <w:t xml:space="preserve">。 </w:t>
      </w:r>
    </w:p>
    <w:p w14:paraId="4B8BA9C3">
      <w:pPr>
        <w:spacing w:line="400" w:lineRule="exact"/>
        <w:ind w:firstLine="420" w:firstLineChars="200"/>
        <w:rPr>
          <w:color w:val="auto"/>
          <w:szCs w:val="21"/>
          <w:highlight w:val="none"/>
        </w:rPr>
      </w:pPr>
      <w:r>
        <w:rPr>
          <w:color w:val="auto"/>
          <w:szCs w:val="21"/>
          <w:highlight w:val="none"/>
        </w:rPr>
        <w:t>14.4.2 最终结清证书和支付</w:t>
      </w:r>
    </w:p>
    <w:p w14:paraId="53CDC2B7">
      <w:pPr>
        <w:spacing w:line="400" w:lineRule="exact"/>
        <w:ind w:firstLine="420" w:firstLineChars="200"/>
        <w:rPr>
          <w:color w:val="auto"/>
          <w:szCs w:val="21"/>
          <w:highlight w:val="none"/>
          <w:u w:val="single"/>
        </w:rPr>
      </w:pPr>
      <w:r>
        <w:rPr>
          <w:color w:val="auto"/>
          <w:szCs w:val="21"/>
          <w:highlight w:val="none"/>
        </w:rPr>
        <w:t>（1）发包人完成最终结清申请单的审批并颁发最终结清证书的期限：</w:t>
      </w:r>
      <w:r>
        <w:rPr>
          <w:color w:val="auto"/>
          <w:szCs w:val="21"/>
          <w:highlight w:val="none"/>
          <w:u w:val="single"/>
        </w:rPr>
        <w:t xml:space="preserve">  按通用条款  。</w:t>
      </w:r>
    </w:p>
    <w:p w14:paraId="6733E405">
      <w:pPr>
        <w:spacing w:line="400" w:lineRule="exact"/>
        <w:ind w:firstLine="420" w:firstLineChars="200"/>
        <w:rPr>
          <w:color w:val="auto"/>
          <w:szCs w:val="21"/>
          <w:highlight w:val="none"/>
        </w:rPr>
      </w:pPr>
      <w:r>
        <w:rPr>
          <w:color w:val="auto"/>
          <w:szCs w:val="21"/>
          <w:highlight w:val="none"/>
        </w:rPr>
        <w:t>（2）发包人完成支付的期限：</w:t>
      </w:r>
      <w:r>
        <w:rPr>
          <w:color w:val="auto"/>
          <w:szCs w:val="21"/>
          <w:highlight w:val="none"/>
          <w:u w:val="single"/>
        </w:rPr>
        <w:t>按通用条款。</w:t>
      </w:r>
    </w:p>
    <w:p w14:paraId="3424FFC4">
      <w:pPr>
        <w:pStyle w:val="4"/>
        <w:spacing w:before="0" w:after="0" w:line="400" w:lineRule="exact"/>
        <w:ind w:firstLine="422" w:firstLineChars="200"/>
        <w:rPr>
          <w:rFonts w:ascii="Times New Roman" w:hAnsi="Times New Roman" w:eastAsia="宋体"/>
          <w:b w:val="0"/>
          <w:color w:val="auto"/>
          <w:sz w:val="21"/>
          <w:szCs w:val="21"/>
          <w:highlight w:val="none"/>
        </w:rPr>
      </w:pPr>
      <w:bookmarkStart w:id="117" w:name="_Toc351203647"/>
      <w:r>
        <w:rPr>
          <w:rFonts w:ascii="Times New Roman" w:hAnsi="Times New Roman"/>
          <w:color w:val="auto"/>
          <w:sz w:val="21"/>
          <w:szCs w:val="21"/>
          <w:highlight w:val="none"/>
        </w:rPr>
        <w:t>15. 缺陷责任期与保修</w:t>
      </w:r>
      <w:bookmarkEnd w:id="117"/>
    </w:p>
    <w:p w14:paraId="1B81EBF5">
      <w:pPr>
        <w:spacing w:line="400" w:lineRule="exact"/>
        <w:ind w:firstLine="420" w:firstLineChars="200"/>
        <w:rPr>
          <w:color w:val="auto"/>
          <w:szCs w:val="21"/>
          <w:highlight w:val="none"/>
        </w:rPr>
      </w:pPr>
      <w:r>
        <w:rPr>
          <w:color w:val="auto"/>
          <w:szCs w:val="21"/>
          <w:highlight w:val="none"/>
        </w:rPr>
        <w:t>15.2缺陷责任期</w:t>
      </w:r>
    </w:p>
    <w:p w14:paraId="6D3F3835">
      <w:pPr>
        <w:spacing w:line="400" w:lineRule="exact"/>
        <w:ind w:firstLine="420" w:firstLineChars="200"/>
        <w:rPr>
          <w:color w:val="auto"/>
          <w:szCs w:val="21"/>
          <w:highlight w:val="none"/>
        </w:rPr>
      </w:pPr>
      <w:r>
        <w:rPr>
          <w:color w:val="auto"/>
          <w:szCs w:val="21"/>
          <w:highlight w:val="none"/>
        </w:rPr>
        <w:t>缺陷责任期的具体期限：</w:t>
      </w:r>
      <w:r>
        <w:rPr>
          <w:color w:val="auto"/>
          <w:szCs w:val="21"/>
          <w:highlight w:val="none"/>
          <w:u w:val="single"/>
        </w:rPr>
        <w:t xml:space="preserve"> 缺陷责任期24个月，其余按通用条款执行</w:t>
      </w:r>
      <w:r>
        <w:rPr>
          <w:color w:val="auto"/>
          <w:szCs w:val="21"/>
          <w:highlight w:val="none"/>
        </w:rPr>
        <w:t>。</w:t>
      </w:r>
    </w:p>
    <w:p w14:paraId="62A18207">
      <w:pPr>
        <w:spacing w:line="400" w:lineRule="exact"/>
        <w:ind w:firstLine="420" w:firstLineChars="200"/>
        <w:rPr>
          <w:color w:val="auto"/>
          <w:szCs w:val="21"/>
          <w:highlight w:val="none"/>
        </w:rPr>
      </w:pPr>
      <w:r>
        <w:rPr>
          <w:color w:val="auto"/>
          <w:szCs w:val="21"/>
          <w:highlight w:val="none"/>
        </w:rPr>
        <w:t>15.3 质量保证金</w:t>
      </w:r>
    </w:p>
    <w:p w14:paraId="157A5FFF">
      <w:pPr>
        <w:spacing w:line="400" w:lineRule="exact"/>
        <w:ind w:firstLine="420" w:firstLineChars="200"/>
        <w:rPr>
          <w:color w:val="auto"/>
          <w:szCs w:val="21"/>
          <w:highlight w:val="none"/>
        </w:rPr>
      </w:pPr>
      <w:r>
        <w:rPr>
          <w:color w:val="auto"/>
          <w:szCs w:val="21"/>
          <w:highlight w:val="none"/>
        </w:rPr>
        <w:t>关于是否扣留质量保证金的约定：</w:t>
      </w:r>
      <w:r>
        <w:rPr>
          <w:color w:val="auto"/>
          <w:szCs w:val="21"/>
          <w:highlight w:val="none"/>
          <w:u w:val="single"/>
        </w:rPr>
        <w:t xml:space="preserve"> </w:t>
      </w:r>
      <w:r>
        <w:rPr>
          <w:rFonts w:hint="eastAsia"/>
          <w:color w:val="auto"/>
          <w:szCs w:val="21"/>
          <w:highlight w:val="none"/>
          <w:u w:val="single"/>
        </w:rPr>
        <w:t>留置</w:t>
      </w:r>
      <w:r>
        <w:rPr>
          <w:color w:val="auto"/>
          <w:szCs w:val="21"/>
          <w:highlight w:val="none"/>
          <w:u w:val="single"/>
        </w:rPr>
        <w:t>质量保证金</w:t>
      </w:r>
      <w:r>
        <w:rPr>
          <w:color w:val="auto"/>
          <w:szCs w:val="21"/>
          <w:highlight w:val="none"/>
        </w:rPr>
        <w:t>。</w:t>
      </w:r>
    </w:p>
    <w:p w14:paraId="3433E58B">
      <w:pPr>
        <w:spacing w:line="400" w:lineRule="exact"/>
        <w:ind w:firstLine="420" w:firstLineChars="200"/>
        <w:rPr>
          <w:color w:val="auto"/>
          <w:szCs w:val="21"/>
          <w:highlight w:val="none"/>
        </w:rPr>
      </w:pPr>
      <w:r>
        <w:rPr>
          <w:color w:val="auto"/>
          <w:szCs w:val="21"/>
          <w:highlight w:val="none"/>
        </w:rPr>
        <w:t>15.3.1 承包人提供质量保证金的方式</w:t>
      </w:r>
    </w:p>
    <w:p w14:paraId="51534B92">
      <w:pPr>
        <w:spacing w:line="400" w:lineRule="exact"/>
        <w:ind w:firstLine="420" w:firstLineChars="200"/>
        <w:rPr>
          <w:color w:val="auto"/>
          <w:szCs w:val="21"/>
          <w:highlight w:val="none"/>
        </w:rPr>
      </w:pPr>
      <w:r>
        <w:rPr>
          <w:rFonts w:hint="eastAsia"/>
          <w:color w:val="auto"/>
          <w:szCs w:val="21"/>
          <w:highlight w:val="none"/>
        </w:rPr>
        <w:t>质量保证金采用以下第</w:t>
      </w:r>
      <w:r>
        <w:rPr>
          <w:rFonts w:hint="eastAsia"/>
          <w:color w:val="auto"/>
          <w:szCs w:val="21"/>
          <w:highlight w:val="none"/>
          <w:u w:val="single"/>
        </w:rPr>
        <w:t xml:space="preserve">  （1）  </w:t>
      </w:r>
      <w:r>
        <w:rPr>
          <w:rFonts w:hint="eastAsia"/>
          <w:color w:val="auto"/>
          <w:szCs w:val="21"/>
          <w:highlight w:val="none"/>
        </w:rPr>
        <w:t>种方式：</w:t>
      </w:r>
    </w:p>
    <w:p w14:paraId="7A685628">
      <w:pPr>
        <w:autoSpaceDE w:val="0"/>
        <w:autoSpaceDN w:val="0"/>
        <w:adjustRightInd w:val="0"/>
        <w:spacing w:line="400" w:lineRule="exact"/>
        <w:ind w:firstLine="420" w:firstLineChars="200"/>
        <w:rPr>
          <w:color w:val="auto"/>
          <w:szCs w:val="21"/>
          <w:highlight w:val="none"/>
        </w:rPr>
      </w:pPr>
      <w:r>
        <w:rPr>
          <w:rFonts w:hint="eastAsia"/>
          <w:color w:val="auto"/>
          <w:szCs w:val="21"/>
          <w:highlight w:val="none"/>
        </w:rPr>
        <w:t>（1）质量保证金保函，保函形式为银行保函〔保险保函〕，金额为1.5%的工程结算价款；</w:t>
      </w:r>
    </w:p>
    <w:p w14:paraId="21F29BAE">
      <w:pPr>
        <w:autoSpaceDE w:val="0"/>
        <w:autoSpaceDN w:val="0"/>
        <w:adjustRightInd w:val="0"/>
        <w:spacing w:line="400" w:lineRule="exact"/>
        <w:ind w:firstLine="420" w:firstLineChars="200"/>
        <w:rPr>
          <w:color w:val="auto"/>
          <w:szCs w:val="21"/>
          <w:highlight w:val="none"/>
        </w:rPr>
      </w:pPr>
      <w:r>
        <w:rPr>
          <w:rFonts w:hint="eastAsia"/>
          <w:color w:val="auto"/>
          <w:szCs w:val="21"/>
          <w:highlight w:val="none"/>
        </w:rPr>
        <w:t>（2）</w:t>
      </w:r>
      <w:r>
        <w:rPr>
          <w:rFonts w:hint="eastAsia"/>
          <w:color w:val="auto"/>
          <w:szCs w:val="21"/>
          <w:highlight w:val="none"/>
          <w:u w:val="single"/>
        </w:rPr>
        <w:t>1.5 %</w:t>
      </w:r>
      <w:r>
        <w:rPr>
          <w:rFonts w:hint="eastAsia"/>
          <w:color w:val="auto"/>
          <w:szCs w:val="21"/>
          <w:highlight w:val="none"/>
        </w:rPr>
        <w:t>的工程结算价款；</w:t>
      </w:r>
    </w:p>
    <w:p w14:paraId="4F67220B">
      <w:pPr>
        <w:autoSpaceDE w:val="0"/>
        <w:autoSpaceDN w:val="0"/>
        <w:adjustRightInd w:val="0"/>
        <w:spacing w:line="400" w:lineRule="exact"/>
        <w:ind w:firstLine="420" w:firstLineChars="200"/>
        <w:rPr>
          <w:color w:val="auto"/>
          <w:szCs w:val="21"/>
          <w:highlight w:val="none"/>
        </w:rPr>
      </w:pPr>
      <w:r>
        <w:rPr>
          <w:rFonts w:hint="eastAsia"/>
          <w:color w:val="auto"/>
          <w:szCs w:val="21"/>
          <w:highlight w:val="none"/>
        </w:rPr>
        <w:t>（3）其他方式：</w:t>
      </w:r>
      <w:r>
        <w:rPr>
          <w:rFonts w:hint="eastAsia"/>
          <w:color w:val="auto"/>
          <w:szCs w:val="21"/>
          <w:highlight w:val="none"/>
          <w:u w:val="single"/>
        </w:rPr>
        <w:t xml:space="preserve">           /                     </w:t>
      </w:r>
      <w:r>
        <w:rPr>
          <w:rFonts w:hint="eastAsia"/>
          <w:color w:val="auto"/>
          <w:szCs w:val="21"/>
          <w:highlight w:val="none"/>
        </w:rPr>
        <w:t xml:space="preserve"> 。</w:t>
      </w:r>
    </w:p>
    <w:p w14:paraId="3F5A61BA">
      <w:pPr>
        <w:spacing w:line="400" w:lineRule="exact"/>
        <w:ind w:firstLine="420" w:firstLineChars="200"/>
        <w:rPr>
          <w:color w:val="auto"/>
          <w:szCs w:val="21"/>
          <w:highlight w:val="none"/>
        </w:rPr>
      </w:pPr>
      <w:r>
        <w:rPr>
          <w:rFonts w:hint="eastAsia"/>
          <w:color w:val="auto"/>
          <w:szCs w:val="21"/>
          <w:highlight w:val="none"/>
        </w:rPr>
        <w:t xml:space="preserve">15.3.2  质量保证金的扣留 </w:t>
      </w:r>
    </w:p>
    <w:p w14:paraId="6F5B66F9">
      <w:pPr>
        <w:spacing w:line="400" w:lineRule="exact"/>
        <w:ind w:firstLine="420" w:firstLineChars="200"/>
        <w:rPr>
          <w:color w:val="auto"/>
          <w:szCs w:val="21"/>
          <w:highlight w:val="none"/>
        </w:rPr>
      </w:pPr>
      <w:r>
        <w:rPr>
          <w:rFonts w:hint="eastAsia"/>
          <w:color w:val="auto"/>
          <w:szCs w:val="21"/>
          <w:highlight w:val="none"/>
        </w:rPr>
        <w:t>质量保证金的扣留采取以下第</w:t>
      </w:r>
      <w:r>
        <w:rPr>
          <w:rFonts w:hint="eastAsia"/>
          <w:color w:val="auto"/>
          <w:szCs w:val="21"/>
          <w:highlight w:val="none"/>
          <w:u w:val="single"/>
        </w:rPr>
        <w:t xml:space="preserve"> （3） </w:t>
      </w:r>
      <w:r>
        <w:rPr>
          <w:rFonts w:hint="eastAsia"/>
          <w:color w:val="auto"/>
          <w:szCs w:val="21"/>
          <w:highlight w:val="none"/>
        </w:rPr>
        <w:t>种方式：</w:t>
      </w:r>
    </w:p>
    <w:p w14:paraId="39E3BB5F">
      <w:pPr>
        <w:autoSpaceDE w:val="0"/>
        <w:autoSpaceDN w:val="0"/>
        <w:adjustRightInd w:val="0"/>
        <w:spacing w:line="400" w:lineRule="exact"/>
        <w:ind w:firstLine="420" w:firstLineChars="200"/>
        <w:rPr>
          <w:color w:val="auto"/>
          <w:szCs w:val="21"/>
          <w:highlight w:val="none"/>
        </w:rPr>
      </w:pPr>
      <w:r>
        <w:rPr>
          <w:rFonts w:hint="eastAsia"/>
          <w:color w:val="auto"/>
          <w:szCs w:val="21"/>
          <w:highlight w:val="none"/>
        </w:rPr>
        <w:t>（1）在支付工程进度款时逐次扣留，在此情形下，质量保证金的计算基数不包括预付款的支付、扣回以及价格调整的金额；</w:t>
      </w:r>
    </w:p>
    <w:p w14:paraId="1A054B8F">
      <w:pPr>
        <w:autoSpaceDE w:val="0"/>
        <w:autoSpaceDN w:val="0"/>
        <w:adjustRightInd w:val="0"/>
        <w:spacing w:line="400" w:lineRule="exact"/>
        <w:ind w:firstLine="420" w:firstLineChars="200"/>
        <w:rPr>
          <w:color w:val="auto"/>
          <w:szCs w:val="21"/>
          <w:highlight w:val="none"/>
        </w:rPr>
      </w:pPr>
      <w:r>
        <w:rPr>
          <w:rFonts w:hint="eastAsia"/>
          <w:color w:val="auto"/>
          <w:szCs w:val="21"/>
          <w:highlight w:val="none"/>
        </w:rPr>
        <w:t>（2）工程竣工结算时一次性扣留质量保证金；</w:t>
      </w:r>
    </w:p>
    <w:p w14:paraId="3FC47BDA">
      <w:pPr>
        <w:autoSpaceDE w:val="0"/>
        <w:autoSpaceDN w:val="0"/>
        <w:adjustRightInd w:val="0"/>
        <w:spacing w:line="400" w:lineRule="exact"/>
        <w:ind w:firstLine="420" w:firstLineChars="200"/>
        <w:rPr>
          <w:color w:val="auto"/>
          <w:szCs w:val="21"/>
          <w:highlight w:val="none"/>
        </w:rPr>
      </w:pPr>
      <w:r>
        <w:rPr>
          <w:rFonts w:hint="eastAsia"/>
          <w:color w:val="auto"/>
          <w:szCs w:val="21"/>
          <w:highlight w:val="none"/>
        </w:rPr>
        <w:t>（3）其他扣留方式：</w:t>
      </w:r>
      <w:r>
        <w:rPr>
          <w:rFonts w:hint="eastAsia"/>
          <w:color w:val="auto"/>
          <w:szCs w:val="21"/>
          <w:highlight w:val="none"/>
          <w:u w:val="single"/>
        </w:rPr>
        <w:t xml:space="preserve">发包人支付完成最后工程结算付款前，承包人提供质量保证金保函 </w:t>
      </w:r>
      <w:r>
        <w:rPr>
          <w:rFonts w:hint="eastAsia"/>
          <w:color w:val="auto"/>
          <w:szCs w:val="21"/>
          <w:highlight w:val="none"/>
        </w:rPr>
        <w:t>。</w:t>
      </w:r>
    </w:p>
    <w:p w14:paraId="6ECADF3C">
      <w:pPr>
        <w:spacing w:line="400" w:lineRule="exact"/>
        <w:ind w:firstLine="420" w:firstLineChars="200"/>
        <w:rPr>
          <w:color w:val="auto"/>
          <w:szCs w:val="21"/>
          <w:highlight w:val="none"/>
        </w:rPr>
      </w:pPr>
      <w:r>
        <w:rPr>
          <w:rFonts w:hint="eastAsia"/>
          <w:color w:val="auto"/>
          <w:szCs w:val="21"/>
          <w:highlight w:val="none"/>
        </w:rPr>
        <w:t>关于质量保证金的补充约定：</w:t>
      </w:r>
      <w:r>
        <w:rPr>
          <w:rFonts w:hint="eastAsia"/>
          <w:color w:val="auto"/>
          <w:szCs w:val="21"/>
          <w:highlight w:val="none"/>
          <w:u w:val="single"/>
        </w:rPr>
        <w:t xml:space="preserve">             </w:t>
      </w:r>
      <w:r>
        <w:rPr>
          <w:color w:val="auto"/>
          <w:szCs w:val="21"/>
          <w:highlight w:val="none"/>
          <w:u w:val="single"/>
        </w:rPr>
        <w:t>/</w:t>
      </w:r>
      <w:r>
        <w:rPr>
          <w:rFonts w:hint="eastAsia"/>
          <w:color w:val="auto"/>
          <w:szCs w:val="21"/>
          <w:highlight w:val="none"/>
          <w:u w:val="single"/>
        </w:rPr>
        <w:t xml:space="preserve">              </w:t>
      </w:r>
      <w:r>
        <w:rPr>
          <w:rFonts w:hint="eastAsia"/>
          <w:color w:val="auto"/>
          <w:szCs w:val="21"/>
          <w:highlight w:val="none"/>
        </w:rPr>
        <w:t>。</w:t>
      </w:r>
    </w:p>
    <w:p w14:paraId="74F99C8B">
      <w:pPr>
        <w:spacing w:line="400" w:lineRule="exact"/>
        <w:ind w:firstLine="420" w:firstLineChars="200"/>
        <w:rPr>
          <w:color w:val="auto"/>
          <w:szCs w:val="21"/>
          <w:highlight w:val="none"/>
        </w:rPr>
      </w:pPr>
      <w:r>
        <w:rPr>
          <w:rFonts w:hint="eastAsia"/>
          <w:color w:val="auto"/>
          <w:szCs w:val="21"/>
          <w:highlight w:val="none"/>
        </w:rPr>
        <w:t>15.3.3质量保证金的退还</w:t>
      </w:r>
    </w:p>
    <w:p w14:paraId="477A5EEC">
      <w:pPr>
        <w:spacing w:line="400" w:lineRule="exact"/>
        <w:ind w:firstLine="420" w:firstLineChars="200"/>
        <w:rPr>
          <w:color w:val="auto"/>
          <w:szCs w:val="21"/>
          <w:highlight w:val="none"/>
        </w:rPr>
      </w:pPr>
      <w:r>
        <w:rPr>
          <w:rFonts w:hint="eastAsia"/>
          <w:color w:val="auto"/>
          <w:szCs w:val="21"/>
          <w:highlight w:val="none"/>
        </w:rPr>
        <w:t>质量保证金按以下第</w:t>
      </w:r>
      <w:r>
        <w:rPr>
          <w:rFonts w:hint="eastAsia"/>
          <w:color w:val="auto"/>
          <w:szCs w:val="21"/>
          <w:highlight w:val="none"/>
          <w:u w:val="single"/>
        </w:rPr>
        <w:t xml:space="preserve"> （4）</w:t>
      </w:r>
      <w:r>
        <w:rPr>
          <w:rFonts w:hint="eastAsia"/>
          <w:color w:val="auto"/>
          <w:szCs w:val="21"/>
          <w:highlight w:val="none"/>
        </w:rPr>
        <w:t>方式退回：</w:t>
      </w:r>
    </w:p>
    <w:p w14:paraId="7856A126">
      <w:pPr>
        <w:spacing w:line="400" w:lineRule="exact"/>
        <w:ind w:firstLine="420" w:firstLineChars="200"/>
        <w:rPr>
          <w:color w:val="auto"/>
          <w:szCs w:val="21"/>
          <w:highlight w:val="none"/>
        </w:rPr>
      </w:pPr>
      <w:r>
        <w:rPr>
          <w:rFonts w:hint="eastAsia"/>
          <w:color w:val="auto"/>
          <w:szCs w:val="21"/>
          <w:highlight w:val="none"/>
        </w:rPr>
        <w:t>（1）缺陷责任期终止后，发包人退还剩余的质量保证金（约定是否计息）。</w:t>
      </w:r>
    </w:p>
    <w:p w14:paraId="5530FC2F">
      <w:pPr>
        <w:adjustRightInd w:val="0"/>
        <w:spacing w:line="400" w:lineRule="exact"/>
        <w:ind w:firstLine="420" w:firstLineChars="200"/>
        <w:rPr>
          <w:color w:val="auto"/>
          <w:szCs w:val="21"/>
          <w:highlight w:val="none"/>
        </w:rPr>
      </w:pPr>
      <w:r>
        <w:rPr>
          <w:rFonts w:hint="eastAsia"/>
          <w:color w:val="auto"/>
          <w:szCs w:val="21"/>
          <w:highlight w:val="none"/>
        </w:rPr>
        <w:t>（2）建筑工程：工程实际竣工验收合格后满一年返还质量保证金的 30%，满二年返还质量保证金的50%，达到除地基基础工程、主体结构工程外的最长质量缺陷保修期后返还全部预留的质量保证金</w:t>
      </w:r>
      <w:r>
        <w:rPr>
          <w:rFonts w:hint="eastAsia"/>
          <w:color w:val="auto"/>
          <w:szCs w:val="21"/>
          <w:highlight w:val="none"/>
          <w:u w:val="single"/>
        </w:rPr>
        <w:t>（不计息，保函形式提交的不予退还，到期保函自动失效。）</w:t>
      </w:r>
    </w:p>
    <w:p w14:paraId="23E6F2E2">
      <w:pPr>
        <w:adjustRightInd w:val="0"/>
        <w:spacing w:line="400" w:lineRule="exact"/>
        <w:ind w:firstLine="420" w:firstLineChars="200"/>
        <w:rPr>
          <w:color w:val="auto"/>
          <w:szCs w:val="21"/>
          <w:highlight w:val="none"/>
        </w:rPr>
      </w:pPr>
      <w:r>
        <w:rPr>
          <w:rFonts w:hint="eastAsia"/>
          <w:color w:val="auto"/>
          <w:szCs w:val="21"/>
          <w:highlight w:val="none"/>
        </w:rPr>
        <w:t>（3）市政工程：工程实际竣工验收合格后满二年可返还全部质量保证金。</w:t>
      </w:r>
    </w:p>
    <w:p w14:paraId="65187359">
      <w:pPr>
        <w:spacing w:line="400" w:lineRule="exact"/>
        <w:ind w:firstLine="420" w:firstLineChars="200"/>
        <w:rPr>
          <w:color w:val="auto"/>
          <w:szCs w:val="21"/>
          <w:highlight w:val="none"/>
        </w:rPr>
      </w:pPr>
      <w:r>
        <w:rPr>
          <w:rFonts w:hint="eastAsia"/>
          <w:color w:val="auto"/>
          <w:szCs w:val="21"/>
          <w:highlight w:val="none"/>
        </w:rPr>
        <w:t>（4）其它：</w:t>
      </w:r>
      <w:r>
        <w:rPr>
          <w:rFonts w:hint="eastAsia"/>
          <w:color w:val="auto"/>
          <w:szCs w:val="21"/>
          <w:highlight w:val="none"/>
          <w:u w:val="single"/>
        </w:rPr>
        <w:t>缺陷责任期终止后，质量保证金保函自动失效。</w:t>
      </w:r>
    </w:p>
    <w:p w14:paraId="3561FA92">
      <w:pPr>
        <w:spacing w:line="400" w:lineRule="exact"/>
        <w:ind w:firstLine="420" w:firstLineChars="200"/>
        <w:rPr>
          <w:color w:val="auto"/>
          <w:szCs w:val="21"/>
          <w:highlight w:val="none"/>
        </w:rPr>
      </w:pPr>
      <w:r>
        <w:rPr>
          <w:color w:val="auto"/>
          <w:szCs w:val="21"/>
          <w:highlight w:val="none"/>
        </w:rPr>
        <w:t>15.4保修</w:t>
      </w:r>
    </w:p>
    <w:p w14:paraId="0ED6EDFE">
      <w:pPr>
        <w:spacing w:line="400" w:lineRule="exact"/>
        <w:ind w:firstLine="420" w:firstLineChars="200"/>
        <w:rPr>
          <w:color w:val="auto"/>
          <w:szCs w:val="21"/>
          <w:highlight w:val="none"/>
        </w:rPr>
      </w:pPr>
      <w:r>
        <w:rPr>
          <w:color w:val="auto"/>
          <w:szCs w:val="21"/>
          <w:highlight w:val="none"/>
        </w:rPr>
        <w:t>15.4.1 保修责任</w:t>
      </w:r>
    </w:p>
    <w:p w14:paraId="371A6CAD">
      <w:pPr>
        <w:spacing w:line="400" w:lineRule="exact"/>
        <w:ind w:firstLine="420" w:firstLineChars="200"/>
        <w:rPr>
          <w:color w:val="auto"/>
          <w:szCs w:val="21"/>
          <w:highlight w:val="none"/>
        </w:rPr>
      </w:pPr>
      <w:r>
        <w:rPr>
          <w:color w:val="auto"/>
          <w:szCs w:val="21"/>
          <w:highlight w:val="none"/>
        </w:rPr>
        <w:t>工程保修期为：</w:t>
      </w:r>
      <w:r>
        <w:rPr>
          <w:color w:val="auto"/>
          <w:szCs w:val="21"/>
          <w:highlight w:val="none"/>
          <w:u w:val="single"/>
        </w:rPr>
        <w:t xml:space="preserve"> 按本合同附件3《工程质量保修书》 </w:t>
      </w:r>
      <w:r>
        <w:rPr>
          <w:color w:val="auto"/>
          <w:szCs w:val="21"/>
          <w:highlight w:val="none"/>
        </w:rPr>
        <w:t>。</w:t>
      </w:r>
    </w:p>
    <w:p w14:paraId="085952CB">
      <w:pPr>
        <w:spacing w:line="400" w:lineRule="exact"/>
        <w:ind w:firstLine="420" w:firstLineChars="200"/>
        <w:rPr>
          <w:color w:val="auto"/>
          <w:szCs w:val="21"/>
          <w:highlight w:val="none"/>
        </w:rPr>
      </w:pPr>
      <w:r>
        <w:rPr>
          <w:color w:val="auto"/>
          <w:szCs w:val="21"/>
          <w:highlight w:val="none"/>
        </w:rPr>
        <w:t>15.4.3 修复通知</w:t>
      </w:r>
    </w:p>
    <w:p w14:paraId="3F19C4C5">
      <w:pPr>
        <w:spacing w:line="400" w:lineRule="exact"/>
        <w:ind w:firstLine="420" w:firstLineChars="200"/>
        <w:rPr>
          <w:color w:val="auto"/>
          <w:kern w:val="0"/>
          <w:szCs w:val="21"/>
          <w:highlight w:val="none"/>
        </w:rPr>
      </w:pPr>
      <w:r>
        <w:rPr>
          <w:color w:val="auto"/>
          <w:szCs w:val="21"/>
          <w:highlight w:val="none"/>
        </w:rPr>
        <w:t>承包人收到保修通知并到达工程现场的合理时间：</w:t>
      </w:r>
      <w:r>
        <w:rPr>
          <w:color w:val="auto"/>
          <w:szCs w:val="21"/>
          <w:highlight w:val="none"/>
          <w:u w:val="single"/>
        </w:rPr>
        <w:t xml:space="preserve"> </w:t>
      </w:r>
      <w:r>
        <w:rPr>
          <w:rFonts w:hint="eastAsia"/>
          <w:color w:val="auto"/>
          <w:szCs w:val="21"/>
          <w:highlight w:val="none"/>
          <w:u w:val="single"/>
        </w:rPr>
        <w:t>按通用条款</w:t>
      </w:r>
      <w:r>
        <w:rPr>
          <w:color w:val="auto"/>
          <w:szCs w:val="21"/>
          <w:highlight w:val="none"/>
          <w:u w:val="single"/>
        </w:rPr>
        <w:t xml:space="preserve">  </w:t>
      </w:r>
      <w:r>
        <w:rPr>
          <w:color w:val="auto"/>
          <w:szCs w:val="21"/>
          <w:highlight w:val="none"/>
        </w:rPr>
        <w:t>。</w:t>
      </w:r>
    </w:p>
    <w:p w14:paraId="31AF3136">
      <w:pPr>
        <w:pStyle w:val="4"/>
        <w:spacing w:before="0" w:after="0" w:line="400" w:lineRule="exact"/>
        <w:ind w:firstLine="422" w:firstLineChars="200"/>
        <w:rPr>
          <w:rFonts w:ascii="Times New Roman" w:hAnsi="Times New Roman"/>
          <w:color w:val="auto"/>
          <w:sz w:val="21"/>
          <w:szCs w:val="21"/>
          <w:highlight w:val="none"/>
        </w:rPr>
      </w:pPr>
      <w:bookmarkStart w:id="118" w:name="_Toc351203648"/>
      <w:r>
        <w:rPr>
          <w:rFonts w:ascii="Times New Roman" w:hAnsi="Times New Roman"/>
          <w:color w:val="auto"/>
          <w:sz w:val="21"/>
          <w:szCs w:val="21"/>
          <w:highlight w:val="none"/>
        </w:rPr>
        <w:t>16. 违约</w:t>
      </w:r>
      <w:bookmarkEnd w:id="118"/>
    </w:p>
    <w:p w14:paraId="091F605F">
      <w:pPr>
        <w:spacing w:before="120" w:after="120" w:line="400" w:lineRule="exact"/>
        <w:ind w:firstLine="420" w:firstLineChars="200"/>
        <w:rPr>
          <w:color w:val="auto"/>
          <w:szCs w:val="21"/>
          <w:highlight w:val="none"/>
        </w:rPr>
      </w:pPr>
      <w:r>
        <w:rPr>
          <w:color w:val="auto"/>
          <w:szCs w:val="21"/>
          <w:highlight w:val="none"/>
        </w:rPr>
        <w:t>16.1 发包人违约</w:t>
      </w:r>
    </w:p>
    <w:p w14:paraId="613C7C7D">
      <w:pPr>
        <w:spacing w:before="120" w:after="120" w:line="400" w:lineRule="exact"/>
        <w:ind w:firstLine="420" w:firstLineChars="200"/>
        <w:rPr>
          <w:color w:val="auto"/>
          <w:szCs w:val="21"/>
          <w:highlight w:val="none"/>
        </w:rPr>
      </w:pPr>
      <w:r>
        <w:rPr>
          <w:color w:val="auto"/>
          <w:szCs w:val="21"/>
          <w:highlight w:val="none"/>
        </w:rPr>
        <w:t>16.1.1发包人违约的情形</w:t>
      </w:r>
    </w:p>
    <w:p w14:paraId="4EF5DFBA">
      <w:pPr>
        <w:spacing w:before="120" w:after="120" w:line="400" w:lineRule="exact"/>
        <w:ind w:firstLine="420" w:firstLineChars="200"/>
        <w:rPr>
          <w:color w:val="auto"/>
          <w:szCs w:val="21"/>
          <w:highlight w:val="none"/>
        </w:rPr>
      </w:pPr>
      <w:r>
        <w:rPr>
          <w:color w:val="auto"/>
          <w:szCs w:val="21"/>
          <w:highlight w:val="none"/>
        </w:rPr>
        <w:t>发包人违约的其他情形：</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00CF25DF">
      <w:pPr>
        <w:spacing w:before="120" w:after="120" w:line="400" w:lineRule="exact"/>
        <w:ind w:firstLine="420" w:firstLineChars="200"/>
        <w:rPr>
          <w:color w:val="auto"/>
          <w:szCs w:val="21"/>
          <w:highlight w:val="none"/>
        </w:rPr>
      </w:pPr>
      <w:r>
        <w:rPr>
          <w:color w:val="auto"/>
          <w:szCs w:val="21"/>
          <w:highlight w:val="none"/>
        </w:rPr>
        <w:t>16.1.2 发包人违约的责任</w:t>
      </w:r>
    </w:p>
    <w:p w14:paraId="48996D6D">
      <w:pPr>
        <w:spacing w:before="120" w:after="120" w:line="400" w:lineRule="exact"/>
        <w:ind w:firstLine="420" w:firstLineChars="200"/>
        <w:rPr>
          <w:color w:val="auto"/>
          <w:szCs w:val="21"/>
          <w:highlight w:val="none"/>
        </w:rPr>
      </w:pPr>
      <w:r>
        <w:rPr>
          <w:color w:val="auto"/>
          <w:szCs w:val="21"/>
          <w:highlight w:val="none"/>
        </w:rPr>
        <w:t>发包人违约责任的承担方式和计算方法：</w:t>
      </w:r>
    </w:p>
    <w:p w14:paraId="24F66AAA">
      <w:pPr>
        <w:spacing w:before="120" w:after="120" w:line="400" w:lineRule="exact"/>
        <w:ind w:firstLine="420" w:firstLineChars="200"/>
        <w:rPr>
          <w:color w:val="auto"/>
          <w:kern w:val="0"/>
          <w:szCs w:val="21"/>
          <w:highlight w:val="none"/>
          <w:u w:val="single"/>
        </w:rPr>
      </w:pPr>
      <w:r>
        <w:rPr>
          <w:color w:val="auto"/>
          <w:szCs w:val="21"/>
          <w:highlight w:val="none"/>
        </w:rPr>
        <w:t>（1）因发包人原因未能在计划开工日期前7天内下达开工通知的违约责任：</w:t>
      </w:r>
      <w:r>
        <w:rPr>
          <w:rFonts w:hint="eastAsia"/>
          <w:color w:val="auto"/>
          <w:kern w:val="0"/>
          <w:szCs w:val="21"/>
          <w:highlight w:val="none"/>
          <w:u w:val="single"/>
        </w:rPr>
        <w:t xml:space="preserve">赔偿承包人相关损失；属于专用合同条款7.3.2条约定情形的，按该条款约定处理； </w:t>
      </w:r>
    </w:p>
    <w:p w14:paraId="79E7259C">
      <w:pPr>
        <w:spacing w:line="480" w:lineRule="exact"/>
        <w:ind w:firstLine="420" w:firstLineChars="200"/>
        <w:rPr>
          <w:rFonts w:ascii="Times New Roman" w:hAnsi="Times New Roman"/>
          <w:color w:val="auto"/>
          <w:highlight w:val="none"/>
          <w:u w:val="single"/>
        </w:rPr>
      </w:pPr>
      <w:r>
        <w:rPr>
          <w:color w:val="auto"/>
          <w:szCs w:val="21"/>
          <w:highlight w:val="none"/>
        </w:rPr>
        <w:t>（2）因发包人原因未能按合同约定支付合同价款</w:t>
      </w:r>
      <w:r>
        <w:rPr>
          <w:color w:val="auto"/>
          <w:szCs w:val="21"/>
          <w:highlight w:val="none"/>
        </w:rPr>
        <w:t>的违约责任：</w:t>
      </w:r>
      <w:r>
        <w:rPr>
          <w:rFonts w:ascii="Times New Roman" w:hAnsi="Times New Roman"/>
          <w:color w:val="auto"/>
          <w:highlight w:val="none"/>
          <w:u w:val="single"/>
        </w:rPr>
        <w:t>支付违约金，违约金为应付合同价款的利息，</w:t>
      </w:r>
      <w:r>
        <w:rPr>
          <w:rFonts w:ascii="Times New Roman" w:hAnsi="Times New Roman"/>
          <w:bCs/>
          <w:color w:val="auto"/>
          <w:szCs w:val="21"/>
          <w:highlight w:val="none"/>
          <w:u w:val="single"/>
        </w:rPr>
        <w:t>利率</w:t>
      </w:r>
      <w:r>
        <w:rPr>
          <w:rFonts w:hint="eastAsia" w:ascii="Times New Roman" w:hAnsi="Times New Roman"/>
          <w:bCs/>
          <w:color w:val="auto"/>
          <w:szCs w:val="21"/>
          <w:highlight w:val="none"/>
          <w:u w:val="single"/>
          <w:lang w:eastAsia="zh-CN"/>
        </w:rPr>
        <w:t>按全国银行间同业拆借中心公布的同期贷款市场报价利率</w:t>
      </w:r>
      <w:r>
        <w:rPr>
          <w:rFonts w:ascii="Times New Roman" w:hAnsi="Times New Roman"/>
          <w:snapToGrid w:val="0"/>
          <w:color w:val="auto"/>
          <w:szCs w:val="21"/>
          <w:highlight w:val="none"/>
          <w:u w:val="single"/>
        </w:rPr>
        <w:t>，时间为从约定应付之日起至支付之日止计算利息 支付违约金。工程款存在争议部分待争议解决后开始计息，利息不计复利。</w:t>
      </w:r>
      <w:r>
        <w:rPr>
          <w:rFonts w:ascii="Times New Roman" w:hAnsi="Times New Roman"/>
          <w:color w:val="auto"/>
          <w:highlight w:val="none"/>
          <w:u w:val="single"/>
        </w:rPr>
        <w:t>造成工期延误的顺延工期，并承担承包人的相应损失费用；</w:t>
      </w:r>
    </w:p>
    <w:p w14:paraId="4DC012D2">
      <w:pPr>
        <w:spacing w:before="120" w:after="120" w:line="400" w:lineRule="exact"/>
        <w:ind w:firstLine="420" w:firstLineChars="200"/>
        <w:rPr>
          <w:color w:val="auto"/>
          <w:szCs w:val="21"/>
          <w:highlight w:val="none"/>
        </w:rPr>
      </w:pPr>
      <w:r>
        <w:rPr>
          <w:color w:val="auto"/>
          <w:szCs w:val="21"/>
          <w:highlight w:val="none"/>
        </w:rPr>
        <w:t>（3）发包人违反第10.1款〔变更的范围〕第（2）项约定，自行实施被取消的</w:t>
      </w:r>
      <w:r>
        <w:rPr>
          <w:color w:val="auto"/>
          <w:szCs w:val="21"/>
          <w:highlight w:val="none"/>
        </w:rPr>
        <w:t>工作或转由他人实施的违约责任：</w:t>
      </w:r>
      <w:r>
        <w:rPr>
          <w:rFonts w:hint="eastAsia"/>
          <w:color w:val="auto"/>
          <w:szCs w:val="21"/>
          <w:highlight w:val="none"/>
          <w:u w:val="single"/>
        </w:rPr>
        <w:t>支付承包人该项工作合理利润，按取消工作签约合同价（ ）%计算</w:t>
      </w:r>
      <w:r>
        <w:rPr>
          <w:rFonts w:hint="eastAsia"/>
          <w:color w:val="auto"/>
          <w:kern w:val="0"/>
          <w:szCs w:val="21"/>
          <w:highlight w:val="none"/>
          <w:u w:val="single"/>
        </w:rPr>
        <w:t>；</w:t>
      </w:r>
      <w:r>
        <w:rPr>
          <w:color w:val="auto"/>
          <w:szCs w:val="21"/>
          <w:highlight w:val="none"/>
        </w:rPr>
        <w:t xml:space="preserve"> </w:t>
      </w:r>
    </w:p>
    <w:p w14:paraId="72908ED6">
      <w:pPr>
        <w:spacing w:before="120" w:after="120" w:line="400" w:lineRule="exact"/>
        <w:ind w:firstLine="420" w:firstLineChars="200"/>
        <w:rPr>
          <w:color w:val="auto"/>
          <w:szCs w:val="21"/>
          <w:highlight w:val="none"/>
        </w:rPr>
      </w:pPr>
      <w:r>
        <w:rPr>
          <w:color w:val="auto"/>
          <w:szCs w:val="21"/>
          <w:highlight w:val="none"/>
        </w:rPr>
        <w:t>（4）发包人提供的材料、工程设备的规格、数量或质量不符合合同约定，或因发包人原因导致交货日期延误或交货地点变更等情况的违约责任：</w:t>
      </w:r>
      <w:r>
        <w:rPr>
          <w:rFonts w:hint="eastAsia"/>
          <w:color w:val="auto"/>
          <w:kern w:val="0"/>
          <w:szCs w:val="21"/>
          <w:highlight w:val="none"/>
          <w:u w:val="single"/>
        </w:rPr>
        <w:t>造成工期延误的顺延工期，并承担增加的造价及承包人的相应损失费用等；</w:t>
      </w:r>
    </w:p>
    <w:p w14:paraId="7ECE62F7">
      <w:pPr>
        <w:spacing w:before="120" w:after="120" w:line="400" w:lineRule="exact"/>
        <w:ind w:firstLine="420" w:firstLineChars="200"/>
        <w:rPr>
          <w:color w:val="auto"/>
          <w:szCs w:val="21"/>
          <w:highlight w:val="none"/>
        </w:rPr>
      </w:pPr>
      <w:r>
        <w:rPr>
          <w:color w:val="auto"/>
          <w:szCs w:val="21"/>
          <w:highlight w:val="none"/>
        </w:rPr>
        <w:t>（5）因发包人违反合同约定造成暂停施工的违约责任：</w:t>
      </w:r>
      <w:r>
        <w:rPr>
          <w:rFonts w:hint="eastAsia"/>
          <w:color w:val="auto"/>
          <w:kern w:val="0"/>
          <w:szCs w:val="21"/>
          <w:highlight w:val="none"/>
          <w:u w:val="single"/>
        </w:rPr>
        <w:t>造成工期延误的顺延工期，并承担增加的造价及承包人的相应损失费用等。</w:t>
      </w:r>
    </w:p>
    <w:p w14:paraId="40E89D05">
      <w:pPr>
        <w:spacing w:before="120" w:after="120" w:line="400" w:lineRule="exact"/>
        <w:ind w:firstLine="420" w:firstLineChars="200"/>
        <w:rPr>
          <w:color w:val="auto"/>
          <w:szCs w:val="21"/>
          <w:highlight w:val="none"/>
        </w:rPr>
      </w:pPr>
      <w:r>
        <w:rPr>
          <w:color w:val="auto"/>
          <w:szCs w:val="21"/>
          <w:highlight w:val="none"/>
        </w:rPr>
        <w:t>（6）发包人无正当理由没有在约定期限内发出复工指示，导致承包人无法复工的违约责任：</w:t>
      </w:r>
      <w:r>
        <w:rPr>
          <w:rFonts w:hint="eastAsia"/>
          <w:color w:val="auto"/>
          <w:kern w:val="0"/>
          <w:szCs w:val="21"/>
          <w:highlight w:val="none"/>
          <w:u w:val="single"/>
        </w:rPr>
        <w:t>造成工期延误的顺延工期，并承担增加的造价及承包人的相应损失费用等。</w:t>
      </w:r>
    </w:p>
    <w:p w14:paraId="22F48008">
      <w:pPr>
        <w:spacing w:before="120" w:after="120" w:line="400" w:lineRule="exact"/>
        <w:ind w:firstLine="420" w:firstLineChars="200"/>
        <w:rPr>
          <w:color w:val="auto"/>
          <w:szCs w:val="21"/>
          <w:highlight w:val="none"/>
        </w:rPr>
      </w:pPr>
      <w:r>
        <w:rPr>
          <w:color w:val="auto"/>
          <w:szCs w:val="21"/>
          <w:highlight w:val="none"/>
        </w:rPr>
        <w:t>（7）其他：</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68FE7AFD">
      <w:pPr>
        <w:spacing w:before="120" w:after="120" w:line="400" w:lineRule="exact"/>
        <w:ind w:firstLine="420" w:firstLineChars="200"/>
        <w:rPr>
          <w:color w:val="auto"/>
          <w:szCs w:val="21"/>
          <w:highlight w:val="none"/>
        </w:rPr>
      </w:pPr>
      <w:r>
        <w:rPr>
          <w:color w:val="auto"/>
          <w:szCs w:val="21"/>
          <w:highlight w:val="none"/>
        </w:rPr>
        <w:t>16.1.3 因发包人违约解除合同</w:t>
      </w:r>
    </w:p>
    <w:p w14:paraId="5643D61D">
      <w:pPr>
        <w:spacing w:before="120" w:after="120" w:line="400" w:lineRule="exact"/>
        <w:ind w:firstLine="420" w:firstLineChars="200"/>
        <w:rPr>
          <w:color w:val="auto"/>
          <w:szCs w:val="21"/>
          <w:highlight w:val="none"/>
        </w:rPr>
      </w:pPr>
      <w:r>
        <w:rPr>
          <w:color w:val="auto"/>
          <w:szCs w:val="21"/>
          <w:highlight w:val="none"/>
        </w:rPr>
        <w:t>承包人按16.1.1项〔发包人违约的情形〕约定暂停施工满</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天后发包人仍不纠正其违约行为并致使合同目的不能实现的，承包人有权解除合同。</w:t>
      </w:r>
    </w:p>
    <w:p w14:paraId="1A7A3541">
      <w:pPr>
        <w:spacing w:before="120" w:after="120" w:line="400" w:lineRule="exact"/>
        <w:ind w:firstLine="420" w:firstLineChars="200"/>
        <w:rPr>
          <w:color w:val="auto"/>
          <w:szCs w:val="21"/>
          <w:highlight w:val="none"/>
        </w:rPr>
      </w:pPr>
      <w:r>
        <w:rPr>
          <w:color w:val="auto"/>
          <w:szCs w:val="21"/>
          <w:highlight w:val="none"/>
        </w:rPr>
        <w:t>16.2 承包人违约</w:t>
      </w:r>
    </w:p>
    <w:p w14:paraId="79CE981D">
      <w:pPr>
        <w:spacing w:before="120" w:after="120" w:line="400" w:lineRule="exact"/>
        <w:ind w:firstLine="420" w:firstLineChars="200"/>
        <w:rPr>
          <w:color w:val="auto"/>
          <w:szCs w:val="21"/>
          <w:highlight w:val="none"/>
        </w:rPr>
      </w:pPr>
      <w:r>
        <w:rPr>
          <w:color w:val="auto"/>
          <w:szCs w:val="21"/>
          <w:highlight w:val="none"/>
        </w:rPr>
        <w:t>16.2.1 承包人违约的情形</w:t>
      </w:r>
    </w:p>
    <w:p w14:paraId="392C0B17">
      <w:pPr>
        <w:spacing w:before="120" w:after="120" w:line="400" w:lineRule="exact"/>
        <w:ind w:firstLine="420" w:firstLineChars="200"/>
        <w:rPr>
          <w:color w:val="auto"/>
          <w:szCs w:val="21"/>
          <w:highlight w:val="none"/>
          <w:u w:val="single"/>
        </w:rPr>
      </w:pPr>
      <w:r>
        <w:rPr>
          <w:color w:val="auto"/>
          <w:szCs w:val="21"/>
          <w:highlight w:val="none"/>
        </w:rPr>
        <w:t>承包人违约的其他情形：</w:t>
      </w:r>
    </w:p>
    <w:p w14:paraId="735368C8">
      <w:pPr>
        <w:spacing w:before="120" w:after="120" w:line="400" w:lineRule="exact"/>
        <w:ind w:firstLine="420" w:firstLineChars="200"/>
        <w:rPr>
          <w:color w:val="auto"/>
          <w:szCs w:val="21"/>
          <w:highlight w:val="none"/>
          <w:u w:val="single"/>
        </w:rPr>
      </w:pPr>
      <w:r>
        <w:rPr>
          <w:color w:val="auto"/>
          <w:szCs w:val="21"/>
          <w:highlight w:val="none"/>
        </w:rPr>
        <w:t>（1</w:t>
      </w:r>
      <w:r>
        <w:rPr>
          <w:color w:val="auto"/>
          <w:szCs w:val="21"/>
          <w:highlight w:val="none"/>
          <w:u w:val="single"/>
        </w:rPr>
        <w:t>）机械设备、施工项目班子未按投标承诺及时到位；</w:t>
      </w:r>
    </w:p>
    <w:p w14:paraId="00C3F1B0">
      <w:pPr>
        <w:spacing w:before="120" w:after="120" w:line="400" w:lineRule="exact"/>
        <w:ind w:firstLine="420" w:firstLineChars="200"/>
        <w:rPr>
          <w:color w:val="auto"/>
          <w:szCs w:val="21"/>
          <w:highlight w:val="none"/>
          <w:u w:val="single"/>
        </w:rPr>
      </w:pPr>
      <w:r>
        <w:rPr>
          <w:color w:val="auto"/>
          <w:szCs w:val="21"/>
          <w:highlight w:val="none"/>
        </w:rPr>
        <w:t>（2</w:t>
      </w:r>
      <w:r>
        <w:rPr>
          <w:color w:val="auto"/>
          <w:szCs w:val="21"/>
          <w:highlight w:val="none"/>
          <w:u w:val="single"/>
        </w:rPr>
        <w:t>）本工程在实施过程中，承包人的施工队伍素质、</w:t>
      </w:r>
      <w:r>
        <w:rPr>
          <w:rFonts w:hint="eastAsia"/>
          <w:color w:val="auto"/>
          <w:szCs w:val="21"/>
          <w:highlight w:val="none"/>
          <w:u w:val="single"/>
        </w:rPr>
        <w:t>施工</w:t>
      </w:r>
      <w:r>
        <w:rPr>
          <w:color w:val="auto"/>
          <w:szCs w:val="21"/>
          <w:highlight w:val="none"/>
          <w:u w:val="single"/>
        </w:rPr>
        <w:t>力量、现场安全文明施工不符合投标书的承诺，造成现场管理混乱、工程质量和进度达不到投标所承诺的要求；</w:t>
      </w:r>
    </w:p>
    <w:p w14:paraId="174A4DFC">
      <w:pPr>
        <w:spacing w:before="120" w:after="120" w:line="400" w:lineRule="exact"/>
        <w:ind w:firstLine="420" w:firstLineChars="200"/>
        <w:rPr>
          <w:color w:val="auto"/>
          <w:szCs w:val="21"/>
          <w:highlight w:val="none"/>
        </w:rPr>
      </w:pPr>
      <w:r>
        <w:rPr>
          <w:color w:val="auto"/>
          <w:szCs w:val="21"/>
          <w:highlight w:val="none"/>
        </w:rPr>
        <w:t>（3</w:t>
      </w:r>
      <w:r>
        <w:rPr>
          <w:color w:val="auto"/>
          <w:szCs w:val="21"/>
          <w:highlight w:val="none"/>
          <w:u w:val="single"/>
        </w:rPr>
        <w:t>）承包人允许其他人挂靠经营、私自转包</w:t>
      </w:r>
      <w:r>
        <w:rPr>
          <w:color w:val="auto"/>
          <w:szCs w:val="21"/>
          <w:highlight w:val="none"/>
        </w:rPr>
        <w:t>；</w:t>
      </w:r>
    </w:p>
    <w:p w14:paraId="21A0A9BD">
      <w:pPr>
        <w:spacing w:before="120" w:after="120" w:line="400" w:lineRule="exact"/>
        <w:ind w:firstLine="420" w:firstLineChars="200"/>
        <w:rPr>
          <w:color w:val="auto"/>
          <w:szCs w:val="21"/>
          <w:highlight w:val="none"/>
          <w:u w:val="single"/>
        </w:rPr>
      </w:pPr>
      <w:r>
        <w:rPr>
          <w:color w:val="auto"/>
          <w:szCs w:val="21"/>
          <w:highlight w:val="none"/>
        </w:rPr>
        <w:t>（4</w:t>
      </w:r>
      <w:r>
        <w:rPr>
          <w:color w:val="auto"/>
          <w:szCs w:val="21"/>
          <w:highlight w:val="none"/>
          <w:u w:val="single"/>
        </w:rPr>
        <w:t>）承包人未达到投标时所承诺的诚信</w:t>
      </w:r>
      <w:r>
        <w:rPr>
          <w:rFonts w:hint="eastAsia"/>
          <w:color w:val="auto"/>
          <w:szCs w:val="21"/>
          <w:highlight w:val="none"/>
          <w:u w:val="single"/>
        </w:rPr>
        <w:t>与</w:t>
      </w:r>
      <w:r>
        <w:rPr>
          <w:color w:val="auto"/>
          <w:szCs w:val="21"/>
          <w:highlight w:val="none"/>
          <w:u w:val="single"/>
        </w:rPr>
        <w:t>技术标准</w:t>
      </w:r>
      <w:r>
        <w:rPr>
          <w:rFonts w:hint="eastAsia"/>
          <w:color w:val="auto"/>
          <w:szCs w:val="21"/>
          <w:highlight w:val="none"/>
          <w:u w:val="single"/>
        </w:rPr>
        <w:t>。</w:t>
      </w:r>
    </w:p>
    <w:p w14:paraId="1490B231">
      <w:pPr>
        <w:spacing w:before="120" w:after="120" w:line="400" w:lineRule="exact"/>
        <w:ind w:firstLine="420" w:firstLineChars="200"/>
        <w:rPr>
          <w:color w:val="auto"/>
          <w:szCs w:val="21"/>
          <w:highlight w:val="none"/>
        </w:rPr>
      </w:pPr>
      <w:r>
        <w:rPr>
          <w:color w:val="auto"/>
          <w:szCs w:val="21"/>
          <w:highlight w:val="none"/>
        </w:rPr>
        <w:t>16.2.2承包人违约的责任</w:t>
      </w:r>
    </w:p>
    <w:p w14:paraId="4D94363B">
      <w:pPr>
        <w:spacing w:before="120" w:after="120" w:line="400" w:lineRule="exact"/>
        <w:ind w:firstLine="420" w:firstLineChars="200"/>
        <w:rPr>
          <w:color w:val="auto"/>
          <w:szCs w:val="21"/>
          <w:highlight w:val="none"/>
        </w:rPr>
      </w:pPr>
      <w:r>
        <w:rPr>
          <w:color w:val="auto"/>
          <w:szCs w:val="21"/>
          <w:highlight w:val="none"/>
        </w:rPr>
        <w:t>承包人违约责任的承担方式和计算方法：</w:t>
      </w:r>
    </w:p>
    <w:p w14:paraId="515EC9E7">
      <w:pPr>
        <w:spacing w:before="120" w:after="120" w:line="400" w:lineRule="exact"/>
        <w:ind w:firstLine="420" w:firstLineChars="200"/>
        <w:rPr>
          <w:color w:val="auto"/>
          <w:szCs w:val="21"/>
          <w:highlight w:val="none"/>
          <w:u w:val="single"/>
        </w:rPr>
      </w:pPr>
      <w:r>
        <w:rPr>
          <w:color w:val="auto"/>
          <w:szCs w:val="21"/>
          <w:highlight w:val="none"/>
        </w:rPr>
        <w:t>（1）</w:t>
      </w:r>
      <w:r>
        <w:rPr>
          <w:color w:val="auto"/>
          <w:szCs w:val="21"/>
          <w:highlight w:val="none"/>
          <w:u w:val="single"/>
        </w:rPr>
        <w:t>机械设备未按投标承诺到位，每项扣除履约担保金2%；</w:t>
      </w:r>
    </w:p>
    <w:p w14:paraId="63A93C3C">
      <w:pPr>
        <w:spacing w:before="120" w:after="120" w:line="400" w:lineRule="exact"/>
        <w:ind w:firstLine="420" w:firstLineChars="200"/>
        <w:rPr>
          <w:color w:val="auto"/>
          <w:szCs w:val="21"/>
          <w:highlight w:val="none"/>
          <w:u w:val="single"/>
        </w:rPr>
      </w:pPr>
      <w:r>
        <w:rPr>
          <w:color w:val="auto"/>
          <w:szCs w:val="21"/>
          <w:highlight w:val="none"/>
        </w:rPr>
        <w:t>（2）</w:t>
      </w:r>
      <w:r>
        <w:rPr>
          <w:color w:val="auto"/>
          <w:szCs w:val="21"/>
          <w:highlight w:val="none"/>
          <w:u w:val="single"/>
        </w:rPr>
        <w:t>现场安全文明施工不符合投标书承诺，扣减相应安全文明施工费用；承包人原因造成现场管理混乱、工程质量和进度达不到投标承诺的要求，发包人有权要求承包人调整充实施工力量、更换项目班子，及至解除施工合同，所有履约担保金归发包人，并赔偿发包人损失。</w:t>
      </w:r>
    </w:p>
    <w:p w14:paraId="1B84FCDD">
      <w:pPr>
        <w:spacing w:before="120" w:after="120" w:line="400" w:lineRule="exact"/>
        <w:ind w:firstLine="420" w:firstLineChars="200"/>
        <w:rPr>
          <w:color w:val="auto"/>
          <w:szCs w:val="21"/>
          <w:highlight w:val="none"/>
          <w:u w:val="single"/>
        </w:rPr>
      </w:pPr>
      <w:r>
        <w:rPr>
          <w:color w:val="auto"/>
          <w:szCs w:val="21"/>
          <w:highlight w:val="none"/>
        </w:rPr>
        <w:t>（3）</w:t>
      </w:r>
      <w:r>
        <w:rPr>
          <w:color w:val="auto"/>
          <w:szCs w:val="21"/>
          <w:highlight w:val="none"/>
          <w:u w:val="single"/>
        </w:rPr>
        <w:t>发现承包人允许其他人挂靠经营、私自转包，所有履约担保归发包人，同时赔偿发包人损失，并责令退出工地。</w:t>
      </w:r>
    </w:p>
    <w:p w14:paraId="21FA9383">
      <w:pPr>
        <w:spacing w:before="120" w:after="120" w:line="400" w:lineRule="exact"/>
        <w:ind w:firstLine="420" w:firstLineChars="200"/>
        <w:rPr>
          <w:color w:val="auto"/>
          <w:szCs w:val="21"/>
          <w:highlight w:val="none"/>
          <w:u w:val="single"/>
        </w:rPr>
      </w:pPr>
      <w:r>
        <w:rPr>
          <w:color w:val="auto"/>
          <w:szCs w:val="21"/>
          <w:highlight w:val="none"/>
        </w:rPr>
        <w:t>（4）</w:t>
      </w:r>
      <w:r>
        <w:rPr>
          <w:rFonts w:hint="eastAsia"/>
          <w:color w:val="auto"/>
          <w:szCs w:val="21"/>
          <w:highlight w:val="none"/>
          <w:u w:val="single"/>
        </w:rPr>
        <w:t>未达到投标所承诺的诚信与技术标准，按每一项扣减履约担保金的</w:t>
      </w:r>
      <w:r>
        <w:rPr>
          <w:color w:val="auto"/>
          <w:szCs w:val="21"/>
          <w:highlight w:val="none"/>
          <w:u w:val="single"/>
        </w:rPr>
        <w:t>10</w:t>
      </w:r>
      <w:r>
        <w:rPr>
          <w:rFonts w:hint="eastAsia"/>
          <w:color w:val="auto"/>
          <w:szCs w:val="21"/>
          <w:highlight w:val="none"/>
          <w:u w:val="single"/>
        </w:rPr>
        <w:t>%。</w:t>
      </w:r>
    </w:p>
    <w:p w14:paraId="7A7C816C">
      <w:pPr>
        <w:spacing w:before="120" w:after="120" w:line="400" w:lineRule="exact"/>
        <w:ind w:firstLine="420" w:firstLineChars="200"/>
        <w:rPr>
          <w:rFonts w:hint="eastAsia"/>
          <w:color w:val="auto"/>
          <w:szCs w:val="21"/>
          <w:highlight w:val="none"/>
          <w:u w:val="single"/>
        </w:rPr>
      </w:pPr>
      <w:r>
        <w:rPr>
          <w:rFonts w:hint="eastAsia"/>
          <w:color w:val="auto"/>
          <w:szCs w:val="21"/>
          <w:highlight w:val="none"/>
          <w:u w:val="single"/>
        </w:rPr>
        <w:t>（5）</w:t>
      </w:r>
      <w:r>
        <w:rPr>
          <w:rFonts w:hint="eastAsia"/>
          <w:color w:val="auto"/>
          <w:szCs w:val="21"/>
          <w:highlight w:val="none"/>
          <w:u w:val="single"/>
        </w:rPr>
        <w:t>工程延误超过了合同工期，延误责任由承包人承担。</w:t>
      </w:r>
      <w:r>
        <w:rPr>
          <w:rFonts w:hint="eastAsia" w:ascii="Times New Roman" w:hAnsi="Times New Roman" w:eastAsia="宋体" w:cs="Times New Roman"/>
          <w:color w:val="auto"/>
          <w:szCs w:val="21"/>
          <w:highlight w:val="none"/>
          <w:u w:val="single"/>
          <w:lang w:val="en-US" w:eastAsia="zh-CN"/>
        </w:rPr>
        <w:t>工期延误违约金按照合同专用条款7.5.2执行。</w:t>
      </w:r>
      <w:r>
        <w:rPr>
          <w:rFonts w:hint="eastAsia"/>
          <w:color w:val="auto"/>
          <w:szCs w:val="21"/>
          <w:highlight w:val="none"/>
          <w:u w:val="single"/>
        </w:rPr>
        <w:t>工期不予顺延，由工期延误引起人工、材料价格上涨由承包人承担，按原合同约定价格结算；价格下降归发包人受益，按下降后价格结算。当</w:t>
      </w:r>
      <w:r>
        <w:rPr>
          <w:rFonts w:hint="eastAsia"/>
          <w:color w:val="auto"/>
          <w:szCs w:val="21"/>
          <w:highlight w:val="none"/>
          <w:u w:val="single"/>
          <w:lang w:eastAsia="zh-CN"/>
        </w:rPr>
        <w:t>延误</w:t>
      </w:r>
      <w:r>
        <w:rPr>
          <w:rFonts w:hint="eastAsia"/>
          <w:color w:val="auto"/>
          <w:szCs w:val="21"/>
          <w:highlight w:val="none"/>
          <w:u w:val="single"/>
        </w:rPr>
        <w:t>工期超过合同工期〔50%〕以上时，</w:t>
      </w:r>
      <w:r>
        <w:rPr>
          <w:rFonts w:hint="eastAsia"/>
          <w:color w:val="auto"/>
          <w:szCs w:val="21"/>
          <w:highlight w:val="none"/>
          <w:u w:val="single"/>
          <w:lang w:eastAsia="zh-CN"/>
        </w:rPr>
        <w:t>发包人有权</w:t>
      </w:r>
      <w:r>
        <w:rPr>
          <w:rFonts w:hint="eastAsia"/>
          <w:color w:val="auto"/>
          <w:szCs w:val="21"/>
          <w:highlight w:val="none"/>
          <w:u w:val="single"/>
        </w:rPr>
        <w:t>解除施工合同。</w:t>
      </w:r>
    </w:p>
    <w:p w14:paraId="67E1E9B1">
      <w:pPr>
        <w:spacing w:line="400" w:lineRule="exact"/>
        <w:ind w:firstLine="420" w:firstLineChars="200"/>
        <w:rPr>
          <w:color w:val="auto"/>
          <w:szCs w:val="21"/>
          <w:highlight w:val="none"/>
          <w:u w:val="single"/>
        </w:rPr>
      </w:pPr>
      <w:r>
        <w:rPr>
          <w:rFonts w:hint="eastAsia"/>
          <w:color w:val="auto"/>
          <w:szCs w:val="21"/>
          <w:highlight w:val="none"/>
          <w:u w:val="single"/>
        </w:rPr>
        <w:t>（6）承包人无法继续履行、明确表示不履行或实质上已停止履行合同，发包人可通知承包人全部解除合同，所有履约担保归发包人，同时赔偿发包人损失。</w:t>
      </w:r>
    </w:p>
    <w:p w14:paraId="5FEF626D">
      <w:pPr>
        <w:spacing w:before="120" w:after="120" w:line="400" w:lineRule="exact"/>
        <w:ind w:firstLine="420" w:firstLineChars="200"/>
        <w:rPr>
          <w:color w:val="auto"/>
          <w:szCs w:val="21"/>
          <w:highlight w:val="none"/>
        </w:rPr>
      </w:pPr>
      <w:r>
        <w:rPr>
          <w:color w:val="auto"/>
          <w:szCs w:val="21"/>
          <w:highlight w:val="none"/>
        </w:rPr>
        <w:t>16.2.3 因承包人违约解除合同</w:t>
      </w:r>
    </w:p>
    <w:p w14:paraId="7D557695">
      <w:pPr>
        <w:spacing w:before="120" w:after="120" w:line="400" w:lineRule="exact"/>
        <w:ind w:firstLine="420" w:firstLineChars="200"/>
        <w:rPr>
          <w:color w:val="auto"/>
          <w:szCs w:val="21"/>
          <w:highlight w:val="none"/>
          <w:u w:val="single"/>
        </w:rPr>
      </w:pPr>
      <w:r>
        <w:rPr>
          <w:color w:val="auto"/>
          <w:szCs w:val="21"/>
          <w:highlight w:val="none"/>
        </w:rPr>
        <w:t>关于承包人违约解除合同的特别约</w:t>
      </w:r>
      <w:r>
        <w:rPr>
          <w:color w:val="auto"/>
          <w:szCs w:val="21"/>
          <w:highlight w:val="none"/>
        </w:rPr>
        <w:t>定：</w:t>
      </w:r>
      <w:r>
        <w:rPr>
          <w:rFonts w:hint="eastAsia"/>
          <w:b/>
          <w:color w:val="auto"/>
          <w:szCs w:val="21"/>
          <w:highlight w:val="none"/>
          <w:u w:val="single"/>
        </w:rPr>
        <w:t>如符合16.2.1条款，在发包人要求改正期限30天</w:t>
      </w:r>
      <w:r>
        <w:rPr>
          <w:rFonts w:hint="eastAsia"/>
          <w:b/>
          <w:color w:val="auto"/>
          <w:szCs w:val="21"/>
          <w:highlight w:val="none"/>
          <w:u w:val="single"/>
          <w:lang w:eastAsia="zh-CN"/>
        </w:rPr>
        <w:t>内</w:t>
      </w:r>
      <w:r>
        <w:rPr>
          <w:rFonts w:hint="eastAsia"/>
          <w:b/>
          <w:color w:val="auto"/>
          <w:szCs w:val="21"/>
          <w:highlight w:val="none"/>
          <w:u w:val="single"/>
        </w:rPr>
        <w:t>拒不改正，发包人有权解除合同</w:t>
      </w:r>
      <w:r>
        <w:rPr>
          <w:b/>
          <w:color w:val="auto"/>
          <w:szCs w:val="21"/>
          <w:highlight w:val="none"/>
          <w:u w:val="single"/>
        </w:rPr>
        <w:t>。</w:t>
      </w:r>
      <w:r>
        <w:rPr>
          <w:rFonts w:hint="eastAsia" w:ascii="Times New Roman" w:hAnsi="Times New Roman" w:eastAsia="宋体" w:cs="Times New Roman"/>
          <w:b/>
          <w:color w:val="auto"/>
          <w:szCs w:val="21"/>
          <w:highlight w:val="none"/>
          <w:u w:val="single"/>
          <w:lang w:eastAsia="zh-CN"/>
        </w:rPr>
        <w:t>承包人</w:t>
      </w:r>
      <w:r>
        <w:rPr>
          <w:rFonts w:hint="eastAsia" w:ascii="Times New Roman" w:hAnsi="Times New Roman" w:eastAsia="宋体" w:cs="Times New Roman"/>
          <w:b/>
          <w:color w:val="auto"/>
          <w:szCs w:val="21"/>
          <w:highlight w:val="none"/>
          <w:u w:val="single"/>
        </w:rPr>
        <w:t>按约定的支付违约金给发包人，发包人损失超过违约金约定金额的，</w:t>
      </w:r>
      <w:r>
        <w:rPr>
          <w:rFonts w:hint="eastAsia" w:ascii="Times New Roman" w:hAnsi="Times New Roman" w:eastAsia="宋体" w:cs="Times New Roman"/>
          <w:b/>
          <w:color w:val="auto"/>
          <w:szCs w:val="21"/>
          <w:highlight w:val="none"/>
          <w:u w:val="single"/>
          <w:lang w:eastAsia="zh-CN"/>
        </w:rPr>
        <w:t>承包人</w:t>
      </w:r>
      <w:r>
        <w:rPr>
          <w:rFonts w:hint="eastAsia" w:ascii="Times New Roman" w:hAnsi="Times New Roman" w:eastAsia="宋体" w:cs="Times New Roman"/>
          <w:b/>
          <w:color w:val="auto"/>
          <w:szCs w:val="21"/>
          <w:highlight w:val="none"/>
          <w:u w:val="single"/>
        </w:rPr>
        <w:t>还需赔偿发包人实际损失。</w:t>
      </w:r>
    </w:p>
    <w:p w14:paraId="1FC3326B">
      <w:pPr>
        <w:spacing w:before="120" w:after="120" w:line="400" w:lineRule="exact"/>
        <w:ind w:firstLine="420" w:firstLineChars="200"/>
        <w:rPr>
          <w:color w:val="auto"/>
          <w:szCs w:val="21"/>
          <w:highlight w:val="none"/>
        </w:rPr>
      </w:pPr>
      <w:r>
        <w:rPr>
          <w:color w:val="auto"/>
          <w:szCs w:val="21"/>
          <w:highlight w:val="none"/>
        </w:rPr>
        <w:t>发包人继续使用承包人在施工现场的材料、设备、临时工程、承包人文件和由承包人或以其名义编制的其他文件的费用承担方式：</w:t>
      </w:r>
      <w:r>
        <w:rPr>
          <w:color w:val="auto"/>
          <w:szCs w:val="21"/>
          <w:highlight w:val="none"/>
          <w:u w:val="single"/>
        </w:rPr>
        <w:t xml:space="preserve"> 使用施工现场的材料、设备按实结算，使用施工机械、器具按租赁费结算，临时工程折算成费用按完成造价比例计算，无偿使用承包人为本工程施工所编制的相应文件等 </w:t>
      </w:r>
      <w:r>
        <w:rPr>
          <w:color w:val="auto"/>
          <w:szCs w:val="21"/>
          <w:highlight w:val="none"/>
        </w:rPr>
        <w:t>。</w:t>
      </w:r>
    </w:p>
    <w:p w14:paraId="610FC22D">
      <w:pPr>
        <w:spacing w:before="120" w:after="120" w:line="400" w:lineRule="exact"/>
        <w:ind w:firstLine="420" w:firstLineChars="200"/>
        <w:rPr>
          <w:color w:val="auto"/>
          <w:szCs w:val="21"/>
          <w:highlight w:val="none"/>
          <w:u w:val="single"/>
        </w:rPr>
      </w:pPr>
      <w:r>
        <w:rPr>
          <w:color w:val="auto"/>
          <w:szCs w:val="21"/>
          <w:highlight w:val="none"/>
        </w:rPr>
        <w:t>16.2.4 因承包人违约解除合同后的处理：</w:t>
      </w:r>
      <w:r>
        <w:rPr>
          <w:color w:val="auto"/>
          <w:szCs w:val="21"/>
          <w:highlight w:val="none"/>
          <w:u w:val="single"/>
        </w:rPr>
        <w:t xml:space="preserve"> </w:t>
      </w:r>
      <w:r>
        <w:rPr>
          <w:rFonts w:hint="eastAsia" w:ascii="Times New Roman" w:hAnsi="Times New Roman" w:eastAsia="宋体" w:cs="Times New Roman"/>
          <w:color w:val="auto"/>
          <w:szCs w:val="21"/>
          <w:highlight w:val="none"/>
          <w:u w:val="single"/>
          <w:lang w:eastAsia="zh-CN"/>
        </w:rPr>
        <w:t>根据合同约定承担违约金并赔偿发包人的实际损失。</w:t>
      </w:r>
    </w:p>
    <w:p w14:paraId="624F0976">
      <w:pPr>
        <w:pStyle w:val="4"/>
        <w:spacing w:before="0" w:after="0" w:line="400" w:lineRule="exact"/>
        <w:ind w:firstLine="422" w:firstLineChars="200"/>
        <w:rPr>
          <w:rFonts w:ascii="Times New Roman" w:hAnsi="Times New Roman" w:eastAsia="宋体"/>
          <w:b w:val="0"/>
          <w:color w:val="auto"/>
          <w:sz w:val="21"/>
          <w:szCs w:val="21"/>
          <w:highlight w:val="none"/>
        </w:rPr>
      </w:pPr>
      <w:bookmarkStart w:id="119" w:name="_Toc351203649"/>
      <w:r>
        <w:rPr>
          <w:rFonts w:ascii="Times New Roman" w:hAnsi="Times New Roman"/>
          <w:color w:val="auto"/>
          <w:sz w:val="21"/>
          <w:szCs w:val="21"/>
          <w:highlight w:val="none"/>
        </w:rPr>
        <w:t>17. 不可抗力</w:t>
      </w:r>
      <w:bookmarkEnd w:id="119"/>
      <w:r>
        <w:rPr>
          <w:rFonts w:ascii="Times New Roman" w:hAnsi="Times New Roman" w:eastAsia="宋体"/>
          <w:b w:val="0"/>
          <w:color w:val="auto"/>
          <w:sz w:val="21"/>
          <w:szCs w:val="21"/>
          <w:highlight w:val="none"/>
        </w:rPr>
        <w:t xml:space="preserve"> </w:t>
      </w:r>
    </w:p>
    <w:p w14:paraId="2B6FD65D">
      <w:pPr>
        <w:spacing w:line="400" w:lineRule="exact"/>
        <w:ind w:firstLine="420" w:firstLineChars="200"/>
        <w:rPr>
          <w:color w:val="auto"/>
          <w:szCs w:val="21"/>
          <w:highlight w:val="none"/>
        </w:rPr>
      </w:pPr>
      <w:r>
        <w:rPr>
          <w:color w:val="auto"/>
          <w:szCs w:val="21"/>
          <w:highlight w:val="none"/>
        </w:rPr>
        <w:t>17.1 不可抗力的确认</w:t>
      </w:r>
    </w:p>
    <w:p w14:paraId="6658958B">
      <w:pPr>
        <w:spacing w:line="400" w:lineRule="exact"/>
        <w:ind w:firstLine="420" w:firstLineChars="200"/>
        <w:rPr>
          <w:rFonts w:hint="eastAsia"/>
          <w:color w:val="auto"/>
          <w:szCs w:val="21"/>
          <w:highlight w:val="none"/>
          <w:u w:val="single"/>
        </w:rPr>
      </w:pPr>
      <w:r>
        <w:rPr>
          <w:color w:val="auto"/>
          <w:szCs w:val="21"/>
          <w:highlight w:val="none"/>
        </w:rPr>
        <w:t>除通用合同条款约定的不可抗力事件之外，视为不可抗力的其他情形：</w:t>
      </w:r>
      <w:r>
        <w:rPr>
          <w:color w:val="auto"/>
          <w:szCs w:val="21"/>
          <w:highlight w:val="none"/>
          <w:u w:val="single"/>
        </w:rPr>
        <w:t xml:space="preserve"> </w:t>
      </w:r>
      <w:r>
        <w:rPr>
          <w:rFonts w:hint="eastAsia"/>
          <w:color w:val="auto"/>
          <w:szCs w:val="21"/>
          <w:highlight w:val="none"/>
          <w:u w:val="single"/>
        </w:rPr>
        <w:t>10级（不含10级）以上台风、10年一遇洪水、暴风雪、干旱，罢工、政府禁令</w:t>
      </w:r>
      <w:r>
        <w:rPr>
          <w:color w:val="auto"/>
          <w:szCs w:val="21"/>
          <w:highlight w:val="none"/>
          <w:u w:val="single"/>
        </w:rPr>
        <w:t>。</w:t>
      </w:r>
    </w:p>
    <w:p w14:paraId="4E7B9CAE">
      <w:pPr>
        <w:spacing w:line="400" w:lineRule="exact"/>
        <w:ind w:firstLine="420" w:firstLineChars="200"/>
        <w:rPr>
          <w:rFonts w:ascii="宋体" w:hAnsi="宋体"/>
          <w:color w:val="auto"/>
          <w:kern w:val="0"/>
          <w:szCs w:val="21"/>
          <w:highlight w:val="none"/>
        </w:rPr>
      </w:pPr>
      <w:r>
        <w:rPr>
          <w:rFonts w:hint="eastAsia" w:ascii="宋体" w:hAnsi="宋体"/>
          <w:color w:val="auto"/>
          <w:kern w:val="0"/>
          <w:szCs w:val="21"/>
          <w:highlight w:val="none"/>
        </w:rPr>
        <w:t>17.2 不可抗力的通知</w:t>
      </w:r>
    </w:p>
    <w:p w14:paraId="672B7ECF">
      <w:pPr>
        <w:spacing w:line="400" w:lineRule="exact"/>
        <w:ind w:firstLine="420" w:firstLineChars="200"/>
        <w:rPr>
          <w:rFonts w:ascii="宋体" w:hAnsi="宋体"/>
          <w:color w:val="auto"/>
          <w:kern w:val="0"/>
          <w:szCs w:val="21"/>
          <w:highlight w:val="none"/>
          <w:u w:val="single"/>
        </w:rPr>
      </w:pPr>
      <w:r>
        <w:rPr>
          <w:rFonts w:hint="eastAsia" w:ascii="宋体" w:hAnsi="宋体"/>
          <w:color w:val="auto"/>
          <w:kern w:val="0"/>
          <w:szCs w:val="21"/>
          <w:highlight w:val="none"/>
          <w:u w:val="single"/>
        </w:rPr>
        <w:t>按通用条款；另在遭遇不可抗力事件时，为避免不可抗力事件造成更大的损失，承包人采取合理的措施而增加的费用由发包人承担，在向发包人和监理人报告不可抗力事件时一并提交所采取的合理措施内容。</w:t>
      </w:r>
    </w:p>
    <w:p w14:paraId="281BC12C">
      <w:pPr>
        <w:spacing w:line="400" w:lineRule="exact"/>
        <w:ind w:firstLine="420" w:firstLineChars="200"/>
        <w:rPr>
          <w:rFonts w:ascii="宋体" w:hAnsi="宋体"/>
          <w:color w:val="auto"/>
          <w:kern w:val="0"/>
          <w:szCs w:val="21"/>
          <w:highlight w:val="none"/>
        </w:rPr>
      </w:pPr>
      <w:r>
        <w:rPr>
          <w:rFonts w:hint="eastAsia" w:ascii="宋体" w:hAnsi="宋体"/>
          <w:color w:val="auto"/>
          <w:kern w:val="0"/>
          <w:szCs w:val="21"/>
          <w:highlight w:val="none"/>
        </w:rPr>
        <w:t>17.3 不可抗力后果的承担</w:t>
      </w:r>
    </w:p>
    <w:p w14:paraId="0BA0907D">
      <w:pPr>
        <w:spacing w:line="400" w:lineRule="exact"/>
        <w:ind w:firstLine="420" w:firstLineChars="200"/>
        <w:rPr>
          <w:rFonts w:hint="eastAsia" w:ascii="宋体" w:hAnsi="宋体"/>
          <w:color w:val="auto"/>
          <w:szCs w:val="21"/>
          <w:highlight w:val="none"/>
          <w:u w:val="single"/>
        </w:rPr>
      </w:pPr>
      <w:r>
        <w:rPr>
          <w:rFonts w:hint="eastAsia" w:ascii="宋体" w:hAnsi="宋体"/>
          <w:color w:val="auto"/>
          <w:kern w:val="0"/>
          <w:szCs w:val="21"/>
          <w:highlight w:val="none"/>
          <w:u w:val="single"/>
        </w:rPr>
        <w:t>按通用条款。</w:t>
      </w:r>
    </w:p>
    <w:p w14:paraId="0C2B8E23">
      <w:pPr>
        <w:spacing w:line="400" w:lineRule="exact"/>
        <w:ind w:firstLine="420" w:firstLineChars="200"/>
        <w:rPr>
          <w:color w:val="auto"/>
          <w:szCs w:val="21"/>
          <w:highlight w:val="none"/>
        </w:rPr>
      </w:pPr>
      <w:r>
        <w:rPr>
          <w:color w:val="auto"/>
          <w:szCs w:val="21"/>
          <w:highlight w:val="none"/>
        </w:rPr>
        <w:t>17.4 因不可抗力解除合同</w:t>
      </w:r>
    </w:p>
    <w:p w14:paraId="3A303E8C">
      <w:pPr>
        <w:spacing w:line="400" w:lineRule="exact"/>
        <w:ind w:firstLine="420" w:firstLineChars="200"/>
        <w:rPr>
          <w:color w:val="auto"/>
          <w:szCs w:val="21"/>
          <w:highlight w:val="none"/>
        </w:rPr>
      </w:pPr>
      <w:r>
        <w:rPr>
          <w:color w:val="auto"/>
          <w:szCs w:val="21"/>
          <w:highlight w:val="none"/>
        </w:rPr>
        <w:t>合同解除后，发包人应在商定或确定发包人应支付款项后</w:t>
      </w:r>
      <w:r>
        <w:rPr>
          <w:color w:val="auto"/>
          <w:szCs w:val="21"/>
          <w:highlight w:val="none"/>
          <w:u w:val="single"/>
        </w:rPr>
        <w:t xml:space="preserve"> 6</w:t>
      </w:r>
      <w:r>
        <w:rPr>
          <w:rFonts w:hint="eastAsia"/>
          <w:color w:val="auto"/>
          <w:szCs w:val="21"/>
          <w:highlight w:val="none"/>
          <w:u w:val="single"/>
        </w:rPr>
        <w:t>0</w:t>
      </w:r>
      <w:r>
        <w:rPr>
          <w:color w:val="auto"/>
          <w:szCs w:val="21"/>
          <w:highlight w:val="none"/>
          <w:u w:val="single"/>
        </w:rPr>
        <w:t xml:space="preserve"> </w:t>
      </w:r>
      <w:r>
        <w:rPr>
          <w:color w:val="auto"/>
          <w:szCs w:val="21"/>
          <w:highlight w:val="none"/>
        </w:rPr>
        <w:t>天内完成款项的支付。</w:t>
      </w:r>
    </w:p>
    <w:p w14:paraId="797009EF">
      <w:pPr>
        <w:pStyle w:val="4"/>
        <w:spacing w:before="0" w:after="0" w:line="400" w:lineRule="exact"/>
        <w:ind w:firstLine="422" w:firstLineChars="200"/>
        <w:rPr>
          <w:rFonts w:ascii="Times New Roman" w:hAnsi="Times New Roman"/>
          <w:color w:val="auto"/>
          <w:sz w:val="21"/>
          <w:szCs w:val="21"/>
          <w:highlight w:val="none"/>
        </w:rPr>
      </w:pPr>
      <w:bookmarkStart w:id="120" w:name="_Toc351203650"/>
      <w:r>
        <w:rPr>
          <w:rFonts w:ascii="Times New Roman" w:hAnsi="Times New Roman"/>
          <w:color w:val="auto"/>
          <w:sz w:val="21"/>
          <w:szCs w:val="21"/>
          <w:highlight w:val="none"/>
        </w:rPr>
        <w:t>18. 保险</w:t>
      </w:r>
      <w:bookmarkEnd w:id="120"/>
    </w:p>
    <w:p w14:paraId="601ED8C5">
      <w:pPr>
        <w:spacing w:line="400" w:lineRule="exact"/>
        <w:ind w:firstLine="420" w:firstLineChars="200"/>
        <w:rPr>
          <w:color w:val="auto"/>
          <w:szCs w:val="21"/>
          <w:highlight w:val="none"/>
        </w:rPr>
      </w:pPr>
      <w:r>
        <w:rPr>
          <w:color w:val="auto"/>
          <w:szCs w:val="21"/>
          <w:highlight w:val="none"/>
        </w:rPr>
        <w:t>18.1 工程保险</w:t>
      </w:r>
    </w:p>
    <w:p w14:paraId="04F2848D">
      <w:pPr>
        <w:spacing w:line="400" w:lineRule="exact"/>
        <w:ind w:firstLine="420" w:firstLineChars="200"/>
        <w:rPr>
          <w:rFonts w:ascii="宋体" w:hAnsi="宋体"/>
          <w:color w:val="auto"/>
          <w:kern w:val="0"/>
          <w:szCs w:val="21"/>
          <w:highlight w:val="none"/>
          <w:u w:val="single"/>
        </w:rPr>
      </w:pPr>
      <w:r>
        <w:rPr>
          <w:color w:val="auto"/>
          <w:szCs w:val="21"/>
          <w:highlight w:val="none"/>
        </w:rPr>
        <w:t>关于工程保险的特别约定：</w:t>
      </w:r>
      <w:r>
        <w:rPr>
          <w:rFonts w:hint="eastAsia" w:ascii="宋体" w:hAnsi="宋体"/>
          <w:color w:val="auto"/>
          <w:kern w:val="0"/>
          <w:szCs w:val="21"/>
          <w:highlight w:val="none"/>
          <w:u w:val="single"/>
        </w:rPr>
        <w:t>工程一切险、第三者责任险、安全生产责任险由发包人委托承包人投保，工程一切</w:t>
      </w:r>
      <w:r>
        <w:rPr>
          <w:rFonts w:hint="eastAsia" w:ascii="宋体" w:hAnsi="宋体"/>
          <w:color w:val="auto"/>
          <w:kern w:val="0"/>
          <w:szCs w:val="21"/>
          <w:highlight w:val="none"/>
          <w:u w:val="single"/>
        </w:rPr>
        <w:t>险（按合同总额的3‰计算）、安全生产责任险、第三者责任险（投保</w:t>
      </w:r>
      <w:r>
        <w:rPr>
          <w:rFonts w:ascii="宋体" w:hAnsi="宋体"/>
          <w:color w:val="auto"/>
          <w:kern w:val="0"/>
          <w:szCs w:val="21"/>
          <w:highlight w:val="none"/>
          <w:u w:val="single"/>
        </w:rPr>
        <w:t>金额为</w:t>
      </w:r>
      <w:r>
        <w:rPr>
          <w:rFonts w:hint="eastAsia" w:ascii="宋体" w:hAnsi="宋体"/>
          <w:color w:val="auto"/>
          <w:kern w:val="0"/>
          <w:szCs w:val="21"/>
          <w:highlight w:val="none"/>
          <w:u w:val="single"/>
        </w:rPr>
        <w:t>200万元）事故次数不限（不计免赔额）。承包人根据保险单</w:t>
      </w:r>
      <w:r>
        <w:rPr>
          <w:rFonts w:hint="eastAsia" w:ascii="宋体" w:hAnsi="宋体"/>
          <w:color w:val="auto"/>
          <w:kern w:val="0"/>
          <w:szCs w:val="21"/>
          <w:highlight w:val="none"/>
          <w:u w:val="single"/>
        </w:rPr>
        <w:t>及发票纳入工程结算</w:t>
      </w:r>
      <w:r>
        <w:rPr>
          <w:rFonts w:ascii="宋体" w:hAnsi="宋体"/>
          <w:color w:val="auto"/>
          <w:kern w:val="0"/>
          <w:szCs w:val="21"/>
          <w:highlight w:val="none"/>
          <w:u w:val="single"/>
        </w:rPr>
        <w:t>。</w:t>
      </w:r>
    </w:p>
    <w:p w14:paraId="4CEED053">
      <w:pPr>
        <w:spacing w:line="400" w:lineRule="exact"/>
        <w:ind w:firstLine="420" w:firstLineChars="200"/>
        <w:rPr>
          <w:color w:val="auto"/>
          <w:szCs w:val="21"/>
          <w:highlight w:val="none"/>
        </w:rPr>
      </w:pPr>
      <w:r>
        <w:rPr>
          <w:color w:val="auto"/>
          <w:szCs w:val="21"/>
          <w:highlight w:val="none"/>
        </w:rPr>
        <w:t>18.3 其他保险</w:t>
      </w:r>
    </w:p>
    <w:p w14:paraId="3B9CF828">
      <w:pPr>
        <w:spacing w:line="400" w:lineRule="exact"/>
        <w:ind w:firstLine="420" w:firstLineChars="200"/>
        <w:rPr>
          <w:color w:val="auto"/>
          <w:szCs w:val="21"/>
          <w:highlight w:val="none"/>
        </w:rPr>
      </w:pPr>
      <w:r>
        <w:rPr>
          <w:color w:val="auto"/>
          <w:szCs w:val="21"/>
          <w:highlight w:val="none"/>
        </w:rPr>
        <w:t>关于其他保险的约定：</w:t>
      </w:r>
      <w:r>
        <w:rPr>
          <w:rFonts w:hint="eastAsia" w:ascii="宋体" w:hAnsi="宋体"/>
          <w:color w:val="auto"/>
          <w:kern w:val="0"/>
          <w:szCs w:val="21"/>
          <w:highlight w:val="none"/>
          <w:u w:val="single"/>
        </w:rPr>
        <w:t>农民工工伤保险按规定执行</w:t>
      </w:r>
      <w:r>
        <w:rPr>
          <w:rFonts w:ascii="宋体" w:hAnsi="宋体"/>
          <w:color w:val="auto"/>
          <w:kern w:val="0"/>
          <w:szCs w:val="21"/>
          <w:highlight w:val="none"/>
          <w:u w:val="single"/>
        </w:rPr>
        <w:t>。</w:t>
      </w:r>
    </w:p>
    <w:p w14:paraId="1CA84EE4">
      <w:pPr>
        <w:spacing w:line="400" w:lineRule="exact"/>
        <w:ind w:firstLine="420" w:firstLineChars="200"/>
        <w:rPr>
          <w:color w:val="auto"/>
          <w:szCs w:val="21"/>
          <w:highlight w:val="none"/>
          <w:u w:val="single"/>
        </w:rPr>
      </w:pPr>
      <w:r>
        <w:rPr>
          <w:color w:val="auto"/>
          <w:szCs w:val="21"/>
          <w:highlight w:val="none"/>
        </w:rPr>
        <w:t>承包人是否应为其施工设备等办理财产保险：</w:t>
      </w:r>
      <w:r>
        <w:rPr>
          <w:rFonts w:hint="eastAsia" w:ascii="宋体" w:hAnsi="宋体"/>
          <w:color w:val="auto"/>
          <w:kern w:val="0"/>
          <w:szCs w:val="21"/>
          <w:highlight w:val="none"/>
          <w:u w:val="single"/>
        </w:rPr>
        <w:t>由承包人自行确定</w:t>
      </w:r>
      <w:r>
        <w:rPr>
          <w:rFonts w:ascii="宋体" w:hAnsi="宋体"/>
          <w:color w:val="auto"/>
          <w:kern w:val="0"/>
          <w:szCs w:val="21"/>
          <w:highlight w:val="none"/>
          <w:u w:val="single"/>
        </w:rPr>
        <w:t>。</w:t>
      </w:r>
    </w:p>
    <w:p w14:paraId="2AF0033E">
      <w:pPr>
        <w:spacing w:line="400" w:lineRule="exact"/>
        <w:ind w:firstLine="420" w:firstLineChars="200"/>
        <w:rPr>
          <w:color w:val="auto"/>
          <w:szCs w:val="21"/>
          <w:highlight w:val="none"/>
        </w:rPr>
      </w:pPr>
      <w:r>
        <w:rPr>
          <w:color w:val="auto"/>
          <w:szCs w:val="21"/>
          <w:highlight w:val="none"/>
        </w:rPr>
        <w:t>18.7 通知义务</w:t>
      </w:r>
    </w:p>
    <w:p w14:paraId="2AF02A58">
      <w:pPr>
        <w:spacing w:line="400" w:lineRule="exact"/>
        <w:ind w:firstLine="420" w:firstLineChars="200"/>
        <w:rPr>
          <w:color w:val="auto"/>
          <w:szCs w:val="21"/>
          <w:highlight w:val="none"/>
        </w:rPr>
      </w:pPr>
      <w:r>
        <w:rPr>
          <w:color w:val="auto"/>
          <w:szCs w:val="21"/>
          <w:highlight w:val="none"/>
        </w:rPr>
        <w:t>关于变更保险合同时的通知义务的约定：</w:t>
      </w:r>
      <w:r>
        <w:rPr>
          <w:color w:val="auto"/>
          <w:szCs w:val="21"/>
          <w:highlight w:val="none"/>
          <w:u w:val="single"/>
        </w:rPr>
        <w:t xml:space="preserve">     </w:t>
      </w:r>
      <w:r>
        <w:rPr>
          <w:rFonts w:hint="eastAsia"/>
          <w:color w:val="auto"/>
          <w:szCs w:val="21"/>
          <w:highlight w:val="none"/>
          <w:u w:val="single"/>
        </w:rPr>
        <w:t>按通用合同条款规定执行</w:t>
      </w:r>
      <w:r>
        <w:rPr>
          <w:color w:val="auto"/>
          <w:szCs w:val="21"/>
          <w:highlight w:val="none"/>
          <w:u w:val="single"/>
        </w:rPr>
        <w:t xml:space="preserve">     </w:t>
      </w:r>
      <w:r>
        <w:rPr>
          <w:color w:val="auto"/>
          <w:szCs w:val="21"/>
          <w:highlight w:val="none"/>
        </w:rPr>
        <w:t>。</w:t>
      </w:r>
    </w:p>
    <w:p w14:paraId="732031F2">
      <w:pPr>
        <w:pStyle w:val="4"/>
        <w:spacing w:before="0" w:after="0" w:line="400" w:lineRule="exact"/>
        <w:ind w:firstLine="422" w:firstLineChars="200"/>
        <w:rPr>
          <w:rFonts w:ascii="Times New Roman" w:hAnsi="Times New Roman"/>
          <w:color w:val="auto"/>
          <w:sz w:val="21"/>
          <w:szCs w:val="21"/>
          <w:highlight w:val="none"/>
        </w:rPr>
      </w:pPr>
      <w:bookmarkStart w:id="121" w:name="_Toc351203651"/>
      <w:r>
        <w:rPr>
          <w:rFonts w:ascii="Times New Roman" w:hAnsi="Times New Roman"/>
          <w:color w:val="auto"/>
          <w:sz w:val="21"/>
          <w:szCs w:val="21"/>
          <w:highlight w:val="none"/>
        </w:rPr>
        <w:t>20. 争议解决</w:t>
      </w:r>
      <w:bookmarkEnd w:id="121"/>
    </w:p>
    <w:p w14:paraId="5C8CA2DE">
      <w:pPr>
        <w:spacing w:line="400" w:lineRule="exact"/>
        <w:ind w:firstLine="420" w:firstLineChars="200"/>
        <w:rPr>
          <w:color w:val="auto"/>
          <w:szCs w:val="21"/>
          <w:highlight w:val="none"/>
        </w:rPr>
      </w:pPr>
      <w:r>
        <w:rPr>
          <w:color w:val="auto"/>
          <w:szCs w:val="21"/>
          <w:highlight w:val="none"/>
        </w:rPr>
        <w:t>20.3 争议评审</w:t>
      </w:r>
    </w:p>
    <w:p w14:paraId="0274999B">
      <w:pPr>
        <w:spacing w:line="400" w:lineRule="exact"/>
        <w:ind w:firstLine="420" w:firstLineChars="200"/>
        <w:rPr>
          <w:color w:val="auto"/>
          <w:szCs w:val="21"/>
          <w:highlight w:val="none"/>
        </w:rPr>
      </w:pPr>
      <w:r>
        <w:rPr>
          <w:color w:val="auto"/>
          <w:szCs w:val="21"/>
          <w:highlight w:val="none"/>
        </w:rPr>
        <w:t>合同当事人是否同意将工程争议提交争议评审小组决定：</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202CBC59">
      <w:pPr>
        <w:spacing w:line="400" w:lineRule="exact"/>
        <w:ind w:firstLine="420" w:firstLineChars="200"/>
        <w:rPr>
          <w:color w:val="auto"/>
          <w:szCs w:val="21"/>
          <w:highlight w:val="none"/>
        </w:rPr>
      </w:pPr>
      <w:r>
        <w:rPr>
          <w:color w:val="auto"/>
          <w:szCs w:val="21"/>
          <w:highlight w:val="none"/>
        </w:rPr>
        <w:t>20.3.1 争议评审小组的确定</w:t>
      </w:r>
    </w:p>
    <w:p w14:paraId="6FEF9CE1">
      <w:pPr>
        <w:spacing w:line="400" w:lineRule="exact"/>
        <w:ind w:firstLine="420" w:firstLineChars="200"/>
        <w:rPr>
          <w:color w:val="auto"/>
          <w:szCs w:val="21"/>
          <w:highlight w:val="none"/>
          <w:u w:val="single"/>
        </w:rPr>
      </w:pPr>
      <w:r>
        <w:rPr>
          <w:color w:val="auto"/>
          <w:szCs w:val="21"/>
          <w:highlight w:val="none"/>
        </w:rPr>
        <w:t>争议评审小组成员的确定：</w:t>
      </w:r>
      <w:r>
        <w:rPr>
          <w:rFonts w:hint="eastAsia"/>
          <w:color w:val="auto"/>
          <w:szCs w:val="21"/>
          <w:highlight w:val="none"/>
          <w:u w:val="single"/>
        </w:rPr>
        <w:t>提交争议评审时再选定</w:t>
      </w:r>
      <w:r>
        <w:rPr>
          <w:color w:val="auto"/>
          <w:szCs w:val="21"/>
          <w:highlight w:val="none"/>
          <w:u w:val="single"/>
        </w:rPr>
        <w:t>。</w:t>
      </w:r>
    </w:p>
    <w:p w14:paraId="3E3F1F48">
      <w:pPr>
        <w:spacing w:line="400" w:lineRule="exact"/>
        <w:ind w:firstLine="420" w:firstLineChars="200"/>
        <w:rPr>
          <w:color w:val="auto"/>
          <w:szCs w:val="21"/>
          <w:highlight w:val="none"/>
        </w:rPr>
      </w:pPr>
      <w:r>
        <w:rPr>
          <w:color w:val="auto"/>
          <w:szCs w:val="21"/>
          <w:highlight w:val="none"/>
        </w:rPr>
        <w:t>选定争议评审员的期限：</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39E1BFA2">
      <w:pPr>
        <w:spacing w:line="400" w:lineRule="exact"/>
        <w:ind w:firstLine="420" w:firstLineChars="200"/>
        <w:rPr>
          <w:color w:val="auto"/>
          <w:szCs w:val="21"/>
          <w:highlight w:val="none"/>
        </w:rPr>
      </w:pPr>
      <w:r>
        <w:rPr>
          <w:color w:val="auto"/>
          <w:szCs w:val="21"/>
          <w:highlight w:val="none"/>
        </w:rPr>
        <w:t>争议评审小组成员的报酬承担方式：</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w:t>
      </w:r>
    </w:p>
    <w:p w14:paraId="32BD258E">
      <w:pPr>
        <w:spacing w:line="400" w:lineRule="exact"/>
        <w:ind w:firstLine="420" w:firstLineChars="200"/>
        <w:rPr>
          <w:color w:val="auto"/>
          <w:szCs w:val="21"/>
          <w:highlight w:val="none"/>
        </w:rPr>
      </w:pPr>
      <w:r>
        <w:rPr>
          <w:color w:val="auto"/>
          <w:szCs w:val="21"/>
          <w:highlight w:val="none"/>
        </w:rPr>
        <w:t>其他事项的约定：</w:t>
      </w:r>
      <w:r>
        <w:rPr>
          <w:color w:val="auto"/>
          <w:szCs w:val="21"/>
          <w:highlight w:val="none"/>
          <w:u w:val="single"/>
        </w:rPr>
        <w:t xml:space="preserve">          </w:t>
      </w:r>
      <w:r>
        <w:rPr>
          <w:rFonts w:hint="eastAsia"/>
          <w:color w:val="auto"/>
          <w:szCs w:val="21"/>
          <w:highlight w:val="none"/>
          <w:u w:val="single"/>
        </w:rPr>
        <w:t>/</w:t>
      </w:r>
      <w:r>
        <w:rPr>
          <w:color w:val="auto"/>
          <w:szCs w:val="21"/>
          <w:highlight w:val="none"/>
          <w:u w:val="single"/>
        </w:rPr>
        <w:t xml:space="preserve">             </w:t>
      </w:r>
      <w:r>
        <w:rPr>
          <w:color w:val="auto"/>
          <w:szCs w:val="21"/>
          <w:highlight w:val="none"/>
        </w:rPr>
        <w:t>。</w:t>
      </w:r>
    </w:p>
    <w:p w14:paraId="0394D5D9">
      <w:pPr>
        <w:spacing w:line="400" w:lineRule="exact"/>
        <w:ind w:firstLine="420" w:firstLineChars="200"/>
        <w:rPr>
          <w:color w:val="auto"/>
          <w:szCs w:val="21"/>
          <w:highlight w:val="none"/>
        </w:rPr>
      </w:pPr>
      <w:r>
        <w:rPr>
          <w:color w:val="auto"/>
          <w:szCs w:val="21"/>
          <w:highlight w:val="none"/>
        </w:rPr>
        <w:t>20.3.2 争议评审小组的决定</w:t>
      </w:r>
    </w:p>
    <w:p w14:paraId="1F2BAE32">
      <w:pPr>
        <w:spacing w:line="400" w:lineRule="exact"/>
        <w:ind w:firstLine="420" w:firstLineChars="200"/>
        <w:rPr>
          <w:color w:val="auto"/>
          <w:szCs w:val="21"/>
          <w:highlight w:val="none"/>
          <w:u w:val="single"/>
        </w:rPr>
      </w:pPr>
      <w:r>
        <w:rPr>
          <w:color w:val="auto"/>
          <w:szCs w:val="21"/>
          <w:highlight w:val="none"/>
        </w:rPr>
        <w:t>合同当事人关于本项的约定：</w:t>
      </w:r>
      <w:r>
        <w:rPr>
          <w:rFonts w:hint="eastAsia"/>
          <w:color w:val="auto"/>
          <w:szCs w:val="21"/>
          <w:highlight w:val="none"/>
          <w:u w:val="single"/>
        </w:rPr>
        <w:t>按通用合同条款规定执行</w:t>
      </w:r>
      <w:r>
        <w:rPr>
          <w:color w:val="auto"/>
          <w:szCs w:val="21"/>
          <w:highlight w:val="none"/>
          <w:u w:val="single"/>
        </w:rPr>
        <w:t>。</w:t>
      </w:r>
    </w:p>
    <w:p w14:paraId="5FC5673B">
      <w:pPr>
        <w:spacing w:line="400" w:lineRule="exact"/>
        <w:ind w:firstLine="420" w:firstLineChars="200"/>
        <w:rPr>
          <w:color w:val="auto"/>
          <w:szCs w:val="21"/>
          <w:highlight w:val="none"/>
          <w:u w:val="single"/>
        </w:rPr>
      </w:pPr>
      <w:r>
        <w:rPr>
          <w:color w:val="auto"/>
          <w:szCs w:val="21"/>
          <w:highlight w:val="none"/>
        </w:rPr>
        <w:t>20.3.3 争议评审小组决定的效力：</w:t>
      </w:r>
      <w:r>
        <w:rPr>
          <w:rFonts w:hint="eastAsia"/>
          <w:color w:val="auto"/>
          <w:szCs w:val="21"/>
          <w:highlight w:val="none"/>
          <w:u w:val="single"/>
        </w:rPr>
        <w:t>按合同通用条款规定执行</w:t>
      </w:r>
      <w:r>
        <w:rPr>
          <w:color w:val="auto"/>
          <w:szCs w:val="21"/>
          <w:highlight w:val="none"/>
          <w:u w:val="single"/>
        </w:rPr>
        <w:t>。</w:t>
      </w:r>
    </w:p>
    <w:p w14:paraId="2C876C57">
      <w:pPr>
        <w:spacing w:line="400" w:lineRule="exact"/>
        <w:ind w:firstLine="420" w:firstLineChars="200"/>
        <w:rPr>
          <w:color w:val="auto"/>
          <w:szCs w:val="21"/>
          <w:highlight w:val="none"/>
        </w:rPr>
      </w:pPr>
      <w:r>
        <w:rPr>
          <w:color w:val="auto"/>
          <w:szCs w:val="21"/>
          <w:highlight w:val="none"/>
        </w:rPr>
        <w:t>20.4仲裁或诉讼</w:t>
      </w:r>
    </w:p>
    <w:p w14:paraId="06CE700B">
      <w:pPr>
        <w:spacing w:line="400" w:lineRule="exact"/>
        <w:ind w:firstLine="420" w:firstLineChars="200"/>
        <w:rPr>
          <w:color w:val="auto"/>
          <w:szCs w:val="21"/>
          <w:highlight w:val="none"/>
        </w:rPr>
      </w:pPr>
      <w:r>
        <w:rPr>
          <w:color w:val="auto"/>
          <w:szCs w:val="21"/>
          <w:highlight w:val="none"/>
        </w:rPr>
        <w:t>因合同及合同有关事项发生的争议，按下列第</w:t>
      </w:r>
      <w:r>
        <w:rPr>
          <w:color w:val="auto"/>
          <w:szCs w:val="21"/>
          <w:highlight w:val="none"/>
          <w:u w:val="single"/>
        </w:rPr>
        <w:t xml:space="preserve"> </w:t>
      </w:r>
      <w:r>
        <w:rPr>
          <w:rFonts w:hint="eastAsia"/>
          <w:color w:val="auto"/>
          <w:szCs w:val="21"/>
          <w:highlight w:val="none"/>
          <w:u w:val="single"/>
        </w:rPr>
        <w:t>（2）</w:t>
      </w:r>
      <w:r>
        <w:rPr>
          <w:color w:val="auto"/>
          <w:szCs w:val="21"/>
          <w:highlight w:val="none"/>
          <w:u w:val="single"/>
        </w:rPr>
        <w:t xml:space="preserve"> </w:t>
      </w:r>
      <w:r>
        <w:rPr>
          <w:color w:val="auto"/>
          <w:szCs w:val="21"/>
          <w:highlight w:val="none"/>
        </w:rPr>
        <w:t>种方式解决：</w:t>
      </w:r>
    </w:p>
    <w:p w14:paraId="770E809B">
      <w:pPr>
        <w:spacing w:line="400" w:lineRule="exact"/>
        <w:ind w:firstLine="420" w:firstLineChars="200"/>
        <w:rPr>
          <w:color w:val="auto"/>
          <w:szCs w:val="21"/>
          <w:highlight w:val="none"/>
        </w:rPr>
      </w:pPr>
      <w:r>
        <w:rPr>
          <w:color w:val="auto"/>
          <w:szCs w:val="21"/>
          <w:highlight w:val="none"/>
        </w:rPr>
        <w:t>（1）向</w:t>
      </w:r>
      <w:r>
        <w:rPr>
          <w:rFonts w:hint="eastAsia"/>
          <w:color w:val="auto"/>
          <w:szCs w:val="21"/>
          <w:highlight w:val="none"/>
          <w:u w:val="single"/>
        </w:rPr>
        <w:t xml:space="preserve">  </w:t>
      </w:r>
      <w:r>
        <w:rPr>
          <w:color w:val="auto"/>
          <w:szCs w:val="21"/>
          <w:highlight w:val="none"/>
          <w:u w:val="single"/>
        </w:rPr>
        <w:t>台州</w:t>
      </w:r>
      <w:r>
        <w:rPr>
          <w:rFonts w:hint="eastAsia"/>
          <w:color w:val="auto"/>
          <w:szCs w:val="21"/>
          <w:highlight w:val="none"/>
          <w:u w:val="single"/>
        </w:rPr>
        <w:t xml:space="preserve"> </w:t>
      </w:r>
      <w:r>
        <w:rPr>
          <w:color w:val="auto"/>
          <w:szCs w:val="21"/>
          <w:highlight w:val="none"/>
        </w:rPr>
        <w:t>仲裁委员会申请仲裁；</w:t>
      </w:r>
    </w:p>
    <w:p w14:paraId="5B17444A">
      <w:pPr>
        <w:spacing w:line="400" w:lineRule="exact"/>
        <w:ind w:firstLine="420" w:firstLineChars="200"/>
        <w:rPr>
          <w:color w:val="auto"/>
          <w:szCs w:val="21"/>
          <w:highlight w:val="none"/>
        </w:rPr>
      </w:pPr>
      <w:r>
        <w:rPr>
          <w:color w:val="auto"/>
          <w:szCs w:val="21"/>
          <w:highlight w:val="none"/>
        </w:rPr>
        <w:t>（2）向</w:t>
      </w:r>
      <w:r>
        <w:rPr>
          <w:rFonts w:hint="eastAsia"/>
          <w:color w:val="auto"/>
          <w:szCs w:val="21"/>
          <w:highlight w:val="none"/>
          <w:u w:val="single"/>
        </w:rPr>
        <w:t xml:space="preserve"> </w:t>
      </w:r>
      <w:r>
        <w:rPr>
          <w:rFonts w:hint="eastAsia" w:ascii="宋体" w:hAnsi="宋体"/>
          <w:color w:val="auto"/>
          <w:szCs w:val="21"/>
          <w:highlight w:val="none"/>
          <w:u w:val="single"/>
        </w:rPr>
        <w:t xml:space="preserve">三门县 </w:t>
      </w:r>
      <w:r>
        <w:rPr>
          <w:color w:val="auto"/>
          <w:szCs w:val="21"/>
          <w:highlight w:val="none"/>
        </w:rPr>
        <w:t>人民法院起诉。</w:t>
      </w:r>
    </w:p>
    <w:p w14:paraId="493E5514">
      <w:pPr>
        <w:pStyle w:val="4"/>
        <w:spacing w:before="0" w:after="0" w:line="400" w:lineRule="exact"/>
        <w:ind w:firstLine="422" w:firstLineChars="200"/>
        <w:rPr>
          <w:rFonts w:hint="eastAsia" w:ascii="Times New Roman" w:hAnsi="Times New Roman"/>
          <w:color w:val="auto"/>
          <w:sz w:val="21"/>
          <w:szCs w:val="21"/>
          <w:highlight w:val="none"/>
          <w:lang w:val="en-US" w:eastAsia="zh-CN"/>
        </w:rPr>
      </w:pPr>
      <w:r>
        <w:rPr>
          <w:rFonts w:hint="eastAsia" w:ascii="Times New Roman" w:hAnsi="Times New Roman"/>
          <w:color w:val="auto"/>
          <w:sz w:val="21"/>
          <w:szCs w:val="21"/>
          <w:highlight w:val="none"/>
          <w:lang w:val="en-US" w:eastAsia="zh-CN"/>
        </w:rPr>
        <w:t xml:space="preserve">   </w:t>
      </w:r>
      <w:r>
        <w:rPr>
          <w:rFonts w:hint="eastAsia" w:ascii="Times New Roman" w:hAnsi="Times New Roman"/>
          <w:color w:val="auto"/>
          <w:sz w:val="21"/>
          <w:szCs w:val="21"/>
          <w:highlight w:val="none"/>
          <w:lang w:val="en-US" w:eastAsia="zh-CN"/>
        </w:rPr>
        <w:t xml:space="preserve">    21、补充条款</w:t>
      </w:r>
    </w:p>
    <w:p w14:paraId="1413045A">
      <w:pPr>
        <w:spacing w:line="480" w:lineRule="exact"/>
        <w:ind w:firstLine="420" w:firstLineChars="200"/>
        <w:rPr>
          <w:rFonts w:ascii="Times New Roman" w:hAnsi="Times New Roman"/>
          <w:color w:val="auto"/>
          <w:szCs w:val="21"/>
          <w:highlight w:val="none"/>
        </w:rPr>
      </w:pPr>
      <w:r>
        <w:rPr>
          <w:rFonts w:hint="eastAsia"/>
          <w:color w:val="auto"/>
          <w:highlight w:val="none"/>
          <w:lang w:val="en-US" w:eastAsia="zh-CN"/>
        </w:rPr>
        <w:t xml:space="preserve"> </w:t>
      </w:r>
      <w:r>
        <w:rPr>
          <w:rFonts w:ascii="Times New Roman" w:hAnsi="Times New Roman"/>
          <w:color w:val="auto"/>
          <w:szCs w:val="21"/>
          <w:highlight w:val="none"/>
        </w:rPr>
        <w:t xml:space="preserve">21.1 承包人必须按期负责其劳务及职员的雇佣、工资的支付。发包人有权监督承包人对工人工资的发放，因承包人在雇佣、工资的支付等方面造成较坏社会影响 (如上访、劳动仲裁、斗殴、媒体报道等) ，发包人有权没收全部履约保证金。必要时可直接向工人支付劳工工资。并有权直接从进度款或结算款中予以扣除。 </w:t>
      </w:r>
    </w:p>
    <w:p w14:paraId="0C28A707">
      <w:pPr>
        <w:spacing w:line="480" w:lineRule="exact"/>
        <w:ind w:firstLine="420" w:firstLineChars="200"/>
        <w:rPr>
          <w:rFonts w:ascii="Times New Roman" w:hAnsi="Times New Roman"/>
          <w:color w:val="auto"/>
          <w:szCs w:val="21"/>
          <w:highlight w:val="none"/>
        </w:rPr>
      </w:pPr>
      <w:r>
        <w:rPr>
          <w:rFonts w:ascii="Times New Roman" w:hAnsi="Times New Roman"/>
          <w:color w:val="auto"/>
          <w:szCs w:val="21"/>
          <w:highlight w:val="none"/>
        </w:rPr>
        <w:t xml:space="preserve">21.2 如发生承包人原因造成工期延误，承包人向发包人支付误期赔偿费后，并不免除或减轻由此引发的监理延长服务时间所需的监理费，此费用由承包人承担酬金支付，相关服务收费按相关服务工作所需工日和《建设工程监理与相关服务人员人工日费用标准》 (建设工程监理与相关服务收费管理规定附表四) 收费。 </w:t>
      </w:r>
    </w:p>
    <w:p w14:paraId="6F1CAC1D">
      <w:pPr>
        <w:spacing w:line="480" w:lineRule="exact"/>
        <w:ind w:firstLine="420" w:firstLineChars="200"/>
        <w:rPr>
          <w:rFonts w:ascii="Times New Roman" w:hAnsi="Times New Roman"/>
          <w:color w:val="auto"/>
          <w:szCs w:val="21"/>
          <w:highlight w:val="none"/>
        </w:rPr>
      </w:pPr>
      <w:r>
        <w:rPr>
          <w:rFonts w:ascii="Times New Roman" w:hAnsi="Times New Roman"/>
          <w:color w:val="auto"/>
          <w:szCs w:val="21"/>
          <w:highlight w:val="none"/>
        </w:rPr>
        <w:t xml:space="preserve">21.3承包人须按文明施工要求施工，工完场清，清理费用承包人自行承担。 </w:t>
      </w:r>
    </w:p>
    <w:p w14:paraId="44E47B92">
      <w:pPr>
        <w:spacing w:line="480" w:lineRule="exact"/>
        <w:ind w:firstLine="420" w:firstLineChars="200"/>
        <w:rPr>
          <w:rFonts w:ascii="Times New Roman" w:hAnsi="Times New Roman"/>
          <w:color w:val="auto"/>
          <w:szCs w:val="21"/>
          <w:highlight w:val="none"/>
        </w:rPr>
      </w:pPr>
      <w:r>
        <w:rPr>
          <w:rFonts w:ascii="Times New Roman" w:hAnsi="Times New Roman"/>
          <w:color w:val="auto"/>
          <w:szCs w:val="21"/>
          <w:highlight w:val="none"/>
        </w:rPr>
        <w:t xml:space="preserve">21.4双方同意，若对本工程质量有争议，则由发包人指定的鉴定机构鉴定，鉴定费用由造成 </w:t>
      </w:r>
    </w:p>
    <w:p w14:paraId="67241D7A">
      <w:pPr>
        <w:spacing w:line="480" w:lineRule="exact"/>
        <w:ind w:firstLine="420" w:firstLineChars="200"/>
        <w:rPr>
          <w:rFonts w:ascii="Times New Roman" w:hAnsi="Times New Roman"/>
          <w:color w:val="auto"/>
          <w:szCs w:val="21"/>
          <w:highlight w:val="none"/>
        </w:rPr>
      </w:pPr>
      <w:r>
        <w:rPr>
          <w:rFonts w:ascii="Times New Roman" w:hAnsi="Times New Roman"/>
          <w:color w:val="auto"/>
          <w:szCs w:val="21"/>
          <w:highlight w:val="none"/>
        </w:rPr>
        <w:t xml:space="preserve">质量瑕疵的责任方承担。 </w:t>
      </w:r>
    </w:p>
    <w:p w14:paraId="0314B3F5">
      <w:pPr>
        <w:spacing w:line="480" w:lineRule="exact"/>
        <w:ind w:firstLine="420" w:firstLineChars="200"/>
        <w:rPr>
          <w:rFonts w:hint="eastAsia" w:ascii="Times New Roman" w:hAnsi="Times New Roman"/>
          <w:color w:val="auto"/>
          <w:szCs w:val="21"/>
          <w:highlight w:val="none"/>
        </w:rPr>
      </w:pPr>
      <w:r>
        <w:rPr>
          <w:rFonts w:ascii="Times New Roman" w:hAnsi="Times New Roman"/>
          <w:color w:val="auto"/>
          <w:szCs w:val="21"/>
          <w:highlight w:val="none"/>
        </w:rPr>
        <w:t xml:space="preserve">21.5本工程的施工现场执行《建筑施工安全检查标准》 (JGJ59-2011) 。承包人必须按国家有关规定，切实落实各项安全技术措施，确保施工现场的安全生产和文明施工。在施工过程中由于承包人原因而发生的人身伤亡、财产损失及其它一切事故，其责任全部由承包人承担。 </w:t>
      </w:r>
    </w:p>
    <w:p w14:paraId="2CDA0669">
      <w:pPr>
        <w:pStyle w:val="21"/>
        <w:rPr>
          <w:rFonts w:hint="eastAsia"/>
          <w:color w:val="auto"/>
          <w:highlight w:val="none"/>
          <w:lang w:val="en-US" w:eastAsia="zh-CN"/>
        </w:rPr>
      </w:pPr>
    </w:p>
    <w:p w14:paraId="6779898C">
      <w:pPr>
        <w:pStyle w:val="21"/>
        <w:rPr>
          <w:rFonts w:hint="default"/>
          <w:color w:val="auto"/>
          <w:highlight w:val="none"/>
          <w:lang w:val="en-US" w:eastAsia="zh-CN"/>
        </w:rPr>
      </w:pPr>
    </w:p>
    <w:p w14:paraId="22398451">
      <w:pPr>
        <w:spacing w:line="400" w:lineRule="exact"/>
        <w:rPr>
          <w:color w:val="auto"/>
          <w:szCs w:val="21"/>
          <w:highlight w:val="none"/>
        </w:rPr>
      </w:pPr>
      <w:r>
        <w:rPr>
          <w:color w:val="auto"/>
          <w:szCs w:val="21"/>
          <w:highlight w:val="none"/>
        </w:rPr>
        <w:t>发包人(公章)：</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 xml:space="preserve"> 承包人(公章)：</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lang w:val="en-US" w:eastAsia="zh-CN"/>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p>
    <w:p w14:paraId="5460988C">
      <w:pPr>
        <w:spacing w:line="400" w:lineRule="exact"/>
        <w:rPr>
          <w:color w:val="auto"/>
          <w:szCs w:val="21"/>
          <w:highlight w:val="none"/>
        </w:rPr>
      </w:pPr>
      <w:r>
        <w:rPr>
          <w:color w:val="auto"/>
          <w:szCs w:val="21"/>
          <w:highlight w:val="none"/>
        </w:rPr>
        <w:t>地  址：</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 xml:space="preserve"> 地  址：</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p>
    <w:p w14:paraId="20808866">
      <w:pPr>
        <w:spacing w:line="400" w:lineRule="exact"/>
        <w:rPr>
          <w:color w:val="auto"/>
          <w:szCs w:val="21"/>
          <w:highlight w:val="none"/>
        </w:rPr>
      </w:pPr>
      <w:r>
        <w:rPr>
          <w:color w:val="auto"/>
          <w:szCs w:val="21"/>
          <w:highlight w:val="none"/>
        </w:rPr>
        <w:t>法定代表人(签字)：</w:t>
      </w:r>
      <w:r>
        <w:rPr>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 xml:space="preserve"> 法定代表人(签字)：</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p>
    <w:p w14:paraId="6D853C9F">
      <w:pPr>
        <w:spacing w:line="400" w:lineRule="exact"/>
        <w:rPr>
          <w:color w:val="auto"/>
          <w:szCs w:val="21"/>
          <w:highlight w:val="none"/>
        </w:rPr>
      </w:pPr>
      <w:r>
        <w:rPr>
          <w:color w:val="auto"/>
          <w:szCs w:val="21"/>
          <w:highlight w:val="none"/>
        </w:rPr>
        <w:t>委托代理人(签字)：</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 xml:space="preserve"> 委托代理人(签字)：</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p>
    <w:p w14:paraId="7B0248F2">
      <w:pPr>
        <w:spacing w:line="400" w:lineRule="exact"/>
        <w:rPr>
          <w:color w:val="auto"/>
          <w:szCs w:val="21"/>
          <w:highlight w:val="none"/>
        </w:rPr>
      </w:pPr>
      <w:r>
        <w:rPr>
          <w:color w:val="auto"/>
          <w:szCs w:val="21"/>
          <w:highlight w:val="none"/>
        </w:rPr>
        <w:t>电  话：</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 xml:space="preserve"> 电  话：</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p>
    <w:p w14:paraId="09A092BF">
      <w:pPr>
        <w:spacing w:line="400" w:lineRule="exact"/>
        <w:rPr>
          <w:rFonts w:ascii="宋体" w:hAnsi="宋体" w:cs="宋体"/>
          <w:color w:val="auto"/>
          <w:highlight w:val="none"/>
          <w:u w:val="single"/>
        </w:rPr>
      </w:pPr>
      <w:r>
        <w:rPr>
          <w:color w:val="auto"/>
          <w:szCs w:val="21"/>
          <w:highlight w:val="none"/>
        </w:rPr>
        <w:t>传  真：</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 xml:space="preserve"> 传  真：</w:t>
      </w:r>
      <w:r>
        <w:rPr>
          <w:color w:val="auto"/>
          <w:szCs w:val="21"/>
          <w:highlight w:val="none"/>
          <w:u w:val="single"/>
        </w:rPr>
        <w:t xml:space="preserve">          </w:t>
      </w:r>
      <w:r>
        <w:rPr>
          <w:rFonts w:hint="eastAsia"/>
          <w:color w:val="auto"/>
          <w:szCs w:val="21"/>
          <w:highlight w:val="none"/>
          <w:u w:val="single"/>
          <w:lang w:val="en-US" w:eastAsia="zh-CN"/>
        </w:rPr>
        <w:t xml:space="preserve">                                      </w:t>
      </w:r>
      <w:r>
        <w:rPr>
          <w:color w:val="auto"/>
          <w:szCs w:val="21"/>
          <w:highlight w:val="none"/>
          <w:u w:val="single"/>
        </w:rPr>
        <w:t xml:space="preserve"> </w:t>
      </w:r>
      <w:r>
        <w:rPr>
          <w:rFonts w:hint="eastAsia"/>
          <w:color w:val="auto"/>
          <w:szCs w:val="21"/>
          <w:highlight w:val="none"/>
          <w:u w:val="single"/>
        </w:rPr>
        <w:t xml:space="preserve">           </w:t>
      </w:r>
    </w:p>
    <w:p w14:paraId="0447F92E">
      <w:pPr>
        <w:spacing w:line="400" w:lineRule="exact"/>
        <w:rPr>
          <w:color w:val="auto"/>
          <w:szCs w:val="21"/>
          <w:highlight w:val="none"/>
        </w:rPr>
      </w:pPr>
    </w:p>
    <w:p w14:paraId="5760CA12">
      <w:pPr>
        <w:spacing w:line="400" w:lineRule="exact"/>
        <w:rPr>
          <w:rFonts w:ascii="宋体" w:hAnsi="宋体" w:cs="宋体"/>
          <w:color w:val="auto"/>
          <w:highlight w:val="none"/>
        </w:rPr>
      </w:pPr>
    </w:p>
    <w:p w14:paraId="3C529536">
      <w:pPr>
        <w:spacing w:line="400" w:lineRule="exact"/>
        <w:ind w:firstLine="420" w:firstLineChars="200"/>
        <w:rPr>
          <w:rFonts w:ascii="宋体" w:hAnsi="宋体" w:cs="宋体"/>
          <w:color w:val="auto"/>
          <w:highlight w:val="none"/>
        </w:rPr>
      </w:pPr>
    </w:p>
    <w:p w14:paraId="5363DF63">
      <w:pPr>
        <w:rPr>
          <w:b/>
          <w:color w:val="auto"/>
          <w:sz w:val="28"/>
          <w:szCs w:val="28"/>
          <w:highlight w:val="none"/>
        </w:rPr>
      </w:pPr>
      <w:r>
        <w:rPr>
          <w:b/>
          <w:color w:val="auto"/>
          <w:sz w:val="28"/>
          <w:szCs w:val="28"/>
          <w:highlight w:val="none"/>
        </w:rPr>
        <w:br w:type="page"/>
      </w:r>
    </w:p>
    <w:p w14:paraId="018F3471">
      <w:pPr>
        <w:spacing w:line="360" w:lineRule="exact"/>
        <w:rPr>
          <w:b/>
          <w:color w:val="auto"/>
          <w:sz w:val="28"/>
          <w:szCs w:val="28"/>
          <w:highlight w:val="none"/>
        </w:rPr>
      </w:pPr>
      <w:r>
        <w:rPr>
          <w:b/>
          <w:color w:val="auto"/>
          <w:sz w:val="28"/>
          <w:szCs w:val="28"/>
          <w:highlight w:val="none"/>
        </w:rPr>
        <w:t>附件</w:t>
      </w:r>
    </w:p>
    <w:p w14:paraId="41E7FA30">
      <w:pPr>
        <w:spacing w:line="560" w:lineRule="exact"/>
        <w:ind w:firstLine="420" w:firstLineChars="200"/>
        <w:rPr>
          <w:color w:val="auto"/>
          <w:szCs w:val="21"/>
          <w:highlight w:val="none"/>
        </w:rPr>
      </w:pPr>
      <w:r>
        <w:rPr>
          <w:color w:val="auto"/>
          <w:szCs w:val="21"/>
          <w:highlight w:val="none"/>
        </w:rPr>
        <w:t>专用合同条款附件：</w:t>
      </w:r>
    </w:p>
    <w:p w14:paraId="386B2E8D">
      <w:pPr>
        <w:spacing w:line="560" w:lineRule="exact"/>
        <w:ind w:firstLine="420" w:firstLineChars="200"/>
        <w:rPr>
          <w:color w:val="auto"/>
          <w:szCs w:val="21"/>
          <w:highlight w:val="none"/>
        </w:rPr>
      </w:pPr>
      <w:r>
        <w:rPr>
          <w:color w:val="auto"/>
          <w:szCs w:val="21"/>
          <w:highlight w:val="none"/>
        </w:rPr>
        <w:t>附件3：工程质量保修书</w:t>
      </w:r>
    </w:p>
    <w:p w14:paraId="3CFF5759">
      <w:pPr>
        <w:spacing w:line="560" w:lineRule="exact"/>
        <w:ind w:firstLine="420" w:firstLineChars="200"/>
        <w:rPr>
          <w:color w:val="auto"/>
          <w:szCs w:val="21"/>
          <w:highlight w:val="none"/>
        </w:rPr>
      </w:pPr>
      <w:r>
        <w:rPr>
          <w:rFonts w:hint="eastAsia"/>
          <w:color w:val="auto"/>
          <w:szCs w:val="21"/>
          <w:highlight w:val="none"/>
        </w:rPr>
        <w:t xml:space="preserve">附件8：履约担保格式 </w:t>
      </w:r>
    </w:p>
    <w:p w14:paraId="58C6E703">
      <w:pPr>
        <w:spacing w:line="560" w:lineRule="exact"/>
        <w:ind w:firstLine="420" w:firstLineChars="200"/>
        <w:rPr>
          <w:color w:val="auto"/>
          <w:szCs w:val="21"/>
          <w:highlight w:val="none"/>
        </w:rPr>
      </w:pPr>
      <w:r>
        <w:rPr>
          <w:rFonts w:hint="eastAsia"/>
          <w:color w:val="auto"/>
          <w:szCs w:val="21"/>
          <w:highlight w:val="none"/>
        </w:rPr>
        <w:t>附件9：预付款担保格式</w:t>
      </w:r>
    </w:p>
    <w:p w14:paraId="6208A59A">
      <w:pPr>
        <w:spacing w:line="400" w:lineRule="exact"/>
        <w:ind w:firstLine="420" w:firstLineChars="200"/>
        <w:rPr>
          <w:rFonts w:hint="eastAsia"/>
          <w:color w:val="auto"/>
          <w:szCs w:val="21"/>
          <w:highlight w:val="none"/>
        </w:rPr>
      </w:pPr>
      <w:r>
        <w:rPr>
          <w:rFonts w:hint="eastAsia"/>
          <w:color w:val="auto"/>
          <w:szCs w:val="21"/>
          <w:highlight w:val="none"/>
        </w:rPr>
        <w:t>附件11：暂估价一览表</w:t>
      </w:r>
    </w:p>
    <w:p w14:paraId="705E91D4">
      <w:pPr>
        <w:spacing w:line="400" w:lineRule="exact"/>
        <w:ind w:firstLine="420" w:firstLineChars="200"/>
        <w:rPr>
          <w:rFonts w:hint="eastAsia"/>
          <w:color w:val="auto"/>
          <w:szCs w:val="21"/>
          <w:highlight w:val="none"/>
        </w:rPr>
      </w:pPr>
    </w:p>
    <w:p w14:paraId="2B8FDBA2">
      <w:pPr>
        <w:spacing w:line="400" w:lineRule="exact"/>
        <w:ind w:firstLine="420" w:firstLineChars="200"/>
        <w:rPr>
          <w:rFonts w:hint="eastAsia"/>
          <w:color w:val="auto"/>
          <w:szCs w:val="21"/>
          <w:highlight w:val="none"/>
        </w:rPr>
      </w:pPr>
    </w:p>
    <w:p w14:paraId="16B34DEC">
      <w:pPr>
        <w:spacing w:line="400" w:lineRule="exact"/>
        <w:ind w:firstLine="420" w:firstLineChars="200"/>
        <w:rPr>
          <w:rFonts w:hint="eastAsia"/>
          <w:color w:val="auto"/>
          <w:szCs w:val="21"/>
          <w:highlight w:val="none"/>
        </w:rPr>
      </w:pPr>
    </w:p>
    <w:p w14:paraId="208B25E9">
      <w:pPr>
        <w:spacing w:line="400" w:lineRule="exact"/>
        <w:ind w:firstLine="420" w:firstLineChars="200"/>
        <w:rPr>
          <w:rFonts w:hint="eastAsia"/>
          <w:color w:val="auto"/>
          <w:szCs w:val="21"/>
          <w:highlight w:val="none"/>
        </w:rPr>
      </w:pPr>
    </w:p>
    <w:p w14:paraId="11DD6A95">
      <w:pPr>
        <w:spacing w:line="400" w:lineRule="exact"/>
        <w:ind w:firstLine="420" w:firstLineChars="200"/>
        <w:rPr>
          <w:rFonts w:hint="eastAsia"/>
          <w:color w:val="auto"/>
          <w:szCs w:val="21"/>
          <w:highlight w:val="none"/>
        </w:rPr>
      </w:pPr>
    </w:p>
    <w:p w14:paraId="641E6C1E">
      <w:pPr>
        <w:spacing w:line="400" w:lineRule="exact"/>
        <w:ind w:firstLine="420" w:firstLineChars="200"/>
        <w:rPr>
          <w:rFonts w:hint="eastAsia"/>
          <w:color w:val="auto"/>
          <w:szCs w:val="21"/>
          <w:highlight w:val="none"/>
        </w:rPr>
      </w:pPr>
    </w:p>
    <w:p w14:paraId="5A8F989D">
      <w:pPr>
        <w:spacing w:line="400" w:lineRule="exact"/>
        <w:ind w:firstLine="420" w:firstLineChars="200"/>
        <w:rPr>
          <w:rFonts w:hint="eastAsia"/>
          <w:color w:val="auto"/>
          <w:szCs w:val="21"/>
          <w:highlight w:val="none"/>
        </w:rPr>
      </w:pPr>
    </w:p>
    <w:p w14:paraId="4A9578E6">
      <w:pPr>
        <w:spacing w:line="400" w:lineRule="exact"/>
        <w:ind w:firstLine="420" w:firstLineChars="200"/>
        <w:rPr>
          <w:rFonts w:hint="eastAsia"/>
          <w:color w:val="auto"/>
          <w:szCs w:val="21"/>
          <w:highlight w:val="none"/>
        </w:rPr>
      </w:pPr>
    </w:p>
    <w:p w14:paraId="086C9A16">
      <w:pPr>
        <w:spacing w:line="400" w:lineRule="exact"/>
        <w:ind w:firstLine="420" w:firstLineChars="200"/>
        <w:rPr>
          <w:rFonts w:hint="eastAsia"/>
          <w:color w:val="auto"/>
          <w:szCs w:val="21"/>
          <w:highlight w:val="none"/>
        </w:rPr>
      </w:pPr>
    </w:p>
    <w:p w14:paraId="500B0C7D">
      <w:pPr>
        <w:spacing w:line="400" w:lineRule="exact"/>
        <w:ind w:firstLine="420" w:firstLineChars="200"/>
        <w:rPr>
          <w:rFonts w:hint="eastAsia"/>
          <w:color w:val="auto"/>
          <w:szCs w:val="21"/>
          <w:highlight w:val="none"/>
        </w:rPr>
      </w:pPr>
    </w:p>
    <w:p w14:paraId="04C35602">
      <w:pPr>
        <w:spacing w:line="400" w:lineRule="exact"/>
        <w:ind w:firstLine="420" w:firstLineChars="200"/>
        <w:rPr>
          <w:rFonts w:hint="eastAsia"/>
          <w:color w:val="auto"/>
          <w:szCs w:val="21"/>
          <w:highlight w:val="none"/>
        </w:rPr>
      </w:pPr>
    </w:p>
    <w:p w14:paraId="58D84AA5">
      <w:pPr>
        <w:spacing w:line="400" w:lineRule="exact"/>
        <w:ind w:firstLine="420" w:firstLineChars="200"/>
        <w:rPr>
          <w:rFonts w:hint="eastAsia"/>
          <w:color w:val="auto"/>
          <w:szCs w:val="21"/>
          <w:highlight w:val="none"/>
        </w:rPr>
      </w:pPr>
    </w:p>
    <w:p w14:paraId="619C2B44">
      <w:pPr>
        <w:spacing w:line="400" w:lineRule="exact"/>
        <w:ind w:firstLine="420" w:firstLineChars="200"/>
        <w:rPr>
          <w:rFonts w:hint="eastAsia"/>
          <w:color w:val="auto"/>
          <w:szCs w:val="21"/>
          <w:highlight w:val="none"/>
        </w:rPr>
      </w:pPr>
    </w:p>
    <w:p w14:paraId="26521505">
      <w:pPr>
        <w:spacing w:line="400" w:lineRule="exact"/>
        <w:ind w:firstLine="420" w:firstLineChars="200"/>
        <w:rPr>
          <w:rFonts w:hint="eastAsia"/>
          <w:color w:val="auto"/>
          <w:szCs w:val="21"/>
          <w:highlight w:val="none"/>
        </w:rPr>
      </w:pPr>
    </w:p>
    <w:p w14:paraId="22EC8C9D">
      <w:pPr>
        <w:spacing w:line="400" w:lineRule="exact"/>
        <w:ind w:firstLine="420" w:firstLineChars="200"/>
        <w:rPr>
          <w:rFonts w:hint="eastAsia"/>
          <w:color w:val="auto"/>
          <w:szCs w:val="21"/>
          <w:highlight w:val="none"/>
        </w:rPr>
      </w:pPr>
    </w:p>
    <w:p w14:paraId="50A182C6">
      <w:pPr>
        <w:spacing w:line="400" w:lineRule="exact"/>
        <w:ind w:firstLine="420" w:firstLineChars="200"/>
        <w:rPr>
          <w:rFonts w:hint="eastAsia"/>
          <w:color w:val="auto"/>
          <w:szCs w:val="21"/>
          <w:highlight w:val="none"/>
        </w:rPr>
      </w:pPr>
    </w:p>
    <w:p w14:paraId="41C49D3E">
      <w:pPr>
        <w:spacing w:line="400" w:lineRule="exact"/>
        <w:ind w:firstLine="420" w:firstLineChars="200"/>
        <w:rPr>
          <w:rFonts w:hint="eastAsia"/>
          <w:color w:val="auto"/>
          <w:szCs w:val="21"/>
          <w:highlight w:val="none"/>
        </w:rPr>
      </w:pPr>
    </w:p>
    <w:p w14:paraId="252BAF39">
      <w:pPr>
        <w:spacing w:line="400" w:lineRule="exact"/>
        <w:ind w:firstLine="420" w:firstLineChars="200"/>
        <w:rPr>
          <w:rFonts w:hint="eastAsia"/>
          <w:color w:val="auto"/>
          <w:szCs w:val="21"/>
          <w:highlight w:val="none"/>
        </w:rPr>
      </w:pPr>
    </w:p>
    <w:p w14:paraId="14D6EF7C">
      <w:pPr>
        <w:spacing w:line="400" w:lineRule="exact"/>
        <w:ind w:firstLine="420" w:firstLineChars="200"/>
        <w:rPr>
          <w:rFonts w:hint="eastAsia"/>
          <w:color w:val="auto"/>
          <w:szCs w:val="21"/>
          <w:highlight w:val="none"/>
        </w:rPr>
      </w:pPr>
    </w:p>
    <w:p w14:paraId="05E9AD50">
      <w:pPr>
        <w:spacing w:line="400" w:lineRule="exact"/>
        <w:ind w:firstLine="420" w:firstLineChars="200"/>
        <w:rPr>
          <w:rFonts w:hint="eastAsia"/>
          <w:color w:val="auto"/>
          <w:szCs w:val="21"/>
          <w:highlight w:val="none"/>
        </w:rPr>
      </w:pPr>
    </w:p>
    <w:p w14:paraId="30153B1C">
      <w:pPr>
        <w:spacing w:line="400" w:lineRule="exact"/>
        <w:ind w:firstLine="420" w:firstLineChars="200"/>
        <w:rPr>
          <w:rFonts w:hint="eastAsia"/>
          <w:color w:val="auto"/>
          <w:szCs w:val="21"/>
          <w:highlight w:val="none"/>
        </w:rPr>
      </w:pPr>
    </w:p>
    <w:p w14:paraId="3870C53C">
      <w:pPr>
        <w:spacing w:line="400" w:lineRule="exact"/>
        <w:ind w:firstLine="420" w:firstLineChars="200"/>
        <w:rPr>
          <w:rFonts w:hint="eastAsia"/>
          <w:color w:val="auto"/>
          <w:szCs w:val="21"/>
          <w:highlight w:val="none"/>
        </w:rPr>
      </w:pPr>
    </w:p>
    <w:p w14:paraId="1E6CDE80">
      <w:pPr>
        <w:pStyle w:val="10"/>
        <w:rPr>
          <w:rFonts w:hint="eastAsia"/>
          <w:color w:val="auto"/>
          <w:szCs w:val="21"/>
          <w:highlight w:val="none"/>
        </w:rPr>
      </w:pPr>
    </w:p>
    <w:p w14:paraId="03EA509E">
      <w:pPr>
        <w:pStyle w:val="5"/>
        <w:rPr>
          <w:rFonts w:hint="eastAsia"/>
          <w:color w:val="auto"/>
          <w:highlight w:val="none"/>
        </w:rPr>
      </w:pPr>
    </w:p>
    <w:p w14:paraId="1A75FBE6">
      <w:pPr>
        <w:spacing w:line="400" w:lineRule="exact"/>
        <w:ind w:firstLine="420" w:firstLineChars="200"/>
        <w:rPr>
          <w:rFonts w:hint="eastAsia"/>
          <w:color w:val="auto"/>
          <w:szCs w:val="21"/>
          <w:highlight w:val="none"/>
        </w:rPr>
      </w:pPr>
    </w:p>
    <w:p w14:paraId="42D8CB0D">
      <w:pPr>
        <w:spacing w:line="400" w:lineRule="exact"/>
        <w:ind w:firstLine="420" w:firstLineChars="200"/>
        <w:rPr>
          <w:rFonts w:hint="eastAsia"/>
          <w:color w:val="auto"/>
          <w:szCs w:val="21"/>
          <w:highlight w:val="none"/>
        </w:rPr>
      </w:pPr>
    </w:p>
    <w:p w14:paraId="7823BDB6">
      <w:pPr>
        <w:spacing w:line="400" w:lineRule="exact"/>
        <w:ind w:firstLine="420" w:firstLineChars="200"/>
        <w:rPr>
          <w:rFonts w:hint="eastAsia"/>
          <w:color w:val="auto"/>
          <w:szCs w:val="21"/>
          <w:highlight w:val="none"/>
        </w:rPr>
      </w:pPr>
    </w:p>
    <w:p w14:paraId="6F13542B">
      <w:pPr>
        <w:pStyle w:val="4"/>
        <w:spacing w:before="0" w:after="0" w:line="360" w:lineRule="exact"/>
        <w:ind w:firstLine="422" w:firstLineChars="200"/>
        <w:rPr>
          <w:rFonts w:ascii="Times New Roman" w:hAnsi="Times New Roman"/>
          <w:color w:val="auto"/>
          <w:sz w:val="21"/>
          <w:szCs w:val="21"/>
          <w:highlight w:val="none"/>
        </w:rPr>
      </w:pPr>
      <w:r>
        <w:rPr>
          <w:rFonts w:ascii="Times New Roman" w:hAnsi="Times New Roman"/>
          <w:color w:val="auto"/>
          <w:sz w:val="21"/>
          <w:szCs w:val="21"/>
          <w:highlight w:val="none"/>
        </w:rPr>
        <w:t>附</w:t>
      </w:r>
      <w:bookmarkStart w:id="122" w:name="_Toc296346727"/>
      <w:bookmarkStart w:id="123" w:name="_Toc296891266"/>
      <w:bookmarkStart w:id="124" w:name="_Toc296891054"/>
      <w:bookmarkStart w:id="125" w:name="_Toc296347225"/>
      <w:bookmarkStart w:id="126" w:name="_Toc296944565"/>
      <w:bookmarkStart w:id="127" w:name="_Toc267261693"/>
      <w:bookmarkStart w:id="128" w:name="_Toc296503226"/>
      <w:r>
        <w:rPr>
          <w:rFonts w:ascii="Times New Roman" w:hAnsi="Times New Roman"/>
          <w:color w:val="auto"/>
          <w:sz w:val="21"/>
          <w:szCs w:val="21"/>
          <w:highlight w:val="none"/>
        </w:rPr>
        <w:t>件3：</w:t>
      </w:r>
      <w:bookmarkEnd w:id="122"/>
      <w:bookmarkEnd w:id="123"/>
      <w:bookmarkEnd w:id="124"/>
      <w:bookmarkEnd w:id="125"/>
      <w:bookmarkEnd w:id="126"/>
      <w:bookmarkEnd w:id="127"/>
      <w:bookmarkEnd w:id="128"/>
      <w:r>
        <w:rPr>
          <w:rFonts w:ascii="Times New Roman" w:hAnsi="Times New Roman"/>
          <w:color w:val="auto"/>
          <w:sz w:val="21"/>
          <w:szCs w:val="21"/>
          <w:highlight w:val="none"/>
        </w:rPr>
        <w:t xml:space="preserve">    </w:t>
      </w:r>
    </w:p>
    <w:p w14:paraId="20E649E3">
      <w:pPr>
        <w:spacing w:line="360" w:lineRule="exact"/>
        <w:ind w:firstLine="480" w:firstLineChars="200"/>
        <w:jc w:val="center"/>
        <w:rPr>
          <w:rFonts w:eastAsia="黑体"/>
          <w:bCs/>
          <w:color w:val="auto"/>
          <w:sz w:val="24"/>
          <w:highlight w:val="none"/>
        </w:rPr>
      </w:pPr>
      <w:r>
        <w:rPr>
          <w:rFonts w:eastAsia="黑体"/>
          <w:bCs/>
          <w:color w:val="auto"/>
          <w:sz w:val="24"/>
          <w:highlight w:val="none"/>
        </w:rPr>
        <w:t>工程质量保修书</w:t>
      </w:r>
    </w:p>
    <w:p w14:paraId="51B85070">
      <w:pPr>
        <w:spacing w:line="360" w:lineRule="exact"/>
        <w:ind w:firstLine="480" w:firstLineChars="200"/>
        <w:rPr>
          <w:rFonts w:eastAsia="黑体"/>
          <w:bCs/>
          <w:color w:val="auto"/>
          <w:sz w:val="24"/>
          <w:highlight w:val="none"/>
        </w:rPr>
      </w:pPr>
    </w:p>
    <w:p w14:paraId="233180C1">
      <w:pPr>
        <w:spacing w:line="440" w:lineRule="exact"/>
        <w:ind w:firstLine="420" w:firstLineChars="200"/>
        <w:rPr>
          <w:rFonts w:hint="eastAsia"/>
          <w:bCs/>
          <w:color w:val="auto"/>
          <w:szCs w:val="21"/>
          <w:highlight w:val="none"/>
          <w:u w:val="single"/>
          <w:lang w:eastAsia="zh-CN"/>
        </w:rPr>
      </w:pPr>
      <w:r>
        <w:rPr>
          <w:bCs/>
          <w:color w:val="auto"/>
          <w:szCs w:val="21"/>
          <w:highlight w:val="none"/>
        </w:rPr>
        <w:t>发包人（全称）：</w:t>
      </w:r>
      <w:r>
        <w:rPr>
          <w:rFonts w:hint="eastAsia"/>
          <w:bCs/>
          <w:color w:val="auto"/>
          <w:szCs w:val="21"/>
          <w:highlight w:val="none"/>
          <w:u w:val="single"/>
        </w:rPr>
        <w:t xml:space="preserve">  </w:t>
      </w:r>
      <w:r>
        <w:rPr>
          <w:rFonts w:hint="eastAsia"/>
          <w:bCs/>
          <w:color w:val="auto"/>
          <w:szCs w:val="21"/>
          <w:highlight w:val="none"/>
          <w:u w:val="single"/>
          <w:lang w:eastAsia="zh-CN"/>
        </w:rPr>
        <w:t>三门经济投资开发有限公司</w:t>
      </w:r>
    </w:p>
    <w:p w14:paraId="78C0676A">
      <w:pPr>
        <w:spacing w:line="500" w:lineRule="exact"/>
        <w:ind w:firstLine="420" w:firstLineChars="200"/>
        <w:rPr>
          <w:bCs/>
          <w:color w:val="auto"/>
          <w:szCs w:val="21"/>
          <w:highlight w:val="none"/>
        </w:rPr>
      </w:pPr>
      <w:r>
        <w:rPr>
          <w:bCs/>
          <w:color w:val="auto"/>
          <w:szCs w:val="21"/>
          <w:highlight w:val="none"/>
        </w:rPr>
        <w:t>承包人（全称）：</w:t>
      </w:r>
      <w:r>
        <w:rPr>
          <w:bCs/>
          <w:color w:val="auto"/>
          <w:szCs w:val="21"/>
          <w:highlight w:val="none"/>
          <w:u w:val="single"/>
        </w:rPr>
        <w:t xml:space="preserve">           </w:t>
      </w:r>
      <w:r>
        <w:rPr>
          <w:rFonts w:hint="eastAsia"/>
          <w:bCs/>
          <w:color w:val="auto"/>
          <w:szCs w:val="21"/>
          <w:highlight w:val="none"/>
          <w:u w:val="single"/>
          <w:lang w:val="en-US" w:eastAsia="zh-CN"/>
        </w:rPr>
        <w:t xml:space="preserve">                          </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3E47885D">
      <w:pPr>
        <w:spacing w:line="500" w:lineRule="exact"/>
        <w:ind w:firstLine="420" w:firstLineChars="200"/>
        <w:rPr>
          <w:bCs/>
          <w:color w:val="auto"/>
          <w:szCs w:val="21"/>
          <w:highlight w:val="none"/>
        </w:rPr>
      </w:pPr>
      <w:r>
        <w:rPr>
          <w:bCs/>
          <w:color w:val="auto"/>
          <w:szCs w:val="21"/>
          <w:highlight w:val="none"/>
        </w:rPr>
        <w:t>发包人和承包人根据《中华人民共和国建筑法》和《建设工程质量管理条例》，经协商一致就</w:t>
      </w:r>
      <w:r>
        <w:rPr>
          <w:rFonts w:hint="eastAsia" w:ascii="宋体" w:hAnsi="宋体"/>
          <w:color w:val="auto"/>
          <w:highlight w:val="none"/>
          <w:u w:val="single"/>
          <w:lang w:eastAsia="zh-CN"/>
        </w:rPr>
        <w:t>三门经济开发区科创中心装修提升工程</w:t>
      </w:r>
      <w:r>
        <w:rPr>
          <w:bCs/>
          <w:color w:val="auto"/>
          <w:szCs w:val="21"/>
          <w:highlight w:val="none"/>
        </w:rPr>
        <w:t>（工程全称）签订工程质量保修书。</w:t>
      </w:r>
    </w:p>
    <w:p w14:paraId="0FCA401A">
      <w:pPr>
        <w:spacing w:line="500" w:lineRule="exact"/>
        <w:ind w:firstLine="420" w:firstLineChars="200"/>
        <w:rPr>
          <w:bCs/>
          <w:color w:val="auto"/>
          <w:szCs w:val="21"/>
          <w:highlight w:val="none"/>
        </w:rPr>
      </w:pPr>
      <w:r>
        <w:rPr>
          <w:bCs/>
          <w:color w:val="auto"/>
          <w:szCs w:val="21"/>
          <w:highlight w:val="none"/>
        </w:rPr>
        <w:t>一、工程质量保修范围和内容</w:t>
      </w:r>
    </w:p>
    <w:p w14:paraId="1E823693">
      <w:pPr>
        <w:spacing w:line="500" w:lineRule="exact"/>
        <w:ind w:firstLine="420" w:firstLineChars="200"/>
        <w:rPr>
          <w:bCs/>
          <w:color w:val="auto"/>
          <w:szCs w:val="21"/>
          <w:highlight w:val="none"/>
        </w:rPr>
      </w:pPr>
      <w:r>
        <w:rPr>
          <w:bCs/>
          <w:color w:val="auto"/>
          <w:szCs w:val="21"/>
          <w:highlight w:val="none"/>
        </w:rPr>
        <w:t>承包人在质量保修期内，按照有关法律规定和合同约定，承担工程质量保修责任。</w:t>
      </w:r>
    </w:p>
    <w:p w14:paraId="5CFC2464">
      <w:pPr>
        <w:spacing w:line="500" w:lineRule="exact"/>
        <w:ind w:firstLine="420" w:firstLineChars="200"/>
        <w:rPr>
          <w:bCs/>
          <w:color w:val="auto"/>
          <w:szCs w:val="21"/>
          <w:highlight w:val="none"/>
        </w:rPr>
      </w:pPr>
      <w:r>
        <w:rPr>
          <w:bCs/>
          <w:color w:val="auto"/>
          <w:szCs w:val="21"/>
          <w:highlight w:val="none"/>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hAnsi="宋体" w:cs="宋体"/>
          <w:color w:val="auto"/>
          <w:kern w:val="0"/>
          <w:highlight w:val="none"/>
          <w:u w:val="single"/>
        </w:rPr>
        <w:t>承包人提供的竣工图纸范围内包含的全部内容。</w:t>
      </w:r>
    </w:p>
    <w:p w14:paraId="148D5D43">
      <w:pPr>
        <w:spacing w:line="500" w:lineRule="exact"/>
        <w:ind w:firstLine="420" w:firstLineChars="200"/>
        <w:rPr>
          <w:bCs/>
          <w:color w:val="auto"/>
          <w:szCs w:val="21"/>
          <w:highlight w:val="none"/>
        </w:rPr>
      </w:pPr>
      <w:r>
        <w:rPr>
          <w:bCs/>
          <w:color w:val="auto"/>
          <w:szCs w:val="21"/>
          <w:highlight w:val="none"/>
        </w:rPr>
        <w:t>二、质量保修期</w:t>
      </w:r>
    </w:p>
    <w:p w14:paraId="28A3BEBE">
      <w:pPr>
        <w:spacing w:line="500" w:lineRule="exact"/>
        <w:ind w:firstLine="420" w:firstLineChars="200"/>
        <w:rPr>
          <w:bCs/>
          <w:color w:val="auto"/>
          <w:szCs w:val="21"/>
          <w:highlight w:val="none"/>
        </w:rPr>
      </w:pPr>
      <w:r>
        <w:rPr>
          <w:bCs/>
          <w:color w:val="auto"/>
          <w:szCs w:val="21"/>
          <w:highlight w:val="none"/>
        </w:rPr>
        <w:t>根据《建设工程质量管理条例》及有关规定，工程的质量保修期如下：</w:t>
      </w:r>
    </w:p>
    <w:p w14:paraId="1179B02A">
      <w:pPr>
        <w:spacing w:line="500" w:lineRule="exact"/>
        <w:ind w:firstLine="420" w:firstLineChars="200"/>
        <w:rPr>
          <w:bCs/>
          <w:color w:val="auto"/>
          <w:szCs w:val="21"/>
          <w:highlight w:val="none"/>
        </w:rPr>
      </w:pPr>
      <w:r>
        <w:rPr>
          <w:bCs/>
          <w:color w:val="auto"/>
          <w:szCs w:val="21"/>
          <w:highlight w:val="none"/>
        </w:rPr>
        <w:t>1．地基基础工程和主体结构工程为设计文件规定的工程合理使用年限；</w:t>
      </w:r>
    </w:p>
    <w:p w14:paraId="48023EFF">
      <w:pPr>
        <w:spacing w:line="500" w:lineRule="exact"/>
        <w:ind w:firstLine="420" w:firstLineChars="200"/>
        <w:rPr>
          <w:bCs/>
          <w:color w:val="auto"/>
          <w:szCs w:val="21"/>
          <w:highlight w:val="none"/>
        </w:rPr>
      </w:pPr>
      <w:r>
        <w:rPr>
          <w:bCs/>
          <w:color w:val="auto"/>
          <w:szCs w:val="21"/>
          <w:highlight w:val="none"/>
        </w:rPr>
        <w:t>2．屋面防水工程、有防水要求的卫生间、房间和外墙面的防渗为</w:t>
      </w:r>
      <w:r>
        <w:rPr>
          <w:bCs/>
          <w:color w:val="auto"/>
          <w:szCs w:val="21"/>
          <w:highlight w:val="none"/>
          <w:u w:val="single"/>
        </w:rPr>
        <w:t xml:space="preserve">  </w:t>
      </w:r>
      <w:r>
        <w:rPr>
          <w:rFonts w:hint="eastAsia"/>
          <w:bCs/>
          <w:color w:val="auto"/>
          <w:szCs w:val="21"/>
          <w:highlight w:val="none"/>
          <w:u w:val="single"/>
        </w:rPr>
        <w:t>5</w:t>
      </w:r>
      <w:r>
        <w:rPr>
          <w:bCs/>
          <w:color w:val="auto"/>
          <w:szCs w:val="21"/>
          <w:highlight w:val="none"/>
          <w:u w:val="single"/>
        </w:rPr>
        <w:t xml:space="preserve">   </w:t>
      </w:r>
      <w:r>
        <w:rPr>
          <w:bCs/>
          <w:color w:val="auto"/>
          <w:szCs w:val="21"/>
          <w:highlight w:val="none"/>
        </w:rPr>
        <w:t>年；</w:t>
      </w:r>
    </w:p>
    <w:p w14:paraId="6C0AC502">
      <w:pPr>
        <w:spacing w:line="500" w:lineRule="exact"/>
        <w:ind w:firstLine="420" w:firstLineChars="200"/>
        <w:rPr>
          <w:bCs/>
          <w:color w:val="auto"/>
          <w:szCs w:val="21"/>
          <w:highlight w:val="none"/>
        </w:rPr>
      </w:pPr>
      <w:r>
        <w:rPr>
          <w:bCs/>
          <w:color w:val="auto"/>
          <w:szCs w:val="21"/>
          <w:highlight w:val="none"/>
        </w:rPr>
        <w:t>3．装修工程为</w:t>
      </w:r>
      <w:r>
        <w:rPr>
          <w:bCs/>
          <w:color w:val="auto"/>
          <w:szCs w:val="21"/>
          <w:highlight w:val="none"/>
          <w:u w:val="single"/>
        </w:rPr>
        <w:t xml:space="preserve">   </w:t>
      </w:r>
      <w:r>
        <w:rPr>
          <w:rFonts w:hint="eastAsia"/>
          <w:bCs/>
          <w:color w:val="auto"/>
          <w:szCs w:val="21"/>
          <w:highlight w:val="none"/>
          <w:u w:val="single"/>
        </w:rPr>
        <w:t>2</w:t>
      </w:r>
      <w:r>
        <w:rPr>
          <w:bCs/>
          <w:color w:val="auto"/>
          <w:szCs w:val="21"/>
          <w:highlight w:val="none"/>
          <w:u w:val="single"/>
        </w:rPr>
        <w:t xml:space="preserve">  </w:t>
      </w:r>
      <w:r>
        <w:rPr>
          <w:bCs/>
          <w:color w:val="auto"/>
          <w:szCs w:val="21"/>
          <w:highlight w:val="none"/>
        </w:rPr>
        <w:t>年；</w:t>
      </w:r>
    </w:p>
    <w:p w14:paraId="2D234B27">
      <w:pPr>
        <w:spacing w:line="500" w:lineRule="exact"/>
        <w:ind w:firstLine="420" w:firstLineChars="200"/>
        <w:rPr>
          <w:bCs/>
          <w:color w:val="auto"/>
          <w:szCs w:val="21"/>
          <w:highlight w:val="none"/>
        </w:rPr>
      </w:pPr>
      <w:r>
        <w:rPr>
          <w:bCs/>
          <w:color w:val="auto"/>
          <w:szCs w:val="21"/>
          <w:highlight w:val="none"/>
        </w:rPr>
        <w:t>4．电气管线、给排水管道、设备安装工程为</w:t>
      </w:r>
      <w:r>
        <w:rPr>
          <w:bCs/>
          <w:color w:val="auto"/>
          <w:szCs w:val="21"/>
          <w:highlight w:val="none"/>
          <w:u w:val="single"/>
        </w:rPr>
        <w:t xml:space="preserve">   </w:t>
      </w:r>
      <w:r>
        <w:rPr>
          <w:rFonts w:hint="eastAsia"/>
          <w:bCs/>
          <w:color w:val="auto"/>
          <w:szCs w:val="21"/>
          <w:highlight w:val="none"/>
          <w:u w:val="single"/>
        </w:rPr>
        <w:t>2</w:t>
      </w:r>
      <w:r>
        <w:rPr>
          <w:bCs/>
          <w:color w:val="auto"/>
          <w:szCs w:val="21"/>
          <w:highlight w:val="none"/>
          <w:u w:val="single"/>
        </w:rPr>
        <w:t xml:space="preserve">  </w:t>
      </w:r>
      <w:r>
        <w:rPr>
          <w:bCs/>
          <w:color w:val="auto"/>
          <w:szCs w:val="21"/>
          <w:highlight w:val="none"/>
        </w:rPr>
        <w:t>年；</w:t>
      </w:r>
    </w:p>
    <w:p w14:paraId="1CA9CFBA">
      <w:pPr>
        <w:spacing w:line="500" w:lineRule="exact"/>
        <w:ind w:firstLine="420" w:firstLineChars="200"/>
        <w:rPr>
          <w:bCs/>
          <w:color w:val="auto"/>
          <w:szCs w:val="21"/>
          <w:highlight w:val="none"/>
        </w:rPr>
      </w:pPr>
      <w:r>
        <w:rPr>
          <w:bCs/>
          <w:color w:val="auto"/>
          <w:szCs w:val="21"/>
          <w:highlight w:val="none"/>
        </w:rPr>
        <w:t>5．供热与供冷系统为</w:t>
      </w:r>
      <w:r>
        <w:rPr>
          <w:bCs/>
          <w:color w:val="auto"/>
          <w:szCs w:val="21"/>
          <w:highlight w:val="none"/>
          <w:u w:val="single"/>
        </w:rPr>
        <w:t xml:space="preserve">  </w:t>
      </w:r>
      <w:r>
        <w:rPr>
          <w:rFonts w:hint="eastAsia"/>
          <w:bCs/>
          <w:color w:val="auto"/>
          <w:szCs w:val="21"/>
          <w:highlight w:val="none"/>
          <w:u w:val="single"/>
        </w:rPr>
        <w:t>2</w:t>
      </w:r>
      <w:r>
        <w:rPr>
          <w:bCs/>
          <w:color w:val="auto"/>
          <w:szCs w:val="21"/>
          <w:highlight w:val="none"/>
          <w:u w:val="single"/>
        </w:rPr>
        <w:t xml:space="preserve">    </w:t>
      </w:r>
      <w:r>
        <w:rPr>
          <w:bCs/>
          <w:color w:val="auto"/>
          <w:szCs w:val="21"/>
          <w:highlight w:val="none"/>
        </w:rPr>
        <w:t>个采暖期、供冷期；</w:t>
      </w:r>
    </w:p>
    <w:p w14:paraId="1E72C187">
      <w:pPr>
        <w:spacing w:line="500" w:lineRule="exact"/>
        <w:ind w:firstLine="420" w:firstLineChars="200"/>
        <w:rPr>
          <w:bCs/>
          <w:color w:val="auto"/>
          <w:szCs w:val="21"/>
          <w:highlight w:val="none"/>
        </w:rPr>
      </w:pPr>
      <w:r>
        <w:rPr>
          <w:bCs/>
          <w:color w:val="auto"/>
          <w:szCs w:val="21"/>
          <w:highlight w:val="none"/>
        </w:rPr>
        <w:t>6．住宅小区内的给排水设施、道路等配套工程为</w:t>
      </w:r>
      <w:r>
        <w:rPr>
          <w:bCs/>
          <w:color w:val="auto"/>
          <w:szCs w:val="21"/>
          <w:highlight w:val="none"/>
          <w:u w:val="single"/>
        </w:rPr>
        <w:t xml:space="preserve">   </w:t>
      </w:r>
      <w:r>
        <w:rPr>
          <w:rFonts w:hint="eastAsia"/>
          <w:bCs/>
          <w:color w:val="auto"/>
          <w:szCs w:val="21"/>
          <w:highlight w:val="none"/>
          <w:u w:val="single"/>
        </w:rPr>
        <w:t>2</w:t>
      </w:r>
      <w:r>
        <w:rPr>
          <w:bCs/>
          <w:color w:val="auto"/>
          <w:szCs w:val="21"/>
          <w:highlight w:val="none"/>
          <w:u w:val="single"/>
        </w:rPr>
        <w:t xml:space="preserve">  </w:t>
      </w:r>
      <w:r>
        <w:rPr>
          <w:bCs/>
          <w:color w:val="auto"/>
          <w:szCs w:val="21"/>
          <w:highlight w:val="none"/>
        </w:rPr>
        <w:t>年；</w:t>
      </w:r>
    </w:p>
    <w:p w14:paraId="077B9CF2">
      <w:pPr>
        <w:spacing w:line="500" w:lineRule="exact"/>
        <w:ind w:firstLine="420" w:firstLineChars="200"/>
        <w:rPr>
          <w:rFonts w:hint="eastAsia" w:hAnsi="宋体" w:cs="宋体"/>
          <w:b/>
          <w:color w:val="auto"/>
          <w:kern w:val="0"/>
          <w:highlight w:val="none"/>
          <w:u w:val="single"/>
        </w:rPr>
      </w:pPr>
      <w:r>
        <w:rPr>
          <w:bCs/>
          <w:color w:val="auto"/>
          <w:szCs w:val="21"/>
          <w:highlight w:val="none"/>
        </w:rPr>
        <w:t>7．其他项目保修期限约定如下：</w:t>
      </w:r>
      <w:r>
        <w:rPr>
          <w:rFonts w:hint="eastAsia"/>
          <w:b/>
          <w:bCs/>
          <w:color w:val="auto"/>
          <w:szCs w:val="21"/>
          <w:highlight w:val="none"/>
          <w:u w:val="single"/>
        </w:rPr>
        <w:t>本工程合同范围内的工程，质量保修期自工程竣工验收合格之日起两年</w:t>
      </w:r>
      <w:r>
        <w:rPr>
          <w:rFonts w:hint="eastAsia" w:hAnsi="宋体" w:cs="宋体"/>
          <w:b/>
          <w:color w:val="auto"/>
          <w:kern w:val="0"/>
          <w:highlight w:val="none"/>
          <w:u w:val="single"/>
        </w:rPr>
        <w:t>。</w:t>
      </w:r>
    </w:p>
    <w:p w14:paraId="3AA8F61B">
      <w:pPr>
        <w:spacing w:line="500" w:lineRule="exact"/>
        <w:ind w:firstLine="420" w:firstLineChars="200"/>
        <w:rPr>
          <w:bCs/>
          <w:color w:val="auto"/>
          <w:szCs w:val="21"/>
          <w:highlight w:val="none"/>
        </w:rPr>
      </w:pPr>
      <w:r>
        <w:rPr>
          <w:bCs/>
          <w:color w:val="auto"/>
          <w:szCs w:val="21"/>
          <w:highlight w:val="none"/>
        </w:rPr>
        <w:t>三、缺陷责任期</w:t>
      </w:r>
    </w:p>
    <w:p w14:paraId="22F9CFEF">
      <w:pPr>
        <w:spacing w:line="500" w:lineRule="exact"/>
        <w:ind w:firstLine="420" w:firstLineChars="200"/>
        <w:rPr>
          <w:bCs/>
          <w:color w:val="auto"/>
          <w:szCs w:val="21"/>
          <w:highlight w:val="none"/>
        </w:rPr>
      </w:pPr>
      <w:r>
        <w:rPr>
          <w:bCs/>
          <w:color w:val="auto"/>
          <w:szCs w:val="21"/>
          <w:highlight w:val="none"/>
        </w:rPr>
        <w:t>工程缺陷责任期为</w:t>
      </w:r>
      <w:r>
        <w:rPr>
          <w:bCs/>
          <w:color w:val="auto"/>
          <w:szCs w:val="21"/>
          <w:highlight w:val="none"/>
          <w:u w:val="single"/>
        </w:rPr>
        <w:t xml:space="preserve"> 24</w:t>
      </w:r>
      <w:r>
        <w:rPr>
          <w:bCs/>
          <w:color w:val="auto"/>
          <w:szCs w:val="21"/>
          <w:highlight w:val="none"/>
        </w:rPr>
        <w:t>个月，缺陷责任期自工程竣工验收合格之日起计算。单位工程先于全部工程进行验收，单位工程缺陷责任期自单位工程验收合格之日起算。</w:t>
      </w:r>
    </w:p>
    <w:p w14:paraId="61ACB57E">
      <w:pPr>
        <w:spacing w:line="500" w:lineRule="exact"/>
        <w:ind w:firstLine="420" w:firstLineChars="200"/>
        <w:rPr>
          <w:bCs/>
          <w:color w:val="auto"/>
          <w:szCs w:val="21"/>
          <w:highlight w:val="none"/>
        </w:rPr>
      </w:pPr>
      <w:r>
        <w:rPr>
          <w:bCs/>
          <w:color w:val="auto"/>
          <w:szCs w:val="21"/>
          <w:highlight w:val="none"/>
        </w:rPr>
        <w:t>四、质量保修责任</w:t>
      </w:r>
    </w:p>
    <w:p w14:paraId="4087CEC8">
      <w:pPr>
        <w:spacing w:line="500" w:lineRule="exact"/>
        <w:ind w:firstLine="420" w:firstLineChars="200"/>
        <w:rPr>
          <w:bCs/>
          <w:color w:val="auto"/>
          <w:szCs w:val="21"/>
          <w:highlight w:val="none"/>
        </w:rPr>
      </w:pPr>
      <w:r>
        <w:rPr>
          <w:bCs/>
          <w:color w:val="auto"/>
          <w:szCs w:val="21"/>
          <w:highlight w:val="none"/>
        </w:rPr>
        <w:t>1．属于保修范围、内容的项目，承包人应当在接到保修通知之日起7天内派人保修。承包人不在约定期限内派人保修的，发包人可以委托他人修理。</w:t>
      </w:r>
    </w:p>
    <w:p w14:paraId="6196DEFD">
      <w:pPr>
        <w:spacing w:line="500" w:lineRule="exact"/>
        <w:ind w:firstLine="420" w:firstLineChars="200"/>
        <w:rPr>
          <w:bCs/>
          <w:color w:val="auto"/>
          <w:szCs w:val="21"/>
          <w:highlight w:val="none"/>
        </w:rPr>
      </w:pPr>
      <w:r>
        <w:rPr>
          <w:bCs/>
          <w:color w:val="auto"/>
          <w:szCs w:val="21"/>
          <w:highlight w:val="none"/>
        </w:rPr>
        <w:t>2．发生紧急事故需抢修的，承包人在接到事故通知后，应当立即到达事故现场抢修。</w:t>
      </w:r>
    </w:p>
    <w:p w14:paraId="5E63DBAD">
      <w:pPr>
        <w:spacing w:line="500" w:lineRule="exact"/>
        <w:ind w:firstLine="420" w:firstLineChars="200"/>
        <w:rPr>
          <w:bCs/>
          <w:color w:val="auto"/>
          <w:szCs w:val="21"/>
          <w:highlight w:val="none"/>
        </w:rPr>
      </w:pPr>
      <w:r>
        <w:rPr>
          <w:bCs/>
          <w:color w:val="auto"/>
          <w:szCs w:val="21"/>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02BB76F3">
      <w:pPr>
        <w:spacing w:line="500" w:lineRule="exact"/>
        <w:ind w:firstLine="420" w:firstLineChars="200"/>
        <w:rPr>
          <w:bCs/>
          <w:color w:val="auto"/>
          <w:szCs w:val="21"/>
          <w:highlight w:val="none"/>
        </w:rPr>
      </w:pPr>
      <w:r>
        <w:rPr>
          <w:bCs/>
          <w:color w:val="auto"/>
          <w:szCs w:val="21"/>
          <w:highlight w:val="none"/>
        </w:rPr>
        <w:t>4．质量保修完成后，由发包人组织验收。</w:t>
      </w:r>
    </w:p>
    <w:p w14:paraId="404365FA">
      <w:pPr>
        <w:spacing w:line="500" w:lineRule="exact"/>
        <w:ind w:firstLine="420" w:firstLineChars="200"/>
        <w:rPr>
          <w:bCs/>
          <w:color w:val="auto"/>
          <w:szCs w:val="21"/>
          <w:highlight w:val="none"/>
        </w:rPr>
      </w:pPr>
      <w:r>
        <w:rPr>
          <w:bCs/>
          <w:color w:val="auto"/>
          <w:szCs w:val="21"/>
          <w:highlight w:val="none"/>
        </w:rPr>
        <w:t>五、保修费用</w:t>
      </w:r>
    </w:p>
    <w:p w14:paraId="117B3415">
      <w:pPr>
        <w:spacing w:line="500" w:lineRule="exact"/>
        <w:ind w:firstLine="420" w:firstLineChars="200"/>
        <w:rPr>
          <w:bCs/>
          <w:color w:val="auto"/>
          <w:szCs w:val="21"/>
          <w:highlight w:val="none"/>
        </w:rPr>
      </w:pPr>
      <w:r>
        <w:rPr>
          <w:bCs/>
          <w:color w:val="auto"/>
          <w:szCs w:val="21"/>
          <w:highlight w:val="none"/>
        </w:rPr>
        <w:t>保修费用由造成质量缺陷的责任方承担。</w:t>
      </w:r>
    </w:p>
    <w:p w14:paraId="0E252C3D">
      <w:pPr>
        <w:spacing w:line="500" w:lineRule="exact"/>
        <w:ind w:firstLine="420" w:firstLineChars="200"/>
        <w:rPr>
          <w:rFonts w:hint="eastAsia"/>
          <w:bCs/>
          <w:color w:val="auto"/>
          <w:szCs w:val="21"/>
          <w:highlight w:val="none"/>
          <w:u w:val="single"/>
        </w:rPr>
      </w:pPr>
      <w:r>
        <w:rPr>
          <w:bCs/>
          <w:color w:val="auto"/>
          <w:szCs w:val="21"/>
          <w:highlight w:val="none"/>
        </w:rPr>
        <w:t>六、双方约定的其他工程质量保修事项：</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6E0767FF">
      <w:pPr>
        <w:spacing w:line="500" w:lineRule="exact"/>
        <w:ind w:firstLine="420" w:firstLineChars="200"/>
        <w:rPr>
          <w:bCs/>
          <w:color w:val="auto"/>
          <w:szCs w:val="21"/>
          <w:highlight w:val="none"/>
        </w:rPr>
      </w:pPr>
      <w:r>
        <w:rPr>
          <w:bCs/>
          <w:color w:val="auto"/>
          <w:szCs w:val="21"/>
          <w:highlight w:val="none"/>
        </w:rPr>
        <w:t>工程质量保修书由发包人、承包人在工程竣工验收前共同签署，作为施工合同附件，其有效期限至保修期满。</w:t>
      </w:r>
    </w:p>
    <w:p w14:paraId="7E7AC6D2">
      <w:pPr>
        <w:spacing w:line="500" w:lineRule="exact"/>
        <w:ind w:firstLine="420" w:firstLineChars="200"/>
        <w:rPr>
          <w:rFonts w:hint="eastAsia"/>
          <w:bCs/>
          <w:color w:val="auto"/>
          <w:szCs w:val="21"/>
          <w:highlight w:val="none"/>
        </w:rPr>
      </w:pPr>
    </w:p>
    <w:p w14:paraId="0D57F7EF">
      <w:pPr>
        <w:spacing w:line="500" w:lineRule="exact"/>
        <w:ind w:firstLine="420" w:firstLineChars="200"/>
        <w:rPr>
          <w:bCs/>
          <w:color w:val="auto"/>
          <w:szCs w:val="21"/>
          <w:highlight w:val="none"/>
        </w:rPr>
      </w:pPr>
      <w:r>
        <w:rPr>
          <w:bCs/>
          <w:color w:val="auto"/>
          <w:szCs w:val="21"/>
          <w:highlight w:val="none"/>
        </w:rPr>
        <w:t>发包人（公章）：</w:t>
      </w:r>
      <w:r>
        <w:rPr>
          <w:bCs/>
          <w:color w:val="auto"/>
          <w:szCs w:val="21"/>
          <w:highlight w:val="none"/>
          <w:u w:val="single"/>
        </w:rPr>
        <w:t xml:space="preserve">    </w:t>
      </w:r>
      <w:r>
        <w:rPr>
          <w:rFonts w:hint="eastAsia"/>
          <w:bCs/>
          <w:color w:val="auto"/>
          <w:szCs w:val="21"/>
          <w:highlight w:val="none"/>
          <w:u w:val="single"/>
        </w:rPr>
        <w:t xml:space="preserve">       </w:t>
      </w:r>
      <w:r>
        <w:rPr>
          <w:bCs/>
          <w:color w:val="auto"/>
          <w:szCs w:val="21"/>
          <w:highlight w:val="none"/>
          <w:u w:val="single"/>
        </w:rPr>
        <w:t xml:space="preserve">    </w:t>
      </w:r>
      <w:r>
        <w:rPr>
          <w:bCs/>
          <w:color w:val="auto"/>
          <w:szCs w:val="21"/>
          <w:highlight w:val="none"/>
        </w:rPr>
        <w:t xml:space="preserve"> 承包人（公章）：</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77638273">
      <w:pPr>
        <w:spacing w:line="500" w:lineRule="exact"/>
        <w:ind w:firstLine="420" w:firstLineChars="200"/>
        <w:rPr>
          <w:bCs/>
          <w:color w:val="auto"/>
          <w:szCs w:val="21"/>
          <w:highlight w:val="none"/>
        </w:rPr>
      </w:pPr>
      <w:r>
        <w:rPr>
          <w:bCs/>
          <w:color w:val="auto"/>
          <w:szCs w:val="21"/>
          <w:highlight w:val="none"/>
        </w:rPr>
        <w:t>地  址：</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    </w:t>
      </w:r>
      <w:r>
        <w:rPr>
          <w:bCs/>
          <w:color w:val="auto"/>
          <w:szCs w:val="21"/>
          <w:highlight w:val="none"/>
        </w:rPr>
        <w:t xml:space="preserve"> 地  址：</w:t>
      </w:r>
      <w:r>
        <w:rPr>
          <w:bCs/>
          <w:color w:val="auto"/>
          <w:szCs w:val="21"/>
          <w:highlight w:val="none"/>
          <w:u w:val="single"/>
        </w:rPr>
        <w:t></w:t>
      </w:r>
      <w:r>
        <w:rPr>
          <w:rFonts w:hint="eastAsia"/>
          <w:bCs/>
          <w:color w:val="auto"/>
          <w:szCs w:val="21"/>
          <w:highlight w:val="none"/>
          <w:u w:val="single"/>
        </w:rPr>
        <w:t xml:space="preserve">        </w:t>
      </w:r>
      <w:r>
        <w:rPr>
          <w:bCs/>
          <w:color w:val="auto"/>
          <w:szCs w:val="21"/>
          <w:highlight w:val="none"/>
          <w:u w:val="single"/>
        </w:rPr>
        <w:t xml:space="preserve">            </w:t>
      </w:r>
    </w:p>
    <w:p w14:paraId="40127CD2">
      <w:pPr>
        <w:spacing w:line="500" w:lineRule="exact"/>
        <w:ind w:firstLine="420" w:firstLineChars="200"/>
        <w:rPr>
          <w:bCs/>
          <w:color w:val="auto"/>
          <w:szCs w:val="21"/>
          <w:highlight w:val="none"/>
        </w:rPr>
      </w:pPr>
      <w:r>
        <w:rPr>
          <w:bCs/>
          <w:color w:val="auto"/>
          <w:szCs w:val="21"/>
          <w:highlight w:val="none"/>
        </w:rPr>
        <w:t>法定代表人（签字）：</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bCs/>
          <w:color w:val="auto"/>
          <w:szCs w:val="21"/>
          <w:highlight w:val="none"/>
        </w:rPr>
        <w:t xml:space="preserve"> 法定代表人（签字）：</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0EB58EE2">
      <w:pPr>
        <w:spacing w:line="500" w:lineRule="exact"/>
        <w:ind w:firstLine="420" w:firstLineChars="200"/>
        <w:rPr>
          <w:bCs/>
          <w:color w:val="auto"/>
          <w:szCs w:val="21"/>
          <w:highlight w:val="none"/>
        </w:rPr>
      </w:pPr>
      <w:r>
        <w:rPr>
          <w:bCs/>
          <w:color w:val="auto"/>
          <w:szCs w:val="21"/>
          <w:highlight w:val="none"/>
        </w:rPr>
        <w:t>委托代理人（签字）：</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bCs/>
          <w:color w:val="auto"/>
          <w:szCs w:val="21"/>
          <w:highlight w:val="none"/>
        </w:rPr>
        <w:t xml:space="preserve"> 委托代理人（签字）：</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6E39B05C">
      <w:pPr>
        <w:spacing w:line="500" w:lineRule="exact"/>
        <w:ind w:firstLine="420" w:firstLineChars="200"/>
        <w:rPr>
          <w:bCs/>
          <w:color w:val="auto"/>
          <w:szCs w:val="21"/>
          <w:highlight w:val="none"/>
        </w:rPr>
      </w:pPr>
      <w:r>
        <w:rPr>
          <w:bCs/>
          <w:color w:val="auto"/>
          <w:szCs w:val="21"/>
          <w:highlight w:val="none"/>
        </w:rPr>
        <w:t>电  话：</w:t>
      </w:r>
      <w:r>
        <w:rPr>
          <w:bCs/>
          <w:color w:val="auto"/>
          <w:szCs w:val="21"/>
          <w:highlight w:val="none"/>
          <w:u w:val="single"/>
        </w:rPr>
        <w:t></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bCs/>
          <w:color w:val="auto"/>
          <w:szCs w:val="21"/>
          <w:highlight w:val="none"/>
        </w:rPr>
        <w:t xml:space="preserve"> 电  话：</w:t>
      </w:r>
      <w:r>
        <w:rPr>
          <w:bCs/>
          <w:color w:val="auto"/>
          <w:szCs w:val="21"/>
          <w:highlight w:val="none"/>
          <w:u w:val="single"/>
        </w:rPr>
        <w:t></w:t>
      </w:r>
      <w:r>
        <w:rPr>
          <w:rFonts w:hint="eastAsia"/>
          <w:bCs/>
          <w:color w:val="auto"/>
          <w:szCs w:val="21"/>
          <w:highlight w:val="none"/>
          <w:u w:val="single"/>
        </w:rPr>
        <w:t xml:space="preserve">        </w:t>
      </w:r>
      <w:r>
        <w:rPr>
          <w:bCs/>
          <w:color w:val="auto"/>
          <w:szCs w:val="21"/>
          <w:highlight w:val="none"/>
          <w:u w:val="single"/>
        </w:rPr>
        <w:t xml:space="preserve">         </w:t>
      </w:r>
    </w:p>
    <w:p w14:paraId="0A32A332">
      <w:pPr>
        <w:spacing w:line="500" w:lineRule="exact"/>
        <w:ind w:firstLine="420" w:firstLineChars="200"/>
        <w:rPr>
          <w:bCs/>
          <w:color w:val="auto"/>
          <w:szCs w:val="21"/>
          <w:highlight w:val="none"/>
        </w:rPr>
      </w:pPr>
      <w:r>
        <w:rPr>
          <w:bCs/>
          <w:color w:val="auto"/>
          <w:szCs w:val="21"/>
          <w:highlight w:val="none"/>
        </w:rPr>
        <w:t>传  真：</w:t>
      </w:r>
      <w:r>
        <w:rPr>
          <w:bCs/>
          <w:color w:val="auto"/>
          <w:szCs w:val="21"/>
          <w:highlight w:val="none"/>
          <w:u w:val="single"/>
        </w:rPr>
        <w:t></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bCs/>
          <w:color w:val="auto"/>
          <w:szCs w:val="21"/>
          <w:highlight w:val="none"/>
        </w:rPr>
        <w:t xml:space="preserve"> 传  真：</w:t>
      </w:r>
      <w:r>
        <w:rPr>
          <w:bCs/>
          <w:color w:val="auto"/>
          <w:szCs w:val="21"/>
          <w:highlight w:val="none"/>
          <w:u w:val="single"/>
        </w:rPr>
        <w:t></w:t>
      </w:r>
      <w:r>
        <w:rPr>
          <w:rFonts w:hint="eastAsia"/>
          <w:bCs/>
          <w:color w:val="auto"/>
          <w:szCs w:val="21"/>
          <w:highlight w:val="none"/>
          <w:u w:val="single"/>
        </w:rPr>
        <w:t xml:space="preserve">         </w:t>
      </w:r>
      <w:r>
        <w:rPr>
          <w:bCs/>
          <w:color w:val="auto"/>
          <w:szCs w:val="21"/>
          <w:highlight w:val="none"/>
          <w:u w:val="single"/>
        </w:rPr>
        <w:t xml:space="preserve">        </w:t>
      </w:r>
    </w:p>
    <w:p w14:paraId="25A1A6CB">
      <w:pPr>
        <w:spacing w:line="500" w:lineRule="exact"/>
        <w:ind w:firstLine="420" w:firstLineChars="200"/>
        <w:rPr>
          <w:bCs/>
          <w:color w:val="auto"/>
          <w:szCs w:val="21"/>
          <w:highlight w:val="none"/>
        </w:rPr>
      </w:pPr>
      <w:r>
        <w:rPr>
          <w:bCs/>
          <w:color w:val="auto"/>
          <w:szCs w:val="21"/>
          <w:highlight w:val="none"/>
        </w:rPr>
        <w:t>开户银行：</w:t>
      </w:r>
      <w:r>
        <w:rPr>
          <w:bCs/>
          <w:color w:val="auto"/>
          <w:szCs w:val="21"/>
          <w:highlight w:val="none"/>
          <w:u w:val="single"/>
        </w:rPr>
        <w:t></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bCs/>
          <w:color w:val="auto"/>
          <w:szCs w:val="21"/>
          <w:highlight w:val="none"/>
        </w:rPr>
        <w:t xml:space="preserve"> 开户银行：</w:t>
      </w:r>
      <w:r>
        <w:rPr>
          <w:bCs/>
          <w:color w:val="auto"/>
          <w:szCs w:val="21"/>
          <w:highlight w:val="none"/>
          <w:u w:val="single"/>
        </w:rPr>
        <w:t></w:t>
      </w:r>
      <w:r>
        <w:rPr>
          <w:rFonts w:hint="eastAsia"/>
          <w:bCs/>
          <w:color w:val="auto"/>
          <w:szCs w:val="21"/>
          <w:highlight w:val="none"/>
          <w:u w:val="single"/>
        </w:rPr>
        <w:t xml:space="preserve">        </w:t>
      </w:r>
      <w:r>
        <w:rPr>
          <w:bCs/>
          <w:color w:val="auto"/>
          <w:szCs w:val="21"/>
          <w:highlight w:val="none"/>
          <w:u w:val="single"/>
        </w:rPr>
        <w:t xml:space="preserve">      </w:t>
      </w:r>
    </w:p>
    <w:p w14:paraId="6D59A2E8">
      <w:pPr>
        <w:spacing w:line="500" w:lineRule="exact"/>
        <w:ind w:firstLine="420" w:firstLineChars="200"/>
        <w:rPr>
          <w:bCs/>
          <w:color w:val="auto"/>
          <w:szCs w:val="21"/>
          <w:highlight w:val="none"/>
        </w:rPr>
      </w:pPr>
      <w:r>
        <w:rPr>
          <w:bCs/>
          <w:color w:val="auto"/>
          <w:szCs w:val="21"/>
          <w:highlight w:val="none"/>
        </w:rPr>
        <w:t>账  号：</w:t>
      </w:r>
      <w:r>
        <w:rPr>
          <w:bCs/>
          <w:color w:val="auto"/>
          <w:szCs w:val="21"/>
          <w:highlight w:val="none"/>
          <w:u w:val="single"/>
        </w:rPr>
        <w:t xml:space="preserve">     </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bCs/>
          <w:color w:val="auto"/>
          <w:szCs w:val="21"/>
          <w:highlight w:val="none"/>
        </w:rPr>
        <w:t xml:space="preserve"> 账  号：</w:t>
      </w:r>
      <w:r>
        <w:rPr>
          <w:bCs/>
          <w:color w:val="auto"/>
          <w:szCs w:val="21"/>
          <w:highlight w:val="none"/>
          <w:u w:val="single"/>
        </w:rPr>
        <w:t></w:t>
      </w:r>
      <w:r>
        <w:rPr>
          <w:rFonts w:hint="eastAsia"/>
          <w:bCs/>
          <w:color w:val="auto"/>
          <w:szCs w:val="21"/>
          <w:highlight w:val="none"/>
          <w:u w:val="single"/>
        </w:rPr>
        <w:t xml:space="preserve">         </w:t>
      </w:r>
      <w:r>
        <w:rPr>
          <w:bCs/>
          <w:color w:val="auto"/>
          <w:szCs w:val="21"/>
          <w:highlight w:val="none"/>
          <w:u w:val="single"/>
        </w:rPr>
        <w:t xml:space="preserve">       </w:t>
      </w:r>
    </w:p>
    <w:p w14:paraId="0B57DE37">
      <w:pPr>
        <w:spacing w:line="500" w:lineRule="exact"/>
        <w:ind w:firstLine="420" w:firstLineChars="200"/>
        <w:rPr>
          <w:color w:val="auto"/>
          <w:szCs w:val="21"/>
          <w:highlight w:val="none"/>
          <w:u w:val="single"/>
        </w:rPr>
      </w:pPr>
      <w:r>
        <w:rPr>
          <w:bCs/>
          <w:color w:val="auto"/>
          <w:szCs w:val="21"/>
          <w:highlight w:val="none"/>
        </w:rPr>
        <w:t>邮政编码：</w:t>
      </w:r>
      <w:r>
        <w:rPr>
          <w:bCs/>
          <w:color w:val="auto"/>
          <w:szCs w:val="21"/>
          <w:highlight w:val="none"/>
          <w:u w:val="single"/>
        </w:rPr>
        <w:t xml:space="preserve">   </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r>
        <w:rPr>
          <w:bCs/>
          <w:color w:val="auto"/>
          <w:szCs w:val="21"/>
          <w:highlight w:val="none"/>
        </w:rPr>
        <w:t xml:space="preserve"> 邮政编码：</w:t>
      </w:r>
      <w:r>
        <w:rPr>
          <w:bCs/>
          <w:color w:val="auto"/>
          <w:szCs w:val="21"/>
          <w:highlight w:val="none"/>
          <w:u w:val="single"/>
        </w:rPr>
        <w:t></w:t>
      </w:r>
      <w:r>
        <w:rPr>
          <w:rFonts w:hint="eastAsia"/>
          <w:bCs/>
          <w:color w:val="auto"/>
          <w:szCs w:val="21"/>
          <w:highlight w:val="none"/>
          <w:u w:val="single"/>
        </w:rPr>
        <w:t xml:space="preserve">       </w:t>
      </w:r>
      <w:r>
        <w:rPr>
          <w:bCs/>
          <w:color w:val="auto"/>
          <w:szCs w:val="21"/>
          <w:highlight w:val="none"/>
          <w:u w:val="single"/>
        </w:rPr>
        <w:t xml:space="preserve"> </w:t>
      </w:r>
      <w:r>
        <w:rPr>
          <w:rFonts w:hint="eastAsia"/>
          <w:bCs/>
          <w:color w:val="auto"/>
          <w:szCs w:val="21"/>
          <w:highlight w:val="none"/>
          <w:u w:val="single"/>
        </w:rPr>
        <w:t xml:space="preserve">  </w:t>
      </w:r>
      <w:r>
        <w:rPr>
          <w:bCs/>
          <w:color w:val="auto"/>
          <w:szCs w:val="21"/>
          <w:highlight w:val="none"/>
          <w:u w:val="single"/>
        </w:rPr>
        <w:t xml:space="preserve">    </w:t>
      </w:r>
    </w:p>
    <w:p w14:paraId="4C2B4A94">
      <w:pPr>
        <w:spacing w:line="360" w:lineRule="exact"/>
        <w:ind w:firstLine="420" w:firstLineChars="200"/>
        <w:rPr>
          <w:color w:val="auto"/>
          <w:szCs w:val="21"/>
          <w:highlight w:val="none"/>
          <w:u w:val="single"/>
        </w:rPr>
      </w:pPr>
    </w:p>
    <w:p w14:paraId="6666E907">
      <w:pPr>
        <w:rPr>
          <w:rFonts w:hint="eastAsia" w:ascii="Times New Roman" w:hAnsi="Times New Roman" w:eastAsia="黑体" w:cs="Arial"/>
          <w:b/>
          <w:bCs/>
          <w:color w:val="auto"/>
          <w:sz w:val="21"/>
          <w:szCs w:val="21"/>
          <w:highlight w:val="none"/>
          <w:lang w:val="en-US" w:eastAsia="zh-CN" w:bidi="ar-SA"/>
        </w:rPr>
      </w:pPr>
      <w:r>
        <w:rPr>
          <w:rFonts w:hint="eastAsia" w:ascii="Times New Roman" w:hAnsi="Times New Roman" w:eastAsia="黑体" w:cs="Arial"/>
          <w:b/>
          <w:bCs/>
          <w:color w:val="auto"/>
          <w:sz w:val="21"/>
          <w:szCs w:val="21"/>
          <w:highlight w:val="none"/>
          <w:lang w:val="en-US" w:eastAsia="zh-CN" w:bidi="ar-SA"/>
        </w:rPr>
        <w:br w:type="page"/>
      </w:r>
    </w:p>
    <w:p w14:paraId="6A86FD7F">
      <w:pPr>
        <w:rPr>
          <w:rFonts w:hint="default" w:ascii="Times New Roman" w:hAnsi="Times New Roman" w:eastAsia="黑体" w:cs="Arial"/>
          <w:b/>
          <w:bCs/>
          <w:color w:val="auto"/>
          <w:sz w:val="21"/>
          <w:szCs w:val="21"/>
          <w:highlight w:val="none"/>
          <w:lang w:val="en-US" w:eastAsia="zh-CN" w:bidi="ar-SA"/>
        </w:rPr>
      </w:pPr>
      <w:r>
        <w:rPr>
          <w:rFonts w:hint="eastAsia" w:ascii="Times New Roman" w:hAnsi="Times New Roman" w:eastAsia="黑体" w:cs="Arial"/>
          <w:b/>
          <w:bCs/>
          <w:color w:val="auto"/>
          <w:sz w:val="21"/>
          <w:szCs w:val="21"/>
          <w:highlight w:val="none"/>
          <w:lang w:val="en-US" w:eastAsia="zh-CN" w:bidi="ar-SA"/>
        </w:rPr>
        <w:t>附件8</w:t>
      </w:r>
    </w:p>
    <w:p w14:paraId="659D3E6A">
      <w:pPr>
        <w:widowControl/>
        <w:spacing w:line="360" w:lineRule="auto"/>
        <w:jc w:val="left"/>
        <w:rPr>
          <w:snapToGrid w:val="0"/>
          <w:color w:val="auto"/>
          <w:kern w:val="0"/>
          <w:szCs w:val="21"/>
          <w:highlight w:val="none"/>
        </w:rPr>
      </w:pPr>
    </w:p>
    <w:p w14:paraId="324F4866">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center"/>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履约保函（独立保函）</w:t>
      </w:r>
    </w:p>
    <w:p w14:paraId="64D0925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right"/>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编号：          </w:t>
      </w:r>
    </w:p>
    <w:p w14:paraId="2FB7B7E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申请人：                       地址：</w:t>
      </w:r>
    </w:p>
    <w:p w14:paraId="52EF2EAD">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受益人：                       地址：</w:t>
      </w:r>
    </w:p>
    <w:p w14:paraId="64BC74A8">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开立人：                       地址：</w:t>
      </w:r>
    </w:p>
    <w:p w14:paraId="62FEC7AC">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（受益人名称）：</w:t>
      </w:r>
    </w:p>
    <w:p w14:paraId="6A1E53B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鉴于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（以下简称“受益人”）与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（以下简称“申请人”）于</w:t>
      </w:r>
      <w:r>
        <w:rPr>
          <w:rFonts w:ascii="Times New Roman" w:hAnsi="Times New Roman"/>
          <w:snapToGrid w:val="0"/>
          <w:color w:val="auto"/>
          <w:spacing w:val="15"/>
          <w:sz w:val="21"/>
          <w:szCs w:val="21"/>
          <w:highlight w:val="none"/>
          <w:u w:val="single"/>
          <w:shd w:val="clear" w:color="auto" w:fill="FFFFFF"/>
        </w:rPr>
        <w:t>   年   月   </w:t>
      </w:r>
      <w:r>
        <w:rPr>
          <w:rFonts w:ascii="Times New Roman" w:hAnsi="Times New Roman"/>
          <w:snapToGrid w:val="0"/>
          <w:color w:val="auto"/>
          <w:spacing w:val="15"/>
          <w:sz w:val="21"/>
          <w:szCs w:val="21"/>
          <w:highlight w:val="none"/>
          <w:shd w:val="clear" w:color="auto" w:fill="FFFFFF"/>
        </w:rPr>
        <w:t>日就</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 工程（以下简称“本工程”）施工和有关事项协商一致共同签订《</w:t>
      </w:r>
      <w:r>
        <w:rPr>
          <w:rFonts w:ascii="Times New Roman" w:hAnsi="Times New Roman"/>
          <w:snapToGrid w:val="0"/>
          <w:color w:val="auto"/>
          <w:spacing w:val="15"/>
          <w:sz w:val="21"/>
          <w:szCs w:val="21"/>
          <w:highlight w:val="none"/>
          <w:u w:val="single"/>
          <w:shd w:val="clear" w:color="auto" w:fill="FFFFFF"/>
        </w:rPr>
        <w:t xml:space="preserve">        </w:t>
      </w:r>
      <w:r>
        <w:rPr>
          <w:rFonts w:ascii="Times New Roman" w:hAnsi="Times New Roman"/>
          <w:snapToGrid w:val="0"/>
          <w:color w:val="auto"/>
          <w:spacing w:val="15"/>
          <w:sz w:val="21"/>
          <w:szCs w:val="21"/>
          <w:highlight w:val="none"/>
          <w:shd w:val="clear" w:color="auto" w:fill="FFFFFF"/>
        </w:rPr>
        <w:t>》（以下简称“基础合同”），我方（即“开立人”）根据基础合同了解到申请人为基础合同项下之承包人，受益人为基础合同项下之发包人，基于申请人的请求，我方同意就申请人履行与贵方签订的基础合同项下的义务，向贵方提供不可撤销、不可转让的见索即付独立保函（以下简称“本保函”）。</w:t>
      </w:r>
    </w:p>
    <w:p w14:paraId="1A1A60C9">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一、本保函担保范围：承包人未按照基础合同的约定履行义务，应当向贵方承担的违约责任和赔偿因此造成的损失、利息、律师费、诉讼费用等实现债权的费用。</w:t>
      </w:r>
    </w:p>
    <w:p w14:paraId="694558A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二、本保函担保金额最高不超过人民币（大写）</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 元（¥</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w:t>
      </w:r>
    </w:p>
    <w:p w14:paraId="01E6A6E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三、本保函有效期自开立之日起至基础合同约定的缺陷责任期后   日止，最迟不超</w:t>
      </w:r>
      <w:r>
        <w:rPr>
          <w:rFonts w:ascii="Times New Roman" w:hAnsi="Times New Roman"/>
          <w:snapToGrid w:val="0"/>
          <w:color w:val="auto"/>
          <w:spacing w:val="15"/>
          <w:sz w:val="21"/>
          <w:szCs w:val="21"/>
          <w:highlight w:val="none"/>
          <w:u w:val="single"/>
          <w:shd w:val="clear" w:color="auto" w:fill="FFFFFF"/>
        </w:rPr>
        <w:t>过    年    月    日</w:t>
      </w:r>
      <w:r>
        <w:rPr>
          <w:rFonts w:ascii="Times New Roman" w:hAnsi="Times New Roman"/>
          <w:snapToGrid w:val="0"/>
          <w:color w:val="auto"/>
          <w:spacing w:val="15"/>
          <w:sz w:val="21"/>
          <w:szCs w:val="21"/>
          <w:highlight w:val="none"/>
          <w:shd w:val="clear" w:color="auto" w:fill="FFFFFF"/>
        </w:rPr>
        <w:t>。</w:t>
      </w:r>
    </w:p>
    <w:p w14:paraId="12FFBF8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四、我方承诺，在收到受益人发来的书面付款通知后的</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日内无条件支付，前述书面付款通知即为付款要求之单据，且应满足以下要求：</w:t>
      </w:r>
    </w:p>
    <w:p w14:paraId="326CF189">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（1）付款通知到达的日期在本保函的有效期内；</w:t>
      </w:r>
    </w:p>
    <w:p w14:paraId="589C1FE9">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（2）载明要求支付的金额；</w:t>
      </w:r>
    </w:p>
    <w:p w14:paraId="5A026A1C">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（3）载明申请人违反合同义务的条款和内容；</w:t>
      </w:r>
    </w:p>
    <w:p w14:paraId="2F69567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（4）声明不存在合同文件约定或我国法律规定免除申请人或开立人支付责任的情形；</w:t>
      </w:r>
    </w:p>
    <w:p w14:paraId="67704B4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（5）付款通知应在本保函有效期内到达的地址是：             。</w:t>
      </w:r>
    </w:p>
    <w:p w14:paraId="418FDF6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受益人发出的书面付款通知应由其为鉴明受益人法定代表人（负责人）或授权代理人签字并加盖公章。</w:t>
      </w:r>
    </w:p>
    <w:p w14:paraId="44FF3A7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五、本保函项下的权利不得转让，不得设定担保。贵方未经我方书面同意转 让本保函或其项下任何权利，对我方不发生法律效力。</w:t>
      </w:r>
    </w:p>
    <w:p w14:paraId="15343439">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六、与本保函有关的基础合同不成立、不生效、无效、被撤销、被解除，不影响本保函的独立有效。</w:t>
      </w:r>
    </w:p>
    <w:p w14:paraId="373FA47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七、贵方应在本保函到期后的七日内将本保函正本退回我方注销，但是不论贵方是否按此要求将本保函正本退回我方，我方在本保函项下的义务和责任均在保函有效期到期后自动消灭。</w:t>
      </w:r>
    </w:p>
    <w:p w14:paraId="24351052">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八、本保函适用的法律为中华人民共和国法律，争议裁判管辖地为中华人民共和国     。</w:t>
      </w:r>
    </w:p>
    <w:p w14:paraId="5EDC7238">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九、本保函自我方法定代表人或授权代表签字并加盖公章之日起生效。</w:t>
      </w:r>
    </w:p>
    <w:p w14:paraId="269B50E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开 立 人：                       （公章）</w:t>
      </w:r>
    </w:p>
    <w:p w14:paraId="322B4C5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法定代表人（或授权代表）：               （签字）</w:t>
      </w:r>
    </w:p>
    <w:p w14:paraId="4B9BA028">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地    址：                                      </w:t>
      </w:r>
    </w:p>
    <w:p w14:paraId="72D5A19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邮政编码：                </w:t>
      </w:r>
    </w:p>
    <w:p w14:paraId="5750BD56">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电    话：                </w:t>
      </w:r>
    </w:p>
    <w:p w14:paraId="260DEE3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传    真：                </w:t>
      </w:r>
    </w:p>
    <w:p w14:paraId="3EFBA08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开立时间：      年      月   </w:t>
      </w:r>
    </w:p>
    <w:p w14:paraId="6468AAA2">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z w:val="21"/>
          <w:szCs w:val="21"/>
          <w:highlight w:val="none"/>
        </w:rPr>
      </w:pPr>
    </w:p>
    <w:p w14:paraId="70804026">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1D5AE669">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1A70C65B">
      <w:pPr>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br w:type="page"/>
      </w:r>
    </w:p>
    <w:p w14:paraId="5590B33E">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center"/>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履约保函</w:t>
      </w:r>
    </w:p>
    <w:p w14:paraId="7032986D">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center"/>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（非独立保函）</w:t>
      </w:r>
    </w:p>
    <w:p w14:paraId="14CAC99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center"/>
        <w:rPr>
          <w:rFonts w:ascii="Times New Roman" w:hAnsi="Times New Roman"/>
          <w:snapToGrid w:val="0"/>
          <w:color w:val="auto"/>
          <w:sz w:val="21"/>
          <w:szCs w:val="21"/>
          <w:highlight w:val="none"/>
        </w:rPr>
      </w:pPr>
    </w:p>
    <w:p w14:paraId="5C35808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right"/>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编号：          </w:t>
      </w:r>
    </w:p>
    <w:p w14:paraId="0106C79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承包人：                                  地址：</w:t>
      </w:r>
    </w:p>
    <w:p w14:paraId="24E7902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担保权人/发包人：                          地址：</w:t>
      </w:r>
    </w:p>
    <w:p w14:paraId="2E930D5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保证人：                                   地址：</w:t>
      </w:r>
    </w:p>
    <w:p w14:paraId="1F30EF8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（发包人名称）：</w:t>
      </w:r>
    </w:p>
    <w:p w14:paraId="0410567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鉴于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（以下简称“发包人”）与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（以下简称“承包人”）于</w:t>
      </w:r>
      <w:r>
        <w:rPr>
          <w:rFonts w:ascii="Times New Roman" w:hAnsi="Times New Roman"/>
          <w:snapToGrid w:val="0"/>
          <w:color w:val="auto"/>
          <w:spacing w:val="15"/>
          <w:sz w:val="21"/>
          <w:szCs w:val="21"/>
          <w:highlight w:val="none"/>
          <w:u w:val="single"/>
          <w:shd w:val="clear" w:color="auto" w:fill="FFFFFF"/>
        </w:rPr>
        <w:t>   年   月   日就           </w:t>
      </w:r>
      <w:r>
        <w:rPr>
          <w:rFonts w:ascii="Times New Roman" w:hAnsi="Times New Roman"/>
          <w:snapToGrid w:val="0"/>
          <w:color w:val="auto"/>
          <w:spacing w:val="15"/>
          <w:sz w:val="21"/>
          <w:szCs w:val="21"/>
          <w:highlight w:val="none"/>
          <w:shd w:val="clear" w:color="auto" w:fill="FFFFFF"/>
        </w:rPr>
        <w:t>工程（以下简称“本工程”）施工和有关事项协商一致共同签订《</w:t>
      </w:r>
      <w:r>
        <w:rPr>
          <w:rFonts w:ascii="Times New Roman" w:hAnsi="Times New Roman"/>
          <w:snapToGrid w:val="0"/>
          <w:color w:val="auto"/>
          <w:spacing w:val="15"/>
          <w:sz w:val="21"/>
          <w:szCs w:val="21"/>
          <w:highlight w:val="none"/>
          <w:u w:val="single"/>
          <w:shd w:val="clear" w:color="auto" w:fill="FFFFFF"/>
        </w:rPr>
        <w:t xml:space="preserve">        </w:t>
      </w:r>
      <w:r>
        <w:rPr>
          <w:rFonts w:ascii="Times New Roman" w:hAnsi="Times New Roman"/>
          <w:snapToGrid w:val="0"/>
          <w:color w:val="auto"/>
          <w:spacing w:val="15"/>
          <w:sz w:val="21"/>
          <w:szCs w:val="21"/>
          <w:highlight w:val="none"/>
          <w:shd w:val="clear" w:color="auto" w:fill="FFFFFF"/>
        </w:rPr>
        <w:t>》（以下简称“主合同”），我方即保证人基于承包人的请求，同意就承包人履行与贵方签订的主合同项下的义务，向贵方提供如下保证担保（以下简称“本保证担保”）。</w:t>
      </w:r>
    </w:p>
    <w:p w14:paraId="6112E834">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    </w:t>
      </w:r>
      <w:r>
        <w:rPr>
          <w:rStyle w:val="39"/>
          <w:rFonts w:ascii="Times New Roman" w:hAnsi="Times New Roman"/>
          <w:snapToGrid w:val="0"/>
          <w:color w:val="auto"/>
          <w:spacing w:val="15"/>
          <w:sz w:val="21"/>
          <w:szCs w:val="21"/>
          <w:highlight w:val="none"/>
          <w:shd w:val="clear" w:color="auto" w:fill="FFFFFF"/>
        </w:rPr>
        <w:t>一、保证担保的范围及保证担保金额</w:t>
      </w:r>
    </w:p>
    <w:p w14:paraId="33C162F4">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1.保证担保范围：承包人未按照主合同的约定履行义务，应当向贵方承担的违约责任和赔偿因此造成的损失、利息、律师费、诉讼费用等实现债权的费用。</w:t>
      </w:r>
    </w:p>
    <w:p w14:paraId="78418113">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2.保证担保金额最高不超过人民币（大写</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元（¥</w:t>
      </w:r>
      <w:r>
        <w:rPr>
          <w:rFonts w:ascii="Times New Roman" w:hAnsi="Times New Roman"/>
          <w:snapToGrid w:val="0"/>
          <w:color w:val="auto"/>
          <w:spacing w:val="15"/>
          <w:sz w:val="21"/>
          <w:szCs w:val="21"/>
          <w:highlight w:val="none"/>
          <w:u w:val="single"/>
          <w:shd w:val="clear" w:color="auto" w:fill="FFFFFF"/>
        </w:rPr>
        <w:t>      元 </w:t>
      </w:r>
      <w:r>
        <w:rPr>
          <w:rFonts w:ascii="Times New Roman" w:hAnsi="Times New Roman"/>
          <w:snapToGrid w:val="0"/>
          <w:color w:val="auto"/>
          <w:spacing w:val="15"/>
          <w:sz w:val="21"/>
          <w:szCs w:val="21"/>
          <w:highlight w:val="none"/>
          <w:shd w:val="clear" w:color="auto" w:fill="FFFFFF"/>
        </w:rPr>
        <w:t>）。</w:t>
      </w:r>
    </w:p>
    <w:p w14:paraId="62400024">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二、保证担保的方式及保证期间</w:t>
      </w:r>
    </w:p>
    <w:p w14:paraId="3827EF8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1.保证担保方式：连带责任保证。</w:t>
      </w:r>
    </w:p>
    <w:p w14:paraId="7992FBF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2.保证期间：自出具之日起至主合同约定的缺陷责任期后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日止，最迟不超过</w:t>
      </w:r>
      <w:r>
        <w:rPr>
          <w:rFonts w:ascii="Times New Roman" w:hAnsi="Times New Roman"/>
          <w:snapToGrid w:val="0"/>
          <w:color w:val="auto"/>
          <w:spacing w:val="15"/>
          <w:sz w:val="21"/>
          <w:szCs w:val="21"/>
          <w:highlight w:val="none"/>
          <w:u w:val="single"/>
          <w:shd w:val="clear" w:color="auto" w:fill="FFFFFF"/>
        </w:rPr>
        <w:t>    年    月    </w:t>
      </w:r>
      <w:r>
        <w:rPr>
          <w:rFonts w:ascii="Times New Roman" w:hAnsi="Times New Roman"/>
          <w:snapToGrid w:val="0"/>
          <w:color w:val="auto"/>
          <w:spacing w:val="15"/>
          <w:sz w:val="21"/>
          <w:szCs w:val="21"/>
          <w:highlight w:val="none"/>
          <w:shd w:val="clear" w:color="auto" w:fill="FFFFFF"/>
        </w:rPr>
        <w:t>日。</w:t>
      </w:r>
    </w:p>
    <w:p w14:paraId="42FDB37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三、承担保证担保责任的形式</w:t>
      </w:r>
    </w:p>
    <w:p w14:paraId="0C51C2D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我方按照贵方的要求以下列方式之一承担保证担保责任：</w:t>
      </w:r>
    </w:p>
    <w:p w14:paraId="300D2351">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1.向承包人资金、设备或者技术援助，使其能继续履行合同义务；</w:t>
      </w:r>
    </w:p>
    <w:p w14:paraId="7D8CC96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2.直接接管该项工程或者委托经贵方同意的其他承包商，继续履行合同义务；</w:t>
      </w:r>
    </w:p>
    <w:p w14:paraId="7199D086">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3.在保证担保金额最高限额内，按照合同约定，向贵方承担违约责任和赔偿因此造成的损失，以及利息和律师费、诉讼费用等实现债权的费用。</w:t>
      </w:r>
    </w:p>
    <w:p w14:paraId="2CCF2D9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四、代偿的安排</w:t>
      </w:r>
    </w:p>
    <w:p w14:paraId="77119B81">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贵方要求我方承担保证责任的，应向我方发出书面索赔通知及承包人未履行主合同约定义务的证明材料。索赔通知应写明要求索赔的金额，支付款项应到达的帐号，并附有说明承包人违反主合同造成贵方损失情况的证明材料。</w:t>
      </w:r>
    </w:p>
    <w:p w14:paraId="490654F2">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2.贵方以工程质量不符合主合同约定标准为由，向我方提出违约索赔的，还需同时提供符合相应条件要求的工程质量检测部门出具的质量说明材料。</w:t>
      </w:r>
    </w:p>
    <w:p w14:paraId="10DDAFA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3.我方收到贵方的书面索赔通知及相应证明材料后，在   工作日内进行核定后按照本保函的承诺承担保证责任。</w:t>
      </w:r>
    </w:p>
    <w:p w14:paraId="1092786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五、保证担保责任的解除</w:t>
      </w:r>
    </w:p>
    <w:p w14:paraId="71C549A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1.保证期间届满贵方未向我方书面主张保证责任的，自保证期间届满次日起，我方解除保证责任。</w:t>
      </w:r>
    </w:p>
    <w:p w14:paraId="61A0E276">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2.我方按照本保证担保向贵方履行了保证担保责任后，自我方向贵方支付的金额达到最高保证担保金额之日起，保证担保责任解除。</w:t>
      </w:r>
    </w:p>
    <w:p w14:paraId="5CC3D333">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3.按照法律法规的规定应解除我方保证担保责任的其它情形的，我方在本保证担保项下的保证担保责任亦解除。</w:t>
      </w:r>
    </w:p>
    <w:p w14:paraId="77982998">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4.我方解除保证责任后，贵方应按上述约定，自我方保证担保责任解除之日起七日内，将本保证担保原件返还我方。但是不论贵方是否按此要求将本保证担保原件退回我方，我方在本保证担保项下的义务和责任均自保证担保责任解除之日自动消灭。</w:t>
      </w:r>
    </w:p>
    <w:p w14:paraId="64DCF9DE">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六、免责条款</w:t>
      </w:r>
    </w:p>
    <w:p w14:paraId="575ADD22">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1.因贵方原因致使承包人未按照主合同约定履行义务的，我方不承担保证担保责任。</w:t>
      </w:r>
    </w:p>
    <w:p w14:paraId="5FBCFD0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2.依照法律规定或贵方与发包人的另行约定，免除承包人部分或全部义务的，我方亦免除其相应的保证担保责任。</w:t>
      </w:r>
    </w:p>
    <w:p w14:paraId="7EC8637C">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3.因不可抗力造成承包人未按照主合同约定履行义务的，我方不承担保证担保责任。</w:t>
      </w:r>
    </w:p>
    <w:p w14:paraId="7785A429">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七、其他</w:t>
      </w:r>
    </w:p>
    <w:p w14:paraId="49B723F2">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1.本保证担保项下的权利不得转让，不得设定担保。贵方未经我方书面同意转让本保证担保或其项下任何权利，对我方不发生法律效力。</w:t>
      </w:r>
    </w:p>
    <w:p w14:paraId="69A7C82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2.本保证担保适用的法律为中华人民共和国法律，争议裁判管辖地为中华人民共和国     。</w:t>
      </w:r>
    </w:p>
    <w:p w14:paraId="50192513">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3.本保证担保自我方法定代表人或授权代表签字并加盖公章之日起生效。</w:t>
      </w:r>
    </w:p>
    <w:p w14:paraId="459C4158">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z w:val="21"/>
          <w:szCs w:val="21"/>
          <w:highlight w:val="none"/>
        </w:rPr>
      </w:pPr>
    </w:p>
    <w:p w14:paraId="5BD9034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保 证 人：                      （公章）</w:t>
      </w:r>
    </w:p>
    <w:p w14:paraId="1F9EB6F1">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法定代表人（或授权代表）：               （签字）</w:t>
      </w:r>
    </w:p>
    <w:p w14:paraId="7CD9601C">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地    址：                               邮政编码：                </w:t>
      </w:r>
    </w:p>
    <w:p w14:paraId="429299EE">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电    话：                </w:t>
      </w:r>
    </w:p>
    <w:p w14:paraId="3D2D6EDC">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传    真：                </w:t>
      </w:r>
    </w:p>
    <w:p w14:paraId="039EFF5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时    间：      年      月        日</w:t>
      </w:r>
    </w:p>
    <w:p w14:paraId="0868D461">
      <w:pPr>
        <w:rPr>
          <w:rFonts w:hint="eastAsia" w:eastAsiaTheme="minorEastAsia"/>
          <w:color w:val="auto"/>
          <w:highlight w:val="none"/>
          <w:lang w:eastAsia="zh-CN"/>
        </w:rPr>
      </w:pPr>
    </w:p>
    <w:p w14:paraId="14D04E55">
      <w:pPr>
        <w:rPr>
          <w:rFonts w:hint="eastAsia" w:ascii="Times New Roman" w:hAnsi="Times New Roman"/>
          <w:color w:val="auto"/>
          <w:sz w:val="21"/>
          <w:szCs w:val="21"/>
          <w:highlight w:val="none"/>
        </w:rPr>
      </w:pPr>
      <w:r>
        <w:rPr>
          <w:rFonts w:hint="eastAsia" w:ascii="Times New Roman" w:hAnsi="Times New Roman"/>
          <w:color w:val="auto"/>
          <w:sz w:val="21"/>
          <w:szCs w:val="21"/>
          <w:highlight w:val="none"/>
        </w:rPr>
        <w:br w:type="page"/>
      </w:r>
    </w:p>
    <w:p w14:paraId="7C41B907">
      <w:pPr>
        <w:spacing w:line="360" w:lineRule="auto"/>
        <w:ind w:firstLine="210"/>
        <w:rPr>
          <w:bCs/>
          <w:snapToGrid w:val="0"/>
          <w:color w:val="auto"/>
          <w:spacing w:val="20"/>
          <w:kern w:val="0"/>
          <w:szCs w:val="21"/>
          <w:highlight w:val="none"/>
        </w:rPr>
      </w:pPr>
      <w:r>
        <w:rPr>
          <w:b/>
          <w:bCs/>
          <w:iCs/>
          <w:snapToGrid w:val="0"/>
          <w:color w:val="auto"/>
          <w:spacing w:val="20"/>
          <w:kern w:val="0"/>
          <w:szCs w:val="21"/>
          <w:highlight w:val="none"/>
        </w:rPr>
        <w:t>附件</w:t>
      </w:r>
      <w:r>
        <w:rPr>
          <w:rFonts w:hint="eastAsia"/>
          <w:b/>
          <w:bCs/>
          <w:iCs/>
          <w:snapToGrid w:val="0"/>
          <w:color w:val="auto"/>
          <w:spacing w:val="20"/>
          <w:kern w:val="0"/>
          <w:szCs w:val="21"/>
          <w:highlight w:val="none"/>
          <w:lang w:val="en-US" w:eastAsia="zh-CN"/>
        </w:rPr>
        <w:t>9</w:t>
      </w:r>
      <w:r>
        <w:rPr>
          <w:b/>
          <w:bCs/>
          <w:iCs/>
          <w:snapToGrid w:val="0"/>
          <w:color w:val="auto"/>
          <w:spacing w:val="20"/>
          <w:kern w:val="0"/>
          <w:szCs w:val="21"/>
          <w:highlight w:val="none"/>
        </w:rPr>
        <w:t>：</w:t>
      </w:r>
    </w:p>
    <w:p w14:paraId="7591EBE4">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center"/>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预付款保函</w:t>
      </w:r>
    </w:p>
    <w:p w14:paraId="11CC70A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center"/>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（独立保函）</w:t>
      </w:r>
    </w:p>
    <w:p w14:paraId="45039D2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right"/>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编号：          </w:t>
      </w:r>
    </w:p>
    <w:p w14:paraId="03A35CBC">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firstLineChars="20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申请人：                      地址：</w:t>
      </w:r>
    </w:p>
    <w:p w14:paraId="0EAFF6D3">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firstLineChars="20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受益人：                      地址：</w:t>
      </w:r>
    </w:p>
    <w:p w14:paraId="7670B12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firstLineChars="20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开立人：                      地址：</w:t>
      </w:r>
    </w:p>
    <w:p w14:paraId="2BCB627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firstLineChars="20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受益人名称：</w:t>
      </w:r>
    </w:p>
    <w:p w14:paraId="5A31200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鉴于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（以下简称“受益人”）与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（以下简称“申请人”）于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年</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月</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日就</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工程（以下简称“本工程”）施工和有关事项协商一致共同签订《</w:t>
      </w:r>
      <w:r>
        <w:rPr>
          <w:rFonts w:ascii="Times New Roman" w:hAnsi="Times New Roman"/>
          <w:snapToGrid w:val="0"/>
          <w:color w:val="auto"/>
          <w:spacing w:val="15"/>
          <w:sz w:val="21"/>
          <w:szCs w:val="21"/>
          <w:highlight w:val="none"/>
          <w:u w:val="single"/>
          <w:shd w:val="clear" w:color="auto" w:fill="FFFFFF"/>
        </w:rPr>
        <w:t xml:space="preserve">        </w:t>
      </w:r>
      <w:r>
        <w:rPr>
          <w:rFonts w:ascii="Times New Roman" w:hAnsi="Times New Roman"/>
          <w:snapToGrid w:val="0"/>
          <w:color w:val="auto"/>
          <w:spacing w:val="15"/>
          <w:sz w:val="21"/>
          <w:szCs w:val="21"/>
          <w:highlight w:val="none"/>
          <w:shd w:val="clear" w:color="auto" w:fill="FFFFFF"/>
        </w:rPr>
        <w:t>》（以下简称“基础合同”），我方（即“开立人”）根据主合同了解到申请人为主合同项下之承包人，受益人为主合同项下之发包人，基于申请人的请求，我方同意就申请人按照合同约定正确和合理地为合同目的使用预付款，向贵方提供不可撤销、不可转让的见索即付独立保函（以下简称“本保函”）。</w:t>
      </w:r>
    </w:p>
    <w:p w14:paraId="00CA610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一、本保函担保范围：申请人未按照合同约定正确和合理地为合同目的使用预付款，应当向贵方承担的违约责任和赔偿因此造成的损失、利息、律师费、诉讼费用等实现债权的费用。</w:t>
      </w:r>
    </w:p>
    <w:p w14:paraId="172346C6">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二、本保函担保金额最高不超过人民币（大写）</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元（¥</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元）。</w:t>
      </w:r>
    </w:p>
    <w:p w14:paraId="3490DE71">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三、本保函有效期自开立之日起至发包人全额扣回预付款后   日止，最迟不超过于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年</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月</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日。</w:t>
      </w:r>
    </w:p>
    <w:p w14:paraId="63DE130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四、我方承诺，在收到受益人发来的书面付款通知后的</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日内无条件支付，前述书面付款通知即为付款要求之单据，且应满足以下要求：</w:t>
      </w:r>
    </w:p>
    <w:p w14:paraId="3E60BF4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（1）付款通知到达的日期在本保函的有效期内；</w:t>
      </w:r>
    </w:p>
    <w:p w14:paraId="4D46898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（2）载明要求支付的金额；</w:t>
      </w:r>
    </w:p>
    <w:p w14:paraId="3C0AD426">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（3）载明申请人违反合同义务的条款和内容；</w:t>
      </w:r>
    </w:p>
    <w:p w14:paraId="5B7026D2">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（4）声明不存在合同文件约定或我国法律规定免除申请人或开立人支付责任的情形；</w:t>
      </w:r>
    </w:p>
    <w:p w14:paraId="5462C18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（5）付款通知应在本保函有效期内到达的地址是：</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w:t>
      </w:r>
    </w:p>
    <w:p w14:paraId="7199C9C1">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受益人发出的书面付款通知应由其为鉴明受益人法定代表人（负责人）或授权代理人签字并加盖公章。</w:t>
      </w:r>
    </w:p>
    <w:p w14:paraId="15FBD33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五、本保函项下的权利不得转让，不得设定担保。贵方未经我方书面同意转 让本保函或其项下任何权利，对我方不发生法律效力。</w:t>
      </w:r>
    </w:p>
    <w:p w14:paraId="029170A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六、与本保函有关的基础合同不成立、不生效、无效、被撤销、被解除，不影响本保函的独立有效。</w:t>
      </w:r>
    </w:p>
    <w:p w14:paraId="6296BA9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七、贵方应在本保函到期后的七日内将本保函正本退回我方注销，但是不论贵方是否按此要求将本保函正本退回我方，我方在本保函项下的义务和责任均在保函有效期到期后自动消灭。</w:t>
      </w:r>
    </w:p>
    <w:p w14:paraId="0B65B3F4">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八、本保函适用的法律为中华人民共和国法律，争议裁判管辖地为中华人民共和国     。</w:t>
      </w:r>
    </w:p>
    <w:p w14:paraId="34E909C8">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九、本保函自我方法定代表人或授权代表签字并加盖公章之日起生效。</w:t>
      </w:r>
    </w:p>
    <w:p w14:paraId="5BFAF482">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开 立 人：                    （公章）</w:t>
      </w:r>
    </w:p>
    <w:p w14:paraId="40B24E5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法定代表人（或授权代表）：           （签字）</w:t>
      </w:r>
    </w:p>
    <w:p w14:paraId="4A3A5652">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地    址：                               邮政编码：                </w:t>
      </w:r>
    </w:p>
    <w:p w14:paraId="14DF8836">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电    话：                </w:t>
      </w:r>
    </w:p>
    <w:p w14:paraId="54FFDF4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传    真：                </w:t>
      </w:r>
    </w:p>
    <w:p w14:paraId="44B67FD8">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  开立时间：      年      月        日</w:t>
      </w:r>
    </w:p>
    <w:p w14:paraId="0C41E84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center"/>
        <w:rPr>
          <w:rFonts w:ascii="Times New Roman" w:hAnsi="Times New Roman"/>
          <w:snapToGrid w:val="0"/>
          <w:color w:val="auto"/>
          <w:sz w:val="21"/>
          <w:szCs w:val="21"/>
          <w:highlight w:val="none"/>
        </w:rPr>
      </w:pPr>
    </w:p>
    <w:p w14:paraId="748059D4">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5E47308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7B57FF2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7ABEA854">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2CA89F3C">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1DDE22C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4B482286">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66CE8F38">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50960F8E">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62ABC2F2">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0325BD3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4127F784">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2EB2269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p>
    <w:p w14:paraId="40C6C320">
      <w:pPr>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br w:type="page"/>
      </w:r>
    </w:p>
    <w:p w14:paraId="0638A9D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center"/>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预付款保函</w:t>
      </w:r>
    </w:p>
    <w:p w14:paraId="4628EE5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center"/>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（非独立保函）</w:t>
      </w:r>
    </w:p>
    <w:p w14:paraId="426A1C41">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right"/>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编号：          </w:t>
      </w:r>
    </w:p>
    <w:p w14:paraId="5290060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z w:val="21"/>
          <w:szCs w:val="21"/>
          <w:highlight w:val="none"/>
        </w:rPr>
      </w:pPr>
    </w:p>
    <w:p w14:paraId="66420543">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担保权人/发包人：                    地址：</w:t>
      </w:r>
    </w:p>
    <w:p w14:paraId="183DCE2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承包人：                            地址：</w:t>
      </w:r>
    </w:p>
    <w:p w14:paraId="31E2D952">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保证人：                            地址：</w:t>
      </w:r>
    </w:p>
    <w:p w14:paraId="71A7553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（发包人名称）：</w:t>
      </w:r>
    </w:p>
    <w:p w14:paraId="160AE4E9">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鉴于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（以下简称“发包人”）与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 （以下简称“承包人”）于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年</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月</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日就</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工程（以下简称“本工程”）施工和有关事项协商一致共同签订《</w:t>
      </w:r>
      <w:r>
        <w:rPr>
          <w:rFonts w:ascii="Times New Roman" w:hAnsi="Times New Roman"/>
          <w:snapToGrid w:val="0"/>
          <w:color w:val="auto"/>
          <w:spacing w:val="15"/>
          <w:sz w:val="21"/>
          <w:szCs w:val="21"/>
          <w:highlight w:val="none"/>
          <w:u w:val="single"/>
          <w:shd w:val="clear" w:color="auto" w:fill="FFFFFF"/>
        </w:rPr>
        <w:t xml:space="preserve">        </w:t>
      </w:r>
      <w:r>
        <w:rPr>
          <w:rFonts w:ascii="Times New Roman" w:hAnsi="Times New Roman"/>
          <w:snapToGrid w:val="0"/>
          <w:color w:val="auto"/>
          <w:spacing w:val="15"/>
          <w:sz w:val="21"/>
          <w:szCs w:val="21"/>
          <w:highlight w:val="none"/>
          <w:shd w:val="clear" w:color="auto" w:fill="FFFFFF"/>
        </w:rPr>
        <w:t>》（以下简称“主合同”），我方即保证人基于承包人的请求，同意就承包人按照合同约定正确和合理地为合同目的使用预付款，不将预付款挪作他用，向贵方提供如下保证担保（以下简称“本保证担保”）。</w:t>
      </w:r>
    </w:p>
    <w:p w14:paraId="7790FFF9">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一、保证担保的范围及保证担保金额</w:t>
      </w:r>
    </w:p>
    <w:p w14:paraId="1A005CD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1.保证担保范围：申请人未按照合同约定正确和合理地为合同目的使用预付款，应当向贵方承担的违约责任和赔偿因此造成的损失、利息、律师费、诉讼费用等实现债权的费用。</w:t>
      </w:r>
    </w:p>
    <w:p w14:paraId="5B4114D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2.保证担保金额最高不超过人民币（大写）</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元（¥</w:t>
      </w:r>
      <w:r>
        <w:rPr>
          <w:rFonts w:ascii="Times New Roman" w:hAnsi="Times New Roman"/>
          <w:snapToGrid w:val="0"/>
          <w:color w:val="auto"/>
          <w:spacing w:val="15"/>
          <w:sz w:val="21"/>
          <w:szCs w:val="21"/>
          <w:highlight w:val="none"/>
          <w:u w:val="single"/>
          <w:shd w:val="clear" w:color="auto" w:fill="FFFFFF"/>
        </w:rPr>
        <w:t>       元</w:t>
      </w:r>
      <w:r>
        <w:rPr>
          <w:rFonts w:ascii="Times New Roman" w:hAnsi="Times New Roman"/>
          <w:snapToGrid w:val="0"/>
          <w:color w:val="auto"/>
          <w:spacing w:val="15"/>
          <w:sz w:val="21"/>
          <w:szCs w:val="21"/>
          <w:highlight w:val="none"/>
          <w:shd w:val="clear" w:color="auto" w:fill="FFFFFF"/>
        </w:rPr>
        <w:t>）。</w:t>
      </w:r>
    </w:p>
    <w:p w14:paraId="55722391">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二、保证担保的方式及保证期间</w:t>
      </w:r>
    </w:p>
    <w:p w14:paraId="591E7C21">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1.保证担保方式：连带责任保证。</w:t>
      </w:r>
    </w:p>
    <w:p w14:paraId="55BAC61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2.保证期间：自出具之日起至发包人全额扣回预付款后</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日止，最迟不超过</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年</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月</w:t>
      </w:r>
      <w:r>
        <w:rPr>
          <w:rFonts w:ascii="Times New Roman" w:hAnsi="Times New Roman"/>
          <w:snapToGrid w:val="0"/>
          <w:color w:val="auto"/>
          <w:spacing w:val="15"/>
          <w:sz w:val="21"/>
          <w:szCs w:val="21"/>
          <w:highlight w:val="none"/>
          <w:u w:val="single"/>
          <w:shd w:val="clear" w:color="auto" w:fill="FFFFFF"/>
        </w:rPr>
        <w:t>  </w:t>
      </w:r>
      <w:r>
        <w:rPr>
          <w:rFonts w:ascii="Times New Roman" w:hAnsi="Times New Roman"/>
          <w:snapToGrid w:val="0"/>
          <w:color w:val="auto"/>
          <w:spacing w:val="15"/>
          <w:sz w:val="21"/>
          <w:szCs w:val="21"/>
          <w:highlight w:val="none"/>
          <w:shd w:val="clear" w:color="auto" w:fill="FFFFFF"/>
        </w:rPr>
        <w:t>日。</w:t>
      </w:r>
    </w:p>
    <w:p w14:paraId="24885A4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三、承担保证担保责任的形式</w:t>
      </w:r>
    </w:p>
    <w:p w14:paraId="7B9CEE1E">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发生应承担保证责任情形的，我方在保证金额内向贵方支付，并赔偿因此给贵方造成的损失，以及利息和律师费、诉讼费用等实现债权的费用。</w:t>
      </w:r>
    </w:p>
    <w:p w14:paraId="3B4B6BE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四、代偿的安排</w:t>
      </w:r>
    </w:p>
    <w:p w14:paraId="42557D81">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贵方要求我方承担保证责任的，应向我方发出书面索赔通知及承包人未履行主合同约定义务的证明材料。索赔通知应写明要求索赔的金额，支付款项应到达的帐号，并附有说明承包人违反主合同造成贵方损失情况的证明材料。</w:t>
      </w:r>
    </w:p>
    <w:p w14:paraId="126F66E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2.我方收到贵方的书面索赔通知及相应证明材料后，在    工作日内进行核定后按照本保函的承诺承担保证责任。</w:t>
      </w:r>
    </w:p>
    <w:p w14:paraId="4036B4E6">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五、保证担保责任的解除</w:t>
      </w:r>
    </w:p>
    <w:p w14:paraId="15384A07">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1.保证期间届满贵方未向我方书面主张保证责任的，自保证期间届满次日起，我方解除保证责任。</w:t>
      </w:r>
    </w:p>
    <w:p w14:paraId="6B81AFB3">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2.我方按照本保证担保向贵方履行了保证担保责任后，自我方向贵方支付的金额达到最高保证担保金额之日起，保证担保责任解除。</w:t>
      </w:r>
    </w:p>
    <w:p w14:paraId="1A14EA01">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3.按照法律法规的规定应解除我方保证担保责任的其它情形的，我方在本保证担保项下的保证担保责任亦解除。</w:t>
      </w:r>
    </w:p>
    <w:p w14:paraId="65FB3758">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4.我方解除保证责任后，贵方应按上述约定，自我方保证担保责任解除之日起七日内，将本保证担保原件返还我方。但是不论贵方是否按此要求将本保证担保原件退回我方，我方在本保证担保项下的义务和责任均自保证担保责任解除之日自动消灭。</w:t>
      </w:r>
    </w:p>
    <w:p w14:paraId="76AE4E10">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六、免责条款</w:t>
      </w:r>
    </w:p>
    <w:p w14:paraId="537E1205">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1.因贵方原因致使发生应承担保证责任情形的，我方不承担保证担保责任。</w:t>
      </w:r>
    </w:p>
    <w:p w14:paraId="18A00B44">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2.依照法律规定或贵方与承包人的另行约定，免除承包人部分或全部义务的，我方亦免除其相应的保证担保责任。</w:t>
      </w:r>
    </w:p>
    <w:p w14:paraId="2FA966AA">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3.因不可抗力造成发生应承担保证责任情形的，我方不承担保证担保责任。</w:t>
      </w:r>
    </w:p>
    <w:p w14:paraId="303CC783">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Style w:val="39"/>
          <w:rFonts w:ascii="Times New Roman" w:hAnsi="Times New Roman"/>
          <w:snapToGrid w:val="0"/>
          <w:color w:val="auto"/>
          <w:spacing w:val="15"/>
          <w:sz w:val="21"/>
          <w:szCs w:val="21"/>
          <w:highlight w:val="none"/>
          <w:shd w:val="clear" w:color="auto" w:fill="FFFFFF"/>
        </w:rPr>
      </w:pPr>
      <w:r>
        <w:rPr>
          <w:rStyle w:val="39"/>
          <w:rFonts w:ascii="Times New Roman" w:hAnsi="Times New Roman"/>
          <w:snapToGrid w:val="0"/>
          <w:color w:val="auto"/>
          <w:spacing w:val="15"/>
          <w:sz w:val="21"/>
          <w:szCs w:val="21"/>
          <w:highlight w:val="none"/>
          <w:shd w:val="clear" w:color="auto" w:fill="FFFFFF"/>
        </w:rPr>
        <w:t>七、其他</w:t>
      </w:r>
    </w:p>
    <w:p w14:paraId="3A302D8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1.本保证担保项下的权利不得转让，不得设定担保。贵方未经我方书面同意转让本保证担保或其项下任何权利，对我方不发生法律效力。</w:t>
      </w:r>
    </w:p>
    <w:p w14:paraId="21BB42C3">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2.本保证担保适用的法律为中华人民共和国法律，争议裁判管辖地为中华人民共和国     。</w:t>
      </w:r>
    </w:p>
    <w:p w14:paraId="59960C5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3.本保证担保自我方法定代表人或授权代表签字并加盖公章之日起生效。</w:t>
      </w:r>
    </w:p>
    <w:p w14:paraId="50CF249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z w:val="21"/>
          <w:szCs w:val="21"/>
          <w:highlight w:val="none"/>
        </w:rPr>
      </w:pPr>
    </w:p>
    <w:p w14:paraId="7E779A3F">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保 证 人：                       （公章）</w:t>
      </w:r>
    </w:p>
    <w:p w14:paraId="14974EC3">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法定代表人（或授权代表）：               （签字）</w:t>
      </w:r>
    </w:p>
    <w:p w14:paraId="070DB16D">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地    址：                                  </w:t>
      </w:r>
    </w:p>
    <w:p w14:paraId="3833F469">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邮政编码：                </w:t>
      </w:r>
    </w:p>
    <w:p w14:paraId="7B77FEFB">
      <w:pPr>
        <w:pStyle w:val="38"/>
        <w:pBdr>
          <w:top w:val="none" w:color="000000" w:sz="0" w:space="0"/>
          <w:left w:val="none" w:color="000000" w:sz="0" w:space="0"/>
          <w:bottom w:val="none" w:color="000000" w:sz="0" w:space="0"/>
          <w:right w:val="none" w:color="000000" w:sz="0" w:space="0"/>
        </w:pBdr>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r>
        <w:rPr>
          <w:rFonts w:ascii="Times New Roman" w:hAnsi="Times New Roman"/>
          <w:snapToGrid w:val="0"/>
          <w:color w:val="auto"/>
          <w:spacing w:val="15"/>
          <w:sz w:val="21"/>
          <w:szCs w:val="21"/>
          <w:highlight w:val="none"/>
          <w:shd w:val="clear" w:color="auto" w:fill="FFFFFF"/>
        </w:rPr>
        <w:t>电    话：                </w:t>
      </w:r>
    </w:p>
    <w:p w14:paraId="7698BC3A">
      <w:pPr>
        <w:pStyle w:val="38"/>
        <w:spacing w:before="0" w:beforeAutospacing="0" w:after="0" w:afterAutospacing="0" w:line="360" w:lineRule="auto"/>
        <w:ind w:firstLine="480"/>
        <w:jc w:val="both"/>
        <w:rPr>
          <w:rFonts w:ascii="Times New Roman" w:hAnsi="Times New Roman"/>
          <w:snapToGrid w:val="0"/>
          <w:color w:val="auto"/>
          <w:spacing w:val="15"/>
          <w:sz w:val="21"/>
          <w:szCs w:val="21"/>
          <w:highlight w:val="none"/>
          <w:shd w:val="clear" w:color="auto" w:fill="FFFFFF"/>
        </w:rPr>
      </w:pPr>
    </w:p>
    <w:p w14:paraId="15EFC169">
      <w:pPr>
        <w:snapToGrid w:val="0"/>
        <w:spacing w:line="360" w:lineRule="auto"/>
        <w:ind w:firstLine="240" w:firstLineChars="100"/>
        <w:rPr>
          <w:snapToGrid w:val="0"/>
          <w:color w:val="auto"/>
          <w:spacing w:val="15"/>
          <w:kern w:val="0"/>
          <w:szCs w:val="21"/>
          <w:highlight w:val="none"/>
          <w:shd w:val="clear" w:color="auto" w:fill="FFFFFF"/>
        </w:rPr>
      </w:pPr>
      <w:r>
        <w:rPr>
          <w:snapToGrid w:val="0"/>
          <w:color w:val="auto"/>
          <w:spacing w:val="15"/>
          <w:kern w:val="0"/>
          <w:szCs w:val="21"/>
          <w:highlight w:val="none"/>
          <w:shd w:val="clear" w:color="auto" w:fill="FFFFFF"/>
        </w:rPr>
        <w:t>开立时间：      年      月        日</w:t>
      </w:r>
    </w:p>
    <w:p w14:paraId="389F1CCA">
      <w:pPr>
        <w:rPr>
          <w:rFonts w:hint="eastAsia" w:ascii="Times New Roman" w:hAnsi="Times New Roman"/>
          <w:color w:val="auto"/>
          <w:sz w:val="21"/>
          <w:szCs w:val="21"/>
          <w:highlight w:val="none"/>
        </w:rPr>
      </w:pPr>
      <w:r>
        <w:rPr>
          <w:rFonts w:hint="eastAsia" w:ascii="Times New Roman" w:hAnsi="Times New Roman"/>
          <w:color w:val="auto"/>
          <w:sz w:val="21"/>
          <w:szCs w:val="21"/>
          <w:highlight w:val="none"/>
        </w:rPr>
        <w:br w:type="page"/>
      </w:r>
    </w:p>
    <w:p w14:paraId="1590BC80">
      <w:pPr>
        <w:pStyle w:val="4"/>
        <w:spacing w:before="0" w:after="0" w:line="360" w:lineRule="exact"/>
        <w:ind w:firstLine="422" w:firstLineChars="200"/>
        <w:rPr>
          <w:rFonts w:ascii="宋体" w:hAnsi="宋体" w:cs="宋体"/>
          <w:color w:val="auto"/>
          <w:sz w:val="22"/>
          <w:szCs w:val="22"/>
          <w:highlight w:val="none"/>
        </w:rPr>
      </w:pPr>
      <w:r>
        <w:rPr>
          <w:rFonts w:hint="eastAsia" w:ascii="Times New Roman" w:hAnsi="Times New Roman"/>
          <w:color w:val="auto"/>
          <w:sz w:val="21"/>
          <w:szCs w:val="21"/>
          <w:highlight w:val="none"/>
        </w:rPr>
        <w:t>附件11：</w:t>
      </w:r>
    </w:p>
    <w:tbl>
      <w:tblPr>
        <w:tblStyle w:val="17"/>
        <w:tblW w:w="8880" w:type="dxa"/>
        <w:tblInd w:w="93" w:type="dxa"/>
        <w:tblLayout w:type="fixed"/>
        <w:tblCellMar>
          <w:top w:w="0" w:type="dxa"/>
          <w:left w:w="108" w:type="dxa"/>
          <w:bottom w:w="0" w:type="dxa"/>
          <w:right w:w="108" w:type="dxa"/>
        </w:tblCellMar>
      </w:tblPr>
      <w:tblGrid>
        <w:gridCol w:w="773"/>
        <w:gridCol w:w="3909"/>
        <w:gridCol w:w="1081"/>
        <w:gridCol w:w="1526"/>
        <w:gridCol w:w="1591"/>
      </w:tblGrid>
      <w:tr w14:paraId="347F04B8">
        <w:tblPrEx>
          <w:tblCellMar>
            <w:top w:w="0" w:type="dxa"/>
            <w:left w:w="108" w:type="dxa"/>
            <w:bottom w:w="0" w:type="dxa"/>
            <w:right w:w="108" w:type="dxa"/>
          </w:tblCellMar>
        </w:tblPrEx>
        <w:trPr>
          <w:trHeight w:val="930" w:hRule="atLeast"/>
        </w:trPr>
        <w:tc>
          <w:tcPr>
            <w:tcW w:w="8880" w:type="dxa"/>
            <w:gridSpan w:val="5"/>
            <w:tcBorders>
              <w:top w:val="nil"/>
              <w:left w:val="nil"/>
              <w:bottom w:val="nil"/>
              <w:right w:val="nil"/>
            </w:tcBorders>
            <w:shd w:val="clear" w:color="auto" w:fill="FFFFFF"/>
            <w:noWrap w:val="0"/>
            <w:vAlign w:val="center"/>
          </w:tcPr>
          <w:p w14:paraId="2C18FF5A">
            <w:pPr>
              <w:widowControl/>
              <w:jc w:val="center"/>
              <w:rPr>
                <w:rFonts w:ascii="宋体" w:hAnsi="宋体" w:cs="宋体"/>
                <w:b/>
                <w:bCs/>
                <w:color w:val="auto"/>
                <w:sz w:val="22"/>
                <w:szCs w:val="22"/>
                <w:highlight w:val="none"/>
              </w:rPr>
            </w:pPr>
            <w:r>
              <w:rPr>
                <w:rFonts w:hint="eastAsia" w:ascii="宋体" w:hAnsi="宋体" w:cs="宋体"/>
                <w:b/>
                <w:bCs/>
                <w:color w:val="auto"/>
                <w:kern w:val="0"/>
                <w:sz w:val="22"/>
                <w:szCs w:val="22"/>
                <w:highlight w:val="none"/>
              </w:rPr>
              <w:t>暂估价一览表</w:t>
            </w:r>
          </w:p>
        </w:tc>
      </w:tr>
      <w:tr w14:paraId="54061BCD">
        <w:tblPrEx>
          <w:tblCellMar>
            <w:top w:w="0" w:type="dxa"/>
            <w:left w:w="108" w:type="dxa"/>
            <w:bottom w:w="0" w:type="dxa"/>
            <w:right w:w="108" w:type="dxa"/>
          </w:tblCellMar>
        </w:tblPrEx>
        <w:trPr>
          <w:trHeight w:val="449" w:hRule="atLeast"/>
        </w:trPr>
        <w:tc>
          <w:tcPr>
            <w:tcW w:w="5763" w:type="dxa"/>
            <w:gridSpan w:val="3"/>
            <w:tcBorders>
              <w:top w:val="nil"/>
              <w:left w:val="nil"/>
              <w:bottom w:val="nil"/>
              <w:right w:val="nil"/>
            </w:tcBorders>
            <w:shd w:val="clear" w:color="auto" w:fill="FFFFFF"/>
            <w:noWrap w:val="0"/>
            <w:vAlign w:val="bottom"/>
          </w:tcPr>
          <w:p w14:paraId="777CAF89">
            <w:pPr>
              <w:widowControl/>
              <w:rPr>
                <w:rFonts w:ascii="宋体" w:hAnsi="宋体" w:cs="宋体"/>
                <w:color w:val="auto"/>
                <w:sz w:val="22"/>
                <w:szCs w:val="22"/>
                <w:highlight w:val="none"/>
              </w:rPr>
            </w:pPr>
            <w:r>
              <w:rPr>
                <w:rFonts w:hint="eastAsia" w:ascii="宋体" w:hAnsi="宋体" w:cs="宋体"/>
                <w:color w:val="auto"/>
                <w:kern w:val="0"/>
                <w:sz w:val="22"/>
                <w:szCs w:val="22"/>
                <w:highlight w:val="none"/>
              </w:rPr>
              <w:t>单位工程名称：</w:t>
            </w:r>
          </w:p>
        </w:tc>
        <w:tc>
          <w:tcPr>
            <w:tcW w:w="3117" w:type="dxa"/>
            <w:gridSpan w:val="2"/>
            <w:tcBorders>
              <w:top w:val="nil"/>
              <w:left w:val="nil"/>
              <w:bottom w:val="nil"/>
              <w:right w:val="nil"/>
            </w:tcBorders>
            <w:shd w:val="clear" w:color="auto" w:fill="FFFFFF"/>
            <w:noWrap w:val="0"/>
            <w:vAlign w:val="bottom"/>
          </w:tcPr>
          <w:p w14:paraId="3DE4CC3C">
            <w:pPr>
              <w:widowControl/>
              <w:jc w:val="right"/>
              <w:rPr>
                <w:rFonts w:ascii="宋体" w:hAnsi="宋体" w:cs="宋体"/>
                <w:color w:val="auto"/>
                <w:sz w:val="22"/>
                <w:szCs w:val="22"/>
                <w:highlight w:val="none"/>
              </w:rPr>
            </w:pPr>
            <w:r>
              <w:rPr>
                <w:rFonts w:hint="eastAsia" w:ascii="宋体" w:hAnsi="宋体" w:cs="宋体"/>
                <w:color w:val="auto"/>
                <w:kern w:val="0"/>
                <w:sz w:val="22"/>
                <w:szCs w:val="22"/>
                <w:highlight w:val="none"/>
              </w:rPr>
              <w:t>第1页 共1页</w:t>
            </w:r>
          </w:p>
        </w:tc>
      </w:tr>
      <w:tr w14:paraId="5573EAEA">
        <w:tblPrEx>
          <w:tblCellMar>
            <w:top w:w="0" w:type="dxa"/>
            <w:left w:w="108" w:type="dxa"/>
            <w:bottom w:w="0" w:type="dxa"/>
            <w:right w:w="108" w:type="dxa"/>
          </w:tblCellMar>
        </w:tblPrEx>
        <w:trPr>
          <w:trHeight w:val="609" w:hRule="atLeast"/>
        </w:trPr>
        <w:tc>
          <w:tcPr>
            <w:tcW w:w="773" w:type="dxa"/>
            <w:tcBorders>
              <w:top w:val="single" w:color="000000" w:sz="4" w:space="0"/>
              <w:left w:val="single" w:color="000000" w:sz="4" w:space="0"/>
              <w:bottom w:val="nil"/>
              <w:right w:val="nil"/>
            </w:tcBorders>
            <w:shd w:val="clear" w:color="auto" w:fill="FFFFFF"/>
            <w:noWrap w:val="0"/>
            <w:vAlign w:val="center"/>
          </w:tcPr>
          <w:p w14:paraId="312AF7B4">
            <w:pPr>
              <w:widowControl/>
              <w:jc w:val="center"/>
              <w:rPr>
                <w:rFonts w:ascii="宋体" w:hAnsi="宋体" w:cs="宋体"/>
                <w:color w:val="auto"/>
                <w:sz w:val="22"/>
                <w:szCs w:val="22"/>
                <w:highlight w:val="none"/>
              </w:rPr>
            </w:pPr>
            <w:r>
              <w:rPr>
                <w:rFonts w:hint="eastAsia" w:ascii="宋体" w:hAnsi="宋体" w:cs="宋体"/>
                <w:color w:val="auto"/>
                <w:kern w:val="0"/>
                <w:sz w:val="22"/>
                <w:szCs w:val="22"/>
                <w:highlight w:val="none"/>
              </w:rPr>
              <w:t>序号</w:t>
            </w:r>
          </w:p>
        </w:tc>
        <w:tc>
          <w:tcPr>
            <w:tcW w:w="3909" w:type="dxa"/>
            <w:tcBorders>
              <w:top w:val="single" w:color="000000" w:sz="4" w:space="0"/>
              <w:left w:val="single" w:color="000000" w:sz="4" w:space="0"/>
              <w:bottom w:val="nil"/>
              <w:right w:val="nil"/>
            </w:tcBorders>
            <w:shd w:val="clear" w:color="auto" w:fill="FFFFFF"/>
            <w:noWrap w:val="0"/>
            <w:vAlign w:val="center"/>
          </w:tcPr>
          <w:p w14:paraId="690530FB">
            <w:pPr>
              <w:widowControl/>
              <w:jc w:val="center"/>
              <w:rPr>
                <w:rFonts w:ascii="宋体" w:hAnsi="宋体" w:cs="宋体"/>
                <w:color w:val="auto"/>
                <w:sz w:val="22"/>
                <w:szCs w:val="22"/>
                <w:highlight w:val="none"/>
              </w:rPr>
            </w:pPr>
            <w:r>
              <w:rPr>
                <w:rFonts w:hint="eastAsia" w:ascii="宋体" w:hAnsi="宋体" w:cs="宋体"/>
                <w:color w:val="auto"/>
                <w:kern w:val="0"/>
                <w:sz w:val="22"/>
                <w:szCs w:val="22"/>
                <w:highlight w:val="none"/>
              </w:rPr>
              <w:t>材料名称、规格、型号</w:t>
            </w:r>
          </w:p>
        </w:tc>
        <w:tc>
          <w:tcPr>
            <w:tcW w:w="1081" w:type="dxa"/>
            <w:tcBorders>
              <w:top w:val="single" w:color="000000" w:sz="4" w:space="0"/>
              <w:left w:val="single" w:color="000000" w:sz="4" w:space="0"/>
              <w:bottom w:val="nil"/>
              <w:right w:val="nil"/>
            </w:tcBorders>
            <w:shd w:val="clear" w:color="auto" w:fill="FFFFFF"/>
            <w:noWrap w:val="0"/>
            <w:vAlign w:val="center"/>
          </w:tcPr>
          <w:p w14:paraId="13DDFF2D">
            <w:pPr>
              <w:widowControl/>
              <w:jc w:val="center"/>
              <w:rPr>
                <w:rFonts w:ascii="宋体" w:hAnsi="宋体" w:cs="宋体"/>
                <w:color w:val="auto"/>
                <w:sz w:val="22"/>
                <w:szCs w:val="22"/>
                <w:highlight w:val="none"/>
              </w:rPr>
            </w:pPr>
            <w:r>
              <w:rPr>
                <w:rFonts w:hint="eastAsia" w:ascii="宋体" w:hAnsi="宋体" w:cs="宋体"/>
                <w:color w:val="auto"/>
                <w:kern w:val="0"/>
                <w:sz w:val="22"/>
                <w:szCs w:val="22"/>
                <w:highlight w:val="none"/>
              </w:rPr>
              <w:t>计量单位</w:t>
            </w:r>
          </w:p>
        </w:tc>
        <w:tc>
          <w:tcPr>
            <w:tcW w:w="1526" w:type="dxa"/>
            <w:tcBorders>
              <w:top w:val="single" w:color="000000" w:sz="4" w:space="0"/>
              <w:left w:val="single" w:color="000000" w:sz="4" w:space="0"/>
              <w:bottom w:val="nil"/>
              <w:right w:val="nil"/>
            </w:tcBorders>
            <w:shd w:val="clear" w:color="auto" w:fill="FFFFFF"/>
            <w:noWrap w:val="0"/>
            <w:vAlign w:val="center"/>
          </w:tcPr>
          <w:p w14:paraId="3CC6DD6E">
            <w:pPr>
              <w:widowControl/>
              <w:jc w:val="center"/>
              <w:rPr>
                <w:rFonts w:ascii="宋体" w:hAnsi="宋体" w:cs="宋体"/>
                <w:color w:val="auto"/>
                <w:sz w:val="22"/>
                <w:szCs w:val="22"/>
                <w:highlight w:val="none"/>
              </w:rPr>
            </w:pPr>
            <w:r>
              <w:rPr>
                <w:rFonts w:hint="eastAsia" w:ascii="宋体" w:hAnsi="宋体" w:cs="宋体"/>
                <w:color w:val="auto"/>
                <w:kern w:val="0"/>
                <w:sz w:val="22"/>
                <w:szCs w:val="22"/>
                <w:highlight w:val="none"/>
              </w:rPr>
              <w:t>合价(元)</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6BA66C44">
            <w:pPr>
              <w:widowControl/>
              <w:jc w:val="center"/>
              <w:rPr>
                <w:rFonts w:ascii="宋体" w:hAnsi="宋体" w:cs="宋体"/>
                <w:color w:val="auto"/>
                <w:sz w:val="22"/>
                <w:szCs w:val="22"/>
                <w:highlight w:val="none"/>
              </w:rPr>
            </w:pPr>
            <w:r>
              <w:rPr>
                <w:rFonts w:hint="eastAsia" w:ascii="宋体" w:hAnsi="宋体" w:cs="宋体"/>
                <w:color w:val="auto"/>
                <w:kern w:val="0"/>
                <w:sz w:val="22"/>
                <w:szCs w:val="22"/>
                <w:highlight w:val="none"/>
              </w:rPr>
              <w:t>备注</w:t>
            </w:r>
          </w:p>
        </w:tc>
      </w:tr>
      <w:tr w14:paraId="251FE922">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445BDFA7">
            <w:pPr>
              <w:widowControl/>
              <w:jc w:val="center"/>
              <w:rPr>
                <w:rFonts w:ascii="宋体" w:hAnsi="宋体" w:cs="宋体"/>
                <w:color w:val="auto"/>
                <w:sz w:val="22"/>
                <w:szCs w:val="22"/>
                <w:highlight w:val="none"/>
              </w:rPr>
            </w:pPr>
          </w:p>
        </w:tc>
        <w:tc>
          <w:tcPr>
            <w:tcW w:w="3909" w:type="dxa"/>
            <w:tcBorders>
              <w:top w:val="single" w:color="000000" w:sz="4" w:space="0"/>
              <w:left w:val="single" w:color="000000" w:sz="4" w:space="0"/>
              <w:bottom w:val="nil"/>
              <w:right w:val="nil"/>
            </w:tcBorders>
            <w:shd w:val="clear" w:color="auto" w:fill="FFFFFF"/>
            <w:noWrap w:val="0"/>
            <w:vAlign w:val="center"/>
          </w:tcPr>
          <w:p w14:paraId="1E9E813D">
            <w:pPr>
              <w:widowControl/>
              <w:rPr>
                <w:rFonts w:ascii="宋体" w:hAnsi="宋体" w:cs="宋体"/>
                <w:color w:val="auto"/>
                <w:sz w:val="22"/>
                <w:szCs w:val="22"/>
                <w:highlight w:val="none"/>
              </w:rPr>
            </w:pPr>
          </w:p>
        </w:tc>
        <w:tc>
          <w:tcPr>
            <w:tcW w:w="1081" w:type="dxa"/>
            <w:tcBorders>
              <w:top w:val="single" w:color="000000" w:sz="4" w:space="0"/>
              <w:left w:val="single" w:color="000000" w:sz="4" w:space="0"/>
              <w:bottom w:val="nil"/>
              <w:right w:val="nil"/>
            </w:tcBorders>
            <w:shd w:val="clear" w:color="auto" w:fill="FFFFFF"/>
            <w:noWrap w:val="0"/>
            <w:vAlign w:val="center"/>
          </w:tcPr>
          <w:p w14:paraId="6A768407">
            <w:pPr>
              <w:widowControl/>
              <w:jc w:val="center"/>
              <w:rPr>
                <w:rFonts w:ascii="宋体" w:hAnsi="宋体" w:cs="宋体"/>
                <w:color w:val="auto"/>
                <w:sz w:val="22"/>
                <w:szCs w:val="22"/>
                <w:highlight w:val="none"/>
              </w:rPr>
            </w:pPr>
          </w:p>
        </w:tc>
        <w:tc>
          <w:tcPr>
            <w:tcW w:w="1526" w:type="dxa"/>
            <w:tcBorders>
              <w:top w:val="single" w:color="000000" w:sz="4" w:space="0"/>
              <w:left w:val="single" w:color="000000" w:sz="4" w:space="0"/>
              <w:bottom w:val="nil"/>
              <w:right w:val="nil"/>
            </w:tcBorders>
            <w:shd w:val="clear" w:color="auto" w:fill="FFFFFF"/>
            <w:noWrap/>
            <w:vAlign w:val="center"/>
          </w:tcPr>
          <w:p w14:paraId="6A0A581B">
            <w:pPr>
              <w:widowControl/>
              <w:jc w:val="center"/>
              <w:rPr>
                <w:rFonts w:ascii="宋体" w:hAnsi="宋体" w:cs="宋体"/>
                <w:color w:val="auto"/>
                <w:sz w:val="22"/>
                <w:szCs w:val="22"/>
                <w:highlight w:val="none"/>
              </w:rPr>
            </w:pP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4B4CE862">
            <w:pPr>
              <w:widowControl/>
              <w:rPr>
                <w:rFonts w:ascii="宋体" w:hAnsi="宋体" w:cs="宋体"/>
                <w:color w:val="auto"/>
                <w:sz w:val="22"/>
                <w:szCs w:val="22"/>
                <w:highlight w:val="none"/>
              </w:rPr>
            </w:pPr>
          </w:p>
        </w:tc>
      </w:tr>
      <w:tr w14:paraId="7015A233">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7CADC086">
            <w:pPr>
              <w:widowControl/>
              <w:jc w:val="center"/>
              <w:rPr>
                <w:rFonts w:ascii="宋体" w:hAnsi="宋体" w:cs="宋体"/>
                <w:color w:val="auto"/>
                <w:sz w:val="22"/>
                <w:szCs w:val="22"/>
                <w:highlight w:val="none"/>
              </w:rPr>
            </w:pPr>
          </w:p>
        </w:tc>
        <w:tc>
          <w:tcPr>
            <w:tcW w:w="3909" w:type="dxa"/>
            <w:tcBorders>
              <w:top w:val="single" w:color="000000" w:sz="4" w:space="0"/>
              <w:left w:val="single" w:color="000000" w:sz="4" w:space="0"/>
              <w:bottom w:val="nil"/>
              <w:right w:val="nil"/>
            </w:tcBorders>
            <w:shd w:val="clear" w:color="auto" w:fill="FFFFFF"/>
            <w:noWrap w:val="0"/>
            <w:vAlign w:val="center"/>
          </w:tcPr>
          <w:p w14:paraId="3A04189F">
            <w:pPr>
              <w:widowControl/>
              <w:rPr>
                <w:rFonts w:ascii="宋体" w:hAnsi="宋体" w:cs="宋体"/>
                <w:color w:val="auto"/>
                <w:sz w:val="22"/>
                <w:szCs w:val="22"/>
                <w:highlight w:val="none"/>
              </w:rPr>
            </w:pPr>
          </w:p>
        </w:tc>
        <w:tc>
          <w:tcPr>
            <w:tcW w:w="1081" w:type="dxa"/>
            <w:tcBorders>
              <w:top w:val="single" w:color="000000" w:sz="4" w:space="0"/>
              <w:left w:val="single" w:color="000000" w:sz="4" w:space="0"/>
              <w:bottom w:val="nil"/>
              <w:right w:val="nil"/>
            </w:tcBorders>
            <w:shd w:val="clear" w:color="auto" w:fill="FFFFFF"/>
            <w:noWrap w:val="0"/>
            <w:vAlign w:val="center"/>
          </w:tcPr>
          <w:p w14:paraId="117B0E6F">
            <w:pPr>
              <w:widowControl/>
              <w:jc w:val="center"/>
              <w:rPr>
                <w:rFonts w:ascii="宋体" w:hAnsi="宋体" w:cs="宋体"/>
                <w:color w:val="auto"/>
                <w:sz w:val="22"/>
                <w:szCs w:val="22"/>
                <w:highlight w:val="none"/>
              </w:rPr>
            </w:pPr>
          </w:p>
        </w:tc>
        <w:tc>
          <w:tcPr>
            <w:tcW w:w="1526" w:type="dxa"/>
            <w:tcBorders>
              <w:top w:val="single" w:color="000000" w:sz="4" w:space="0"/>
              <w:left w:val="single" w:color="000000" w:sz="4" w:space="0"/>
              <w:bottom w:val="nil"/>
              <w:right w:val="nil"/>
            </w:tcBorders>
            <w:shd w:val="clear" w:color="auto" w:fill="FFFFFF"/>
            <w:noWrap/>
            <w:vAlign w:val="center"/>
          </w:tcPr>
          <w:p w14:paraId="182B2637">
            <w:pPr>
              <w:widowControl/>
              <w:jc w:val="right"/>
              <w:rPr>
                <w:rFonts w:ascii="宋体" w:hAnsi="宋体" w:cs="宋体"/>
                <w:color w:val="auto"/>
                <w:sz w:val="22"/>
                <w:szCs w:val="22"/>
                <w:highlight w:val="none"/>
              </w:rPr>
            </w:pP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6CCA5E4D">
            <w:pPr>
              <w:widowControl/>
              <w:rPr>
                <w:rFonts w:ascii="宋体" w:hAnsi="宋体" w:cs="宋体"/>
                <w:color w:val="auto"/>
                <w:sz w:val="22"/>
                <w:szCs w:val="22"/>
                <w:highlight w:val="none"/>
              </w:rPr>
            </w:pPr>
          </w:p>
        </w:tc>
      </w:tr>
      <w:tr w14:paraId="4AA3C147">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2F81A2F0">
            <w:pPr>
              <w:widowControl/>
              <w:jc w:val="center"/>
              <w:rPr>
                <w:rFonts w:ascii="宋体" w:hAnsi="宋体" w:cs="宋体"/>
                <w:color w:val="auto"/>
                <w:sz w:val="16"/>
                <w:szCs w:val="16"/>
                <w:highlight w:val="none"/>
              </w:rPr>
            </w:pPr>
          </w:p>
        </w:tc>
        <w:tc>
          <w:tcPr>
            <w:tcW w:w="3909" w:type="dxa"/>
            <w:tcBorders>
              <w:top w:val="single" w:color="000000" w:sz="4" w:space="0"/>
              <w:left w:val="single" w:color="000000" w:sz="4" w:space="0"/>
              <w:bottom w:val="nil"/>
              <w:right w:val="nil"/>
            </w:tcBorders>
            <w:shd w:val="clear" w:color="auto" w:fill="FFFFFF"/>
            <w:noWrap w:val="0"/>
            <w:vAlign w:val="center"/>
          </w:tcPr>
          <w:p w14:paraId="1F35F2F5">
            <w:pPr>
              <w:widowControl/>
              <w:rPr>
                <w:rFonts w:ascii="宋体" w:hAnsi="宋体" w:cs="宋体"/>
                <w:color w:val="auto"/>
                <w:sz w:val="16"/>
                <w:szCs w:val="16"/>
                <w:highlight w:val="none"/>
              </w:rPr>
            </w:pPr>
          </w:p>
        </w:tc>
        <w:tc>
          <w:tcPr>
            <w:tcW w:w="1081" w:type="dxa"/>
            <w:tcBorders>
              <w:top w:val="single" w:color="000000" w:sz="4" w:space="0"/>
              <w:left w:val="single" w:color="000000" w:sz="4" w:space="0"/>
              <w:bottom w:val="nil"/>
              <w:right w:val="nil"/>
            </w:tcBorders>
            <w:shd w:val="clear" w:color="auto" w:fill="FFFFFF"/>
            <w:noWrap w:val="0"/>
            <w:vAlign w:val="center"/>
          </w:tcPr>
          <w:p w14:paraId="23B899F5">
            <w:pPr>
              <w:widowControl/>
              <w:jc w:val="center"/>
              <w:rPr>
                <w:rFonts w:ascii="宋体" w:hAnsi="宋体" w:cs="宋体"/>
                <w:color w:val="auto"/>
                <w:sz w:val="16"/>
                <w:szCs w:val="16"/>
                <w:highlight w:val="none"/>
              </w:rPr>
            </w:pPr>
          </w:p>
        </w:tc>
        <w:tc>
          <w:tcPr>
            <w:tcW w:w="1526" w:type="dxa"/>
            <w:tcBorders>
              <w:top w:val="single" w:color="000000" w:sz="4" w:space="0"/>
              <w:left w:val="single" w:color="000000" w:sz="4" w:space="0"/>
              <w:bottom w:val="nil"/>
              <w:right w:val="nil"/>
            </w:tcBorders>
            <w:shd w:val="clear" w:color="auto" w:fill="FFFFFF"/>
            <w:noWrap/>
            <w:vAlign w:val="center"/>
          </w:tcPr>
          <w:p w14:paraId="27C0A385">
            <w:pPr>
              <w:widowControl/>
              <w:jc w:val="right"/>
              <w:rPr>
                <w:rFonts w:ascii="宋体" w:hAnsi="宋体" w:cs="宋体"/>
                <w:color w:val="auto"/>
                <w:sz w:val="16"/>
                <w:szCs w:val="16"/>
                <w:highlight w:val="none"/>
              </w:rPr>
            </w:pP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040B07AF">
            <w:pPr>
              <w:widowControl/>
              <w:rPr>
                <w:rFonts w:ascii="宋体" w:hAnsi="宋体" w:cs="宋体"/>
                <w:color w:val="auto"/>
                <w:sz w:val="16"/>
                <w:szCs w:val="16"/>
                <w:highlight w:val="none"/>
              </w:rPr>
            </w:pPr>
          </w:p>
        </w:tc>
      </w:tr>
      <w:tr w14:paraId="53365113">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0F9E6877">
            <w:pPr>
              <w:widowControl/>
              <w:jc w:val="center"/>
              <w:rPr>
                <w:rFonts w:ascii="宋体" w:hAnsi="宋体" w:cs="宋体"/>
                <w:color w:val="auto"/>
                <w:sz w:val="16"/>
                <w:szCs w:val="16"/>
                <w:highlight w:val="none"/>
              </w:rPr>
            </w:pPr>
          </w:p>
        </w:tc>
        <w:tc>
          <w:tcPr>
            <w:tcW w:w="3909" w:type="dxa"/>
            <w:tcBorders>
              <w:top w:val="single" w:color="000000" w:sz="4" w:space="0"/>
              <w:left w:val="single" w:color="000000" w:sz="4" w:space="0"/>
              <w:bottom w:val="nil"/>
              <w:right w:val="nil"/>
            </w:tcBorders>
            <w:shd w:val="clear" w:color="auto" w:fill="FFFFFF"/>
            <w:noWrap w:val="0"/>
            <w:vAlign w:val="center"/>
          </w:tcPr>
          <w:p w14:paraId="4C9A9F6A">
            <w:pPr>
              <w:widowControl/>
              <w:rPr>
                <w:rFonts w:ascii="宋体" w:hAnsi="宋体" w:cs="宋体"/>
                <w:color w:val="auto"/>
                <w:sz w:val="16"/>
                <w:szCs w:val="16"/>
                <w:highlight w:val="none"/>
              </w:rPr>
            </w:pPr>
          </w:p>
        </w:tc>
        <w:tc>
          <w:tcPr>
            <w:tcW w:w="1081" w:type="dxa"/>
            <w:tcBorders>
              <w:top w:val="single" w:color="000000" w:sz="4" w:space="0"/>
              <w:left w:val="single" w:color="000000" w:sz="4" w:space="0"/>
              <w:bottom w:val="nil"/>
              <w:right w:val="nil"/>
            </w:tcBorders>
            <w:shd w:val="clear" w:color="auto" w:fill="FFFFFF"/>
            <w:noWrap w:val="0"/>
            <w:vAlign w:val="center"/>
          </w:tcPr>
          <w:p w14:paraId="3C03FD1E">
            <w:pPr>
              <w:widowControl/>
              <w:jc w:val="center"/>
              <w:rPr>
                <w:rFonts w:ascii="宋体" w:hAnsi="宋体" w:cs="宋体"/>
                <w:color w:val="auto"/>
                <w:sz w:val="16"/>
                <w:szCs w:val="16"/>
                <w:highlight w:val="none"/>
              </w:rPr>
            </w:pPr>
          </w:p>
        </w:tc>
        <w:tc>
          <w:tcPr>
            <w:tcW w:w="1526" w:type="dxa"/>
            <w:tcBorders>
              <w:top w:val="single" w:color="000000" w:sz="4" w:space="0"/>
              <w:left w:val="single" w:color="000000" w:sz="4" w:space="0"/>
              <w:bottom w:val="nil"/>
              <w:right w:val="nil"/>
            </w:tcBorders>
            <w:shd w:val="clear" w:color="auto" w:fill="FFFFFF"/>
            <w:noWrap/>
            <w:vAlign w:val="center"/>
          </w:tcPr>
          <w:p w14:paraId="7057D181">
            <w:pPr>
              <w:widowControl/>
              <w:jc w:val="right"/>
              <w:rPr>
                <w:rFonts w:ascii="宋体" w:hAnsi="宋体" w:cs="宋体"/>
                <w:color w:val="auto"/>
                <w:sz w:val="16"/>
                <w:szCs w:val="16"/>
                <w:highlight w:val="none"/>
              </w:rPr>
            </w:pP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31E588CD">
            <w:pPr>
              <w:widowControl/>
              <w:rPr>
                <w:rFonts w:ascii="宋体" w:hAnsi="宋体" w:cs="宋体"/>
                <w:color w:val="auto"/>
                <w:sz w:val="16"/>
                <w:szCs w:val="16"/>
                <w:highlight w:val="none"/>
              </w:rPr>
            </w:pPr>
          </w:p>
        </w:tc>
      </w:tr>
      <w:tr w14:paraId="54B27B19">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5CD3EC14">
            <w:pPr>
              <w:widowControl/>
              <w:jc w:val="center"/>
              <w:rPr>
                <w:rFonts w:ascii="宋体" w:hAnsi="宋体" w:cs="宋体"/>
                <w:color w:val="auto"/>
                <w:sz w:val="16"/>
                <w:szCs w:val="16"/>
                <w:highlight w:val="none"/>
              </w:rPr>
            </w:pPr>
          </w:p>
        </w:tc>
        <w:tc>
          <w:tcPr>
            <w:tcW w:w="3909" w:type="dxa"/>
            <w:tcBorders>
              <w:top w:val="single" w:color="000000" w:sz="4" w:space="0"/>
              <w:left w:val="single" w:color="000000" w:sz="4" w:space="0"/>
              <w:bottom w:val="nil"/>
              <w:right w:val="nil"/>
            </w:tcBorders>
            <w:shd w:val="clear" w:color="auto" w:fill="FFFFFF"/>
            <w:noWrap w:val="0"/>
            <w:vAlign w:val="center"/>
          </w:tcPr>
          <w:p w14:paraId="65609F5C">
            <w:pPr>
              <w:widowControl/>
              <w:rPr>
                <w:rFonts w:ascii="宋体" w:hAnsi="宋体" w:cs="宋体"/>
                <w:color w:val="auto"/>
                <w:sz w:val="16"/>
                <w:szCs w:val="16"/>
                <w:highlight w:val="none"/>
              </w:rPr>
            </w:pPr>
          </w:p>
        </w:tc>
        <w:tc>
          <w:tcPr>
            <w:tcW w:w="1081" w:type="dxa"/>
            <w:tcBorders>
              <w:top w:val="single" w:color="000000" w:sz="4" w:space="0"/>
              <w:left w:val="single" w:color="000000" w:sz="4" w:space="0"/>
              <w:bottom w:val="nil"/>
              <w:right w:val="nil"/>
            </w:tcBorders>
            <w:shd w:val="clear" w:color="auto" w:fill="FFFFFF"/>
            <w:noWrap w:val="0"/>
            <w:vAlign w:val="center"/>
          </w:tcPr>
          <w:p w14:paraId="35AD7651">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nil"/>
              <w:right w:val="nil"/>
            </w:tcBorders>
            <w:shd w:val="clear" w:color="auto" w:fill="FFFFFF"/>
            <w:noWrap/>
            <w:vAlign w:val="center"/>
          </w:tcPr>
          <w:p w14:paraId="549D14A4">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399C4F30">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64F89445">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17ABCC65">
            <w:pPr>
              <w:widowControl/>
              <w:jc w:val="center"/>
              <w:rPr>
                <w:rFonts w:ascii="宋体" w:hAnsi="宋体" w:cs="宋体"/>
                <w:color w:val="auto"/>
                <w:sz w:val="16"/>
                <w:szCs w:val="16"/>
                <w:highlight w:val="none"/>
              </w:rPr>
            </w:pPr>
          </w:p>
        </w:tc>
        <w:tc>
          <w:tcPr>
            <w:tcW w:w="3909" w:type="dxa"/>
            <w:tcBorders>
              <w:top w:val="single" w:color="000000" w:sz="4" w:space="0"/>
              <w:left w:val="single" w:color="000000" w:sz="4" w:space="0"/>
              <w:bottom w:val="nil"/>
              <w:right w:val="nil"/>
            </w:tcBorders>
            <w:shd w:val="clear" w:color="auto" w:fill="FFFFFF"/>
            <w:noWrap w:val="0"/>
            <w:vAlign w:val="center"/>
          </w:tcPr>
          <w:p w14:paraId="1374F9F5">
            <w:pPr>
              <w:widowControl/>
              <w:rPr>
                <w:rFonts w:ascii="宋体" w:hAnsi="宋体" w:cs="宋体"/>
                <w:color w:val="auto"/>
                <w:sz w:val="16"/>
                <w:szCs w:val="16"/>
                <w:highlight w:val="none"/>
              </w:rPr>
            </w:pPr>
          </w:p>
        </w:tc>
        <w:tc>
          <w:tcPr>
            <w:tcW w:w="1081" w:type="dxa"/>
            <w:tcBorders>
              <w:top w:val="single" w:color="000000" w:sz="4" w:space="0"/>
              <w:left w:val="single" w:color="000000" w:sz="4" w:space="0"/>
              <w:bottom w:val="nil"/>
              <w:right w:val="nil"/>
            </w:tcBorders>
            <w:shd w:val="clear" w:color="auto" w:fill="FFFFFF"/>
            <w:noWrap w:val="0"/>
            <w:vAlign w:val="center"/>
          </w:tcPr>
          <w:p w14:paraId="1F640E99">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nil"/>
              <w:right w:val="nil"/>
            </w:tcBorders>
            <w:shd w:val="clear" w:color="auto" w:fill="FFFFFF"/>
            <w:noWrap/>
            <w:vAlign w:val="center"/>
          </w:tcPr>
          <w:p w14:paraId="5B764237">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310DFDE0">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57C38AF9">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0A28B810">
            <w:pPr>
              <w:widowControl/>
              <w:jc w:val="center"/>
              <w:rPr>
                <w:rFonts w:ascii="宋体" w:hAnsi="宋体" w:cs="宋体"/>
                <w:color w:val="auto"/>
                <w:sz w:val="16"/>
                <w:szCs w:val="16"/>
                <w:highlight w:val="none"/>
              </w:rPr>
            </w:pPr>
          </w:p>
        </w:tc>
        <w:tc>
          <w:tcPr>
            <w:tcW w:w="3909" w:type="dxa"/>
            <w:tcBorders>
              <w:top w:val="single" w:color="000000" w:sz="4" w:space="0"/>
              <w:left w:val="single" w:color="000000" w:sz="4" w:space="0"/>
              <w:bottom w:val="nil"/>
              <w:right w:val="nil"/>
            </w:tcBorders>
            <w:shd w:val="clear" w:color="auto" w:fill="FFFFFF"/>
            <w:noWrap w:val="0"/>
            <w:vAlign w:val="center"/>
          </w:tcPr>
          <w:p w14:paraId="64B28E9E">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081" w:type="dxa"/>
            <w:tcBorders>
              <w:top w:val="single" w:color="000000" w:sz="4" w:space="0"/>
              <w:left w:val="single" w:color="000000" w:sz="4" w:space="0"/>
              <w:bottom w:val="nil"/>
              <w:right w:val="nil"/>
            </w:tcBorders>
            <w:shd w:val="clear" w:color="auto" w:fill="FFFFFF"/>
            <w:noWrap w:val="0"/>
            <w:vAlign w:val="center"/>
          </w:tcPr>
          <w:p w14:paraId="6B36DDAB">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nil"/>
              <w:right w:val="nil"/>
            </w:tcBorders>
            <w:shd w:val="clear" w:color="auto" w:fill="FFFFFF"/>
            <w:noWrap/>
            <w:vAlign w:val="center"/>
          </w:tcPr>
          <w:p w14:paraId="77F5FB72">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36F1C744">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34F65EDB">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60BFD898">
            <w:pPr>
              <w:widowControl/>
              <w:jc w:val="center"/>
              <w:rPr>
                <w:rFonts w:ascii="宋体" w:hAnsi="宋体" w:cs="宋体"/>
                <w:color w:val="auto"/>
                <w:sz w:val="16"/>
                <w:szCs w:val="16"/>
                <w:highlight w:val="none"/>
              </w:rPr>
            </w:pPr>
          </w:p>
        </w:tc>
        <w:tc>
          <w:tcPr>
            <w:tcW w:w="3909" w:type="dxa"/>
            <w:tcBorders>
              <w:top w:val="single" w:color="000000" w:sz="4" w:space="0"/>
              <w:left w:val="single" w:color="000000" w:sz="4" w:space="0"/>
              <w:bottom w:val="nil"/>
              <w:right w:val="nil"/>
            </w:tcBorders>
            <w:shd w:val="clear" w:color="auto" w:fill="FFFFFF"/>
            <w:noWrap w:val="0"/>
            <w:vAlign w:val="center"/>
          </w:tcPr>
          <w:p w14:paraId="16195826">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081" w:type="dxa"/>
            <w:tcBorders>
              <w:top w:val="single" w:color="000000" w:sz="4" w:space="0"/>
              <w:left w:val="single" w:color="000000" w:sz="4" w:space="0"/>
              <w:bottom w:val="nil"/>
              <w:right w:val="nil"/>
            </w:tcBorders>
            <w:shd w:val="clear" w:color="auto" w:fill="FFFFFF"/>
            <w:noWrap w:val="0"/>
            <w:vAlign w:val="center"/>
          </w:tcPr>
          <w:p w14:paraId="7FFD05F6">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nil"/>
              <w:right w:val="nil"/>
            </w:tcBorders>
            <w:shd w:val="clear" w:color="auto" w:fill="FFFFFF"/>
            <w:noWrap/>
            <w:vAlign w:val="center"/>
          </w:tcPr>
          <w:p w14:paraId="5F337391">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61037FF9">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35040BFF">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130CEC2D">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3909" w:type="dxa"/>
            <w:tcBorders>
              <w:top w:val="single" w:color="000000" w:sz="4" w:space="0"/>
              <w:left w:val="single" w:color="000000" w:sz="4" w:space="0"/>
              <w:bottom w:val="nil"/>
              <w:right w:val="nil"/>
            </w:tcBorders>
            <w:shd w:val="clear" w:color="auto" w:fill="FFFFFF"/>
            <w:noWrap w:val="0"/>
            <w:vAlign w:val="center"/>
          </w:tcPr>
          <w:p w14:paraId="3010DA91">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081" w:type="dxa"/>
            <w:tcBorders>
              <w:top w:val="single" w:color="000000" w:sz="4" w:space="0"/>
              <w:left w:val="single" w:color="000000" w:sz="4" w:space="0"/>
              <w:bottom w:val="nil"/>
              <w:right w:val="nil"/>
            </w:tcBorders>
            <w:shd w:val="clear" w:color="auto" w:fill="FFFFFF"/>
            <w:noWrap w:val="0"/>
            <w:vAlign w:val="center"/>
          </w:tcPr>
          <w:p w14:paraId="2A665BC6">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nil"/>
              <w:right w:val="nil"/>
            </w:tcBorders>
            <w:shd w:val="clear" w:color="auto" w:fill="FFFFFF"/>
            <w:noWrap/>
            <w:vAlign w:val="center"/>
          </w:tcPr>
          <w:p w14:paraId="62AD0555">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3D06BB2A">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0559274F">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74DE1528">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3909" w:type="dxa"/>
            <w:tcBorders>
              <w:top w:val="single" w:color="000000" w:sz="4" w:space="0"/>
              <w:left w:val="single" w:color="000000" w:sz="4" w:space="0"/>
              <w:bottom w:val="nil"/>
              <w:right w:val="nil"/>
            </w:tcBorders>
            <w:shd w:val="clear" w:color="auto" w:fill="FFFFFF"/>
            <w:noWrap w:val="0"/>
            <w:vAlign w:val="center"/>
          </w:tcPr>
          <w:p w14:paraId="3BF5D123">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081" w:type="dxa"/>
            <w:tcBorders>
              <w:top w:val="single" w:color="000000" w:sz="4" w:space="0"/>
              <w:left w:val="single" w:color="000000" w:sz="4" w:space="0"/>
              <w:bottom w:val="nil"/>
              <w:right w:val="nil"/>
            </w:tcBorders>
            <w:shd w:val="clear" w:color="auto" w:fill="FFFFFF"/>
            <w:noWrap w:val="0"/>
            <w:vAlign w:val="center"/>
          </w:tcPr>
          <w:p w14:paraId="7E9962F1">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nil"/>
              <w:right w:val="nil"/>
            </w:tcBorders>
            <w:shd w:val="clear" w:color="auto" w:fill="FFFFFF"/>
            <w:noWrap/>
            <w:vAlign w:val="center"/>
          </w:tcPr>
          <w:p w14:paraId="1386812D">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1BBBCD04">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5BB8E891">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4FE7BD98">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3909" w:type="dxa"/>
            <w:tcBorders>
              <w:top w:val="single" w:color="000000" w:sz="4" w:space="0"/>
              <w:left w:val="single" w:color="000000" w:sz="4" w:space="0"/>
              <w:bottom w:val="nil"/>
              <w:right w:val="nil"/>
            </w:tcBorders>
            <w:shd w:val="clear" w:color="auto" w:fill="FFFFFF"/>
            <w:noWrap w:val="0"/>
            <w:vAlign w:val="center"/>
          </w:tcPr>
          <w:p w14:paraId="1632C2A5">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081" w:type="dxa"/>
            <w:tcBorders>
              <w:top w:val="single" w:color="000000" w:sz="4" w:space="0"/>
              <w:left w:val="single" w:color="000000" w:sz="4" w:space="0"/>
              <w:bottom w:val="nil"/>
              <w:right w:val="nil"/>
            </w:tcBorders>
            <w:shd w:val="clear" w:color="auto" w:fill="FFFFFF"/>
            <w:noWrap w:val="0"/>
            <w:vAlign w:val="center"/>
          </w:tcPr>
          <w:p w14:paraId="0C6EBE5D">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nil"/>
              <w:right w:val="nil"/>
            </w:tcBorders>
            <w:shd w:val="clear" w:color="auto" w:fill="FFFFFF"/>
            <w:noWrap/>
            <w:vAlign w:val="center"/>
          </w:tcPr>
          <w:p w14:paraId="6C74F078">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46CADA48">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10404A2A">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554577DD">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3909" w:type="dxa"/>
            <w:tcBorders>
              <w:top w:val="single" w:color="000000" w:sz="4" w:space="0"/>
              <w:left w:val="single" w:color="000000" w:sz="4" w:space="0"/>
              <w:bottom w:val="nil"/>
              <w:right w:val="nil"/>
            </w:tcBorders>
            <w:shd w:val="clear" w:color="auto" w:fill="FFFFFF"/>
            <w:noWrap w:val="0"/>
            <w:vAlign w:val="center"/>
          </w:tcPr>
          <w:p w14:paraId="26DC5423">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081" w:type="dxa"/>
            <w:tcBorders>
              <w:top w:val="single" w:color="000000" w:sz="4" w:space="0"/>
              <w:left w:val="single" w:color="000000" w:sz="4" w:space="0"/>
              <w:bottom w:val="nil"/>
              <w:right w:val="nil"/>
            </w:tcBorders>
            <w:shd w:val="clear" w:color="auto" w:fill="FFFFFF"/>
            <w:noWrap w:val="0"/>
            <w:vAlign w:val="center"/>
          </w:tcPr>
          <w:p w14:paraId="5590C8E3">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nil"/>
              <w:right w:val="nil"/>
            </w:tcBorders>
            <w:shd w:val="clear" w:color="auto" w:fill="FFFFFF"/>
            <w:noWrap/>
            <w:vAlign w:val="center"/>
          </w:tcPr>
          <w:p w14:paraId="45010824">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75ED80B0">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20FC0C2B">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4DE9512D">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3909" w:type="dxa"/>
            <w:tcBorders>
              <w:top w:val="single" w:color="000000" w:sz="4" w:space="0"/>
              <w:left w:val="single" w:color="000000" w:sz="4" w:space="0"/>
              <w:bottom w:val="nil"/>
              <w:right w:val="nil"/>
            </w:tcBorders>
            <w:shd w:val="clear" w:color="auto" w:fill="FFFFFF"/>
            <w:noWrap w:val="0"/>
            <w:vAlign w:val="center"/>
          </w:tcPr>
          <w:p w14:paraId="5E196B6D">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081" w:type="dxa"/>
            <w:tcBorders>
              <w:top w:val="single" w:color="000000" w:sz="4" w:space="0"/>
              <w:left w:val="single" w:color="000000" w:sz="4" w:space="0"/>
              <w:bottom w:val="nil"/>
              <w:right w:val="nil"/>
            </w:tcBorders>
            <w:shd w:val="clear" w:color="auto" w:fill="FFFFFF"/>
            <w:noWrap w:val="0"/>
            <w:vAlign w:val="center"/>
          </w:tcPr>
          <w:p w14:paraId="49C78064">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nil"/>
              <w:right w:val="nil"/>
            </w:tcBorders>
            <w:shd w:val="clear" w:color="auto" w:fill="FFFFFF"/>
            <w:noWrap/>
            <w:vAlign w:val="center"/>
          </w:tcPr>
          <w:p w14:paraId="23611406">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5FF7DF09">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1B923FF7">
        <w:tblPrEx>
          <w:tblCellMar>
            <w:top w:w="0" w:type="dxa"/>
            <w:left w:w="108" w:type="dxa"/>
            <w:bottom w:w="0" w:type="dxa"/>
            <w:right w:w="108" w:type="dxa"/>
          </w:tblCellMar>
        </w:tblPrEx>
        <w:trPr>
          <w:trHeight w:val="485" w:hRule="atLeast"/>
        </w:trPr>
        <w:tc>
          <w:tcPr>
            <w:tcW w:w="773" w:type="dxa"/>
            <w:tcBorders>
              <w:top w:val="single" w:color="000000" w:sz="4" w:space="0"/>
              <w:left w:val="single" w:color="000000" w:sz="4" w:space="0"/>
              <w:bottom w:val="nil"/>
              <w:right w:val="nil"/>
            </w:tcBorders>
            <w:shd w:val="clear" w:color="auto" w:fill="FFFFFF"/>
            <w:noWrap w:val="0"/>
            <w:vAlign w:val="center"/>
          </w:tcPr>
          <w:p w14:paraId="63B45AD8">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3909" w:type="dxa"/>
            <w:tcBorders>
              <w:top w:val="single" w:color="000000" w:sz="4" w:space="0"/>
              <w:left w:val="single" w:color="000000" w:sz="4" w:space="0"/>
              <w:bottom w:val="nil"/>
              <w:right w:val="nil"/>
            </w:tcBorders>
            <w:shd w:val="clear" w:color="auto" w:fill="FFFFFF"/>
            <w:noWrap w:val="0"/>
            <w:vAlign w:val="center"/>
          </w:tcPr>
          <w:p w14:paraId="18BE7781">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081" w:type="dxa"/>
            <w:tcBorders>
              <w:top w:val="single" w:color="000000" w:sz="4" w:space="0"/>
              <w:left w:val="single" w:color="000000" w:sz="4" w:space="0"/>
              <w:bottom w:val="nil"/>
              <w:right w:val="nil"/>
            </w:tcBorders>
            <w:shd w:val="clear" w:color="auto" w:fill="FFFFFF"/>
            <w:noWrap w:val="0"/>
            <w:vAlign w:val="center"/>
          </w:tcPr>
          <w:p w14:paraId="63536BE5">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nil"/>
              <w:right w:val="nil"/>
            </w:tcBorders>
            <w:shd w:val="clear" w:color="auto" w:fill="FFFFFF"/>
            <w:noWrap/>
            <w:vAlign w:val="center"/>
          </w:tcPr>
          <w:p w14:paraId="26B36A1B">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nil"/>
              <w:right w:val="single" w:color="000000" w:sz="4" w:space="0"/>
            </w:tcBorders>
            <w:shd w:val="clear" w:color="auto" w:fill="FFFFFF"/>
            <w:noWrap w:val="0"/>
            <w:vAlign w:val="center"/>
          </w:tcPr>
          <w:p w14:paraId="6623432F">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076A5C3F">
        <w:tblPrEx>
          <w:tblCellMar>
            <w:top w:w="0" w:type="dxa"/>
            <w:left w:w="108" w:type="dxa"/>
            <w:bottom w:w="0" w:type="dxa"/>
            <w:right w:w="108" w:type="dxa"/>
          </w:tblCellMar>
        </w:tblPrEx>
        <w:trPr>
          <w:trHeight w:val="495" w:hRule="atLeast"/>
        </w:trPr>
        <w:tc>
          <w:tcPr>
            <w:tcW w:w="773" w:type="dxa"/>
            <w:tcBorders>
              <w:top w:val="single" w:color="000000" w:sz="4" w:space="0"/>
              <w:left w:val="single" w:color="000000" w:sz="4" w:space="0"/>
              <w:bottom w:val="single" w:color="000000" w:sz="4" w:space="0"/>
              <w:right w:val="nil"/>
            </w:tcBorders>
            <w:shd w:val="clear" w:color="auto" w:fill="FFFFFF"/>
            <w:noWrap w:val="0"/>
            <w:vAlign w:val="center"/>
          </w:tcPr>
          <w:p w14:paraId="32500AFD">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3909" w:type="dxa"/>
            <w:tcBorders>
              <w:top w:val="single" w:color="000000" w:sz="4" w:space="0"/>
              <w:left w:val="single" w:color="000000" w:sz="4" w:space="0"/>
              <w:bottom w:val="single" w:color="000000" w:sz="4" w:space="0"/>
              <w:right w:val="nil"/>
            </w:tcBorders>
            <w:shd w:val="clear" w:color="auto" w:fill="FFFFFF"/>
            <w:noWrap w:val="0"/>
            <w:vAlign w:val="center"/>
          </w:tcPr>
          <w:p w14:paraId="2735E4D9">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081" w:type="dxa"/>
            <w:tcBorders>
              <w:top w:val="single" w:color="000000" w:sz="4" w:space="0"/>
              <w:left w:val="single" w:color="000000" w:sz="4" w:space="0"/>
              <w:bottom w:val="single" w:color="000000" w:sz="4" w:space="0"/>
              <w:right w:val="nil"/>
            </w:tcBorders>
            <w:shd w:val="clear" w:color="auto" w:fill="FFFFFF"/>
            <w:noWrap w:val="0"/>
            <w:vAlign w:val="center"/>
          </w:tcPr>
          <w:p w14:paraId="29F39E28">
            <w:pPr>
              <w:widowControl/>
              <w:jc w:val="center"/>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26" w:type="dxa"/>
            <w:tcBorders>
              <w:top w:val="single" w:color="000000" w:sz="4" w:space="0"/>
              <w:left w:val="single" w:color="000000" w:sz="4" w:space="0"/>
              <w:bottom w:val="single" w:color="000000" w:sz="4" w:space="0"/>
              <w:right w:val="nil"/>
            </w:tcBorders>
            <w:shd w:val="clear" w:color="auto" w:fill="FFFFFF"/>
            <w:noWrap/>
            <w:vAlign w:val="center"/>
          </w:tcPr>
          <w:p w14:paraId="116A3B51">
            <w:pPr>
              <w:widowControl/>
              <w:jc w:val="right"/>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c>
          <w:tcPr>
            <w:tcW w:w="15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02DB66">
            <w:pPr>
              <w:widowControl/>
              <w:rPr>
                <w:rFonts w:ascii="宋体" w:hAnsi="宋体" w:cs="宋体"/>
                <w:color w:val="auto"/>
                <w:sz w:val="16"/>
                <w:szCs w:val="16"/>
                <w:highlight w:val="none"/>
              </w:rPr>
            </w:pPr>
            <w:r>
              <w:rPr>
                <w:rFonts w:hint="eastAsia" w:ascii="宋体" w:hAnsi="宋体" w:cs="宋体"/>
                <w:color w:val="auto"/>
                <w:kern w:val="0"/>
                <w:sz w:val="16"/>
                <w:szCs w:val="16"/>
                <w:highlight w:val="none"/>
              </w:rPr>
              <w:t>　</w:t>
            </w:r>
          </w:p>
        </w:tc>
      </w:tr>
      <w:tr w14:paraId="7EF28619">
        <w:tblPrEx>
          <w:tblCellMar>
            <w:top w:w="0" w:type="dxa"/>
            <w:left w:w="108" w:type="dxa"/>
            <w:bottom w:w="0" w:type="dxa"/>
            <w:right w:w="108" w:type="dxa"/>
          </w:tblCellMar>
        </w:tblPrEx>
        <w:trPr>
          <w:trHeight w:val="495" w:hRule="atLeast"/>
        </w:trPr>
        <w:tc>
          <w:tcPr>
            <w:tcW w:w="773" w:type="dxa"/>
            <w:tcBorders>
              <w:top w:val="single" w:color="000000" w:sz="4" w:space="0"/>
              <w:left w:val="single" w:color="000000" w:sz="4" w:space="0"/>
              <w:bottom w:val="single" w:color="000000" w:sz="4" w:space="0"/>
              <w:right w:val="nil"/>
            </w:tcBorders>
            <w:shd w:val="clear" w:color="auto" w:fill="FFFFFF"/>
            <w:noWrap w:val="0"/>
            <w:vAlign w:val="center"/>
          </w:tcPr>
          <w:p w14:paraId="7BFD8E0F">
            <w:pPr>
              <w:widowControl/>
              <w:jc w:val="center"/>
              <w:rPr>
                <w:rFonts w:hint="eastAsia" w:ascii="宋体" w:hAnsi="宋体" w:cs="宋体"/>
                <w:color w:val="auto"/>
                <w:kern w:val="0"/>
                <w:sz w:val="16"/>
                <w:szCs w:val="16"/>
                <w:highlight w:val="none"/>
              </w:rPr>
            </w:pPr>
          </w:p>
        </w:tc>
        <w:tc>
          <w:tcPr>
            <w:tcW w:w="3909" w:type="dxa"/>
            <w:tcBorders>
              <w:top w:val="single" w:color="000000" w:sz="4" w:space="0"/>
              <w:left w:val="single" w:color="000000" w:sz="4" w:space="0"/>
              <w:bottom w:val="single" w:color="000000" w:sz="4" w:space="0"/>
              <w:right w:val="nil"/>
            </w:tcBorders>
            <w:shd w:val="clear" w:color="auto" w:fill="FFFFFF"/>
            <w:noWrap w:val="0"/>
            <w:vAlign w:val="center"/>
          </w:tcPr>
          <w:p w14:paraId="1DCDB2EE">
            <w:pPr>
              <w:widowControl/>
              <w:rPr>
                <w:rFonts w:hint="eastAsia" w:ascii="宋体" w:hAnsi="宋体" w:cs="宋体"/>
                <w:color w:val="auto"/>
                <w:kern w:val="0"/>
                <w:sz w:val="16"/>
                <w:szCs w:val="16"/>
                <w:highlight w:val="none"/>
              </w:rPr>
            </w:pPr>
          </w:p>
        </w:tc>
        <w:tc>
          <w:tcPr>
            <w:tcW w:w="1081" w:type="dxa"/>
            <w:tcBorders>
              <w:top w:val="single" w:color="000000" w:sz="4" w:space="0"/>
              <w:left w:val="single" w:color="000000" w:sz="4" w:space="0"/>
              <w:bottom w:val="single" w:color="000000" w:sz="4" w:space="0"/>
              <w:right w:val="nil"/>
            </w:tcBorders>
            <w:shd w:val="clear" w:color="auto" w:fill="FFFFFF"/>
            <w:noWrap w:val="0"/>
            <w:vAlign w:val="center"/>
          </w:tcPr>
          <w:p w14:paraId="6E2D03E5">
            <w:pPr>
              <w:widowControl/>
              <w:jc w:val="center"/>
              <w:rPr>
                <w:rFonts w:hint="eastAsia" w:ascii="宋体" w:hAnsi="宋体" w:cs="宋体"/>
                <w:color w:val="auto"/>
                <w:kern w:val="0"/>
                <w:sz w:val="16"/>
                <w:szCs w:val="16"/>
                <w:highlight w:val="none"/>
              </w:rPr>
            </w:pPr>
          </w:p>
        </w:tc>
        <w:tc>
          <w:tcPr>
            <w:tcW w:w="1526" w:type="dxa"/>
            <w:tcBorders>
              <w:top w:val="single" w:color="000000" w:sz="4" w:space="0"/>
              <w:left w:val="single" w:color="000000" w:sz="4" w:space="0"/>
              <w:bottom w:val="single" w:color="000000" w:sz="4" w:space="0"/>
              <w:right w:val="nil"/>
            </w:tcBorders>
            <w:shd w:val="clear" w:color="auto" w:fill="FFFFFF"/>
            <w:noWrap/>
            <w:vAlign w:val="center"/>
          </w:tcPr>
          <w:p w14:paraId="31611C98">
            <w:pPr>
              <w:widowControl/>
              <w:jc w:val="right"/>
              <w:rPr>
                <w:rFonts w:hint="eastAsia" w:ascii="宋体" w:hAnsi="宋体" w:cs="宋体"/>
                <w:color w:val="auto"/>
                <w:kern w:val="0"/>
                <w:sz w:val="16"/>
                <w:szCs w:val="16"/>
                <w:highlight w:val="none"/>
              </w:rPr>
            </w:pPr>
          </w:p>
        </w:tc>
        <w:tc>
          <w:tcPr>
            <w:tcW w:w="15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5EC53A">
            <w:pPr>
              <w:widowControl/>
              <w:rPr>
                <w:rFonts w:hint="eastAsia" w:ascii="宋体" w:hAnsi="宋体" w:cs="宋体"/>
                <w:color w:val="auto"/>
                <w:kern w:val="0"/>
                <w:sz w:val="16"/>
                <w:szCs w:val="16"/>
                <w:highlight w:val="none"/>
              </w:rPr>
            </w:pPr>
          </w:p>
        </w:tc>
      </w:tr>
      <w:tr w14:paraId="6632EC33">
        <w:tblPrEx>
          <w:tblCellMar>
            <w:top w:w="0" w:type="dxa"/>
            <w:left w:w="108" w:type="dxa"/>
            <w:bottom w:w="0" w:type="dxa"/>
            <w:right w:w="108" w:type="dxa"/>
          </w:tblCellMar>
        </w:tblPrEx>
        <w:trPr>
          <w:trHeight w:val="495" w:hRule="atLeast"/>
        </w:trPr>
        <w:tc>
          <w:tcPr>
            <w:tcW w:w="773" w:type="dxa"/>
            <w:tcBorders>
              <w:top w:val="single" w:color="000000" w:sz="4" w:space="0"/>
              <w:left w:val="single" w:color="000000" w:sz="4" w:space="0"/>
              <w:bottom w:val="single" w:color="000000" w:sz="4" w:space="0"/>
              <w:right w:val="nil"/>
            </w:tcBorders>
            <w:shd w:val="clear" w:color="auto" w:fill="FFFFFF"/>
            <w:noWrap w:val="0"/>
            <w:vAlign w:val="center"/>
          </w:tcPr>
          <w:p w14:paraId="2C6F2EFF">
            <w:pPr>
              <w:widowControl/>
              <w:jc w:val="center"/>
              <w:rPr>
                <w:rFonts w:hint="eastAsia" w:ascii="宋体" w:hAnsi="宋体" w:cs="宋体"/>
                <w:color w:val="auto"/>
                <w:kern w:val="0"/>
                <w:sz w:val="16"/>
                <w:szCs w:val="16"/>
                <w:highlight w:val="none"/>
              </w:rPr>
            </w:pPr>
          </w:p>
        </w:tc>
        <w:tc>
          <w:tcPr>
            <w:tcW w:w="3909" w:type="dxa"/>
            <w:tcBorders>
              <w:top w:val="single" w:color="000000" w:sz="4" w:space="0"/>
              <w:left w:val="single" w:color="000000" w:sz="4" w:space="0"/>
              <w:bottom w:val="single" w:color="000000" w:sz="4" w:space="0"/>
              <w:right w:val="nil"/>
            </w:tcBorders>
            <w:shd w:val="clear" w:color="auto" w:fill="FFFFFF"/>
            <w:noWrap w:val="0"/>
            <w:vAlign w:val="center"/>
          </w:tcPr>
          <w:p w14:paraId="66DABF2E">
            <w:pPr>
              <w:widowControl/>
              <w:rPr>
                <w:rFonts w:hint="eastAsia" w:ascii="宋体" w:hAnsi="宋体" w:cs="宋体"/>
                <w:color w:val="auto"/>
                <w:kern w:val="0"/>
                <w:sz w:val="16"/>
                <w:szCs w:val="16"/>
                <w:highlight w:val="none"/>
              </w:rPr>
            </w:pPr>
          </w:p>
        </w:tc>
        <w:tc>
          <w:tcPr>
            <w:tcW w:w="1081" w:type="dxa"/>
            <w:tcBorders>
              <w:top w:val="single" w:color="000000" w:sz="4" w:space="0"/>
              <w:left w:val="single" w:color="000000" w:sz="4" w:space="0"/>
              <w:bottom w:val="single" w:color="000000" w:sz="4" w:space="0"/>
              <w:right w:val="nil"/>
            </w:tcBorders>
            <w:shd w:val="clear" w:color="auto" w:fill="FFFFFF"/>
            <w:noWrap w:val="0"/>
            <w:vAlign w:val="center"/>
          </w:tcPr>
          <w:p w14:paraId="6CA161A8">
            <w:pPr>
              <w:widowControl/>
              <w:jc w:val="center"/>
              <w:rPr>
                <w:rFonts w:hint="eastAsia" w:ascii="宋体" w:hAnsi="宋体" w:cs="宋体"/>
                <w:color w:val="auto"/>
                <w:kern w:val="0"/>
                <w:sz w:val="16"/>
                <w:szCs w:val="16"/>
                <w:highlight w:val="none"/>
              </w:rPr>
            </w:pPr>
          </w:p>
        </w:tc>
        <w:tc>
          <w:tcPr>
            <w:tcW w:w="1526" w:type="dxa"/>
            <w:tcBorders>
              <w:top w:val="single" w:color="000000" w:sz="4" w:space="0"/>
              <w:left w:val="single" w:color="000000" w:sz="4" w:space="0"/>
              <w:bottom w:val="single" w:color="000000" w:sz="4" w:space="0"/>
              <w:right w:val="nil"/>
            </w:tcBorders>
            <w:shd w:val="clear" w:color="auto" w:fill="FFFFFF"/>
            <w:noWrap/>
            <w:vAlign w:val="center"/>
          </w:tcPr>
          <w:p w14:paraId="60A5076C">
            <w:pPr>
              <w:widowControl/>
              <w:jc w:val="right"/>
              <w:rPr>
                <w:rFonts w:hint="eastAsia" w:ascii="宋体" w:hAnsi="宋体" w:cs="宋体"/>
                <w:color w:val="auto"/>
                <w:kern w:val="0"/>
                <w:sz w:val="16"/>
                <w:szCs w:val="16"/>
                <w:highlight w:val="none"/>
              </w:rPr>
            </w:pPr>
          </w:p>
        </w:tc>
        <w:tc>
          <w:tcPr>
            <w:tcW w:w="15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2F8A30">
            <w:pPr>
              <w:widowControl/>
              <w:rPr>
                <w:rFonts w:hint="eastAsia" w:ascii="宋体" w:hAnsi="宋体" w:cs="宋体"/>
                <w:color w:val="auto"/>
                <w:kern w:val="0"/>
                <w:sz w:val="16"/>
                <w:szCs w:val="16"/>
                <w:highlight w:val="none"/>
              </w:rPr>
            </w:pPr>
          </w:p>
        </w:tc>
      </w:tr>
      <w:tr w14:paraId="163AA2A3">
        <w:tblPrEx>
          <w:tblCellMar>
            <w:top w:w="0" w:type="dxa"/>
            <w:left w:w="108" w:type="dxa"/>
            <w:bottom w:w="0" w:type="dxa"/>
            <w:right w:w="108" w:type="dxa"/>
          </w:tblCellMar>
        </w:tblPrEx>
        <w:trPr>
          <w:trHeight w:val="495" w:hRule="atLeast"/>
        </w:trPr>
        <w:tc>
          <w:tcPr>
            <w:tcW w:w="773" w:type="dxa"/>
            <w:tcBorders>
              <w:top w:val="single" w:color="000000" w:sz="4" w:space="0"/>
              <w:left w:val="single" w:color="000000" w:sz="4" w:space="0"/>
              <w:bottom w:val="single" w:color="000000" w:sz="4" w:space="0"/>
              <w:right w:val="nil"/>
            </w:tcBorders>
            <w:shd w:val="clear" w:color="auto" w:fill="FFFFFF"/>
            <w:noWrap w:val="0"/>
            <w:vAlign w:val="center"/>
          </w:tcPr>
          <w:p w14:paraId="3E745B70">
            <w:pPr>
              <w:widowControl/>
              <w:jc w:val="center"/>
              <w:rPr>
                <w:rFonts w:hint="eastAsia" w:ascii="宋体" w:hAnsi="宋体" w:cs="宋体"/>
                <w:color w:val="auto"/>
                <w:kern w:val="0"/>
                <w:sz w:val="16"/>
                <w:szCs w:val="16"/>
                <w:highlight w:val="none"/>
              </w:rPr>
            </w:pPr>
          </w:p>
        </w:tc>
        <w:tc>
          <w:tcPr>
            <w:tcW w:w="3909" w:type="dxa"/>
            <w:tcBorders>
              <w:top w:val="single" w:color="000000" w:sz="4" w:space="0"/>
              <w:left w:val="single" w:color="000000" w:sz="4" w:space="0"/>
              <w:bottom w:val="single" w:color="000000" w:sz="4" w:space="0"/>
              <w:right w:val="nil"/>
            </w:tcBorders>
            <w:shd w:val="clear" w:color="auto" w:fill="FFFFFF"/>
            <w:noWrap w:val="0"/>
            <w:vAlign w:val="center"/>
          </w:tcPr>
          <w:p w14:paraId="268659A8">
            <w:pPr>
              <w:widowControl/>
              <w:rPr>
                <w:rFonts w:hint="eastAsia" w:ascii="宋体" w:hAnsi="宋体" w:cs="宋体"/>
                <w:color w:val="auto"/>
                <w:kern w:val="0"/>
                <w:sz w:val="16"/>
                <w:szCs w:val="16"/>
                <w:highlight w:val="none"/>
              </w:rPr>
            </w:pPr>
          </w:p>
        </w:tc>
        <w:tc>
          <w:tcPr>
            <w:tcW w:w="1081" w:type="dxa"/>
            <w:tcBorders>
              <w:top w:val="single" w:color="000000" w:sz="4" w:space="0"/>
              <w:left w:val="single" w:color="000000" w:sz="4" w:space="0"/>
              <w:bottom w:val="single" w:color="000000" w:sz="4" w:space="0"/>
              <w:right w:val="nil"/>
            </w:tcBorders>
            <w:shd w:val="clear" w:color="auto" w:fill="FFFFFF"/>
            <w:noWrap w:val="0"/>
            <w:vAlign w:val="center"/>
          </w:tcPr>
          <w:p w14:paraId="3C38F0BE">
            <w:pPr>
              <w:widowControl/>
              <w:jc w:val="center"/>
              <w:rPr>
                <w:rFonts w:hint="eastAsia" w:ascii="宋体" w:hAnsi="宋体" w:cs="宋体"/>
                <w:color w:val="auto"/>
                <w:kern w:val="0"/>
                <w:sz w:val="16"/>
                <w:szCs w:val="16"/>
                <w:highlight w:val="none"/>
              </w:rPr>
            </w:pPr>
          </w:p>
        </w:tc>
        <w:tc>
          <w:tcPr>
            <w:tcW w:w="1526" w:type="dxa"/>
            <w:tcBorders>
              <w:top w:val="single" w:color="000000" w:sz="4" w:space="0"/>
              <w:left w:val="single" w:color="000000" w:sz="4" w:space="0"/>
              <w:bottom w:val="single" w:color="000000" w:sz="4" w:space="0"/>
              <w:right w:val="nil"/>
            </w:tcBorders>
            <w:shd w:val="clear" w:color="auto" w:fill="FFFFFF"/>
            <w:noWrap/>
            <w:vAlign w:val="center"/>
          </w:tcPr>
          <w:p w14:paraId="6294C626">
            <w:pPr>
              <w:widowControl/>
              <w:jc w:val="right"/>
              <w:rPr>
                <w:rFonts w:hint="eastAsia" w:ascii="宋体" w:hAnsi="宋体" w:cs="宋体"/>
                <w:color w:val="auto"/>
                <w:kern w:val="0"/>
                <w:sz w:val="16"/>
                <w:szCs w:val="16"/>
                <w:highlight w:val="none"/>
              </w:rPr>
            </w:pPr>
          </w:p>
        </w:tc>
        <w:tc>
          <w:tcPr>
            <w:tcW w:w="15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05FDAA">
            <w:pPr>
              <w:widowControl/>
              <w:rPr>
                <w:rFonts w:hint="eastAsia" w:ascii="宋体" w:hAnsi="宋体" w:cs="宋体"/>
                <w:color w:val="auto"/>
                <w:kern w:val="0"/>
                <w:sz w:val="16"/>
                <w:szCs w:val="16"/>
                <w:highlight w:val="none"/>
              </w:rPr>
            </w:pPr>
          </w:p>
        </w:tc>
      </w:tr>
      <w:tr w14:paraId="25AD2C8C">
        <w:tblPrEx>
          <w:tblCellMar>
            <w:top w:w="0" w:type="dxa"/>
            <w:left w:w="108" w:type="dxa"/>
            <w:bottom w:w="0" w:type="dxa"/>
            <w:right w:w="108" w:type="dxa"/>
          </w:tblCellMar>
        </w:tblPrEx>
        <w:trPr>
          <w:trHeight w:val="495" w:hRule="atLeast"/>
        </w:trPr>
        <w:tc>
          <w:tcPr>
            <w:tcW w:w="773" w:type="dxa"/>
            <w:tcBorders>
              <w:top w:val="single" w:color="000000" w:sz="4" w:space="0"/>
              <w:left w:val="single" w:color="000000" w:sz="4" w:space="0"/>
              <w:bottom w:val="single" w:color="000000" w:sz="4" w:space="0"/>
              <w:right w:val="nil"/>
            </w:tcBorders>
            <w:shd w:val="clear" w:color="auto" w:fill="FFFFFF"/>
            <w:noWrap w:val="0"/>
            <w:vAlign w:val="center"/>
          </w:tcPr>
          <w:p w14:paraId="7A286DB7">
            <w:pPr>
              <w:widowControl/>
              <w:jc w:val="center"/>
              <w:rPr>
                <w:rFonts w:hint="eastAsia" w:ascii="宋体" w:hAnsi="宋体" w:cs="宋体"/>
                <w:color w:val="auto"/>
                <w:kern w:val="0"/>
                <w:sz w:val="16"/>
                <w:szCs w:val="16"/>
                <w:highlight w:val="none"/>
              </w:rPr>
            </w:pPr>
          </w:p>
        </w:tc>
        <w:tc>
          <w:tcPr>
            <w:tcW w:w="3909" w:type="dxa"/>
            <w:tcBorders>
              <w:top w:val="single" w:color="000000" w:sz="4" w:space="0"/>
              <w:left w:val="single" w:color="000000" w:sz="4" w:space="0"/>
              <w:bottom w:val="single" w:color="000000" w:sz="4" w:space="0"/>
              <w:right w:val="nil"/>
            </w:tcBorders>
            <w:shd w:val="clear" w:color="auto" w:fill="FFFFFF"/>
            <w:noWrap w:val="0"/>
            <w:vAlign w:val="center"/>
          </w:tcPr>
          <w:p w14:paraId="270ED8B7">
            <w:pPr>
              <w:widowControl/>
              <w:rPr>
                <w:rFonts w:hint="eastAsia" w:ascii="宋体" w:hAnsi="宋体" w:cs="宋体"/>
                <w:color w:val="auto"/>
                <w:kern w:val="0"/>
                <w:sz w:val="16"/>
                <w:szCs w:val="16"/>
                <w:highlight w:val="none"/>
              </w:rPr>
            </w:pPr>
          </w:p>
        </w:tc>
        <w:tc>
          <w:tcPr>
            <w:tcW w:w="1081" w:type="dxa"/>
            <w:tcBorders>
              <w:top w:val="single" w:color="000000" w:sz="4" w:space="0"/>
              <w:left w:val="single" w:color="000000" w:sz="4" w:space="0"/>
              <w:bottom w:val="single" w:color="000000" w:sz="4" w:space="0"/>
              <w:right w:val="nil"/>
            </w:tcBorders>
            <w:shd w:val="clear" w:color="auto" w:fill="FFFFFF"/>
            <w:noWrap w:val="0"/>
            <w:vAlign w:val="center"/>
          </w:tcPr>
          <w:p w14:paraId="3A4B84B0">
            <w:pPr>
              <w:widowControl/>
              <w:jc w:val="center"/>
              <w:rPr>
                <w:rFonts w:hint="eastAsia" w:ascii="宋体" w:hAnsi="宋体" w:cs="宋体"/>
                <w:color w:val="auto"/>
                <w:kern w:val="0"/>
                <w:sz w:val="16"/>
                <w:szCs w:val="16"/>
                <w:highlight w:val="none"/>
              </w:rPr>
            </w:pPr>
          </w:p>
        </w:tc>
        <w:tc>
          <w:tcPr>
            <w:tcW w:w="1526" w:type="dxa"/>
            <w:tcBorders>
              <w:top w:val="single" w:color="000000" w:sz="4" w:space="0"/>
              <w:left w:val="single" w:color="000000" w:sz="4" w:space="0"/>
              <w:bottom w:val="single" w:color="000000" w:sz="4" w:space="0"/>
              <w:right w:val="nil"/>
            </w:tcBorders>
            <w:shd w:val="clear" w:color="auto" w:fill="FFFFFF"/>
            <w:noWrap/>
            <w:vAlign w:val="center"/>
          </w:tcPr>
          <w:p w14:paraId="53B5229E">
            <w:pPr>
              <w:widowControl/>
              <w:jc w:val="right"/>
              <w:rPr>
                <w:rFonts w:hint="eastAsia" w:ascii="宋体" w:hAnsi="宋体" w:cs="宋体"/>
                <w:color w:val="auto"/>
                <w:kern w:val="0"/>
                <w:sz w:val="16"/>
                <w:szCs w:val="16"/>
                <w:highlight w:val="none"/>
              </w:rPr>
            </w:pPr>
          </w:p>
        </w:tc>
        <w:tc>
          <w:tcPr>
            <w:tcW w:w="15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97E051">
            <w:pPr>
              <w:widowControl/>
              <w:rPr>
                <w:rFonts w:hint="eastAsia" w:ascii="宋体" w:hAnsi="宋体" w:cs="宋体"/>
                <w:color w:val="auto"/>
                <w:kern w:val="0"/>
                <w:sz w:val="16"/>
                <w:szCs w:val="16"/>
                <w:highlight w:val="none"/>
              </w:rPr>
            </w:pPr>
          </w:p>
        </w:tc>
      </w:tr>
      <w:tr w14:paraId="4474B3B8">
        <w:tblPrEx>
          <w:tblCellMar>
            <w:top w:w="0" w:type="dxa"/>
            <w:left w:w="108" w:type="dxa"/>
            <w:bottom w:w="0" w:type="dxa"/>
            <w:right w:w="108" w:type="dxa"/>
          </w:tblCellMar>
        </w:tblPrEx>
        <w:trPr>
          <w:trHeight w:val="495" w:hRule="atLeast"/>
        </w:trPr>
        <w:tc>
          <w:tcPr>
            <w:tcW w:w="773" w:type="dxa"/>
            <w:tcBorders>
              <w:top w:val="single" w:color="000000" w:sz="4" w:space="0"/>
              <w:left w:val="single" w:color="000000" w:sz="4" w:space="0"/>
              <w:bottom w:val="single" w:color="000000" w:sz="4" w:space="0"/>
              <w:right w:val="nil"/>
            </w:tcBorders>
            <w:shd w:val="clear" w:color="auto" w:fill="FFFFFF"/>
            <w:noWrap w:val="0"/>
            <w:vAlign w:val="center"/>
          </w:tcPr>
          <w:p w14:paraId="5587D858">
            <w:pPr>
              <w:widowControl/>
              <w:jc w:val="center"/>
              <w:rPr>
                <w:rFonts w:hint="eastAsia" w:ascii="宋体" w:hAnsi="宋体" w:cs="宋体"/>
                <w:color w:val="auto"/>
                <w:kern w:val="0"/>
                <w:sz w:val="16"/>
                <w:szCs w:val="16"/>
                <w:highlight w:val="none"/>
              </w:rPr>
            </w:pPr>
          </w:p>
        </w:tc>
        <w:tc>
          <w:tcPr>
            <w:tcW w:w="3909" w:type="dxa"/>
            <w:tcBorders>
              <w:top w:val="single" w:color="000000" w:sz="4" w:space="0"/>
              <w:left w:val="single" w:color="000000" w:sz="4" w:space="0"/>
              <w:bottom w:val="single" w:color="000000" w:sz="4" w:space="0"/>
              <w:right w:val="nil"/>
            </w:tcBorders>
            <w:shd w:val="clear" w:color="auto" w:fill="FFFFFF"/>
            <w:noWrap w:val="0"/>
            <w:vAlign w:val="center"/>
          </w:tcPr>
          <w:p w14:paraId="3A76794E">
            <w:pPr>
              <w:widowControl/>
              <w:rPr>
                <w:rFonts w:hint="eastAsia" w:ascii="宋体" w:hAnsi="宋体" w:cs="宋体"/>
                <w:color w:val="auto"/>
                <w:kern w:val="0"/>
                <w:sz w:val="16"/>
                <w:szCs w:val="16"/>
                <w:highlight w:val="none"/>
              </w:rPr>
            </w:pPr>
          </w:p>
        </w:tc>
        <w:tc>
          <w:tcPr>
            <w:tcW w:w="1081" w:type="dxa"/>
            <w:tcBorders>
              <w:top w:val="single" w:color="000000" w:sz="4" w:space="0"/>
              <w:left w:val="single" w:color="000000" w:sz="4" w:space="0"/>
              <w:bottom w:val="single" w:color="000000" w:sz="4" w:space="0"/>
              <w:right w:val="nil"/>
            </w:tcBorders>
            <w:shd w:val="clear" w:color="auto" w:fill="FFFFFF"/>
            <w:noWrap w:val="0"/>
            <w:vAlign w:val="center"/>
          </w:tcPr>
          <w:p w14:paraId="77179F33">
            <w:pPr>
              <w:widowControl/>
              <w:jc w:val="center"/>
              <w:rPr>
                <w:rFonts w:hint="eastAsia" w:ascii="宋体" w:hAnsi="宋体" w:cs="宋体"/>
                <w:color w:val="auto"/>
                <w:kern w:val="0"/>
                <w:sz w:val="16"/>
                <w:szCs w:val="16"/>
                <w:highlight w:val="none"/>
              </w:rPr>
            </w:pPr>
          </w:p>
        </w:tc>
        <w:tc>
          <w:tcPr>
            <w:tcW w:w="1526" w:type="dxa"/>
            <w:tcBorders>
              <w:top w:val="single" w:color="000000" w:sz="4" w:space="0"/>
              <w:left w:val="single" w:color="000000" w:sz="4" w:space="0"/>
              <w:bottom w:val="single" w:color="000000" w:sz="4" w:space="0"/>
              <w:right w:val="nil"/>
            </w:tcBorders>
            <w:shd w:val="clear" w:color="auto" w:fill="FFFFFF"/>
            <w:noWrap/>
            <w:vAlign w:val="center"/>
          </w:tcPr>
          <w:p w14:paraId="6D66D1AB">
            <w:pPr>
              <w:widowControl/>
              <w:jc w:val="right"/>
              <w:rPr>
                <w:rFonts w:hint="eastAsia" w:ascii="宋体" w:hAnsi="宋体" w:cs="宋体"/>
                <w:color w:val="auto"/>
                <w:kern w:val="0"/>
                <w:sz w:val="16"/>
                <w:szCs w:val="16"/>
                <w:highlight w:val="none"/>
              </w:rPr>
            </w:pPr>
          </w:p>
        </w:tc>
        <w:tc>
          <w:tcPr>
            <w:tcW w:w="15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8E0DA1">
            <w:pPr>
              <w:widowControl/>
              <w:rPr>
                <w:rFonts w:hint="eastAsia" w:ascii="宋体" w:hAnsi="宋体" w:cs="宋体"/>
                <w:color w:val="auto"/>
                <w:kern w:val="0"/>
                <w:sz w:val="16"/>
                <w:szCs w:val="16"/>
                <w:highlight w:val="none"/>
              </w:rPr>
            </w:pPr>
          </w:p>
        </w:tc>
      </w:tr>
      <w:tr w14:paraId="77104E68">
        <w:tblPrEx>
          <w:tblCellMar>
            <w:top w:w="0" w:type="dxa"/>
            <w:left w:w="108" w:type="dxa"/>
            <w:bottom w:w="0" w:type="dxa"/>
            <w:right w:w="108" w:type="dxa"/>
          </w:tblCellMar>
        </w:tblPrEx>
        <w:trPr>
          <w:trHeight w:val="495" w:hRule="atLeast"/>
        </w:trPr>
        <w:tc>
          <w:tcPr>
            <w:tcW w:w="773" w:type="dxa"/>
            <w:tcBorders>
              <w:top w:val="single" w:color="000000" w:sz="4" w:space="0"/>
              <w:left w:val="single" w:color="000000" w:sz="4" w:space="0"/>
              <w:bottom w:val="single" w:color="000000" w:sz="4" w:space="0"/>
              <w:right w:val="nil"/>
            </w:tcBorders>
            <w:shd w:val="clear" w:color="auto" w:fill="FFFFFF"/>
            <w:noWrap w:val="0"/>
            <w:vAlign w:val="center"/>
          </w:tcPr>
          <w:p w14:paraId="645C0E15">
            <w:pPr>
              <w:widowControl/>
              <w:jc w:val="center"/>
              <w:rPr>
                <w:rFonts w:hint="eastAsia" w:ascii="宋体" w:hAnsi="宋体" w:cs="宋体"/>
                <w:color w:val="auto"/>
                <w:kern w:val="0"/>
                <w:sz w:val="16"/>
                <w:szCs w:val="16"/>
                <w:highlight w:val="none"/>
              </w:rPr>
            </w:pPr>
          </w:p>
        </w:tc>
        <w:tc>
          <w:tcPr>
            <w:tcW w:w="3909" w:type="dxa"/>
            <w:tcBorders>
              <w:top w:val="single" w:color="000000" w:sz="4" w:space="0"/>
              <w:left w:val="single" w:color="000000" w:sz="4" w:space="0"/>
              <w:bottom w:val="single" w:color="000000" w:sz="4" w:space="0"/>
              <w:right w:val="nil"/>
            </w:tcBorders>
            <w:shd w:val="clear" w:color="auto" w:fill="FFFFFF"/>
            <w:noWrap w:val="0"/>
            <w:vAlign w:val="center"/>
          </w:tcPr>
          <w:p w14:paraId="2DA4A54D">
            <w:pPr>
              <w:widowControl/>
              <w:rPr>
                <w:rFonts w:hint="eastAsia" w:ascii="宋体" w:hAnsi="宋体" w:cs="宋体"/>
                <w:color w:val="auto"/>
                <w:kern w:val="0"/>
                <w:sz w:val="16"/>
                <w:szCs w:val="16"/>
                <w:highlight w:val="none"/>
              </w:rPr>
            </w:pPr>
          </w:p>
        </w:tc>
        <w:tc>
          <w:tcPr>
            <w:tcW w:w="1081" w:type="dxa"/>
            <w:tcBorders>
              <w:top w:val="single" w:color="000000" w:sz="4" w:space="0"/>
              <w:left w:val="single" w:color="000000" w:sz="4" w:space="0"/>
              <w:bottom w:val="single" w:color="000000" w:sz="4" w:space="0"/>
              <w:right w:val="nil"/>
            </w:tcBorders>
            <w:shd w:val="clear" w:color="auto" w:fill="FFFFFF"/>
            <w:noWrap w:val="0"/>
            <w:vAlign w:val="center"/>
          </w:tcPr>
          <w:p w14:paraId="4C2AD46C">
            <w:pPr>
              <w:widowControl/>
              <w:jc w:val="center"/>
              <w:rPr>
                <w:rFonts w:hint="eastAsia" w:ascii="宋体" w:hAnsi="宋体" w:cs="宋体"/>
                <w:color w:val="auto"/>
                <w:kern w:val="0"/>
                <w:sz w:val="16"/>
                <w:szCs w:val="16"/>
                <w:highlight w:val="none"/>
              </w:rPr>
            </w:pPr>
          </w:p>
        </w:tc>
        <w:tc>
          <w:tcPr>
            <w:tcW w:w="1526" w:type="dxa"/>
            <w:tcBorders>
              <w:top w:val="single" w:color="000000" w:sz="4" w:space="0"/>
              <w:left w:val="single" w:color="000000" w:sz="4" w:space="0"/>
              <w:bottom w:val="single" w:color="000000" w:sz="4" w:space="0"/>
              <w:right w:val="nil"/>
            </w:tcBorders>
            <w:shd w:val="clear" w:color="auto" w:fill="FFFFFF"/>
            <w:noWrap/>
            <w:vAlign w:val="center"/>
          </w:tcPr>
          <w:p w14:paraId="60B5ADF0">
            <w:pPr>
              <w:widowControl/>
              <w:jc w:val="right"/>
              <w:rPr>
                <w:rFonts w:hint="eastAsia" w:ascii="宋体" w:hAnsi="宋体" w:cs="宋体"/>
                <w:color w:val="auto"/>
                <w:kern w:val="0"/>
                <w:sz w:val="16"/>
                <w:szCs w:val="16"/>
                <w:highlight w:val="none"/>
              </w:rPr>
            </w:pPr>
          </w:p>
        </w:tc>
        <w:tc>
          <w:tcPr>
            <w:tcW w:w="15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BD1E8F">
            <w:pPr>
              <w:widowControl/>
              <w:rPr>
                <w:rFonts w:hint="eastAsia" w:ascii="宋体" w:hAnsi="宋体" w:cs="宋体"/>
                <w:color w:val="auto"/>
                <w:kern w:val="0"/>
                <w:sz w:val="16"/>
                <w:szCs w:val="16"/>
                <w:highlight w:val="none"/>
              </w:rPr>
            </w:pPr>
          </w:p>
        </w:tc>
      </w:tr>
      <w:tr w14:paraId="760C6F46">
        <w:tblPrEx>
          <w:tblCellMar>
            <w:top w:w="0" w:type="dxa"/>
            <w:left w:w="108" w:type="dxa"/>
            <w:bottom w:w="0" w:type="dxa"/>
            <w:right w:w="108" w:type="dxa"/>
          </w:tblCellMar>
        </w:tblPrEx>
        <w:trPr>
          <w:trHeight w:val="495" w:hRule="atLeast"/>
        </w:trPr>
        <w:tc>
          <w:tcPr>
            <w:tcW w:w="773" w:type="dxa"/>
            <w:tcBorders>
              <w:top w:val="single" w:color="000000" w:sz="4" w:space="0"/>
              <w:left w:val="single" w:color="000000" w:sz="4" w:space="0"/>
              <w:bottom w:val="single" w:color="000000" w:sz="4" w:space="0"/>
              <w:right w:val="nil"/>
            </w:tcBorders>
            <w:shd w:val="clear" w:color="auto" w:fill="FFFFFF"/>
            <w:noWrap w:val="0"/>
            <w:vAlign w:val="center"/>
          </w:tcPr>
          <w:p w14:paraId="4FAE4B2C">
            <w:pPr>
              <w:widowControl/>
              <w:jc w:val="center"/>
              <w:rPr>
                <w:rFonts w:hint="eastAsia" w:ascii="宋体" w:hAnsi="宋体" w:cs="宋体"/>
                <w:color w:val="auto"/>
                <w:kern w:val="0"/>
                <w:sz w:val="16"/>
                <w:szCs w:val="16"/>
                <w:highlight w:val="none"/>
              </w:rPr>
            </w:pPr>
          </w:p>
        </w:tc>
        <w:tc>
          <w:tcPr>
            <w:tcW w:w="3909" w:type="dxa"/>
            <w:tcBorders>
              <w:top w:val="single" w:color="000000" w:sz="4" w:space="0"/>
              <w:left w:val="single" w:color="000000" w:sz="4" w:space="0"/>
              <w:bottom w:val="single" w:color="000000" w:sz="4" w:space="0"/>
              <w:right w:val="nil"/>
            </w:tcBorders>
            <w:shd w:val="clear" w:color="auto" w:fill="FFFFFF"/>
            <w:noWrap w:val="0"/>
            <w:vAlign w:val="center"/>
          </w:tcPr>
          <w:p w14:paraId="47ADEB73">
            <w:pPr>
              <w:widowControl/>
              <w:rPr>
                <w:rFonts w:hint="eastAsia" w:ascii="宋体" w:hAnsi="宋体" w:cs="宋体"/>
                <w:color w:val="auto"/>
                <w:kern w:val="0"/>
                <w:sz w:val="16"/>
                <w:szCs w:val="16"/>
                <w:highlight w:val="none"/>
              </w:rPr>
            </w:pPr>
          </w:p>
        </w:tc>
        <w:tc>
          <w:tcPr>
            <w:tcW w:w="1081" w:type="dxa"/>
            <w:tcBorders>
              <w:top w:val="single" w:color="000000" w:sz="4" w:space="0"/>
              <w:left w:val="single" w:color="000000" w:sz="4" w:space="0"/>
              <w:bottom w:val="single" w:color="000000" w:sz="4" w:space="0"/>
              <w:right w:val="nil"/>
            </w:tcBorders>
            <w:shd w:val="clear" w:color="auto" w:fill="FFFFFF"/>
            <w:noWrap w:val="0"/>
            <w:vAlign w:val="center"/>
          </w:tcPr>
          <w:p w14:paraId="792B7413">
            <w:pPr>
              <w:widowControl/>
              <w:jc w:val="center"/>
              <w:rPr>
                <w:rFonts w:hint="eastAsia" w:ascii="宋体" w:hAnsi="宋体" w:cs="宋体"/>
                <w:color w:val="auto"/>
                <w:kern w:val="0"/>
                <w:sz w:val="16"/>
                <w:szCs w:val="16"/>
                <w:highlight w:val="none"/>
              </w:rPr>
            </w:pPr>
          </w:p>
        </w:tc>
        <w:tc>
          <w:tcPr>
            <w:tcW w:w="1526" w:type="dxa"/>
            <w:tcBorders>
              <w:top w:val="single" w:color="000000" w:sz="4" w:space="0"/>
              <w:left w:val="single" w:color="000000" w:sz="4" w:space="0"/>
              <w:bottom w:val="single" w:color="000000" w:sz="4" w:space="0"/>
              <w:right w:val="nil"/>
            </w:tcBorders>
            <w:shd w:val="clear" w:color="auto" w:fill="FFFFFF"/>
            <w:noWrap/>
            <w:vAlign w:val="center"/>
          </w:tcPr>
          <w:p w14:paraId="72E46F9C">
            <w:pPr>
              <w:widowControl/>
              <w:jc w:val="right"/>
              <w:rPr>
                <w:rFonts w:hint="eastAsia" w:ascii="宋体" w:hAnsi="宋体" w:cs="宋体"/>
                <w:color w:val="auto"/>
                <w:kern w:val="0"/>
                <w:sz w:val="16"/>
                <w:szCs w:val="16"/>
                <w:highlight w:val="none"/>
              </w:rPr>
            </w:pPr>
          </w:p>
        </w:tc>
        <w:tc>
          <w:tcPr>
            <w:tcW w:w="15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BB2815">
            <w:pPr>
              <w:widowControl/>
              <w:rPr>
                <w:rFonts w:hint="eastAsia" w:ascii="宋体" w:hAnsi="宋体" w:cs="宋体"/>
                <w:color w:val="auto"/>
                <w:kern w:val="0"/>
                <w:sz w:val="16"/>
                <w:szCs w:val="16"/>
                <w:highlight w:val="none"/>
              </w:rPr>
            </w:pPr>
          </w:p>
        </w:tc>
      </w:tr>
      <w:tr w14:paraId="789FD2DE">
        <w:tblPrEx>
          <w:tblCellMar>
            <w:top w:w="0" w:type="dxa"/>
            <w:left w:w="108" w:type="dxa"/>
            <w:bottom w:w="0" w:type="dxa"/>
            <w:right w:w="108" w:type="dxa"/>
          </w:tblCellMar>
        </w:tblPrEx>
        <w:trPr>
          <w:trHeight w:val="505" w:hRule="atLeast"/>
        </w:trPr>
        <w:tc>
          <w:tcPr>
            <w:tcW w:w="773" w:type="dxa"/>
            <w:tcBorders>
              <w:top w:val="single" w:color="000000" w:sz="4" w:space="0"/>
              <w:left w:val="single" w:color="000000" w:sz="4" w:space="0"/>
              <w:bottom w:val="single" w:color="auto" w:sz="4" w:space="0"/>
              <w:right w:val="nil"/>
            </w:tcBorders>
            <w:shd w:val="clear" w:color="auto" w:fill="FFFFFF"/>
            <w:noWrap w:val="0"/>
            <w:vAlign w:val="center"/>
          </w:tcPr>
          <w:p w14:paraId="0A42F8A9">
            <w:pPr>
              <w:widowControl/>
              <w:jc w:val="center"/>
              <w:rPr>
                <w:rFonts w:hint="eastAsia" w:ascii="宋体" w:hAnsi="宋体" w:cs="宋体"/>
                <w:color w:val="auto"/>
                <w:kern w:val="0"/>
                <w:sz w:val="16"/>
                <w:szCs w:val="16"/>
                <w:highlight w:val="none"/>
              </w:rPr>
            </w:pPr>
          </w:p>
        </w:tc>
        <w:tc>
          <w:tcPr>
            <w:tcW w:w="3909" w:type="dxa"/>
            <w:tcBorders>
              <w:top w:val="single" w:color="000000" w:sz="4" w:space="0"/>
              <w:left w:val="single" w:color="000000" w:sz="4" w:space="0"/>
              <w:bottom w:val="single" w:color="auto" w:sz="4" w:space="0"/>
              <w:right w:val="nil"/>
            </w:tcBorders>
            <w:shd w:val="clear" w:color="auto" w:fill="FFFFFF"/>
            <w:noWrap w:val="0"/>
            <w:vAlign w:val="center"/>
          </w:tcPr>
          <w:p w14:paraId="1D28F63A">
            <w:pPr>
              <w:widowControl/>
              <w:rPr>
                <w:rFonts w:hint="eastAsia" w:ascii="宋体" w:hAnsi="宋体" w:cs="宋体"/>
                <w:color w:val="auto"/>
                <w:kern w:val="0"/>
                <w:sz w:val="16"/>
                <w:szCs w:val="16"/>
                <w:highlight w:val="none"/>
              </w:rPr>
            </w:pPr>
          </w:p>
        </w:tc>
        <w:tc>
          <w:tcPr>
            <w:tcW w:w="1081" w:type="dxa"/>
            <w:tcBorders>
              <w:top w:val="single" w:color="000000" w:sz="4" w:space="0"/>
              <w:left w:val="single" w:color="000000" w:sz="4" w:space="0"/>
              <w:bottom w:val="single" w:color="auto" w:sz="4" w:space="0"/>
              <w:right w:val="nil"/>
            </w:tcBorders>
            <w:shd w:val="clear" w:color="auto" w:fill="FFFFFF"/>
            <w:noWrap w:val="0"/>
            <w:vAlign w:val="center"/>
          </w:tcPr>
          <w:p w14:paraId="45870B0C">
            <w:pPr>
              <w:widowControl/>
              <w:jc w:val="center"/>
              <w:rPr>
                <w:rFonts w:hint="eastAsia" w:ascii="宋体" w:hAnsi="宋体" w:cs="宋体"/>
                <w:color w:val="auto"/>
                <w:kern w:val="0"/>
                <w:sz w:val="16"/>
                <w:szCs w:val="16"/>
                <w:highlight w:val="none"/>
              </w:rPr>
            </w:pPr>
          </w:p>
        </w:tc>
        <w:tc>
          <w:tcPr>
            <w:tcW w:w="1526" w:type="dxa"/>
            <w:tcBorders>
              <w:top w:val="single" w:color="000000" w:sz="4" w:space="0"/>
              <w:left w:val="single" w:color="000000" w:sz="4" w:space="0"/>
              <w:bottom w:val="single" w:color="auto" w:sz="4" w:space="0"/>
              <w:right w:val="nil"/>
            </w:tcBorders>
            <w:shd w:val="clear" w:color="auto" w:fill="FFFFFF"/>
            <w:noWrap/>
            <w:vAlign w:val="center"/>
          </w:tcPr>
          <w:p w14:paraId="53DB59C7">
            <w:pPr>
              <w:widowControl/>
              <w:jc w:val="right"/>
              <w:rPr>
                <w:rFonts w:hint="eastAsia" w:ascii="宋体" w:hAnsi="宋体" w:cs="宋体"/>
                <w:color w:val="auto"/>
                <w:kern w:val="0"/>
                <w:sz w:val="16"/>
                <w:szCs w:val="16"/>
                <w:highlight w:val="none"/>
              </w:rPr>
            </w:pPr>
          </w:p>
        </w:tc>
        <w:tc>
          <w:tcPr>
            <w:tcW w:w="1591" w:type="dxa"/>
            <w:tcBorders>
              <w:top w:val="single" w:color="000000" w:sz="4" w:space="0"/>
              <w:left w:val="single" w:color="000000" w:sz="4" w:space="0"/>
              <w:bottom w:val="single" w:color="auto" w:sz="4" w:space="0"/>
              <w:right w:val="single" w:color="000000" w:sz="4" w:space="0"/>
            </w:tcBorders>
            <w:shd w:val="clear" w:color="auto" w:fill="FFFFFF"/>
            <w:noWrap w:val="0"/>
            <w:vAlign w:val="center"/>
          </w:tcPr>
          <w:p w14:paraId="2FB3C1AA">
            <w:pPr>
              <w:widowControl/>
              <w:rPr>
                <w:rFonts w:hint="eastAsia" w:ascii="宋体" w:hAnsi="宋体" w:cs="宋体"/>
                <w:color w:val="auto"/>
                <w:kern w:val="0"/>
                <w:sz w:val="16"/>
                <w:szCs w:val="16"/>
                <w:highlight w:val="none"/>
              </w:rPr>
            </w:pPr>
          </w:p>
        </w:tc>
      </w:tr>
    </w:tbl>
    <w:p w14:paraId="2421E3AF">
      <w:pPr>
        <w:pStyle w:val="29"/>
        <w:jc w:val="center"/>
        <w:rPr>
          <w:rFonts w:cs="Times New Roman"/>
          <w:color w:val="auto"/>
          <w:sz w:val="32"/>
          <w:szCs w:val="32"/>
          <w:highlight w:val="none"/>
        </w:rPr>
      </w:pPr>
      <w:r>
        <w:rPr>
          <w:rFonts w:cs="Times New Roman"/>
          <w:color w:val="auto"/>
          <w:sz w:val="32"/>
          <w:szCs w:val="32"/>
          <w:highlight w:val="none"/>
        </w:rPr>
        <w:t>第四部分    工程建设项目廉政责任书</w:t>
      </w:r>
    </w:p>
    <w:p w14:paraId="2DB7A88B">
      <w:pPr>
        <w:autoSpaceDE w:val="0"/>
        <w:autoSpaceDN w:val="0"/>
        <w:spacing w:line="360" w:lineRule="exact"/>
        <w:ind w:firstLine="482"/>
        <w:rPr>
          <w:color w:val="auto"/>
          <w:szCs w:val="21"/>
          <w:highlight w:val="none"/>
        </w:rPr>
      </w:pPr>
    </w:p>
    <w:p w14:paraId="573FB18D">
      <w:pPr>
        <w:autoSpaceDE w:val="0"/>
        <w:autoSpaceDN w:val="0"/>
        <w:spacing w:line="440" w:lineRule="exact"/>
        <w:ind w:firstLine="482"/>
        <w:rPr>
          <w:color w:val="auto"/>
          <w:szCs w:val="21"/>
          <w:highlight w:val="none"/>
          <w:u w:val="single"/>
        </w:rPr>
      </w:pPr>
      <w:r>
        <w:rPr>
          <w:color w:val="auto"/>
          <w:szCs w:val="21"/>
          <w:highlight w:val="none"/>
        </w:rPr>
        <w:t>工程项目名称：</w:t>
      </w:r>
      <w:r>
        <w:rPr>
          <w:rFonts w:hint="eastAsia"/>
          <w:color w:val="auto"/>
          <w:szCs w:val="21"/>
          <w:highlight w:val="none"/>
          <w:u w:val="single"/>
          <w:lang w:eastAsia="zh-CN"/>
        </w:rPr>
        <w:t>三门经济开发区科创中心装修提升工程</w:t>
      </w:r>
      <w:r>
        <w:rPr>
          <w:rFonts w:hint="eastAsia"/>
          <w:color w:val="auto"/>
          <w:szCs w:val="21"/>
          <w:highlight w:val="none"/>
          <w:u w:val="single"/>
          <w:lang w:val="en-US" w:eastAsia="zh-CN"/>
        </w:rPr>
        <w:t xml:space="preserve"> </w:t>
      </w:r>
    </w:p>
    <w:p w14:paraId="214FDA4B">
      <w:pPr>
        <w:autoSpaceDE w:val="0"/>
        <w:autoSpaceDN w:val="0"/>
        <w:spacing w:line="440" w:lineRule="exact"/>
        <w:ind w:firstLine="482"/>
        <w:rPr>
          <w:rFonts w:hint="eastAsia"/>
          <w:color w:val="auto"/>
          <w:szCs w:val="21"/>
          <w:highlight w:val="none"/>
        </w:rPr>
      </w:pPr>
      <w:r>
        <w:rPr>
          <w:color w:val="auto"/>
          <w:szCs w:val="21"/>
          <w:highlight w:val="none"/>
        </w:rPr>
        <w:t>工程项目地址：</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lang w:eastAsia="zh-CN"/>
        </w:rPr>
        <w:t>三门县</w:t>
      </w:r>
      <w:r>
        <w:rPr>
          <w:rFonts w:hint="eastAsia"/>
          <w:color w:val="auto"/>
          <w:szCs w:val="21"/>
          <w:highlight w:val="none"/>
          <w:u w:val="single"/>
          <w:lang w:val="en-US" w:eastAsia="zh-CN"/>
        </w:rPr>
        <w:t xml:space="preserve">                           </w:t>
      </w:r>
      <w:r>
        <w:rPr>
          <w:color w:val="auto"/>
          <w:szCs w:val="21"/>
          <w:highlight w:val="none"/>
          <w:u w:val="single"/>
        </w:rPr>
        <w:t xml:space="preserve"> </w:t>
      </w:r>
      <w:r>
        <w:rPr>
          <w:rFonts w:hint="eastAsia"/>
          <w:color w:val="auto"/>
          <w:szCs w:val="21"/>
          <w:highlight w:val="none"/>
          <w:u w:val="single"/>
        </w:rPr>
        <w:t xml:space="preserve"> </w:t>
      </w:r>
    </w:p>
    <w:p w14:paraId="50F30321">
      <w:pPr>
        <w:spacing w:line="440" w:lineRule="exact"/>
        <w:ind w:firstLine="420" w:firstLineChars="200"/>
        <w:rPr>
          <w:rFonts w:hint="eastAsia"/>
          <w:color w:val="auto"/>
          <w:szCs w:val="21"/>
          <w:highlight w:val="none"/>
          <w:u w:val="single"/>
          <w:lang w:eastAsia="zh-CN"/>
        </w:rPr>
      </w:pPr>
      <w:r>
        <w:rPr>
          <w:color w:val="auto"/>
          <w:szCs w:val="21"/>
          <w:highlight w:val="none"/>
        </w:rPr>
        <w:t>建设单位（甲方）：</w:t>
      </w:r>
      <w:r>
        <w:rPr>
          <w:rFonts w:hint="eastAsia"/>
          <w:color w:val="auto"/>
          <w:szCs w:val="21"/>
          <w:highlight w:val="none"/>
          <w:u w:val="single"/>
          <w:lang w:eastAsia="zh-CN"/>
        </w:rPr>
        <w:t>三门经济投资开发有限公司</w:t>
      </w:r>
    </w:p>
    <w:p w14:paraId="32237B62">
      <w:pPr>
        <w:autoSpaceDE w:val="0"/>
        <w:autoSpaceDN w:val="0"/>
        <w:spacing w:line="440" w:lineRule="exact"/>
        <w:ind w:firstLine="482"/>
        <w:rPr>
          <w:color w:val="auto"/>
          <w:szCs w:val="21"/>
          <w:highlight w:val="none"/>
        </w:rPr>
      </w:pPr>
      <w:r>
        <w:rPr>
          <w:color w:val="auto"/>
          <w:szCs w:val="21"/>
          <w:highlight w:val="none"/>
        </w:rPr>
        <w:t>施工单位（乙方）：</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u w:val="single"/>
          <w:lang w:val="en-US" w:eastAsia="zh-CN"/>
        </w:rPr>
        <w:t xml:space="preserve">                      </w:t>
      </w:r>
      <w:r>
        <w:rPr>
          <w:rFonts w:hint="eastAsia"/>
          <w:color w:val="auto"/>
          <w:szCs w:val="21"/>
          <w:highlight w:val="none"/>
          <w:u w:val="single"/>
        </w:rPr>
        <w:t xml:space="preserve"> </w:t>
      </w:r>
      <w:r>
        <w:rPr>
          <w:color w:val="auto"/>
          <w:szCs w:val="21"/>
          <w:highlight w:val="none"/>
          <w:u w:val="single"/>
        </w:rPr>
        <w:t xml:space="preserve">      </w:t>
      </w:r>
    </w:p>
    <w:p w14:paraId="54F28AC9">
      <w:pPr>
        <w:autoSpaceDE w:val="0"/>
        <w:autoSpaceDN w:val="0"/>
        <w:spacing w:line="440" w:lineRule="exact"/>
        <w:ind w:firstLine="482"/>
        <w:rPr>
          <w:color w:val="auto"/>
          <w:szCs w:val="21"/>
          <w:highlight w:val="none"/>
        </w:rPr>
      </w:pPr>
      <w:r>
        <w:rPr>
          <w:color w:val="auto"/>
          <w:szCs w:val="21"/>
          <w:highlight w:val="none"/>
        </w:rPr>
        <w:t>为加强工程建设中的廉政建设，规范工程建设项目承发包双方的各项活动，防止发生各种谋取不正当利益的违法违纪行为，保护国家、集体和当事人的合法权益，根据国家有关工程建设的法律法规和廉政建设责任制规定，特订立本廉政责任书。</w:t>
      </w:r>
    </w:p>
    <w:p w14:paraId="72AB3D7D">
      <w:pPr>
        <w:autoSpaceDE w:val="0"/>
        <w:autoSpaceDN w:val="0"/>
        <w:spacing w:line="440" w:lineRule="exact"/>
        <w:rPr>
          <w:color w:val="auto"/>
          <w:szCs w:val="21"/>
          <w:highlight w:val="none"/>
        </w:rPr>
      </w:pPr>
      <w:r>
        <w:rPr>
          <w:color w:val="auto"/>
          <w:szCs w:val="21"/>
          <w:highlight w:val="none"/>
        </w:rPr>
        <w:t>　　第一条 甲乙双方的责任</w:t>
      </w:r>
    </w:p>
    <w:p w14:paraId="08053A09">
      <w:pPr>
        <w:pStyle w:val="7"/>
        <w:spacing w:line="440" w:lineRule="exact"/>
        <w:jc w:val="left"/>
        <w:rPr>
          <w:rFonts w:ascii="Times New Roman"/>
          <w:color w:val="auto"/>
          <w:sz w:val="21"/>
          <w:szCs w:val="21"/>
          <w:highlight w:val="none"/>
        </w:rPr>
      </w:pPr>
      <w:r>
        <w:rPr>
          <w:rFonts w:ascii="Times New Roman"/>
          <w:color w:val="auto"/>
          <w:sz w:val="21"/>
          <w:szCs w:val="21"/>
          <w:highlight w:val="none"/>
        </w:rPr>
        <w:t>　　（一）应严格遵守国家关于市场准入、项目招标投标、工程建设、施工安装和市场活动等有关法律、法规，相关政策，以及廉政建设的各项规定。</w:t>
      </w:r>
    </w:p>
    <w:p w14:paraId="0BDE9734">
      <w:pPr>
        <w:autoSpaceDE w:val="0"/>
        <w:autoSpaceDN w:val="0"/>
        <w:spacing w:line="440" w:lineRule="exact"/>
        <w:rPr>
          <w:color w:val="auto"/>
          <w:szCs w:val="21"/>
          <w:highlight w:val="none"/>
        </w:rPr>
      </w:pPr>
      <w:r>
        <w:rPr>
          <w:color w:val="auto"/>
          <w:szCs w:val="21"/>
          <w:highlight w:val="none"/>
        </w:rPr>
        <w:t>　　（二）严格执行建设工程项目承发包合同文件，自觉按合同办事。</w:t>
      </w:r>
    </w:p>
    <w:p w14:paraId="1807F091">
      <w:pPr>
        <w:pStyle w:val="7"/>
        <w:spacing w:line="440" w:lineRule="exact"/>
        <w:rPr>
          <w:rFonts w:ascii="Times New Roman"/>
          <w:color w:val="auto"/>
          <w:sz w:val="21"/>
          <w:szCs w:val="21"/>
          <w:highlight w:val="none"/>
        </w:rPr>
      </w:pPr>
      <w:r>
        <w:rPr>
          <w:rFonts w:ascii="Times New Roman"/>
          <w:color w:val="auto"/>
          <w:sz w:val="21"/>
          <w:szCs w:val="21"/>
          <w:highlight w:val="none"/>
        </w:rPr>
        <w:t>　　（三）业务活动必须坚持公开、公平、公正、诚信、透明的原则（除法律法规另有规定者外），不得为获取不正当的利益，损害国家、集体和对方利益，不得违反工程建设管理、施工安装的规章制度。</w:t>
      </w:r>
    </w:p>
    <w:p w14:paraId="5F9A02A5">
      <w:pPr>
        <w:pStyle w:val="7"/>
        <w:spacing w:line="440" w:lineRule="exact"/>
        <w:jc w:val="left"/>
        <w:rPr>
          <w:rFonts w:ascii="Times New Roman"/>
          <w:color w:val="auto"/>
          <w:sz w:val="21"/>
          <w:szCs w:val="21"/>
          <w:highlight w:val="none"/>
        </w:rPr>
      </w:pPr>
      <w:r>
        <w:rPr>
          <w:rFonts w:ascii="Times New Roman"/>
          <w:color w:val="auto"/>
          <w:sz w:val="21"/>
          <w:szCs w:val="21"/>
          <w:highlight w:val="none"/>
        </w:rPr>
        <w:t>　　（四）发现对方在业务活动中有违规、违纪、违法行为的，应及时提醒对方，情节严重的，应向其上级主管部门或纪检监察、司法等有关机关举报。</w:t>
      </w:r>
    </w:p>
    <w:p w14:paraId="4F869808">
      <w:pPr>
        <w:autoSpaceDE w:val="0"/>
        <w:autoSpaceDN w:val="0"/>
        <w:spacing w:line="440" w:lineRule="exact"/>
        <w:rPr>
          <w:color w:val="auto"/>
          <w:szCs w:val="21"/>
          <w:highlight w:val="none"/>
        </w:rPr>
      </w:pPr>
      <w:r>
        <w:rPr>
          <w:color w:val="auto"/>
          <w:szCs w:val="21"/>
          <w:highlight w:val="none"/>
        </w:rPr>
        <w:t>　　第二条 甲方的责任</w:t>
      </w:r>
    </w:p>
    <w:p w14:paraId="1C707A71">
      <w:pPr>
        <w:autoSpaceDE w:val="0"/>
        <w:autoSpaceDN w:val="0"/>
        <w:spacing w:line="440" w:lineRule="exact"/>
        <w:rPr>
          <w:color w:val="auto"/>
          <w:szCs w:val="21"/>
          <w:highlight w:val="none"/>
        </w:rPr>
      </w:pPr>
      <w:r>
        <w:rPr>
          <w:color w:val="auto"/>
          <w:szCs w:val="21"/>
          <w:highlight w:val="none"/>
        </w:rPr>
        <w:t>　　甲方的领导和从事该建设工程项目的工作人员，在工程建设的事前、事中、事后应遵守以下规定：</w:t>
      </w:r>
    </w:p>
    <w:p w14:paraId="44A541F1">
      <w:pPr>
        <w:autoSpaceDE w:val="0"/>
        <w:autoSpaceDN w:val="0"/>
        <w:spacing w:line="440" w:lineRule="exact"/>
        <w:rPr>
          <w:color w:val="auto"/>
          <w:szCs w:val="21"/>
          <w:highlight w:val="none"/>
        </w:rPr>
      </w:pPr>
      <w:r>
        <w:rPr>
          <w:color w:val="auto"/>
          <w:szCs w:val="21"/>
          <w:highlight w:val="none"/>
        </w:rPr>
        <w:t>　　（一）不准向乙方和相关单位索要或接受回扣、礼金、有价证券、贵重物品和好处费、感谢费等。</w:t>
      </w:r>
    </w:p>
    <w:p w14:paraId="3300326A">
      <w:pPr>
        <w:autoSpaceDE w:val="0"/>
        <w:autoSpaceDN w:val="0"/>
        <w:spacing w:line="440" w:lineRule="exact"/>
        <w:rPr>
          <w:color w:val="auto"/>
          <w:szCs w:val="21"/>
          <w:highlight w:val="none"/>
        </w:rPr>
      </w:pPr>
      <w:r>
        <w:rPr>
          <w:color w:val="auto"/>
          <w:szCs w:val="21"/>
          <w:highlight w:val="none"/>
        </w:rPr>
        <w:t>　　（二）不准在乙方和相关单位报销任何应由甲方或个人支付的费用。</w:t>
      </w:r>
    </w:p>
    <w:p w14:paraId="141B6F02">
      <w:pPr>
        <w:pStyle w:val="7"/>
        <w:spacing w:line="440" w:lineRule="exact"/>
        <w:jc w:val="left"/>
        <w:rPr>
          <w:rFonts w:ascii="Times New Roman"/>
          <w:color w:val="auto"/>
          <w:sz w:val="21"/>
          <w:szCs w:val="21"/>
          <w:highlight w:val="none"/>
        </w:rPr>
      </w:pPr>
      <w:r>
        <w:rPr>
          <w:rFonts w:ascii="Times New Roman"/>
          <w:color w:val="auto"/>
          <w:sz w:val="21"/>
          <w:szCs w:val="21"/>
          <w:highlight w:val="none"/>
        </w:rPr>
        <w:t>　　（三）不准要求、暗示和接受乙方和相关单位为个人装修住房、婚丧嫁娶、配偶子女的工作安排以及出国（境）、旅游等提供方便。</w:t>
      </w:r>
    </w:p>
    <w:p w14:paraId="370FE6A9">
      <w:pPr>
        <w:autoSpaceDE w:val="0"/>
        <w:autoSpaceDN w:val="0"/>
        <w:spacing w:line="440" w:lineRule="exact"/>
        <w:rPr>
          <w:color w:val="auto"/>
          <w:szCs w:val="21"/>
          <w:highlight w:val="none"/>
        </w:rPr>
      </w:pPr>
      <w:r>
        <w:rPr>
          <w:color w:val="auto"/>
          <w:szCs w:val="21"/>
          <w:highlight w:val="none"/>
        </w:rPr>
        <w:t>　　（四）不准参加有可能影响公正执行公务的乙方和相关单位的宴请和健身、娱乐等活动。</w:t>
      </w:r>
    </w:p>
    <w:p w14:paraId="4EDCC9BA">
      <w:pPr>
        <w:pStyle w:val="7"/>
        <w:spacing w:line="440" w:lineRule="exact"/>
        <w:jc w:val="left"/>
        <w:rPr>
          <w:rFonts w:ascii="Times New Roman"/>
          <w:color w:val="auto"/>
          <w:sz w:val="21"/>
          <w:szCs w:val="21"/>
          <w:highlight w:val="none"/>
        </w:rPr>
      </w:pPr>
      <w:r>
        <w:rPr>
          <w:rFonts w:ascii="Times New Roman"/>
          <w:color w:val="auto"/>
          <w:sz w:val="21"/>
          <w:szCs w:val="21"/>
          <w:highlight w:val="none"/>
        </w:rPr>
        <w:t>　　（五）不准向乙方介绍或为配偶、子女、亲属参与同甲方项目工程施工合同有关的设备、材料、工程分包、劳务等经济活动。不得以任何理由向乙方和相关单位推荐分包单位和要求乙方购买项目工程施工合同规定以外的材料、设备等。</w:t>
      </w:r>
    </w:p>
    <w:p w14:paraId="3A0AE46B">
      <w:pPr>
        <w:autoSpaceDE w:val="0"/>
        <w:autoSpaceDN w:val="0"/>
        <w:spacing w:line="440" w:lineRule="exact"/>
        <w:rPr>
          <w:color w:val="auto"/>
          <w:szCs w:val="21"/>
          <w:highlight w:val="none"/>
        </w:rPr>
      </w:pPr>
      <w:r>
        <w:rPr>
          <w:color w:val="auto"/>
          <w:szCs w:val="21"/>
          <w:highlight w:val="none"/>
        </w:rPr>
        <w:t>　　第三条 乙方的责任</w:t>
      </w:r>
    </w:p>
    <w:p w14:paraId="4CF17412">
      <w:pPr>
        <w:pStyle w:val="7"/>
        <w:spacing w:line="440" w:lineRule="exact"/>
        <w:jc w:val="left"/>
        <w:rPr>
          <w:rFonts w:ascii="Times New Roman"/>
          <w:color w:val="auto"/>
          <w:sz w:val="21"/>
          <w:szCs w:val="21"/>
          <w:highlight w:val="none"/>
        </w:rPr>
      </w:pPr>
      <w:r>
        <w:rPr>
          <w:rFonts w:ascii="Times New Roman"/>
          <w:color w:val="auto"/>
          <w:sz w:val="21"/>
          <w:szCs w:val="21"/>
          <w:highlight w:val="none"/>
        </w:rPr>
        <w:t>　　应与甲方保持正常的业务交往，按照有关法律法规和程序开展业务工作，严格执行工程建设的有关方针、政策，尤其是有关建筑施工安装的强制性标准和规范，并遵守以下规定：</w:t>
      </w:r>
    </w:p>
    <w:p w14:paraId="227B02AF">
      <w:pPr>
        <w:pStyle w:val="7"/>
        <w:spacing w:line="440" w:lineRule="exact"/>
        <w:jc w:val="left"/>
        <w:rPr>
          <w:rFonts w:ascii="Times New Roman"/>
          <w:color w:val="auto"/>
          <w:sz w:val="21"/>
          <w:szCs w:val="21"/>
          <w:highlight w:val="none"/>
        </w:rPr>
      </w:pPr>
      <w:r>
        <w:rPr>
          <w:rFonts w:ascii="Times New Roman"/>
          <w:color w:val="auto"/>
          <w:sz w:val="21"/>
          <w:szCs w:val="21"/>
          <w:highlight w:val="none"/>
        </w:rPr>
        <w:t>　　（一）不准以任何理由向甲方、相关单位及其工作人员索要、接受或赠送礼金、有价证券、贵重物品和回扣、好处费、感谢费等。</w:t>
      </w:r>
    </w:p>
    <w:p w14:paraId="20EAB1B0">
      <w:pPr>
        <w:autoSpaceDE w:val="0"/>
        <w:autoSpaceDN w:val="0"/>
        <w:spacing w:line="440" w:lineRule="exact"/>
        <w:rPr>
          <w:color w:val="auto"/>
          <w:szCs w:val="21"/>
          <w:highlight w:val="none"/>
        </w:rPr>
      </w:pPr>
      <w:r>
        <w:rPr>
          <w:color w:val="auto"/>
          <w:szCs w:val="21"/>
          <w:highlight w:val="none"/>
        </w:rPr>
        <w:t>　　（二）不准以任何理由为甲方和相关单位报销应由对方或个人支付的费用。</w:t>
      </w:r>
    </w:p>
    <w:p w14:paraId="082AC8D2">
      <w:pPr>
        <w:pStyle w:val="7"/>
        <w:spacing w:line="440" w:lineRule="exact"/>
        <w:jc w:val="left"/>
        <w:rPr>
          <w:rFonts w:ascii="Times New Roman"/>
          <w:color w:val="auto"/>
          <w:sz w:val="21"/>
          <w:szCs w:val="21"/>
          <w:highlight w:val="none"/>
        </w:rPr>
      </w:pPr>
      <w:r>
        <w:rPr>
          <w:rFonts w:ascii="Times New Roman"/>
          <w:color w:val="auto"/>
          <w:sz w:val="21"/>
          <w:szCs w:val="21"/>
          <w:highlight w:val="none"/>
        </w:rPr>
        <w:t>　　（三）不准接受或暗示为甲方、相关单位或个人装修住房、婚丧嫁娶、配偶子女的工作安排以及出国（境）、旅游等提供方便。</w:t>
      </w:r>
    </w:p>
    <w:p w14:paraId="74944719">
      <w:pPr>
        <w:pStyle w:val="7"/>
        <w:spacing w:line="440" w:lineRule="exact"/>
        <w:jc w:val="left"/>
        <w:rPr>
          <w:rFonts w:ascii="Times New Roman"/>
          <w:color w:val="auto"/>
          <w:sz w:val="21"/>
          <w:szCs w:val="21"/>
          <w:highlight w:val="none"/>
        </w:rPr>
      </w:pPr>
      <w:r>
        <w:rPr>
          <w:rFonts w:ascii="Times New Roman"/>
          <w:color w:val="auto"/>
          <w:sz w:val="21"/>
          <w:szCs w:val="21"/>
          <w:highlight w:val="none"/>
        </w:rPr>
        <w:t>　　（四）不准以任何理由为甲方、相关单位或个人组织有可能影响公正执行公务的宴请、健身、娱乐等活动。</w:t>
      </w:r>
    </w:p>
    <w:p w14:paraId="2FAA755F">
      <w:pPr>
        <w:autoSpaceDE w:val="0"/>
        <w:autoSpaceDN w:val="0"/>
        <w:spacing w:line="440" w:lineRule="exact"/>
        <w:rPr>
          <w:color w:val="auto"/>
          <w:szCs w:val="21"/>
          <w:highlight w:val="none"/>
        </w:rPr>
      </w:pPr>
      <w:r>
        <w:rPr>
          <w:color w:val="auto"/>
          <w:szCs w:val="21"/>
          <w:highlight w:val="none"/>
        </w:rPr>
        <w:t>　　第四条 违约责任</w:t>
      </w:r>
    </w:p>
    <w:p w14:paraId="380D4BB5">
      <w:pPr>
        <w:pStyle w:val="7"/>
        <w:spacing w:line="440" w:lineRule="exact"/>
        <w:jc w:val="left"/>
        <w:rPr>
          <w:rFonts w:ascii="Times New Roman"/>
          <w:color w:val="auto"/>
          <w:sz w:val="21"/>
          <w:szCs w:val="21"/>
          <w:highlight w:val="none"/>
        </w:rPr>
      </w:pPr>
      <w:r>
        <w:rPr>
          <w:rFonts w:ascii="Times New Roman"/>
          <w:color w:val="auto"/>
          <w:sz w:val="21"/>
          <w:szCs w:val="21"/>
          <w:highlight w:val="none"/>
        </w:rPr>
        <w:t>　　（一）甲方工作人员有违反本责任书第一、二条责任行为的，按照管理权限，依据有关法律法规和规定给予党纪、政纪处分或组织处理；涉嫌犯罪的，移交司法机关追究刑事责任；给乙方单位造成经济损失的，应予以赔偿。</w:t>
      </w:r>
    </w:p>
    <w:p w14:paraId="6A86009D">
      <w:pPr>
        <w:pStyle w:val="7"/>
        <w:spacing w:line="440" w:lineRule="exact"/>
        <w:jc w:val="left"/>
        <w:rPr>
          <w:rFonts w:ascii="Times New Roman"/>
          <w:color w:val="auto"/>
          <w:sz w:val="21"/>
          <w:szCs w:val="21"/>
          <w:highlight w:val="none"/>
        </w:rPr>
      </w:pPr>
      <w:r>
        <w:rPr>
          <w:rFonts w:ascii="Times New Roman"/>
          <w:color w:val="auto"/>
          <w:sz w:val="21"/>
          <w:szCs w:val="21"/>
          <w:highlight w:val="none"/>
        </w:rPr>
        <w:t>　　（二）乙方工作人员有违反本责任书第一、三条责任行为的，按照管理权限，依据有关法律法规和规定给予党纪、政纪处分或组织处理；涉嫌犯罪的，移交司法机关追究刑事责任；给甲方单位造成经济损失的，应予以赔偿。</w:t>
      </w:r>
    </w:p>
    <w:p w14:paraId="2A1CA7F0">
      <w:pPr>
        <w:autoSpaceDE w:val="0"/>
        <w:autoSpaceDN w:val="0"/>
        <w:spacing w:line="440" w:lineRule="exact"/>
        <w:rPr>
          <w:color w:val="auto"/>
          <w:szCs w:val="21"/>
          <w:highlight w:val="none"/>
        </w:rPr>
      </w:pPr>
      <w:r>
        <w:rPr>
          <w:color w:val="auto"/>
          <w:szCs w:val="21"/>
          <w:highlight w:val="none"/>
        </w:rPr>
        <w:t>　　第五条 本责任书作为工程施工合同的附件，与工程施工合同具有同等法律效力。经双方签署后立即生效。</w:t>
      </w:r>
    </w:p>
    <w:p w14:paraId="1E37D28A">
      <w:pPr>
        <w:autoSpaceDE w:val="0"/>
        <w:autoSpaceDN w:val="0"/>
        <w:spacing w:line="440" w:lineRule="exact"/>
        <w:rPr>
          <w:color w:val="auto"/>
          <w:szCs w:val="21"/>
          <w:highlight w:val="none"/>
        </w:rPr>
      </w:pPr>
      <w:r>
        <w:rPr>
          <w:color w:val="auto"/>
          <w:szCs w:val="21"/>
          <w:highlight w:val="none"/>
        </w:rPr>
        <w:t>　　第六条 本责任书的有效期为双方签署之日起至该工程项目竣工验收合格时止。</w:t>
      </w:r>
    </w:p>
    <w:p w14:paraId="6A836B8B">
      <w:pPr>
        <w:autoSpaceDE w:val="0"/>
        <w:autoSpaceDN w:val="0"/>
        <w:spacing w:line="440" w:lineRule="exact"/>
        <w:rPr>
          <w:color w:val="auto"/>
          <w:szCs w:val="21"/>
          <w:highlight w:val="none"/>
        </w:rPr>
      </w:pPr>
      <w:r>
        <w:rPr>
          <w:color w:val="auto"/>
          <w:szCs w:val="21"/>
          <w:highlight w:val="none"/>
        </w:rPr>
        <w:t>　　第七条 本责任书一式四份，由甲乙双方各执一份，送交甲乙双方的监督单位各一份。</w:t>
      </w:r>
    </w:p>
    <w:p w14:paraId="189F3947">
      <w:pPr>
        <w:autoSpaceDE w:val="0"/>
        <w:autoSpaceDN w:val="0"/>
        <w:spacing w:line="440" w:lineRule="exact"/>
        <w:ind w:firstLine="482"/>
        <w:rPr>
          <w:color w:val="auto"/>
          <w:szCs w:val="21"/>
          <w:highlight w:val="none"/>
        </w:rPr>
      </w:pPr>
    </w:p>
    <w:p w14:paraId="6EF056B6">
      <w:pPr>
        <w:autoSpaceDE w:val="0"/>
        <w:autoSpaceDN w:val="0"/>
        <w:spacing w:line="440" w:lineRule="exact"/>
        <w:ind w:firstLine="482"/>
        <w:rPr>
          <w:color w:val="auto"/>
          <w:szCs w:val="21"/>
          <w:highlight w:val="none"/>
        </w:rPr>
      </w:pPr>
      <w:r>
        <w:rPr>
          <w:color w:val="auto"/>
          <w:szCs w:val="21"/>
          <w:highlight w:val="none"/>
        </w:rPr>
        <w:t>甲方单位：（盖章）　　　　　　　　       乙方单位：（盖章）</w:t>
      </w:r>
    </w:p>
    <w:p w14:paraId="51438292">
      <w:pPr>
        <w:autoSpaceDE w:val="0"/>
        <w:autoSpaceDN w:val="0"/>
        <w:spacing w:line="440" w:lineRule="exact"/>
        <w:ind w:firstLine="482"/>
        <w:rPr>
          <w:color w:val="auto"/>
          <w:szCs w:val="21"/>
          <w:highlight w:val="none"/>
        </w:rPr>
      </w:pPr>
      <w:r>
        <w:rPr>
          <w:color w:val="auto"/>
          <w:szCs w:val="21"/>
          <w:highlight w:val="none"/>
        </w:rPr>
        <w:t>法定代表人：　　　　　　　　　              法定代表人：</w:t>
      </w:r>
    </w:p>
    <w:p w14:paraId="6A5B3F45">
      <w:pPr>
        <w:autoSpaceDE w:val="0"/>
        <w:autoSpaceDN w:val="0"/>
        <w:spacing w:line="440" w:lineRule="exact"/>
        <w:ind w:firstLine="482"/>
        <w:rPr>
          <w:color w:val="auto"/>
          <w:szCs w:val="21"/>
          <w:highlight w:val="none"/>
        </w:rPr>
      </w:pPr>
      <w:r>
        <w:rPr>
          <w:color w:val="auto"/>
          <w:szCs w:val="21"/>
          <w:highlight w:val="none"/>
        </w:rPr>
        <w:t>地址：　　　　　　　　　　　　　            地址：</w:t>
      </w:r>
    </w:p>
    <w:p w14:paraId="62B9296D">
      <w:pPr>
        <w:autoSpaceDE w:val="0"/>
        <w:autoSpaceDN w:val="0"/>
        <w:spacing w:line="440" w:lineRule="exact"/>
        <w:ind w:firstLine="482"/>
        <w:rPr>
          <w:color w:val="auto"/>
          <w:szCs w:val="21"/>
          <w:highlight w:val="none"/>
        </w:rPr>
      </w:pPr>
      <w:r>
        <w:rPr>
          <w:color w:val="auto"/>
          <w:szCs w:val="21"/>
          <w:highlight w:val="none"/>
        </w:rPr>
        <w:t>电话：　　　　　　　　　　　　　　　      电话：</w:t>
      </w:r>
    </w:p>
    <w:p w14:paraId="44D51AA4">
      <w:pPr>
        <w:rPr>
          <w:rFonts w:hint="eastAsia"/>
          <w:color w:val="auto"/>
          <w:highlight w:val="none"/>
        </w:rPr>
      </w:pPr>
      <w:r>
        <w:rPr>
          <w:rFonts w:hint="eastAsia"/>
          <w:color w:val="auto"/>
          <w:highlight w:val="none"/>
        </w:rPr>
        <w:br w:type="page"/>
      </w:r>
    </w:p>
    <w:p w14:paraId="7F6CCC5E">
      <w:pPr>
        <w:pStyle w:val="21"/>
        <w:rPr>
          <w:rFonts w:hint="eastAsia"/>
          <w:color w:val="auto"/>
          <w:highlight w:val="none"/>
        </w:rPr>
      </w:pPr>
    </w:p>
    <w:p w14:paraId="3CB73A3C">
      <w:pPr>
        <w:pStyle w:val="29"/>
        <w:jc w:val="center"/>
        <w:rPr>
          <w:rFonts w:cs="Times New Roman"/>
          <w:color w:val="auto"/>
          <w:sz w:val="32"/>
          <w:szCs w:val="32"/>
          <w:highlight w:val="none"/>
        </w:rPr>
      </w:pPr>
      <w:bookmarkStart w:id="129" w:name="_Toc531360472"/>
      <w:bookmarkStart w:id="130" w:name="_Toc148964069"/>
      <w:r>
        <w:rPr>
          <w:rFonts w:cs="Times New Roman"/>
          <w:color w:val="auto"/>
          <w:sz w:val="32"/>
          <w:szCs w:val="32"/>
          <w:highlight w:val="none"/>
        </w:rPr>
        <w:t>第</w:t>
      </w:r>
      <w:r>
        <w:rPr>
          <w:rFonts w:hint="eastAsia" w:cs="Times New Roman"/>
          <w:color w:val="auto"/>
          <w:sz w:val="32"/>
          <w:szCs w:val="32"/>
          <w:highlight w:val="none"/>
        </w:rPr>
        <w:t>五</w:t>
      </w:r>
      <w:r>
        <w:rPr>
          <w:rFonts w:cs="Times New Roman"/>
          <w:color w:val="auto"/>
          <w:sz w:val="32"/>
          <w:szCs w:val="32"/>
          <w:highlight w:val="none"/>
        </w:rPr>
        <w:t>部分    安全生产协议书</w:t>
      </w:r>
      <w:bookmarkEnd w:id="129"/>
      <w:bookmarkEnd w:id="130"/>
    </w:p>
    <w:p w14:paraId="2A7AAD95">
      <w:pPr>
        <w:pStyle w:val="31"/>
        <w:spacing w:line="360" w:lineRule="exact"/>
        <w:ind w:firstLine="420" w:firstLineChars="200"/>
        <w:rPr>
          <w:rFonts w:hint="eastAsia"/>
          <w:color w:val="auto"/>
          <w:highlight w:val="none"/>
        </w:rPr>
      </w:pPr>
    </w:p>
    <w:p w14:paraId="2425017C">
      <w:pPr>
        <w:spacing w:line="440" w:lineRule="exact"/>
        <w:rPr>
          <w:rFonts w:hint="eastAsia"/>
          <w:color w:val="auto"/>
          <w:szCs w:val="21"/>
          <w:highlight w:val="none"/>
          <w:u w:val="single"/>
          <w:lang w:eastAsia="zh-CN"/>
        </w:rPr>
      </w:pPr>
      <w:r>
        <w:rPr>
          <w:rFonts w:hint="eastAsia"/>
          <w:color w:val="auto"/>
          <w:highlight w:val="none"/>
        </w:rPr>
        <w:t>甲方：</w:t>
      </w:r>
      <w:r>
        <w:rPr>
          <w:rFonts w:hint="eastAsia"/>
          <w:color w:val="auto"/>
          <w:szCs w:val="21"/>
          <w:highlight w:val="none"/>
          <w:u w:val="single"/>
          <w:lang w:eastAsia="zh-CN"/>
        </w:rPr>
        <w:t>三门经济投资开发有限公司</w:t>
      </w:r>
    </w:p>
    <w:p w14:paraId="47EAAE4E">
      <w:pPr>
        <w:pStyle w:val="31"/>
        <w:spacing w:line="360" w:lineRule="exact"/>
        <w:ind w:left="-420" w:leftChars="-200" w:right="-506" w:rightChars="-241" w:firstLine="420" w:firstLineChars="200"/>
        <w:rPr>
          <w:rFonts w:hint="eastAsia"/>
          <w:color w:val="auto"/>
          <w:szCs w:val="21"/>
          <w:highlight w:val="none"/>
          <w:u w:val="single"/>
        </w:rPr>
      </w:pPr>
      <w:r>
        <w:rPr>
          <w:rFonts w:hint="eastAsia"/>
          <w:color w:val="auto"/>
          <w:highlight w:val="none"/>
        </w:rPr>
        <w:t>乙方：</w:t>
      </w:r>
      <w:r>
        <w:rPr>
          <w:rFonts w:hint="eastAsia"/>
          <w:color w:val="auto"/>
          <w:highlight w:val="none"/>
          <w:u w:val="single"/>
        </w:rPr>
        <w:t xml:space="preserve">  </w:t>
      </w:r>
      <w:r>
        <w:rPr>
          <w:color w:val="auto"/>
          <w:szCs w:val="21"/>
          <w:highlight w:val="none"/>
          <w:u w:val="single"/>
        </w:rPr>
        <w:t xml:space="preserve">      </w:t>
      </w:r>
      <w:r>
        <w:rPr>
          <w:rFonts w:hint="eastAsia"/>
          <w:color w:val="auto"/>
          <w:szCs w:val="21"/>
          <w:highlight w:val="none"/>
          <w:u w:val="single"/>
          <w:lang w:val="en-US" w:eastAsia="zh-CN"/>
        </w:rPr>
        <w:t xml:space="preserve">                                       </w:t>
      </w:r>
      <w:r>
        <w:rPr>
          <w:color w:val="auto"/>
          <w:szCs w:val="21"/>
          <w:highlight w:val="none"/>
          <w:u w:val="single"/>
        </w:rPr>
        <w:t xml:space="preserve">      </w:t>
      </w:r>
      <w:r>
        <w:rPr>
          <w:rFonts w:hint="eastAsia"/>
          <w:color w:val="auto"/>
          <w:szCs w:val="21"/>
          <w:highlight w:val="none"/>
          <w:u w:val="single"/>
        </w:rPr>
        <w:t xml:space="preserve"> </w:t>
      </w:r>
    </w:p>
    <w:p w14:paraId="6BA11377">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为了进一步贯彻落实“安全第一、预防为主”的安全生产方针，严格执行劳动保护和安全生产的法令、法规，强化安全生产管理，落实安全生产责任制，依法从严治理施工现场，确保项目施工中操作人员的安全与健康，促进施工顺利进行，特签定本合约。在施工工程承包合同的执行上，本合约具有优先权。</w:t>
      </w:r>
    </w:p>
    <w:p w14:paraId="03A29EBA">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一、管理目标：</w:t>
      </w:r>
    </w:p>
    <w:p w14:paraId="5108FB2E">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1. 杜绝重大安全事故，工亡事故为零；</w:t>
      </w:r>
    </w:p>
    <w:p w14:paraId="5B8649EE">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2. 重伤频率控制在万分之三以下，负伤频率控制在千分之四以下；</w:t>
      </w:r>
    </w:p>
    <w:p w14:paraId="55024118">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3. 现场内的安全隐患整改率必须保证在时限内达到100%，杜绝现场重大隐患的出现；</w:t>
      </w:r>
    </w:p>
    <w:p w14:paraId="77D1C81E">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4. 现场内不发生火灾事故，火险隐患整改率必须保证在时限内达到100%；</w:t>
      </w:r>
    </w:p>
    <w:p w14:paraId="370E360C">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5. 不发生重大中毒事故以及群发性传染病；</w:t>
      </w:r>
    </w:p>
    <w:p w14:paraId="39806D1B">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6. 必须保证施工现场创建文明安全施工工地。</w:t>
      </w:r>
    </w:p>
    <w:p w14:paraId="7432CD6D">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二、安全生产要求</w:t>
      </w:r>
    </w:p>
    <w:p w14:paraId="48A31CCF">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1. 乙方应按有关规定，采取严格的安全防护措施，否则由于自身安全措施不力而造成事故的责任和因此而发生的费用由乙方承担。非乙方责任的伤亡事故，由责任方承担责任和有关费用；</w:t>
      </w:r>
    </w:p>
    <w:p w14:paraId="6432F196">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2. 乙方应熟悉并能自觉遵守、执行建设部《建筑施工安全检查标准》以及相关的各项规范；自觉遵守当地政府有关安全施工的各项规定和行业主管部门颁布实施的有关安全生产的法律、法规、规范、标准及各项规定，并且积极参加各种有关促进安全生产的各项活动，切实保障施工工作人员的安全与健康。</w:t>
      </w:r>
    </w:p>
    <w:p w14:paraId="473EA174">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3. 乙方必须尊重并且服从甲方现行的有关安全生产各项规章制度和管理方式，并按经济合同有关条款加强自身管理，履行乙方责任。</w:t>
      </w:r>
    </w:p>
    <w:p w14:paraId="15F7BA6B">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4. 乙方必须执行安全技术方案报批制度、安全技术交底制度、周安全例会制度与班前安全讲话制度、各级安全教育培训以及持证上岗制度、甲方的安全检查制度、检查整改消项制度、安全防护措施、设备验收制度和施工作业转换后的交接检验制度、安全防护验收表和施工变化后交接检验制度、个人劳动防护用品定期定量供应制度、预防和治理职业伤害与中毒事故、职工因工伤亡报告制度。</w:t>
      </w:r>
    </w:p>
    <w:p w14:paraId="6F38AE71">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5、如果发生因工伤亡事故，乙方应在1小时内，以最快捷的方式通知甲方的项目主管领导，向其报告事故的详情。由甲方通过正常渠道及时逐级上报上级有关部门，同时积极组织抢救工作采取相应的措施，保护好现场，如因抢救伤员必须移动现场设备、设施者要做好记录或拍照，甲方为抢救提供必要条件。乙方要积极配合甲方上级部门、政府部门对事故的调查和现场勘查。凡因乙方隐瞒不报、做伪证或擅自拆毁事故现场，所造成的一切后果均由乙方承担；乙方须承担因为乙方的原因造成的安全事故的经济责任和法律责任；</w:t>
      </w:r>
    </w:p>
    <w:p w14:paraId="78790A78">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6、乙方必须执行安全工作奖罚制度：乙方要教育和约束自己的职工严格遵守施工现场安全管理规定，对遵章守纪者给予表扬和奖励，对违章作业、违章指挥、违反劳动纪律和规章制度者给予处罚。</w:t>
      </w:r>
    </w:p>
    <w:p w14:paraId="34C1CC72">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7、乙方必须执行安全防范制度，要对施工工程范围内工作人员的安全负责；乙方必须采取一切严密的、符合安全标准的预防措施，确保所有工作场所的安全，不得存在危及工人安全和健康的危险情况，并保证建筑工地所有人员或附近人员免遭工地可能发生的一切危险。</w:t>
      </w:r>
    </w:p>
    <w:p w14:paraId="22B0CCD0">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三、甲、乙双方的责任</w:t>
      </w:r>
    </w:p>
    <w:p w14:paraId="767E8866">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1、甲方对施工现场的安全生产全面负责。</w:t>
      </w:r>
    </w:p>
    <w:p w14:paraId="07688F8A">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2、甲方有权对乙方进入现场所带机械设备、电气设备的安全防护设施及用品进行监督检查，对不符合安全规定的设施、用品有权禁止使用。</w:t>
      </w:r>
    </w:p>
    <w:p w14:paraId="64821B70">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3、甲方有权对乙方在施工中出现的不安全隐患签发隐患通知书，并限期整改，对情节严重又不按期整改的，甲方有权停止乙方的作业，由此产生的后果由乙方承担一切责任。</w:t>
      </w:r>
    </w:p>
    <w:p w14:paraId="0D790F7B">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4、由甲方提供给乙方使用的施工用电、甲供材料、设备等必须经双方验收合格，签字移交后方可使用，但在使用过程乙方不得随意拆改、更换，否则，产生的一切后果由乙方承担（包括经济赔偿在内）一切责任。</w:t>
      </w:r>
    </w:p>
    <w:p w14:paraId="3FE4216B">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5、乙方在施工现场内施工，必须服从甲方及监理单位、安全监督单位的安全生产管理，乙方不服从管理导致生产安全事故的，由乙方承担全部责任。</w:t>
      </w:r>
    </w:p>
    <w:p w14:paraId="31B2203F">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6、施工人员进场前，必须先将现场负责人，施工人员（包括管理人员、施工人员、特殊作业人员）花名册，企业资质证书和委托书等原件或复印件送甲方备案。</w:t>
      </w:r>
    </w:p>
    <w:p w14:paraId="7B2B78EA">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7、进入施工现场必须按要求正确佩戴合格的劳动防护用品。现场严禁垂直交叉作业；高处作业禁止将工具、配件及物件上下抛掷；危险性较大的作业项目，乙方必须设专人监护。</w:t>
      </w:r>
    </w:p>
    <w:p w14:paraId="18FB8764">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8、施工用电不得乱拉乱接，需要用电时，必须由专职电工操作；需要甲方配合的或提供帮助的必须在甲方电工的统一安排下进行。各类特殊作业人员必须持有效证件上岗。</w:t>
      </w:r>
    </w:p>
    <w:p w14:paraId="2FB42DB5">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9、乙方应教育本单位作业人员做到文明施工、安全生产，在平时的工作中做到活完场清，工完场冷，材料码放有序，保持施工现场的宏观整洁，防止造成环境污染。</w:t>
      </w:r>
    </w:p>
    <w:p w14:paraId="54154386">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四、事故责任与处理</w:t>
      </w:r>
    </w:p>
    <w:p w14:paraId="569D59CC">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1、由于乙方管理或乙方作业人员自身责任造成的伤、残、亡事故，要立即向甲方报告，同时由乙方参照国家现行规定负责处理，并负责事故人员及家属的全部经济补偿。</w:t>
      </w:r>
    </w:p>
    <w:p w14:paraId="6A9905E3">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2、由于乙方以外的责任造成乙方作业人员伤、残、亡事故的，在执行事故处理时，参照国家现行政策，由责任方一次性给予乙方经济补偿，其善后事宜由乙方处理。</w:t>
      </w:r>
    </w:p>
    <w:p w14:paraId="7DCF6BF8">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3、由于乙方或乙方作业人员违章指挥，违章作业或设备设施不完善造成甲方或第三者人员的伤亡事故，由乙方参照国家现行规定负责处理，并负责伤、残、亡个人及家属的全部经济补偿和善后处理。</w:t>
      </w:r>
    </w:p>
    <w:p w14:paraId="5DA34A95">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4、乙方在施工过程中，应不妨碍甲方既有污水处理设施的正常运行，由于乙方原因造成甲方生产损失的，由乙方承担全部经济损失。</w:t>
      </w:r>
    </w:p>
    <w:p w14:paraId="06BAADA1">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五、本协议一式四份，甲方、乙方各执一份，上报各自主管部门一份。</w:t>
      </w:r>
    </w:p>
    <w:p w14:paraId="3161378C">
      <w:pPr>
        <w:pStyle w:val="31"/>
        <w:spacing w:line="360" w:lineRule="exact"/>
        <w:ind w:left="-420" w:leftChars="-200" w:right="-506" w:rightChars="-241" w:firstLine="420" w:firstLineChars="200"/>
        <w:rPr>
          <w:rFonts w:hint="eastAsia"/>
          <w:color w:val="auto"/>
          <w:highlight w:val="none"/>
        </w:rPr>
      </w:pPr>
      <w:r>
        <w:rPr>
          <w:rFonts w:hint="eastAsia"/>
          <w:color w:val="auto"/>
          <w:highlight w:val="none"/>
        </w:rPr>
        <w:t>六、本协议有效期为：从签订之日起至乙方的工程项目竣工（完工）及所有人员全部撤出现场为止。</w:t>
      </w:r>
    </w:p>
    <w:p w14:paraId="169EF2EA">
      <w:pPr>
        <w:autoSpaceDE w:val="0"/>
        <w:autoSpaceDN w:val="0"/>
        <w:spacing w:line="440" w:lineRule="exact"/>
        <w:ind w:firstLine="482"/>
        <w:rPr>
          <w:color w:val="auto"/>
          <w:szCs w:val="21"/>
          <w:highlight w:val="none"/>
        </w:rPr>
      </w:pPr>
      <w:r>
        <w:rPr>
          <w:color w:val="auto"/>
          <w:szCs w:val="21"/>
          <w:highlight w:val="none"/>
        </w:rPr>
        <w:t>甲方单位：（盖章）　　　　　　　　       乙方单位：（盖章）</w:t>
      </w:r>
    </w:p>
    <w:p w14:paraId="645312E7">
      <w:pPr>
        <w:autoSpaceDE w:val="0"/>
        <w:autoSpaceDN w:val="0"/>
        <w:spacing w:line="440" w:lineRule="exact"/>
        <w:ind w:firstLine="482"/>
        <w:rPr>
          <w:color w:val="auto"/>
          <w:szCs w:val="21"/>
          <w:highlight w:val="none"/>
        </w:rPr>
      </w:pPr>
      <w:r>
        <w:rPr>
          <w:color w:val="auto"/>
          <w:szCs w:val="21"/>
          <w:highlight w:val="none"/>
        </w:rPr>
        <w:t>法定代表人：　　　　　　　　　              法定代表人：</w:t>
      </w:r>
    </w:p>
    <w:p w14:paraId="0CAD9642">
      <w:pPr>
        <w:autoSpaceDE w:val="0"/>
        <w:autoSpaceDN w:val="0"/>
        <w:spacing w:line="440" w:lineRule="exact"/>
        <w:ind w:firstLine="482"/>
        <w:rPr>
          <w:color w:val="auto"/>
          <w:szCs w:val="21"/>
          <w:highlight w:val="none"/>
        </w:rPr>
      </w:pPr>
      <w:r>
        <w:rPr>
          <w:color w:val="auto"/>
          <w:szCs w:val="21"/>
          <w:highlight w:val="none"/>
        </w:rPr>
        <w:t>地址：　　　　　　　　　　　　　            地址：</w:t>
      </w:r>
    </w:p>
    <w:p w14:paraId="45020B6C">
      <w:pPr>
        <w:autoSpaceDE w:val="0"/>
        <w:autoSpaceDN w:val="0"/>
        <w:spacing w:line="440" w:lineRule="exact"/>
        <w:ind w:firstLine="482"/>
        <w:rPr>
          <w:color w:val="auto"/>
          <w:szCs w:val="21"/>
          <w:highlight w:val="none"/>
        </w:rPr>
      </w:pPr>
      <w:r>
        <w:rPr>
          <w:color w:val="auto"/>
          <w:szCs w:val="21"/>
          <w:highlight w:val="none"/>
        </w:rPr>
        <w:t>电话：　　　　　　　　　　　　　　　      电话：</w:t>
      </w:r>
    </w:p>
    <w:p w14:paraId="7B52C716">
      <w:pPr>
        <w:rPr>
          <w:rFonts w:hint="eastAsia" w:ascii="Calibri" w:hAnsi="Calibri"/>
          <w:color w:val="auto"/>
          <w:szCs w:val="22"/>
          <w:highlight w:val="none"/>
        </w:rPr>
      </w:pPr>
      <w:r>
        <w:rPr>
          <w:rFonts w:hint="eastAsia" w:ascii="Calibri" w:hAnsi="Calibri"/>
          <w:color w:val="auto"/>
          <w:szCs w:val="22"/>
          <w:highlight w:val="none"/>
        </w:rPr>
        <w:br w:type="page"/>
      </w:r>
    </w:p>
    <w:p w14:paraId="4516717F">
      <w:pPr>
        <w:pStyle w:val="11"/>
        <w:spacing w:line="360" w:lineRule="auto"/>
        <w:jc w:val="center"/>
        <w:rPr>
          <w:rFonts w:hint="eastAsia" w:ascii="Calibri" w:hAnsi="Calibri"/>
          <w:color w:val="auto"/>
          <w:szCs w:val="22"/>
          <w:highlight w:val="none"/>
        </w:rPr>
      </w:pPr>
    </w:p>
    <w:p w14:paraId="50AF5F8E">
      <w:pPr>
        <w:pStyle w:val="11"/>
        <w:spacing w:line="360" w:lineRule="auto"/>
        <w:jc w:val="center"/>
        <w:rPr>
          <w:rFonts w:hint="eastAsia"/>
          <w:color w:val="auto"/>
          <w:highlight w:val="none"/>
        </w:rPr>
      </w:pPr>
      <w:bookmarkStart w:id="131" w:name="_Toc152042554"/>
      <w:bookmarkStart w:id="132" w:name="_Toc148964070"/>
      <w:bookmarkStart w:id="133" w:name="_Toc152045772"/>
      <w:bookmarkStart w:id="134" w:name="_Toc144974834"/>
      <w:r>
        <w:rPr>
          <w:rStyle w:val="34"/>
          <w:color w:val="auto"/>
          <w:highlight w:val="none"/>
        </w:rPr>
        <w:t xml:space="preserve">第五章  </w:t>
      </w:r>
      <w:bookmarkEnd w:id="131"/>
      <w:bookmarkEnd w:id="132"/>
      <w:bookmarkEnd w:id="133"/>
      <w:bookmarkEnd w:id="134"/>
      <w:r>
        <w:rPr>
          <w:rStyle w:val="34"/>
          <w:color w:val="auto"/>
          <w:highlight w:val="none"/>
        </w:rPr>
        <w:t>工程量清单</w:t>
      </w:r>
      <w:r>
        <w:rPr>
          <w:rStyle w:val="34"/>
          <w:rFonts w:hint="eastAsia"/>
          <w:color w:val="auto"/>
          <w:highlight w:val="none"/>
        </w:rPr>
        <w:t>编制</w:t>
      </w:r>
    </w:p>
    <w:p w14:paraId="3A4899A5">
      <w:pPr>
        <w:pStyle w:val="8"/>
        <w:tabs>
          <w:tab w:val="left" w:pos="574"/>
        </w:tabs>
        <w:spacing w:after="0" w:line="380" w:lineRule="exact"/>
        <w:ind w:firstLine="420" w:firstLineChars="200"/>
        <w:rPr>
          <w:rFonts w:ascii="宋体" w:hAnsi="宋体"/>
          <w:color w:val="auto"/>
          <w:highlight w:val="none"/>
        </w:rPr>
      </w:pPr>
    </w:p>
    <w:p w14:paraId="65DB486F">
      <w:pPr>
        <w:pStyle w:val="29"/>
        <w:spacing w:line="380" w:lineRule="exact"/>
        <w:jc w:val="center"/>
        <w:rPr>
          <w:rFonts w:cs="Times New Roman"/>
          <w:color w:val="auto"/>
          <w:highlight w:val="none"/>
        </w:rPr>
      </w:pPr>
      <w:r>
        <w:rPr>
          <w:rFonts w:cs="Times New Roman"/>
          <w:color w:val="auto"/>
          <w:highlight w:val="none"/>
        </w:rPr>
        <w:t>1. 投标报价组成</w:t>
      </w:r>
    </w:p>
    <w:p w14:paraId="2AB474D7">
      <w:pPr>
        <w:spacing w:line="380" w:lineRule="exact"/>
        <w:rPr>
          <w:color w:val="auto"/>
          <w:highlight w:val="none"/>
        </w:rPr>
      </w:pPr>
    </w:p>
    <w:p w14:paraId="6E475165">
      <w:pPr>
        <w:pStyle w:val="8"/>
        <w:tabs>
          <w:tab w:val="left" w:pos="574"/>
        </w:tabs>
        <w:spacing w:after="0" w:line="380" w:lineRule="exact"/>
        <w:ind w:firstLine="420" w:firstLineChars="200"/>
        <w:rPr>
          <w:color w:val="auto"/>
          <w:highlight w:val="none"/>
        </w:rPr>
      </w:pPr>
      <w:r>
        <w:rPr>
          <w:color w:val="auto"/>
          <w:highlight w:val="none"/>
        </w:rPr>
        <w:t>1.1报价方式：本工程项目报价方式为工程量清单报价法。</w:t>
      </w:r>
    </w:p>
    <w:p w14:paraId="139FD553">
      <w:pPr>
        <w:pStyle w:val="8"/>
        <w:tabs>
          <w:tab w:val="left" w:pos="574"/>
        </w:tabs>
        <w:spacing w:after="0" w:line="380" w:lineRule="exact"/>
        <w:ind w:firstLine="420" w:firstLineChars="200"/>
        <w:rPr>
          <w:color w:val="auto"/>
          <w:highlight w:val="none"/>
        </w:rPr>
      </w:pPr>
      <w:r>
        <w:rPr>
          <w:color w:val="auto"/>
          <w:highlight w:val="none"/>
        </w:rPr>
        <w:t>1.2工程量清单采用综合单价计价[其中管理费、利润的计算基数中的人工费所涉及的人工和机械单价按投标人自报的人工和机械台班单价计取。综合单价是指完成工程量清单中一个规定计量单位项目所需人工费、材料</w:t>
      </w:r>
      <w:r>
        <w:rPr>
          <w:rFonts w:hint="eastAsia"/>
          <w:color w:val="auto"/>
          <w:highlight w:val="none"/>
        </w:rPr>
        <w:t>和设备</w:t>
      </w:r>
      <w:r>
        <w:rPr>
          <w:color w:val="auto"/>
          <w:highlight w:val="none"/>
        </w:rPr>
        <w:t>费、机械使用费、管理费（含检验试验费、城市维护建设税、教育费附加以及地方教育附加，下同）和利润（各费用项目均不包含增值税进项税额），并考虑风险因素，但不包括规费、</w:t>
      </w:r>
      <w:r>
        <w:rPr>
          <w:color w:val="auto"/>
          <w:highlight w:val="none"/>
          <w:u w:val="single"/>
        </w:rPr>
        <w:t>危险作业意外伤害保险费</w:t>
      </w:r>
      <w:r>
        <w:rPr>
          <w:color w:val="auto"/>
          <w:highlight w:val="none"/>
        </w:rPr>
        <w:t>及税金（包含增值税销项税额及地方水利建设基金，下同）。人工费、材料费、机械使用费、管理费和利润、风险的费用内容按省建设行政主管部门颁发的取费定额</w:t>
      </w:r>
      <w:r>
        <w:rPr>
          <w:color w:val="auto"/>
          <w:highlight w:val="none"/>
          <w:u w:val="single"/>
        </w:rPr>
        <w:t>及补充定额</w:t>
      </w:r>
      <w:r>
        <w:rPr>
          <w:color w:val="auto"/>
          <w:highlight w:val="none"/>
        </w:rPr>
        <w:t>确定。</w:t>
      </w:r>
    </w:p>
    <w:p w14:paraId="0C23F47A">
      <w:pPr>
        <w:pStyle w:val="8"/>
        <w:tabs>
          <w:tab w:val="left" w:pos="574"/>
        </w:tabs>
        <w:spacing w:after="0" w:line="380" w:lineRule="exact"/>
        <w:ind w:firstLine="420" w:firstLineChars="200"/>
        <w:rPr>
          <w:color w:val="auto"/>
          <w:highlight w:val="none"/>
        </w:rPr>
      </w:pPr>
      <w:r>
        <w:rPr>
          <w:color w:val="auto"/>
          <w:highlight w:val="none"/>
        </w:rPr>
        <w:t>1.3投标总报价应是招标文件所确定的招标范围内全部工作内容的价格表现。其应包括完成工程量清单所列项目的全部费用，包括分部分项工程费、措施项目费、其他项目费、规费、</w:t>
      </w:r>
      <w:r>
        <w:rPr>
          <w:color w:val="auto"/>
          <w:highlight w:val="none"/>
          <w:u w:val="single"/>
        </w:rPr>
        <w:t>危险作业意外伤害保险费</w:t>
      </w:r>
      <w:r>
        <w:rPr>
          <w:color w:val="auto"/>
          <w:highlight w:val="none"/>
        </w:rPr>
        <w:t>和税金。各投标人应根据招标人提供的全套施工图纸、技术资料、工程量清单，以及本工程实际情况和自身的综合实力，竞报投标报价。</w:t>
      </w:r>
    </w:p>
    <w:p w14:paraId="3BFC1006">
      <w:pPr>
        <w:spacing w:line="440" w:lineRule="exact"/>
        <w:ind w:firstLine="420" w:firstLineChars="200"/>
        <w:rPr>
          <w:color w:val="auto"/>
          <w:highlight w:val="none"/>
        </w:rPr>
      </w:pPr>
      <w:r>
        <w:rPr>
          <w:color w:val="auto"/>
          <w:highlight w:val="none"/>
        </w:rPr>
        <w:t>1.4本招标文件中提供的工程量是根据完整的施工图纸及有关资料，</w:t>
      </w:r>
      <w:r>
        <w:rPr>
          <w:rFonts w:hint="eastAsia"/>
          <w:color w:val="auto"/>
          <w:highlight w:val="none"/>
        </w:rPr>
        <w:t>按</w:t>
      </w:r>
      <w:r>
        <w:rPr>
          <w:rFonts w:hint="eastAsia" w:ascii="宋体" w:hAnsi="宋体"/>
          <w:color w:val="auto"/>
          <w:kern w:val="0"/>
          <w:szCs w:val="21"/>
          <w:highlight w:val="none"/>
          <w:u w:val="single"/>
        </w:rPr>
        <w:t>《市政工程工程量计算规范》（GB 50857－2013</w:t>
      </w:r>
      <w:r>
        <w:rPr>
          <w:rFonts w:hint="eastAsia" w:ascii="宋体" w:hAnsi="宋体"/>
          <w:color w:val="auto"/>
          <w:kern w:val="0"/>
          <w:szCs w:val="21"/>
          <w:highlight w:val="none"/>
          <w:u w:val="single"/>
          <w:lang w:val="en-US" w:eastAsia="zh-CN"/>
        </w:rPr>
        <w:t>)</w:t>
      </w:r>
      <w:r>
        <w:rPr>
          <w:rFonts w:hint="eastAsia" w:ascii="宋体" w:hAnsi="宋体"/>
          <w:color w:val="auto"/>
          <w:kern w:val="0"/>
          <w:szCs w:val="21"/>
          <w:highlight w:val="none"/>
          <w:u w:val="single"/>
          <w:lang w:eastAsia="zh-CN"/>
        </w:rPr>
        <w:t>、</w:t>
      </w:r>
      <w:r>
        <w:rPr>
          <w:rFonts w:hint="eastAsia" w:ascii="宋体" w:hAnsi="宋体"/>
          <w:color w:val="auto"/>
          <w:kern w:val="0"/>
          <w:szCs w:val="21"/>
          <w:highlight w:val="none"/>
          <w:u w:val="single"/>
        </w:rPr>
        <w:t>《通用安装工程工程量计算规范》</w:t>
      </w:r>
      <w:r>
        <w:rPr>
          <w:rFonts w:hint="eastAsia" w:ascii="宋体" w:hAnsi="宋体"/>
          <w:color w:val="auto"/>
          <w:kern w:val="0"/>
          <w:szCs w:val="21"/>
          <w:highlight w:val="none"/>
          <w:u w:val="single"/>
          <w:lang w:val="en-US" w:eastAsia="zh-CN"/>
        </w:rPr>
        <w:t>(</w:t>
      </w:r>
      <w:r>
        <w:rPr>
          <w:rFonts w:hint="eastAsia" w:ascii="宋体" w:hAnsi="宋体"/>
          <w:color w:val="auto"/>
          <w:kern w:val="0"/>
          <w:szCs w:val="21"/>
          <w:highlight w:val="none"/>
          <w:u w:val="single"/>
        </w:rPr>
        <w:t>GB 50856－2013</w:t>
      </w:r>
      <w:r>
        <w:rPr>
          <w:rFonts w:hint="eastAsia" w:ascii="宋体" w:hAnsi="宋体"/>
          <w:color w:val="auto"/>
          <w:kern w:val="0"/>
          <w:szCs w:val="21"/>
          <w:highlight w:val="none"/>
          <w:u w:val="single"/>
          <w:lang w:val="en-US" w:eastAsia="zh-CN"/>
        </w:rPr>
        <w:t>)</w:t>
      </w:r>
      <w:r>
        <w:rPr>
          <w:rFonts w:hint="eastAsia" w:ascii="宋体" w:hAnsi="宋体"/>
          <w:color w:val="auto"/>
          <w:kern w:val="0"/>
          <w:szCs w:val="21"/>
          <w:highlight w:val="none"/>
          <w:u w:val="single"/>
        </w:rPr>
        <w:t>、《园林绿化工程工程量计算规范》</w:t>
      </w:r>
      <w:r>
        <w:rPr>
          <w:rFonts w:hint="eastAsia" w:ascii="宋体" w:hAnsi="宋体"/>
          <w:color w:val="auto"/>
          <w:kern w:val="0"/>
          <w:szCs w:val="21"/>
          <w:highlight w:val="none"/>
          <w:u w:val="single"/>
          <w:lang w:val="en-US" w:eastAsia="zh-CN"/>
        </w:rPr>
        <w:t>(</w:t>
      </w:r>
      <w:r>
        <w:rPr>
          <w:rFonts w:hint="eastAsia" w:ascii="宋体" w:hAnsi="宋体"/>
          <w:color w:val="auto"/>
          <w:kern w:val="0"/>
          <w:szCs w:val="21"/>
          <w:highlight w:val="none"/>
          <w:u w:val="single"/>
        </w:rPr>
        <w:t>GB 50858－2013</w:t>
      </w:r>
      <w:r>
        <w:rPr>
          <w:rFonts w:hint="eastAsia" w:ascii="宋体" w:hAnsi="宋体"/>
          <w:color w:val="auto"/>
          <w:kern w:val="0"/>
          <w:szCs w:val="21"/>
          <w:highlight w:val="none"/>
          <w:u w:val="single"/>
          <w:lang w:val="en-US" w:eastAsia="zh-CN"/>
        </w:rPr>
        <w:t>)</w:t>
      </w:r>
      <w:r>
        <w:rPr>
          <w:rFonts w:hint="eastAsia" w:ascii="宋体" w:hAnsi="宋体"/>
          <w:color w:val="auto"/>
          <w:kern w:val="0"/>
          <w:szCs w:val="21"/>
          <w:highlight w:val="none"/>
          <w:u w:val="single"/>
          <w:lang w:eastAsia="zh-CN"/>
        </w:rPr>
        <w:t>；</w:t>
      </w:r>
      <w:r>
        <w:rPr>
          <w:rFonts w:hint="eastAsia" w:ascii="宋体" w:hAnsi="宋体"/>
          <w:color w:val="auto"/>
          <w:kern w:val="0"/>
          <w:szCs w:val="21"/>
          <w:highlight w:val="none"/>
          <w:u w:val="single"/>
        </w:rPr>
        <w:t>《浙江省市政工程预算定额》(2018版)</w:t>
      </w:r>
      <w:r>
        <w:rPr>
          <w:rFonts w:hint="eastAsia" w:ascii="宋体" w:hAnsi="宋体"/>
          <w:color w:val="auto"/>
          <w:kern w:val="0"/>
          <w:szCs w:val="21"/>
          <w:highlight w:val="none"/>
          <w:u w:val="single"/>
          <w:lang w:val="en-US" w:eastAsia="zh-CN"/>
        </w:rPr>
        <w:t>、</w:t>
      </w:r>
      <w:r>
        <w:rPr>
          <w:rFonts w:hint="eastAsia" w:ascii="宋体" w:hAnsi="宋体"/>
          <w:color w:val="auto"/>
          <w:kern w:val="0"/>
          <w:szCs w:val="21"/>
          <w:highlight w:val="none"/>
          <w:u w:val="single"/>
        </w:rPr>
        <w:t>《浙江省</w:t>
      </w:r>
      <w:r>
        <w:rPr>
          <w:rFonts w:hint="eastAsia" w:ascii="宋体" w:hAnsi="宋体"/>
          <w:color w:val="auto"/>
          <w:kern w:val="0"/>
          <w:szCs w:val="21"/>
          <w:highlight w:val="none"/>
          <w:u w:val="single"/>
          <w:lang w:val="en-US" w:eastAsia="zh-CN"/>
        </w:rPr>
        <w:t>建筑</w:t>
      </w:r>
      <w:r>
        <w:rPr>
          <w:rFonts w:hint="eastAsia" w:ascii="宋体" w:hAnsi="宋体"/>
          <w:color w:val="auto"/>
          <w:kern w:val="0"/>
          <w:szCs w:val="21"/>
          <w:highlight w:val="none"/>
          <w:u w:val="single"/>
        </w:rPr>
        <w:t>工程预算定额》(2018版)</w:t>
      </w:r>
      <w:r>
        <w:rPr>
          <w:rFonts w:hint="eastAsia" w:ascii="宋体" w:hAnsi="宋体"/>
          <w:color w:val="auto"/>
          <w:kern w:val="0"/>
          <w:szCs w:val="21"/>
          <w:highlight w:val="none"/>
          <w:u w:val="single"/>
          <w:lang w:eastAsia="zh-CN"/>
        </w:rPr>
        <w:t>、</w:t>
      </w:r>
      <w:r>
        <w:rPr>
          <w:rFonts w:hint="eastAsia" w:ascii="宋体" w:hAnsi="宋体"/>
          <w:color w:val="auto"/>
          <w:kern w:val="0"/>
          <w:szCs w:val="21"/>
          <w:highlight w:val="none"/>
          <w:u w:val="single"/>
        </w:rPr>
        <w:t>《浙江省通用安装工程预算定额》</w:t>
      </w:r>
      <w:r>
        <w:rPr>
          <w:rFonts w:hint="eastAsia" w:ascii="宋体" w:hAnsi="宋体"/>
          <w:color w:val="auto"/>
          <w:kern w:val="0"/>
          <w:szCs w:val="21"/>
          <w:highlight w:val="none"/>
          <w:u w:val="single"/>
          <w:lang w:val="en-US" w:eastAsia="zh-CN"/>
        </w:rPr>
        <w:t>(</w:t>
      </w:r>
      <w:r>
        <w:rPr>
          <w:rFonts w:hint="eastAsia" w:ascii="宋体" w:hAnsi="宋体"/>
          <w:color w:val="auto"/>
          <w:kern w:val="0"/>
          <w:szCs w:val="21"/>
          <w:highlight w:val="none"/>
          <w:u w:val="single"/>
        </w:rPr>
        <w:t>2018版</w:t>
      </w:r>
      <w:r>
        <w:rPr>
          <w:rFonts w:hint="eastAsia" w:ascii="宋体" w:hAnsi="宋体"/>
          <w:color w:val="auto"/>
          <w:kern w:val="0"/>
          <w:szCs w:val="21"/>
          <w:highlight w:val="none"/>
          <w:u w:val="single"/>
          <w:lang w:val="en-US" w:eastAsia="zh-CN"/>
        </w:rPr>
        <w:t>)</w:t>
      </w:r>
      <w:r>
        <w:rPr>
          <w:rFonts w:hint="eastAsia" w:ascii="宋体" w:hAnsi="宋体"/>
          <w:color w:val="auto"/>
          <w:kern w:val="0"/>
          <w:szCs w:val="21"/>
          <w:highlight w:val="none"/>
          <w:u w:val="single"/>
        </w:rPr>
        <w:t>、《浙江省园林绿化及仿古建筑工程预算定额》</w:t>
      </w:r>
      <w:r>
        <w:rPr>
          <w:rFonts w:hint="eastAsia" w:ascii="宋体" w:hAnsi="宋体"/>
          <w:color w:val="auto"/>
          <w:kern w:val="0"/>
          <w:szCs w:val="21"/>
          <w:highlight w:val="none"/>
          <w:u w:val="single"/>
          <w:lang w:val="en-US" w:eastAsia="zh-CN"/>
        </w:rPr>
        <w:t>(</w:t>
      </w:r>
      <w:r>
        <w:rPr>
          <w:rFonts w:hint="eastAsia" w:ascii="宋体" w:hAnsi="宋体"/>
          <w:color w:val="auto"/>
          <w:kern w:val="0"/>
          <w:szCs w:val="21"/>
          <w:highlight w:val="none"/>
          <w:u w:val="single"/>
        </w:rPr>
        <w:t>2018版</w:t>
      </w:r>
      <w:r>
        <w:rPr>
          <w:rFonts w:hint="eastAsia" w:ascii="宋体" w:hAnsi="宋体"/>
          <w:color w:val="auto"/>
          <w:kern w:val="0"/>
          <w:szCs w:val="21"/>
          <w:highlight w:val="none"/>
          <w:u w:val="single"/>
          <w:lang w:val="en-US" w:eastAsia="zh-CN"/>
        </w:rPr>
        <w:t>)</w:t>
      </w:r>
      <w:r>
        <w:rPr>
          <w:rFonts w:hint="eastAsia" w:ascii="宋体" w:hAnsi="宋体"/>
          <w:color w:val="auto"/>
          <w:kern w:val="0"/>
          <w:szCs w:val="21"/>
          <w:highlight w:val="none"/>
          <w:u w:val="single"/>
          <w:lang w:eastAsia="zh-CN"/>
        </w:rPr>
        <w:t>；</w:t>
      </w:r>
      <w:r>
        <w:rPr>
          <w:rFonts w:hint="eastAsia" w:ascii="宋体" w:hAnsi="宋体"/>
          <w:color w:val="auto"/>
          <w:kern w:val="0"/>
          <w:szCs w:val="21"/>
          <w:highlight w:val="none"/>
          <w:u w:val="single"/>
        </w:rPr>
        <w:t>《浙江省建设工程计价规则》（2018版）</w:t>
      </w:r>
      <w:r>
        <w:rPr>
          <w:rFonts w:hint="eastAsia" w:ascii="宋体" w:hAnsi="宋体"/>
          <w:color w:val="auto"/>
          <w:kern w:val="0"/>
          <w:szCs w:val="21"/>
          <w:highlight w:val="none"/>
          <w:u w:val="single"/>
          <w:lang w:eastAsia="zh-CN"/>
        </w:rPr>
        <w:t>；</w:t>
      </w:r>
      <w:r>
        <w:rPr>
          <w:rFonts w:hint="eastAsia" w:ascii="宋体" w:hAnsi="宋体"/>
          <w:color w:val="auto"/>
          <w:kern w:val="0"/>
          <w:szCs w:val="21"/>
          <w:highlight w:val="none"/>
          <w:u w:val="single"/>
        </w:rPr>
        <w:t>浙建建发[2019]92号、2018版定额解释及上级部门有关规定</w:t>
      </w:r>
      <w:r>
        <w:rPr>
          <w:rFonts w:hint="eastAsia"/>
          <w:color w:val="auto"/>
          <w:highlight w:val="none"/>
        </w:rPr>
        <w:t>及浙江省补充条款及补充内容的规定计算得出的，是统一投标报价口径的主要依据</w:t>
      </w:r>
      <w:r>
        <w:rPr>
          <w:color w:val="auto"/>
          <w:highlight w:val="none"/>
        </w:rPr>
        <w:t>。</w:t>
      </w:r>
    </w:p>
    <w:p w14:paraId="432D0991">
      <w:pPr>
        <w:pStyle w:val="8"/>
        <w:tabs>
          <w:tab w:val="left" w:pos="574"/>
        </w:tabs>
        <w:spacing w:after="0" w:line="380" w:lineRule="exact"/>
        <w:ind w:firstLine="420" w:firstLineChars="200"/>
        <w:rPr>
          <w:color w:val="auto"/>
          <w:highlight w:val="none"/>
        </w:rPr>
      </w:pPr>
      <w:r>
        <w:rPr>
          <w:color w:val="auto"/>
          <w:highlight w:val="none"/>
        </w:rPr>
        <w:t>1.5分部分项工程费是指完成在工程量清单列出的各分部分项清单工程量实体所需的费用，包括人工费、材料费、机械使用费、管理费、利润以及风险费用（各费用项目均不包含增值税进项税额）。</w:t>
      </w:r>
    </w:p>
    <w:p w14:paraId="632FD964">
      <w:pPr>
        <w:pStyle w:val="8"/>
        <w:tabs>
          <w:tab w:val="left" w:pos="574"/>
        </w:tabs>
        <w:spacing w:after="0" w:line="380" w:lineRule="exact"/>
        <w:ind w:firstLine="420" w:firstLineChars="200"/>
        <w:rPr>
          <w:color w:val="auto"/>
          <w:highlight w:val="none"/>
        </w:rPr>
      </w:pPr>
      <w:r>
        <w:rPr>
          <w:color w:val="auto"/>
          <w:highlight w:val="none"/>
        </w:rPr>
        <w:t>1.6措施费是指为完成工程项目施工，发生于该工程施工前和施工过程中非工程实体项目的费用，由施工技术措施费和施工组织措施费组成。</w:t>
      </w:r>
    </w:p>
    <w:p w14:paraId="5F27BA14">
      <w:pPr>
        <w:pStyle w:val="8"/>
        <w:tabs>
          <w:tab w:val="left" w:pos="574"/>
        </w:tabs>
        <w:spacing w:after="0" w:line="380" w:lineRule="exact"/>
        <w:ind w:firstLine="420" w:firstLineChars="200"/>
        <w:rPr>
          <w:color w:val="auto"/>
          <w:highlight w:val="none"/>
        </w:rPr>
      </w:pPr>
      <w:r>
        <w:rPr>
          <w:color w:val="auto"/>
          <w:highlight w:val="none"/>
        </w:rPr>
        <w:t>（1）施工技术措施费是指为完成工程项目施工而采取的各项技术措施所需的费用。包括大型机械设备进出场及安拆费、混凝土模板及支架费、脚手架费、建筑工程超高施工增加费、施工排水降水费和其他施工技术措施费等。</w:t>
      </w:r>
    </w:p>
    <w:p w14:paraId="772C6EAB">
      <w:pPr>
        <w:pStyle w:val="8"/>
        <w:tabs>
          <w:tab w:val="left" w:pos="574"/>
        </w:tabs>
        <w:spacing w:after="0" w:line="380" w:lineRule="exact"/>
        <w:ind w:firstLine="420" w:firstLineChars="200"/>
        <w:rPr>
          <w:color w:val="auto"/>
          <w:highlight w:val="none"/>
        </w:rPr>
      </w:pPr>
      <w:r>
        <w:rPr>
          <w:color w:val="auto"/>
          <w:highlight w:val="none"/>
        </w:rPr>
        <w:t>（2）施工组织措施费是指为完成工程项目施工而采取的各项组织措施所需的费用。包括安全文明施工措施费，提前竣工增加费（夜间施工增加费），二次搬运费，已完工程及设备保护费，冬雨季施工增加费，</w:t>
      </w:r>
      <w:r>
        <w:rPr>
          <w:color w:val="auto"/>
          <w:highlight w:val="none"/>
          <w:u w:val="single"/>
        </w:rPr>
        <w:t>工程定位复测费</w:t>
      </w:r>
      <w:r>
        <w:rPr>
          <w:color w:val="auto"/>
          <w:highlight w:val="none"/>
        </w:rPr>
        <w:t>，行车、行人干扰增加费（</w:t>
      </w:r>
      <w:r>
        <w:rPr>
          <w:i/>
          <w:color w:val="auto"/>
          <w:highlight w:val="none"/>
        </w:rPr>
        <w:t>*干扰费仅道路绿化、排水工程受行车行人干扰费用</w:t>
      </w:r>
      <w:r>
        <w:rPr>
          <w:color w:val="auto"/>
          <w:highlight w:val="none"/>
        </w:rPr>
        <w:t>）等费用。施工组织措施费取费基数中的人工费和机械单价按投标人自报的人工和机械台班单价计取。</w:t>
      </w:r>
    </w:p>
    <w:p w14:paraId="01236DF1">
      <w:pPr>
        <w:pStyle w:val="8"/>
        <w:tabs>
          <w:tab w:val="left" w:pos="574"/>
        </w:tabs>
        <w:spacing w:after="0" w:line="380" w:lineRule="exact"/>
        <w:rPr>
          <w:color w:val="auto"/>
          <w:highlight w:val="none"/>
        </w:rPr>
      </w:pPr>
      <w:r>
        <w:rPr>
          <w:color w:val="auto"/>
          <w:highlight w:val="none"/>
        </w:rPr>
        <w:t>1.7规费项目具体内容如下：</w:t>
      </w:r>
    </w:p>
    <w:p w14:paraId="338ADC2C">
      <w:pPr>
        <w:pStyle w:val="8"/>
        <w:tabs>
          <w:tab w:val="left" w:pos="574"/>
        </w:tabs>
        <w:spacing w:after="0" w:line="380" w:lineRule="exact"/>
        <w:ind w:firstLine="420" w:firstLineChars="200"/>
        <w:rPr>
          <w:color w:val="auto"/>
          <w:highlight w:val="none"/>
        </w:rPr>
      </w:pPr>
      <w:r>
        <w:rPr>
          <w:color w:val="auto"/>
          <w:highlight w:val="none"/>
        </w:rPr>
        <w:t>（1）排污费、社保费、公积金；</w:t>
      </w:r>
    </w:p>
    <w:p w14:paraId="58629818">
      <w:pPr>
        <w:pStyle w:val="8"/>
        <w:tabs>
          <w:tab w:val="left" w:pos="574"/>
        </w:tabs>
        <w:spacing w:after="0" w:line="380" w:lineRule="exact"/>
        <w:ind w:firstLine="420" w:firstLineChars="200"/>
        <w:rPr>
          <w:color w:val="auto"/>
          <w:highlight w:val="none"/>
        </w:rPr>
      </w:pPr>
      <w:r>
        <w:rPr>
          <w:color w:val="auto"/>
          <w:highlight w:val="none"/>
        </w:rPr>
        <w:t>（2）民工工伤保险费。</w:t>
      </w:r>
    </w:p>
    <w:p w14:paraId="45254A25">
      <w:pPr>
        <w:pStyle w:val="8"/>
        <w:tabs>
          <w:tab w:val="left" w:pos="574"/>
        </w:tabs>
        <w:spacing w:after="0" w:line="380" w:lineRule="exact"/>
        <w:ind w:firstLine="420" w:firstLineChars="200"/>
        <w:rPr>
          <w:color w:val="auto"/>
          <w:highlight w:val="none"/>
        </w:rPr>
      </w:pPr>
      <w:r>
        <w:rPr>
          <w:color w:val="auto"/>
          <w:highlight w:val="none"/>
        </w:rPr>
        <w:t>规费的计算基数中所涉及的人工费和机械单价按投标人自报的人工和机械台班单价计取。</w:t>
      </w:r>
    </w:p>
    <w:p w14:paraId="1702B8CE">
      <w:pPr>
        <w:pStyle w:val="8"/>
        <w:tabs>
          <w:tab w:val="left" w:pos="574"/>
        </w:tabs>
        <w:spacing w:after="0" w:line="380" w:lineRule="exact"/>
        <w:rPr>
          <w:color w:val="auto"/>
          <w:highlight w:val="none"/>
          <w:u w:val="single"/>
        </w:rPr>
      </w:pPr>
      <w:r>
        <w:rPr>
          <w:color w:val="auto"/>
          <w:highlight w:val="none"/>
          <w:u w:val="single"/>
        </w:rPr>
        <w:t>1.8危险作业意外伤害保险费，本项目不计取。</w:t>
      </w:r>
    </w:p>
    <w:p w14:paraId="5957FDCB">
      <w:pPr>
        <w:pStyle w:val="8"/>
        <w:tabs>
          <w:tab w:val="left" w:pos="574"/>
        </w:tabs>
        <w:spacing w:after="0" w:line="380" w:lineRule="exact"/>
        <w:rPr>
          <w:rFonts w:hint="eastAsia"/>
          <w:color w:val="auto"/>
          <w:highlight w:val="none"/>
          <w:u w:val="single"/>
        </w:rPr>
      </w:pPr>
      <w:r>
        <w:rPr>
          <w:color w:val="auto"/>
          <w:highlight w:val="none"/>
        </w:rPr>
        <w:t>1.9税金是指按</w:t>
      </w:r>
      <w:r>
        <w:rPr>
          <w:rFonts w:hint="eastAsia"/>
          <w:color w:val="auto"/>
          <w:highlight w:val="none"/>
          <w:u w:val="single"/>
        </w:rPr>
        <w:t>浙建建发[2019]92 号文件《浙江省住房和城乡建设厅关于增值税调整后我省建设工程计价依据增值税税率及有关计价调整的通知》及最新规定应计入建筑安装工程造价内的税额。</w:t>
      </w:r>
    </w:p>
    <w:p w14:paraId="2DAB1C80">
      <w:pPr>
        <w:pStyle w:val="8"/>
        <w:tabs>
          <w:tab w:val="left" w:pos="574"/>
        </w:tabs>
        <w:spacing w:after="0" w:line="380" w:lineRule="exact"/>
        <w:rPr>
          <w:color w:val="auto"/>
          <w:highlight w:val="none"/>
          <w:u w:val="single"/>
        </w:rPr>
      </w:pPr>
    </w:p>
    <w:p w14:paraId="3729063F">
      <w:pPr>
        <w:pStyle w:val="29"/>
        <w:spacing w:line="380" w:lineRule="exact"/>
        <w:jc w:val="center"/>
        <w:rPr>
          <w:rFonts w:cs="Times New Roman"/>
          <w:color w:val="auto"/>
          <w:highlight w:val="none"/>
        </w:rPr>
      </w:pPr>
      <w:bookmarkStart w:id="135" w:name="_Toc152042556"/>
      <w:bookmarkStart w:id="136" w:name="_Toc144974836"/>
      <w:bookmarkStart w:id="137" w:name="_Toc152045774"/>
      <w:bookmarkStart w:id="138" w:name="_Toc54333554"/>
      <w:bookmarkStart w:id="139" w:name="_Toc372899881"/>
      <w:bookmarkStart w:id="140" w:name="_Toc394573951"/>
      <w:bookmarkStart w:id="141" w:name="_Toc288556306"/>
      <w:r>
        <w:rPr>
          <w:rFonts w:cs="Times New Roman"/>
          <w:color w:val="auto"/>
          <w:highlight w:val="none"/>
        </w:rPr>
        <w:t>2. 投标报价</w:t>
      </w:r>
      <w:bookmarkEnd w:id="135"/>
      <w:bookmarkEnd w:id="136"/>
      <w:bookmarkEnd w:id="137"/>
      <w:r>
        <w:rPr>
          <w:rFonts w:cs="Times New Roman"/>
          <w:color w:val="auto"/>
          <w:highlight w:val="none"/>
        </w:rPr>
        <w:t>要求</w:t>
      </w:r>
      <w:bookmarkEnd w:id="138"/>
      <w:bookmarkEnd w:id="139"/>
      <w:bookmarkEnd w:id="140"/>
      <w:bookmarkEnd w:id="141"/>
    </w:p>
    <w:p w14:paraId="756F94CF">
      <w:pPr>
        <w:pStyle w:val="8"/>
        <w:tabs>
          <w:tab w:val="left" w:pos="574"/>
        </w:tabs>
        <w:adjustRightInd w:val="0"/>
        <w:spacing w:after="0" w:line="380" w:lineRule="exact"/>
        <w:jc w:val="left"/>
        <w:rPr>
          <w:rFonts w:hint="eastAsia"/>
          <w:color w:val="auto"/>
          <w:highlight w:val="none"/>
        </w:rPr>
      </w:pPr>
    </w:p>
    <w:p w14:paraId="2A2722D4">
      <w:pPr>
        <w:pStyle w:val="8"/>
        <w:tabs>
          <w:tab w:val="left" w:pos="574"/>
        </w:tabs>
        <w:adjustRightInd w:val="0"/>
        <w:spacing w:after="0" w:line="380" w:lineRule="exact"/>
        <w:ind w:firstLine="420" w:firstLineChars="200"/>
        <w:jc w:val="left"/>
        <w:rPr>
          <w:rFonts w:hint="eastAsia"/>
          <w:color w:val="auto"/>
          <w:highlight w:val="none"/>
        </w:rPr>
      </w:pPr>
      <w:r>
        <w:rPr>
          <w:rFonts w:hint="eastAsia"/>
          <w:color w:val="auto"/>
          <w:highlight w:val="none"/>
        </w:rPr>
        <w:t>2.1招标文件规定应由投标人自行确定的费用，投标人应根据报价要求，结合工程施工的实际情况、市场行情、技术方案和企业的管理水平，综合分析后自主确定报价。</w:t>
      </w:r>
    </w:p>
    <w:p w14:paraId="1A9CD226">
      <w:pPr>
        <w:pStyle w:val="8"/>
        <w:tabs>
          <w:tab w:val="left" w:pos="574"/>
        </w:tabs>
        <w:adjustRightInd w:val="0"/>
        <w:spacing w:after="0" w:line="380" w:lineRule="exact"/>
        <w:ind w:firstLine="420" w:firstLineChars="200"/>
        <w:jc w:val="left"/>
        <w:rPr>
          <w:rFonts w:hint="eastAsia"/>
          <w:color w:val="auto"/>
          <w:highlight w:val="none"/>
        </w:rPr>
      </w:pPr>
      <w:r>
        <w:rPr>
          <w:rFonts w:hint="eastAsia"/>
          <w:color w:val="auto"/>
          <w:highlight w:val="none"/>
        </w:rPr>
        <w:t>2.2施工技术措施项目可根据施工组织设计增加项目。</w:t>
      </w:r>
    </w:p>
    <w:p w14:paraId="7DCFFD25">
      <w:pPr>
        <w:pStyle w:val="8"/>
        <w:tabs>
          <w:tab w:val="left" w:pos="574"/>
        </w:tabs>
        <w:adjustRightInd w:val="0"/>
        <w:spacing w:after="0" w:line="380" w:lineRule="exact"/>
        <w:ind w:firstLine="420" w:firstLineChars="200"/>
        <w:jc w:val="left"/>
        <w:rPr>
          <w:rFonts w:hint="eastAsia"/>
          <w:color w:val="auto"/>
          <w:highlight w:val="none"/>
        </w:rPr>
      </w:pPr>
      <w:r>
        <w:rPr>
          <w:rFonts w:hint="eastAsia"/>
          <w:color w:val="auto"/>
          <w:highlight w:val="none"/>
        </w:rPr>
        <w:t>2.3投标人在投标报价中每单项单价和合价均需填写，对没有填写单价和合价的项目，其费用视为已包含或分配到其他项目的单价或合价中。</w:t>
      </w:r>
    </w:p>
    <w:p w14:paraId="5D10C66B">
      <w:pPr>
        <w:pStyle w:val="8"/>
        <w:tabs>
          <w:tab w:val="left" w:pos="574"/>
        </w:tabs>
        <w:adjustRightInd w:val="0"/>
        <w:spacing w:after="0" w:line="380" w:lineRule="exact"/>
        <w:ind w:firstLine="420" w:firstLineChars="200"/>
        <w:jc w:val="left"/>
        <w:rPr>
          <w:rFonts w:hint="eastAsia"/>
          <w:b/>
          <w:color w:val="auto"/>
          <w:highlight w:val="none"/>
        </w:rPr>
      </w:pPr>
      <w:r>
        <w:rPr>
          <w:rFonts w:hint="eastAsia"/>
          <w:b/>
          <w:color w:val="auto"/>
          <w:highlight w:val="none"/>
        </w:rPr>
        <w:t>2.4投标人的报价要求详见“投标工具-招标概况-投标报价要求”，未按要求报价的，作无效标处理。</w:t>
      </w:r>
    </w:p>
    <w:p w14:paraId="1FDBC9F0">
      <w:pPr>
        <w:pStyle w:val="8"/>
        <w:tabs>
          <w:tab w:val="left" w:pos="574"/>
        </w:tabs>
        <w:adjustRightInd w:val="0"/>
        <w:spacing w:after="0" w:line="380" w:lineRule="exact"/>
        <w:ind w:firstLine="420" w:firstLineChars="200"/>
        <w:jc w:val="left"/>
        <w:rPr>
          <w:rFonts w:hint="eastAsia"/>
          <w:color w:val="auto"/>
          <w:highlight w:val="none"/>
        </w:rPr>
      </w:pPr>
      <w:r>
        <w:rPr>
          <w:rFonts w:hint="eastAsia"/>
          <w:color w:val="auto"/>
          <w:highlight w:val="none"/>
        </w:rPr>
        <w:t>2.</w:t>
      </w:r>
      <w:r>
        <w:rPr>
          <w:color w:val="auto"/>
          <w:highlight w:val="none"/>
        </w:rPr>
        <w:t>5</w:t>
      </w:r>
      <w:r>
        <w:rPr>
          <w:rFonts w:hint="eastAsia"/>
          <w:color w:val="auto"/>
          <w:highlight w:val="none"/>
        </w:rPr>
        <w:t>投标单位报价时应根据本项目施工图纸、项目清单描述，结合清单计价规范相关内容，综合考虑后自主报价，结算时由于清单描述不完整原因的单价不作调整。</w:t>
      </w:r>
    </w:p>
    <w:p w14:paraId="285846F6">
      <w:pPr>
        <w:pStyle w:val="8"/>
        <w:tabs>
          <w:tab w:val="left" w:pos="574"/>
        </w:tabs>
        <w:adjustRightInd w:val="0"/>
        <w:spacing w:after="0" w:line="380" w:lineRule="exact"/>
        <w:ind w:firstLine="420" w:firstLineChars="200"/>
        <w:jc w:val="left"/>
        <w:rPr>
          <w:rFonts w:hint="eastAsia"/>
          <w:b/>
          <w:color w:val="auto"/>
          <w:highlight w:val="none"/>
        </w:rPr>
      </w:pPr>
    </w:p>
    <w:p w14:paraId="00B01798">
      <w:pPr>
        <w:pStyle w:val="29"/>
        <w:spacing w:line="380" w:lineRule="exact"/>
        <w:jc w:val="center"/>
        <w:rPr>
          <w:color w:val="auto"/>
          <w:highlight w:val="none"/>
        </w:rPr>
      </w:pPr>
      <w:bookmarkStart w:id="142" w:name="_Toc16521981"/>
      <w:bookmarkStart w:id="143" w:name="_Toc21256_WPSOffice_Level2"/>
      <w:bookmarkStart w:id="144" w:name="_Toc8305385"/>
      <w:bookmarkStart w:id="145" w:name="_Toc5620"/>
      <w:bookmarkStart w:id="146" w:name="_Toc16242_WPSOffice_Level2"/>
      <w:bookmarkStart w:id="147" w:name="_Toc54333555"/>
      <w:bookmarkStart w:id="148" w:name="_Toc8586"/>
      <w:bookmarkStart w:id="149" w:name="_Toc19717_WPSOffice_Level2"/>
      <w:bookmarkStart w:id="150" w:name="_Toc17352"/>
      <w:bookmarkStart w:id="151" w:name="_Toc13657"/>
      <w:bookmarkStart w:id="152" w:name="_Toc2292_WPSOffice_Level2"/>
      <w:r>
        <w:rPr>
          <w:rFonts w:hint="eastAsia"/>
          <w:color w:val="auto"/>
          <w:highlight w:val="none"/>
        </w:rPr>
        <w:t>3. 工程量清单与计价表</w:t>
      </w:r>
      <w:bookmarkEnd w:id="142"/>
      <w:bookmarkEnd w:id="143"/>
      <w:bookmarkEnd w:id="144"/>
      <w:bookmarkEnd w:id="145"/>
      <w:bookmarkEnd w:id="146"/>
      <w:bookmarkEnd w:id="147"/>
      <w:bookmarkEnd w:id="148"/>
      <w:bookmarkEnd w:id="149"/>
      <w:bookmarkEnd w:id="150"/>
      <w:bookmarkEnd w:id="151"/>
      <w:bookmarkEnd w:id="152"/>
    </w:p>
    <w:p w14:paraId="0CDE77C9">
      <w:pPr>
        <w:pStyle w:val="8"/>
        <w:tabs>
          <w:tab w:val="left" w:pos="574"/>
        </w:tabs>
        <w:adjustRightInd w:val="0"/>
        <w:spacing w:after="0" w:line="380" w:lineRule="exact"/>
        <w:ind w:firstLine="420" w:firstLineChars="200"/>
        <w:jc w:val="left"/>
        <w:rPr>
          <w:color w:val="auto"/>
          <w:highlight w:val="none"/>
        </w:rPr>
      </w:pPr>
    </w:p>
    <w:p w14:paraId="56AB91BC">
      <w:pPr>
        <w:pStyle w:val="8"/>
        <w:tabs>
          <w:tab w:val="left" w:pos="574"/>
        </w:tabs>
        <w:adjustRightInd w:val="0"/>
        <w:spacing w:after="0" w:line="380" w:lineRule="exact"/>
        <w:ind w:firstLine="420" w:firstLineChars="200"/>
        <w:jc w:val="left"/>
        <w:rPr>
          <w:rFonts w:hint="eastAsia"/>
          <w:color w:val="auto"/>
          <w:highlight w:val="none"/>
        </w:rPr>
      </w:pPr>
      <w:r>
        <w:rPr>
          <w:rFonts w:hint="eastAsia"/>
          <w:color w:val="auto"/>
          <w:highlight w:val="none"/>
        </w:rPr>
        <w:t>3.1工程量清单：详见后缀名为“.招标文件”的电子招标文件。</w:t>
      </w:r>
    </w:p>
    <w:p w14:paraId="2B352371">
      <w:pPr>
        <w:pStyle w:val="8"/>
        <w:tabs>
          <w:tab w:val="left" w:pos="574"/>
        </w:tabs>
        <w:adjustRightInd w:val="0"/>
        <w:spacing w:after="0" w:line="380" w:lineRule="exact"/>
        <w:ind w:firstLine="420" w:firstLineChars="200"/>
        <w:jc w:val="left"/>
        <w:rPr>
          <w:color w:val="auto"/>
          <w:highlight w:val="none"/>
        </w:rPr>
      </w:pPr>
      <w:r>
        <w:rPr>
          <w:rFonts w:hint="eastAsia"/>
          <w:color w:val="auto"/>
          <w:highlight w:val="none"/>
        </w:rPr>
        <w:t>3.2工程量</w:t>
      </w:r>
      <w:r>
        <w:rPr>
          <w:color w:val="auto"/>
          <w:highlight w:val="none"/>
        </w:rPr>
        <w:t>清单编制说明</w:t>
      </w:r>
    </w:p>
    <w:p w14:paraId="2C7A64EE">
      <w:pPr>
        <w:pStyle w:val="8"/>
        <w:tabs>
          <w:tab w:val="left" w:pos="574"/>
        </w:tabs>
        <w:adjustRightInd w:val="0"/>
        <w:spacing w:after="0" w:line="380" w:lineRule="exact"/>
        <w:ind w:firstLine="420" w:firstLineChars="200"/>
        <w:jc w:val="left"/>
        <w:rPr>
          <w:color w:val="auto"/>
          <w:highlight w:val="none"/>
        </w:rPr>
      </w:pPr>
    </w:p>
    <w:p w14:paraId="331AD305">
      <w:pPr>
        <w:pStyle w:val="8"/>
        <w:tabs>
          <w:tab w:val="left" w:pos="574"/>
        </w:tabs>
        <w:adjustRightInd w:val="0"/>
        <w:spacing w:after="0" w:line="380" w:lineRule="exact"/>
        <w:ind w:firstLine="420" w:firstLineChars="200"/>
        <w:jc w:val="left"/>
        <w:rPr>
          <w:color w:val="auto"/>
          <w:highlight w:val="none"/>
        </w:rPr>
      </w:pPr>
    </w:p>
    <w:p w14:paraId="71451C78">
      <w:pPr>
        <w:pStyle w:val="8"/>
        <w:tabs>
          <w:tab w:val="left" w:pos="574"/>
        </w:tabs>
        <w:adjustRightInd w:val="0"/>
        <w:spacing w:after="0" w:line="380" w:lineRule="exact"/>
        <w:ind w:firstLine="420" w:firstLineChars="200"/>
        <w:jc w:val="left"/>
        <w:rPr>
          <w:color w:val="auto"/>
          <w:highlight w:val="none"/>
        </w:rPr>
      </w:pPr>
    </w:p>
    <w:p w14:paraId="68C702D9">
      <w:pPr>
        <w:pStyle w:val="8"/>
        <w:tabs>
          <w:tab w:val="left" w:pos="574"/>
        </w:tabs>
        <w:adjustRightInd w:val="0"/>
        <w:spacing w:after="0" w:line="380" w:lineRule="exact"/>
        <w:ind w:firstLine="420" w:firstLineChars="200"/>
        <w:jc w:val="left"/>
        <w:rPr>
          <w:color w:val="auto"/>
          <w:highlight w:val="none"/>
        </w:rPr>
      </w:pPr>
    </w:p>
    <w:p w14:paraId="09599522">
      <w:pPr>
        <w:pStyle w:val="8"/>
        <w:tabs>
          <w:tab w:val="left" w:pos="574"/>
        </w:tabs>
        <w:adjustRightInd w:val="0"/>
        <w:spacing w:after="0" w:line="380" w:lineRule="exact"/>
        <w:ind w:firstLine="420" w:firstLineChars="200"/>
        <w:jc w:val="left"/>
        <w:rPr>
          <w:color w:val="auto"/>
          <w:highlight w:val="none"/>
        </w:rPr>
      </w:pPr>
    </w:p>
    <w:p w14:paraId="24B1665F">
      <w:pPr>
        <w:pStyle w:val="8"/>
        <w:tabs>
          <w:tab w:val="left" w:pos="574"/>
        </w:tabs>
        <w:adjustRightInd w:val="0"/>
        <w:spacing w:after="0" w:line="380" w:lineRule="exact"/>
        <w:ind w:firstLine="420" w:firstLineChars="200"/>
        <w:jc w:val="left"/>
        <w:rPr>
          <w:color w:val="auto"/>
          <w:highlight w:val="none"/>
        </w:rPr>
      </w:pPr>
    </w:p>
    <w:p w14:paraId="0DAF4DEE">
      <w:pPr>
        <w:pStyle w:val="8"/>
        <w:tabs>
          <w:tab w:val="left" w:pos="574"/>
        </w:tabs>
        <w:adjustRightInd w:val="0"/>
        <w:spacing w:after="0" w:line="380" w:lineRule="exact"/>
        <w:ind w:firstLine="420" w:firstLineChars="200"/>
        <w:jc w:val="left"/>
        <w:rPr>
          <w:color w:val="auto"/>
          <w:highlight w:val="none"/>
        </w:rPr>
      </w:pPr>
    </w:p>
    <w:p w14:paraId="281EBA71">
      <w:pPr>
        <w:pStyle w:val="8"/>
        <w:tabs>
          <w:tab w:val="left" w:pos="574"/>
        </w:tabs>
        <w:adjustRightInd w:val="0"/>
        <w:spacing w:after="0" w:line="380" w:lineRule="exact"/>
        <w:ind w:firstLine="420" w:firstLineChars="200"/>
        <w:jc w:val="left"/>
        <w:rPr>
          <w:color w:val="auto"/>
          <w:highlight w:val="none"/>
        </w:rPr>
      </w:pPr>
    </w:p>
    <w:p w14:paraId="34DFA6F4">
      <w:pPr>
        <w:pStyle w:val="8"/>
        <w:tabs>
          <w:tab w:val="left" w:pos="574"/>
        </w:tabs>
        <w:adjustRightInd w:val="0"/>
        <w:spacing w:after="0" w:line="380" w:lineRule="exact"/>
        <w:ind w:firstLine="420" w:firstLineChars="200"/>
        <w:jc w:val="left"/>
        <w:rPr>
          <w:color w:val="auto"/>
          <w:highlight w:val="none"/>
        </w:rPr>
      </w:pPr>
    </w:p>
    <w:p w14:paraId="3E854C08">
      <w:pPr>
        <w:pStyle w:val="8"/>
        <w:tabs>
          <w:tab w:val="left" w:pos="574"/>
        </w:tabs>
        <w:adjustRightInd w:val="0"/>
        <w:spacing w:after="0" w:line="380" w:lineRule="exact"/>
        <w:jc w:val="left"/>
        <w:rPr>
          <w:rFonts w:hint="eastAsia" w:ascii="新宋体" w:hAnsi="新宋体" w:eastAsia="新宋体"/>
          <w:b/>
          <w:color w:val="auto"/>
          <w:kern w:val="0"/>
          <w:sz w:val="32"/>
          <w:szCs w:val="32"/>
          <w:highlight w:val="none"/>
        </w:rPr>
      </w:pPr>
    </w:p>
    <w:p w14:paraId="4D610A30">
      <w:pPr>
        <w:pStyle w:val="11"/>
        <w:spacing w:line="360" w:lineRule="auto"/>
        <w:jc w:val="center"/>
        <w:rPr>
          <w:rFonts w:hint="eastAsia" w:ascii="新宋体" w:hAnsi="新宋体" w:eastAsia="新宋体"/>
          <w:b/>
          <w:color w:val="auto"/>
          <w:kern w:val="0"/>
          <w:sz w:val="32"/>
          <w:szCs w:val="32"/>
          <w:highlight w:val="none"/>
          <w:lang w:eastAsia="zh-CN"/>
        </w:rPr>
      </w:pPr>
      <w:r>
        <w:rPr>
          <w:rFonts w:hint="eastAsia" w:ascii="新宋体" w:hAnsi="新宋体" w:eastAsia="新宋体"/>
          <w:b/>
          <w:color w:val="auto"/>
          <w:kern w:val="0"/>
          <w:sz w:val="32"/>
          <w:szCs w:val="32"/>
          <w:highlight w:val="none"/>
          <w:lang w:eastAsia="zh-CN"/>
        </w:rPr>
        <w:t>三门经济开发区科创中心装修提升工程</w:t>
      </w:r>
    </w:p>
    <w:p w14:paraId="1CCCBC80">
      <w:pPr>
        <w:pStyle w:val="11"/>
        <w:spacing w:line="360" w:lineRule="auto"/>
        <w:jc w:val="center"/>
        <w:rPr>
          <w:rFonts w:hint="eastAsia"/>
          <w:color w:val="auto"/>
          <w:highlight w:val="none"/>
        </w:rPr>
      </w:pPr>
      <w:r>
        <w:rPr>
          <w:rFonts w:hint="eastAsia" w:ascii="新宋体" w:hAnsi="新宋体" w:eastAsia="新宋体"/>
          <w:b/>
          <w:color w:val="auto"/>
          <w:kern w:val="0"/>
          <w:sz w:val="32"/>
          <w:szCs w:val="32"/>
          <w:highlight w:val="none"/>
        </w:rPr>
        <w:t>工程量清单编制说明</w:t>
      </w:r>
    </w:p>
    <w:p w14:paraId="6242254E">
      <w:pPr>
        <w:spacing w:line="360" w:lineRule="auto"/>
        <w:ind w:firstLine="482" w:firstLineChars="200"/>
        <w:rPr>
          <w:rFonts w:ascii="宋体" w:hAnsi="宋体" w:cs="仿宋"/>
          <w:b/>
          <w:color w:val="auto"/>
          <w:kern w:val="28"/>
          <w:sz w:val="24"/>
          <w:highlight w:val="none"/>
          <w:lang w:val="zh-CN" w:eastAsia="zh-CN"/>
        </w:rPr>
      </w:pPr>
      <w:r>
        <w:rPr>
          <w:rFonts w:hint="eastAsia" w:ascii="宋体" w:hAnsi="宋体" w:cs="仿宋"/>
          <w:b/>
          <w:color w:val="auto"/>
          <w:kern w:val="28"/>
          <w:sz w:val="24"/>
          <w:highlight w:val="none"/>
          <w:lang w:val="zh-CN" w:eastAsia="zh-CN"/>
        </w:rPr>
        <w:t>一、基本情况：</w:t>
      </w:r>
    </w:p>
    <w:p w14:paraId="7C4C830B">
      <w:pPr>
        <w:tabs>
          <w:tab w:val="left" w:pos="3060"/>
          <w:tab w:val="left" w:pos="9180"/>
          <w:tab w:val="left" w:pos="9360"/>
        </w:tabs>
        <w:spacing w:line="360" w:lineRule="auto"/>
        <w:ind w:right="-109" w:rightChars="-52" w:firstLine="480" w:firstLineChars="200"/>
        <w:rPr>
          <w:rFonts w:ascii="宋体" w:hAnsi="宋体" w:cs="宋体"/>
          <w:color w:val="auto"/>
          <w:sz w:val="24"/>
          <w:highlight w:val="none"/>
          <w:lang w:eastAsia="zh-CN"/>
        </w:rPr>
      </w:pPr>
      <w:r>
        <w:rPr>
          <w:rFonts w:hint="eastAsia" w:ascii="宋体" w:hAnsi="宋体" w:cs="宋体"/>
          <w:color w:val="auto"/>
          <w:sz w:val="24"/>
          <w:highlight w:val="none"/>
          <w:lang w:eastAsia="zh-CN"/>
        </w:rPr>
        <w:t>本工程为原三门大湖塘新区管委会办公楼，位于三门历史名人雕塑公园西侧区域，广场路（滨海大道-环湖东路段）南侧，北接广场路，南邻新湖支河，西起公园运动场围墙，东至领导楼围墙。</w:t>
      </w:r>
    </w:p>
    <w:p w14:paraId="59DCCAF2">
      <w:pPr>
        <w:tabs>
          <w:tab w:val="left" w:pos="3060"/>
          <w:tab w:val="left" w:pos="9180"/>
          <w:tab w:val="left" w:pos="9360"/>
        </w:tabs>
        <w:spacing w:line="360" w:lineRule="auto"/>
        <w:ind w:right="-109" w:rightChars="-52" w:firstLine="480" w:firstLineChars="200"/>
        <w:rPr>
          <w:rFonts w:ascii="宋体" w:hAnsi="宋体" w:cs="宋体"/>
          <w:color w:val="auto"/>
          <w:sz w:val="24"/>
          <w:highlight w:val="none"/>
          <w:lang w:eastAsia="zh-CN"/>
        </w:rPr>
      </w:pPr>
      <w:r>
        <w:rPr>
          <w:rFonts w:hint="eastAsia" w:ascii="宋体" w:hAnsi="宋体" w:cs="宋体"/>
          <w:color w:val="auto"/>
          <w:sz w:val="24"/>
          <w:highlight w:val="none"/>
          <w:lang w:eastAsia="zh-CN"/>
        </w:rPr>
        <w:t>工程改造内容包括建筑改造，结构加固，机电改造，消防改造，室内装修，景观绿化。一、二层部分原室外空间改造为室内空间，共增加建筑面积692㎡，拆除建筑面积40㎡。</w:t>
      </w:r>
    </w:p>
    <w:p w14:paraId="26F82027">
      <w:pPr>
        <w:spacing w:line="360" w:lineRule="auto"/>
        <w:ind w:firstLine="482" w:firstLineChars="200"/>
        <w:rPr>
          <w:rFonts w:ascii="宋体" w:hAnsi="宋体" w:cs="仿宋"/>
          <w:b/>
          <w:color w:val="auto"/>
          <w:kern w:val="28"/>
          <w:sz w:val="24"/>
          <w:highlight w:val="none"/>
          <w:lang w:val="zh-CN" w:eastAsia="zh-CN"/>
        </w:rPr>
      </w:pPr>
      <w:r>
        <w:rPr>
          <w:rFonts w:hint="eastAsia" w:ascii="宋体" w:hAnsi="宋体" w:cs="仿宋"/>
          <w:b/>
          <w:color w:val="auto"/>
          <w:kern w:val="28"/>
          <w:sz w:val="24"/>
          <w:highlight w:val="none"/>
          <w:lang w:val="zh-CN" w:eastAsia="zh-CN"/>
        </w:rPr>
        <w:t>二</w:t>
      </w:r>
      <w:r>
        <w:rPr>
          <w:rFonts w:ascii="宋体" w:hAnsi="宋体" w:cs="仿宋"/>
          <w:b/>
          <w:color w:val="auto"/>
          <w:kern w:val="28"/>
          <w:sz w:val="24"/>
          <w:highlight w:val="none"/>
          <w:lang w:val="zh-CN" w:eastAsia="zh-CN"/>
        </w:rPr>
        <w:t>、</w:t>
      </w:r>
      <w:r>
        <w:rPr>
          <w:rFonts w:hint="eastAsia" w:ascii="宋体" w:hAnsi="宋体" w:cs="仿宋"/>
          <w:b/>
          <w:color w:val="auto"/>
          <w:kern w:val="28"/>
          <w:sz w:val="24"/>
          <w:highlight w:val="none"/>
          <w:lang w:val="zh-CN" w:eastAsia="zh-CN"/>
        </w:rPr>
        <w:t>编制依据</w:t>
      </w:r>
    </w:p>
    <w:p w14:paraId="78AB3EAD">
      <w:pPr>
        <w:tabs>
          <w:tab w:val="left" w:pos="3060"/>
          <w:tab w:val="left" w:pos="9180"/>
          <w:tab w:val="left" w:pos="9360"/>
        </w:tabs>
        <w:spacing w:line="360" w:lineRule="auto"/>
        <w:ind w:right="-109" w:rightChars="-52" w:firstLine="480" w:firstLineChars="200"/>
        <w:rPr>
          <w:rFonts w:ascii="宋体" w:hAnsi="宋体" w:cs="宋体"/>
          <w:color w:val="auto"/>
          <w:sz w:val="24"/>
          <w:highlight w:val="none"/>
          <w:lang w:eastAsia="zh-CN"/>
        </w:rPr>
      </w:pPr>
      <w:r>
        <w:rPr>
          <w:rFonts w:hint="eastAsia" w:ascii="宋体" w:hAnsi="宋体" w:cs="宋体"/>
          <w:color w:val="auto"/>
          <w:sz w:val="24"/>
          <w:highlight w:val="none"/>
          <w:lang w:eastAsia="zh-CN"/>
        </w:rPr>
        <w:t>1、建设单位提供的安徽华盛国际建筑设计工程咨询有限公司负责施工图设计；</w:t>
      </w:r>
    </w:p>
    <w:p w14:paraId="5FB5FB76">
      <w:pPr>
        <w:tabs>
          <w:tab w:val="left" w:pos="3060"/>
          <w:tab w:val="left" w:pos="9180"/>
          <w:tab w:val="left" w:pos="9360"/>
        </w:tabs>
        <w:spacing w:line="360" w:lineRule="auto"/>
        <w:ind w:right="-109" w:rightChars="-52" w:firstLine="480" w:firstLineChars="200"/>
        <w:rPr>
          <w:rFonts w:ascii="宋体" w:hAnsi="宋体" w:cs="宋体"/>
          <w:color w:val="auto"/>
          <w:sz w:val="24"/>
          <w:highlight w:val="none"/>
          <w:lang w:eastAsia="zh-CN"/>
        </w:rPr>
      </w:pPr>
      <w:r>
        <w:rPr>
          <w:rFonts w:ascii="宋体" w:hAnsi="宋体" w:cs="宋体"/>
          <w:color w:val="auto"/>
          <w:sz w:val="24"/>
          <w:highlight w:val="none"/>
          <w:lang w:eastAsia="zh-CN"/>
        </w:rPr>
        <w:t>2</w:t>
      </w:r>
      <w:r>
        <w:rPr>
          <w:rFonts w:hint="eastAsia" w:ascii="宋体" w:hAnsi="宋体" w:cs="宋体"/>
          <w:color w:val="auto"/>
          <w:sz w:val="24"/>
          <w:highlight w:val="none"/>
          <w:lang w:eastAsia="zh-CN"/>
        </w:rPr>
        <w:t>、《建设工程工程量清单计价规范》（GB 50500－2013），《房屋建筑与装饰工程工程量计算规范》（GB 50854－2013）、《市政工程工程量计算规范》（GB 50857－2013）、《通用安装工程工程量计算规范》（GB 50856－2013）、《园林绿化工程工程量计算规范》（GB 50858－2013），建设工程工程量计算规范（2013）浙江省补充规定等。</w:t>
      </w:r>
    </w:p>
    <w:p w14:paraId="0448847C">
      <w:pPr>
        <w:tabs>
          <w:tab w:val="left" w:pos="3060"/>
          <w:tab w:val="left" w:pos="9180"/>
          <w:tab w:val="left" w:pos="9360"/>
        </w:tabs>
        <w:spacing w:line="360" w:lineRule="auto"/>
        <w:ind w:right="-109" w:rightChars="-52" w:firstLine="480" w:firstLineChars="200"/>
        <w:rPr>
          <w:rFonts w:ascii="宋体" w:hAnsi="宋体" w:cs="宋体"/>
          <w:color w:val="auto"/>
          <w:sz w:val="24"/>
          <w:highlight w:val="none"/>
          <w:lang w:eastAsia="zh-CN"/>
        </w:rPr>
      </w:pPr>
      <w:r>
        <w:rPr>
          <w:rFonts w:ascii="宋体" w:hAnsi="宋体" w:cs="宋体"/>
          <w:color w:val="auto"/>
          <w:sz w:val="24"/>
          <w:highlight w:val="none"/>
          <w:lang w:eastAsia="zh-CN"/>
        </w:rPr>
        <w:t>3</w:t>
      </w:r>
      <w:r>
        <w:rPr>
          <w:rFonts w:hint="eastAsia" w:ascii="宋体" w:hAnsi="宋体" w:cs="宋体"/>
          <w:color w:val="auto"/>
          <w:sz w:val="24"/>
          <w:highlight w:val="none"/>
          <w:lang w:eastAsia="zh-CN"/>
        </w:rPr>
        <w:t>、《浙江省建设工程计价规则》（2018版）,浙建建发[2019]92号通知,《浙江省房屋建筑与装饰工程预算定额》（2018版）、《浙江省市政工程预算定额》（2018版）、《浙江省通用安装工程预算定额》（2018版）、《浙江省园林绿化及仿古建筑工程预算定额》（2018版），工程所在地现行的有关工程造价方面规定。</w:t>
      </w:r>
    </w:p>
    <w:p w14:paraId="78E8CB18">
      <w:pPr>
        <w:spacing w:line="360" w:lineRule="auto"/>
        <w:ind w:firstLine="482" w:firstLineChars="200"/>
        <w:rPr>
          <w:rFonts w:ascii="宋体" w:hAnsi="宋体" w:cs="仿宋"/>
          <w:b/>
          <w:color w:val="auto"/>
          <w:kern w:val="28"/>
          <w:sz w:val="24"/>
          <w:highlight w:val="none"/>
          <w:lang w:val="zh-CN" w:eastAsia="zh-CN"/>
        </w:rPr>
      </w:pPr>
      <w:r>
        <w:rPr>
          <w:rFonts w:hint="eastAsia" w:ascii="宋体" w:hAnsi="宋体" w:cs="仿宋"/>
          <w:b/>
          <w:color w:val="auto"/>
          <w:kern w:val="28"/>
          <w:sz w:val="24"/>
          <w:highlight w:val="none"/>
          <w:lang w:val="zh-CN" w:eastAsia="zh-CN"/>
        </w:rPr>
        <w:t>三、</w:t>
      </w:r>
      <w:r>
        <w:rPr>
          <w:rFonts w:ascii="宋体" w:hAnsi="宋体" w:cs="仿宋"/>
          <w:b/>
          <w:color w:val="auto"/>
          <w:kern w:val="28"/>
          <w:sz w:val="24"/>
          <w:highlight w:val="none"/>
          <w:lang w:val="zh-CN" w:eastAsia="zh-CN"/>
        </w:rPr>
        <w:t>编制原则：</w:t>
      </w:r>
    </w:p>
    <w:p w14:paraId="478E6AF9">
      <w:pPr>
        <w:tabs>
          <w:tab w:val="left" w:pos="3060"/>
          <w:tab w:val="left" w:pos="9180"/>
          <w:tab w:val="left" w:pos="9360"/>
        </w:tabs>
        <w:spacing w:line="360" w:lineRule="auto"/>
        <w:ind w:right="-109" w:rightChars="-52" w:firstLine="480" w:firstLineChars="200"/>
        <w:rPr>
          <w:rFonts w:ascii="宋体" w:hAnsi="宋体" w:cs="宋体"/>
          <w:color w:val="auto"/>
          <w:sz w:val="24"/>
          <w:highlight w:val="none"/>
          <w:lang w:eastAsia="zh-CN"/>
        </w:rPr>
      </w:pPr>
      <w:r>
        <w:rPr>
          <w:rFonts w:hint="eastAsia" w:ascii="宋体" w:hAnsi="宋体" w:cs="宋体"/>
          <w:color w:val="auto"/>
          <w:sz w:val="24"/>
          <w:highlight w:val="none"/>
          <w:lang w:eastAsia="zh-CN"/>
        </w:rPr>
        <w:t>1、计价方式：采用国标清单计价，增值税为一般计税法。</w:t>
      </w:r>
    </w:p>
    <w:p w14:paraId="3E5A3ADB">
      <w:pPr>
        <w:tabs>
          <w:tab w:val="left" w:pos="3060"/>
          <w:tab w:val="left" w:pos="9180"/>
          <w:tab w:val="left" w:pos="9360"/>
        </w:tabs>
        <w:spacing w:line="360" w:lineRule="auto"/>
        <w:ind w:right="359" w:rightChars="171" w:firstLine="480" w:firstLineChars="200"/>
        <w:rPr>
          <w:rFonts w:ascii="宋体" w:hAnsi="宋体"/>
          <w:color w:val="auto"/>
          <w:kern w:val="28"/>
          <w:sz w:val="24"/>
          <w:highlight w:val="none"/>
          <w:lang w:eastAsia="zh-CN"/>
        </w:rPr>
      </w:pPr>
      <w:r>
        <w:rPr>
          <w:rFonts w:ascii="宋体" w:hAnsi="宋体"/>
          <w:color w:val="auto"/>
          <w:kern w:val="28"/>
          <w:sz w:val="24"/>
          <w:highlight w:val="none"/>
          <w:lang w:eastAsia="zh-CN"/>
        </w:rPr>
        <w:t>2</w:t>
      </w:r>
      <w:r>
        <w:rPr>
          <w:rFonts w:hint="eastAsia" w:ascii="宋体" w:hAnsi="宋体"/>
          <w:color w:val="auto"/>
          <w:kern w:val="28"/>
          <w:sz w:val="24"/>
          <w:highlight w:val="none"/>
          <w:lang w:eastAsia="zh-CN"/>
        </w:rPr>
        <w:t>、工程量：根据建设单位提供的施工图纸计算；</w:t>
      </w:r>
    </w:p>
    <w:p w14:paraId="37374B6C">
      <w:pPr>
        <w:tabs>
          <w:tab w:val="left" w:pos="3060"/>
          <w:tab w:val="left" w:pos="9180"/>
          <w:tab w:val="left" w:pos="9360"/>
        </w:tabs>
        <w:spacing w:line="360" w:lineRule="auto"/>
        <w:ind w:right="-109" w:rightChars="-52" w:firstLine="480" w:firstLineChars="200"/>
        <w:rPr>
          <w:rFonts w:ascii="宋体" w:hAnsi="宋体"/>
          <w:color w:val="auto"/>
          <w:sz w:val="24"/>
          <w:highlight w:val="none"/>
          <w:lang w:eastAsia="zh-CN"/>
        </w:rPr>
      </w:pPr>
      <w:r>
        <w:rPr>
          <w:rFonts w:ascii="宋体" w:hAnsi="宋体"/>
          <w:color w:val="auto"/>
          <w:kern w:val="28"/>
          <w:sz w:val="24"/>
          <w:highlight w:val="none"/>
          <w:lang w:eastAsia="zh-CN"/>
        </w:rPr>
        <w:t>3</w:t>
      </w:r>
      <w:r>
        <w:rPr>
          <w:rFonts w:hint="eastAsia" w:ascii="宋体" w:hAnsi="宋体"/>
          <w:color w:val="auto"/>
          <w:kern w:val="28"/>
          <w:sz w:val="24"/>
          <w:highlight w:val="none"/>
          <w:lang w:eastAsia="zh-CN"/>
        </w:rPr>
        <w:t>、</w:t>
      </w:r>
      <w:r>
        <w:rPr>
          <w:rFonts w:hint="eastAsia" w:ascii="宋体" w:hAnsi="宋体"/>
          <w:color w:val="auto"/>
          <w:sz w:val="24"/>
          <w:highlight w:val="none"/>
          <w:lang w:eastAsia="zh-CN"/>
        </w:rPr>
        <w:t>取费标准：取费费率按相应工程中值取费，不计缩短工期增加费，本预算税金按一般计税方法计取税金，增值税税率为9%。</w:t>
      </w:r>
    </w:p>
    <w:p w14:paraId="79914CC2">
      <w:pPr>
        <w:tabs>
          <w:tab w:val="left" w:pos="3060"/>
          <w:tab w:val="left" w:pos="9180"/>
          <w:tab w:val="left" w:pos="9360"/>
        </w:tabs>
        <w:spacing w:line="360" w:lineRule="auto"/>
        <w:ind w:right="-109" w:rightChars="-52" w:firstLine="480" w:firstLineChars="200"/>
        <w:rPr>
          <w:rFonts w:ascii="宋体" w:hAnsi="宋体"/>
          <w:color w:val="auto"/>
          <w:sz w:val="24"/>
          <w:highlight w:val="none"/>
          <w:lang w:eastAsia="zh-CN"/>
        </w:rPr>
      </w:pPr>
      <w:r>
        <w:rPr>
          <w:rFonts w:ascii="宋体" w:hAnsi="宋体"/>
          <w:color w:val="auto"/>
          <w:kern w:val="28"/>
          <w:sz w:val="24"/>
          <w:highlight w:val="none"/>
          <w:lang w:eastAsia="zh-CN"/>
        </w:rPr>
        <w:t>4</w:t>
      </w:r>
      <w:r>
        <w:rPr>
          <w:rFonts w:hint="eastAsia" w:ascii="宋体" w:hAnsi="宋体"/>
          <w:color w:val="auto"/>
          <w:kern w:val="28"/>
          <w:sz w:val="24"/>
          <w:highlight w:val="none"/>
          <w:lang w:eastAsia="zh-CN"/>
        </w:rPr>
        <w:t>、</w:t>
      </w:r>
      <w:r>
        <w:rPr>
          <w:rFonts w:hint="eastAsia" w:ascii="宋体" w:hAnsi="宋体"/>
          <w:color w:val="auto"/>
          <w:sz w:val="24"/>
          <w:highlight w:val="none"/>
          <w:lang w:eastAsia="zh-CN"/>
        </w:rPr>
        <w:t>人工、材料信息价根据《台州造价》、《浙江造价信息》2025年0</w:t>
      </w:r>
      <w:r>
        <w:rPr>
          <w:rFonts w:ascii="宋体" w:hAnsi="宋体"/>
          <w:color w:val="auto"/>
          <w:sz w:val="24"/>
          <w:highlight w:val="none"/>
          <w:lang w:eastAsia="zh-CN"/>
        </w:rPr>
        <w:t>5</w:t>
      </w:r>
      <w:r>
        <w:rPr>
          <w:rFonts w:hint="eastAsia" w:ascii="宋体" w:hAnsi="宋体"/>
          <w:color w:val="auto"/>
          <w:sz w:val="24"/>
          <w:highlight w:val="none"/>
          <w:lang w:eastAsia="zh-CN"/>
        </w:rPr>
        <w:t>月份三门价计算。</w:t>
      </w:r>
    </w:p>
    <w:p w14:paraId="3C84E5EC">
      <w:pPr>
        <w:spacing w:line="360" w:lineRule="auto"/>
        <w:ind w:firstLine="482" w:firstLineChars="200"/>
        <w:rPr>
          <w:rFonts w:ascii="宋体" w:hAnsi="宋体" w:cs="仿宋"/>
          <w:b/>
          <w:color w:val="auto"/>
          <w:sz w:val="24"/>
          <w:highlight w:val="none"/>
          <w:lang w:eastAsia="zh-CN"/>
        </w:rPr>
      </w:pPr>
      <w:r>
        <w:rPr>
          <w:rFonts w:hint="eastAsia" w:ascii="宋体" w:hAnsi="宋体" w:cs="仿宋"/>
          <w:b/>
          <w:color w:val="auto"/>
          <w:sz w:val="24"/>
          <w:highlight w:val="none"/>
          <w:lang w:eastAsia="zh-CN"/>
        </w:rPr>
        <w:t>四、工程质量、材料、施工等的要求</w:t>
      </w:r>
    </w:p>
    <w:p w14:paraId="6811F528">
      <w:pPr>
        <w:numPr>
          <w:ilvl w:val="0"/>
          <w:numId w:val="10"/>
        </w:numPr>
        <w:spacing w:line="360" w:lineRule="auto"/>
        <w:ind w:firstLine="480" w:firstLineChars="200"/>
        <w:rPr>
          <w:rFonts w:ascii="宋体" w:hAnsi="宋体" w:cs="仿宋"/>
          <w:color w:val="auto"/>
          <w:sz w:val="24"/>
          <w:highlight w:val="none"/>
          <w:lang w:eastAsia="zh-CN"/>
        </w:rPr>
      </w:pPr>
      <w:r>
        <w:rPr>
          <w:rFonts w:hint="eastAsia" w:ascii="宋体" w:hAnsi="宋体" w:cs="仿宋"/>
          <w:color w:val="auto"/>
          <w:sz w:val="24"/>
          <w:highlight w:val="none"/>
          <w:lang w:eastAsia="zh-CN"/>
        </w:rPr>
        <w:t>工程质量、工期详招标文件。</w:t>
      </w:r>
    </w:p>
    <w:p w14:paraId="5D38203D">
      <w:pPr>
        <w:numPr>
          <w:ilvl w:val="0"/>
          <w:numId w:val="10"/>
        </w:numPr>
        <w:spacing w:line="360" w:lineRule="auto"/>
        <w:ind w:firstLine="480" w:firstLineChars="200"/>
        <w:rPr>
          <w:rFonts w:ascii="宋体" w:hAnsi="宋体" w:cs="仿宋"/>
          <w:color w:val="auto"/>
          <w:sz w:val="24"/>
          <w:highlight w:val="none"/>
          <w:lang w:eastAsia="zh-CN"/>
        </w:rPr>
      </w:pPr>
      <w:r>
        <w:rPr>
          <w:rFonts w:hint="eastAsia" w:ascii="宋体" w:hAnsi="宋体" w:cs="仿宋"/>
          <w:color w:val="auto"/>
          <w:sz w:val="24"/>
          <w:highlight w:val="none"/>
          <w:lang w:eastAsia="zh-CN"/>
        </w:rPr>
        <w:t>土建、安装材料品牌详招标文件。</w:t>
      </w:r>
    </w:p>
    <w:p w14:paraId="09FC9ACF">
      <w:pPr>
        <w:spacing w:line="360" w:lineRule="auto"/>
        <w:ind w:firstLine="482" w:firstLineChars="200"/>
        <w:rPr>
          <w:rFonts w:ascii="宋体" w:hAnsi="宋体" w:cs="仿宋"/>
          <w:b/>
          <w:color w:val="auto"/>
          <w:sz w:val="24"/>
          <w:highlight w:val="none"/>
          <w:lang w:eastAsia="zh-CN"/>
        </w:rPr>
      </w:pPr>
      <w:r>
        <w:rPr>
          <w:rFonts w:hint="eastAsia" w:ascii="宋体" w:hAnsi="宋体" w:cs="仿宋"/>
          <w:b/>
          <w:color w:val="auto"/>
          <w:sz w:val="24"/>
          <w:highlight w:val="none"/>
          <w:lang w:eastAsia="zh-CN"/>
        </w:rPr>
        <w:t>五、有关事项说明</w:t>
      </w:r>
    </w:p>
    <w:p w14:paraId="1B8FA959">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1.本工程按机械挖土考虑，土方类别按三类，挖出土方优先考虑回填，弃方运距按10km考虑，</w:t>
      </w:r>
      <w:r>
        <w:rPr>
          <w:rFonts w:hint="eastAsia" w:ascii="宋体" w:hAnsi="宋体" w:eastAsia="宋体" w:cs="Times New Roman"/>
          <w:color w:val="auto"/>
          <w:kern w:val="2"/>
          <w:sz w:val="24"/>
          <w:szCs w:val="24"/>
          <w:highlight w:val="none"/>
          <w:lang w:eastAsia="zh-CN"/>
        </w:rPr>
        <w:t>不管实际运距是否变化结算不做调整；</w:t>
      </w:r>
    </w:p>
    <w:p w14:paraId="3663947F">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2.本工程混凝土按预拌考虑，运距按7km内考虑，</w:t>
      </w:r>
      <w:r>
        <w:rPr>
          <w:rFonts w:hint="eastAsia" w:ascii="宋体" w:hAnsi="宋体" w:eastAsia="宋体" w:cs="Times New Roman"/>
          <w:color w:val="auto"/>
          <w:kern w:val="2"/>
          <w:sz w:val="24"/>
          <w:szCs w:val="24"/>
          <w:highlight w:val="none"/>
          <w:lang w:eastAsia="zh-CN"/>
        </w:rPr>
        <w:t>不管实际运距是否变化结算不做调整；</w:t>
      </w:r>
    </w:p>
    <w:p w14:paraId="127D316D">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3.本工程砂浆按现拌考虑，水泥按袋装水泥计入；</w:t>
      </w:r>
    </w:p>
    <w:p w14:paraId="046440DC">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4.大型机械进出场费、安拆费计算：履带式挖掘机1m3以内各按1台次计列，</w:t>
      </w:r>
      <w:r>
        <w:rPr>
          <w:rFonts w:hint="eastAsia" w:ascii="宋体" w:hAnsi="宋体" w:eastAsia="宋体" w:cs="Times New Roman"/>
          <w:color w:val="auto"/>
          <w:kern w:val="2"/>
          <w:sz w:val="24"/>
          <w:szCs w:val="24"/>
          <w:highlight w:val="none"/>
          <w:lang w:eastAsia="zh-CN"/>
        </w:rPr>
        <w:t>结算不做调整；</w:t>
      </w:r>
    </w:p>
    <w:p w14:paraId="1EF45A4E">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5.大理石楼梯面按局部修复计算，工程量按实调整；</w:t>
      </w:r>
    </w:p>
    <w:p w14:paraId="3F5B06A0">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6.因设计不明确新增铝合金门窗附框按50元/m计入，原木地板拆除部位做水泥砂浆找平层按40mm厚计入，室内广告类按70000元/项计入，货梯按150000元/部计入；</w:t>
      </w:r>
    </w:p>
    <w:p w14:paraId="7CBF20D8">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7.上悬窗配件按250元/套计入；隔音橡胶条按5元/m计入；高低台洗手台按2500元/个计入；一层男卫洗手台按2000元/个计入；一层女卫洗手台按2100元/个计入；值班室洗手台（成品购置）按1000元/个计入；二层男卫洗手台按2800元/个计入；二层女卫洗手台按2700元/个计入；三层男卫洗手台按2700元/个计入；三层女卫洗手台按2800元/个计入；坐便器扶手按250元/套计入；立柱盆扶手按200元/套计入；报告厅木柜按950元/m²计入；a#柜体按1400元/m²计入；b#柜体按1350元/m²计入；DT-GZ-12-04柜体按1300元/m²计入；DT-GZ-13-01柜体按1800元/m²计入；1#柜体按1380元/m²计入；2#柜体双面按1300元/m²计入；2#柜体单面按1100元/m²计入；4#柜体（DT-GZ-12-04）按1400元/m²计入；4#柜体（DT-GZ-04-04）按1500元/m²计入；5#柜体按1100元/m²计入；</w:t>
      </w:r>
      <w:r>
        <w:rPr>
          <w:rFonts w:ascii="宋体" w:hAnsi="宋体" w:eastAsia="宋体" w:cs="Times New Roman"/>
          <w:color w:val="auto"/>
          <w:kern w:val="2"/>
          <w:sz w:val="24"/>
          <w:szCs w:val="24"/>
          <w:highlight w:val="none"/>
          <w:lang w:eastAsia="zh-CN"/>
        </w:rPr>
        <w:t>6#柜体</w:t>
      </w:r>
      <w:r>
        <w:rPr>
          <w:rFonts w:hint="eastAsia" w:ascii="宋体" w:hAnsi="宋体" w:eastAsia="宋体" w:cs="Times New Roman"/>
          <w:color w:val="auto"/>
          <w:kern w:val="2"/>
          <w:sz w:val="24"/>
          <w:szCs w:val="24"/>
          <w:highlight w:val="none"/>
          <w:lang w:eastAsia="zh-CN"/>
        </w:rPr>
        <w:t>按1900元/m²计入；6#柜体（高）按3500元/m计入；7#柜体按7000元/个计入；8#柜体按2000元/m²计入；造型矮柜（1E-1F-A-13-03）按12000元/个计入；造型矮柜（1E-1F-A-13-04）按15000元/个计入；造型矮柜（1E-1F-A-13-05）按13000元/个计入；共享活动/会客区服务台按9000元/个计入；水吧区服务台按30000元/个计入；共享工位按3000元/m计入；休闲阅读区按1500元/m计入；二层服务台按10000元/个计入；水吧区柜体按3500元/m计入；独立工位按2500元/个计入；音控台按1500元/个计入；</w:t>
      </w:r>
    </w:p>
    <w:p w14:paraId="350A783B">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8.因室外图纸不详，从室外变电站低压柜引来的电源长度为暂估，结算时按实调整。</w:t>
      </w:r>
    </w:p>
    <w:p w14:paraId="45276BA8">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9.根据业主意见，本次智能化系统只计桥架。</w:t>
      </w:r>
    </w:p>
    <w:p w14:paraId="37E52103">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10.根据设计意见：消火栓均按新做考虑，消防管只有XL-3和屋面考虑利旧，给水管接至原有室外水表井处，从原有水表组处开始计入本次预算，水表组及水表井均按新做考虑。</w:t>
      </w:r>
    </w:p>
    <w:p w14:paraId="189E9DEF">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11.根据设计意见：原有安装除局部消防考虑利旧，其余均不考虑利旧。</w:t>
      </w:r>
    </w:p>
    <w:p w14:paraId="146D9048">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12.根据设计意见：三层空调配电箱电源新做，三层空调配电箱及出线电缆不计入，利旧。</w:t>
      </w:r>
    </w:p>
    <w:p w14:paraId="7D441209">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13.根据业主要求拆除装修范围内原有安装包括但不限于（原有阀门、支吊架、保温、配电箱、管线、电缆、灯具、开关、插座、桥架、给排水管、洁具、阀门、消防管、消防箱、空调、铜管、冷凝管、分歧器、风口、风阀）本预算不考虑原有设备利旧费用，原有设备利旧费用由业主自行考虑。此项费用按暂估价10元/㎡计入。</w:t>
      </w:r>
    </w:p>
    <w:p w14:paraId="7C6B29A1">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14.根据业主要求原有一层设备间设备移至三层，此项费用按暂估价3000元/项计入。</w:t>
      </w:r>
    </w:p>
    <w:p w14:paraId="63DE4749">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15.原有室外景观灯具、管线、配电箱等配套景观照明设施拆除，此项费用按暂估价2200元/项计入。</w:t>
      </w:r>
    </w:p>
    <w:p w14:paraId="58364FBB">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16.绿化养护期按一年计；</w:t>
      </w:r>
    </w:p>
    <w:p w14:paraId="25F8136A">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17.室外拆除与新建部分管线及井按15000元/项计入；现状狗屋拆除按300元/项计入；现状洗手台拆除按300元/项计入；现状停车棚拆除按300元/项计入；赛诗台logo标志按4000元/套计入；趣味坐凳按5000元/个计入；成品格栅及格栅移门按400元/m²计入；泛海书卷雕塑按50000元/套计入；趣味雕塑二按15000元/套计入；趣味雕塑三按15000元/套计入；花箱按500元/个计入；树池按500元/个计入；吧台按1000元/套计入；吧台椅按400元/张计入；休闲茶几组合按1000元/套计入；休闲茶几椅子按500元/套计入；休闲桌椅按3000元/套计入；休闲椅按500元/套计入；遮阳伞按1000元/套计入；户外休闲坐凳按800元/套计入；趣味游乐玩具一按1200元/套计入；趣味游乐玩具二按1500元/套计入；趣味游乐玩具三按2500元/套计入；趣味游乐玩具四按3500元/套计入；趣味游乐玩具五按3500元/套计入；洗手台按3000元/套计入；</w:t>
      </w:r>
    </w:p>
    <w:p w14:paraId="08465185">
      <w:pPr>
        <w:widowControl w:val="0"/>
        <w:tabs>
          <w:tab w:val="left" w:pos="3060"/>
          <w:tab w:val="left" w:pos="9180"/>
          <w:tab w:val="left" w:pos="9360"/>
        </w:tabs>
        <w:kinsoku/>
        <w:autoSpaceDE/>
        <w:autoSpaceDN/>
        <w:adjustRightInd/>
        <w:snapToGrid/>
        <w:spacing w:line="360" w:lineRule="auto"/>
        <w:ind w:firstLine="480" w:firstLineChars="200"/>
        <w:jc w:val="both"/>
        <w:rPr>
          <w:rFonts w:ascii="宋体" w:hAnsi="宋体" w:eastAsia="宋体" w:cs="Times New Roman"/>
          <w:color w:val="auto"/>
          <w:kern w:val="2"/>
          <w:sz w:val="24"/>
          <w:szCs w:val="24"/>
          <w:highlight w:val="none"/>
          <w:lang w:eastAsia="zh-CN"/>
        </w:rPr>
      </w:pPr>
      <w:r>
        <w:rPr>
          <w:rFonts w:hint="eastAsia" w:ascii="宋体" w:hAnsi="宋体" w:eastAsia="宋体" w:cs="Times New Roman"/>
          <w:color w:val="auto"/>
          <w:kern w:val="2"/>
          <w:sz w:val="24"/>
          <w:szCs w:val="24"/>
          <w:highlight w:val="none"/>
          <w:lang w:eastAsia="zh-CN"/>
        </w:rPr>
        <w:t>18</w:t>
      </w:r>
      <w:r>
        <w:rPr>
          <w:rFonts w:ascii="宋体" w:hAnsi="宋体" w:eastAsia="宋体" w:cs="Times New Roman"/>
          <w:color w:val="auto"/>
          <w:kern w:val="2"/>
          <w:sz w:val="24"/>
          <w:szCs w:val="24"/>
          <w:highlight w:val="none"/>
          <w:lang w:eastAsia="zh-CN"/>
        </w:rPr>
        <w:t>.结算时工程量及暂定价按实调整。</w:t>
      </w:r>
    </w:p>
    <w:p w14:paraId="723C079D">
      <w:pPr>
        <w:pStyle w:val="9"/>
        <w:rPr>
          <w:rFonts w:hint="eastAsia"/>
          <w:color w:val="auto"/>
          <w:highlight w:val="none"/>
          <w:lang w:eastAsia="zh-CN"/>
        </w:rPr>
      </w:pPr>
    </w:p>
    <w:p w14:paraId="6ED5B6E2">
      <w:pPr>
        <w:topLinePunct/>
        <w:spacing w:line="560" w:lineRule="exact"/>
        <w:jc w:val="center"/>
        <w:rPr>
          <w:rStyle w:val="34"/>
          <w:rFonts w:hint="eastAsia" w:eastAsia="黑体"/>
          <w:b w:val="0"/>
          <w:bCs w:val="0"/>
          <w:color w:val="auto"/>
          <w:highlight w:val="none"/>
        </w:rPr>
      </w:pPr>
    </w:p>
    <w:p w14:paraId="63CE39CE">
      <w:pPr>
        <w:topLinePunct/>
        <w:spacing w:line="440" w:lineRule="exact"/>
        <w:jc w:val="center"/>
        <w:rPr>
          <w:rStyle w:val="35"/>
          <w:color w:val="auto"/>
          <w:highlight w:val="none"/>
        </w:rPr>
      </w:pPr>
    </w:p>
    <w:p w14:paraId="679AF371">
      <w:pPr>
        <w:topLinePunct/>
        <w:spacing w:line="440" w:lineRule="exact"/>
        <w:jc w:val="center"/>
        <w:rPr>
          <w:rStyle w:val="35"/>
          <w:color w:val="auto"/>
          <w:highlight w:val="none"/>
        </w:rPr>
      </w:pPr>
    </w:p>
    <w:p w14:paraId="654B0524">
      <w:pPr>
        <w:topLinePunct/>
        <w:spacing w:line="440" w:lineRule="exact"/>
        <w:jc w:val="center"/>
        <w:rPr>
          <w:rStyle w:val="35"/>
          <w:color w:val="auto"/>
          <w:highlight w:val="none"/>
        </w:rPr>
      </w:pPr>
    </w:p>
    <w:p w14:paraId="57BC7200">
      <w:pPr>
        <w:topLinePunct/>
        <w:spacing w:line="440" w:lineRule="exact"/>
        <w:jc w:val="center"/>
        <w:rPr>
          <w:rStyle w:val="35"/>
          <w:color w:val="auto"/>
          <w:highlight w:val="none"/>
        </w:rPr>
      </w:pPr>
    </w:p>
    <w:p w14:paraId="46C70B8E">
      <w:pPr>
        <w:topLinePunct/>
        <w:spacing w:line="440" w:lineRule="exact"/>
        <w:jc w:val="center"/>
        <w:rPr>
          <w:rStyle w:val="35"/>
          <w:color w:val="auto"/>
          <w:highlight w:val="none"/>
        </w:rPr>
      </w:pPr>
    </w:p>
    <w:p w14:paraId="357CB871">
      <w:pPr>
        <w:topLinePunct/>
        <w:spacing w:line="440" w:lineRule="exact"/>
        <w:jc w:val="center"/>
        <w:rPr>
          <w:rFonts w:hint="eastAsia" w:eastAsia="黑体"/>
          <w:b/>
          <w:bCs/>
          <w:color w:val="auto"/>
          <w:sz w:val="32"/>
          <w:highlight w:val="none"/>
        </w:rPr>
      </w:pPr>
      <w:r>
        <w:rPr>
          <w:rStyle w:val="35"/>
          <w:color w:val="auto"/>
          <w:highlight w:val="none"/>
        </w:rPr>
        <w:t>第六章  图  纸</w:t>
      </w:r>
    </w:p>
    <w:p w14:paraId="3EFDFF5A">
      <w:pPr>
        <w:topLinePunct/>
        <w:spacing w:line="440" w:lineRule="exact"/>
        <w:jc w:val="center"/>
        <w:rPr>
          <w:rFonts w:hint="eastAsia" w:eastAsia="黑体"/>
          <w:b/>
          <w:bCs/>
          <w:color w:val="auto"/>
          <w:sz w:val="32"/>
          <w:highlight w:val="none"/>
        </w:rPr>
      </w:pPr>
    </w:p>
    <w:p w14:paraId="4E31BA3B">
      <w:pPr>
        <w:spacing w:line="440" w:lineRule="exact"/>
        <w:jc w:val="center"/>
        <w:rPr>
          <w:color w:val="auto"/>
          <w:sz w:val="28"/>
          <w:szCs w:val="28"/>
          <w:highlight w:val="none"/>
        </w:rPr>
      </w:pPr>
      <w:r>
        <w:rPr>
          <w:color w:val="auto"/>
          <w:sz w:val="28"/>
          <w:szCs w:val="28"/>
          <w:highlight w:val="none"/>
        </w:rPr>
        <w:t>详见</w:t>
      </w:r>
      <w:r>
        <w:rPr>
          <w:rFonts w:hint="eastAsia"/>
          <w:color w:val="auto"/>
          <w:sz w:val="28"/>
          <w:szCs w:val="28"/>
          <w:highlight w:val="none"/>
        </w:rPr>
        <w:t>三门县公共资源交易中心网站</w:t>
      </w:r>
      <w:r>
        <w:rPr>
          <w:color w:val="auto"/>
          <w:sz w:val="28"/>
          <w:szCs w:val="28"/>
          <w:highlight w:val="none"/>
        </w:rPr>
        <w:t>施工图纸</w:t>
      </w:r>
    </w:p>
    <w:p w14:paraId="195D587D">
      <w:pPr>
        <w:spacing w:line="440" w:lineRule="exact"/>
        <w:jc w:val="center"/>
        <w:rPr>
          <w:color w:val="auto"/>
          <w:sz w:val="28"/>
          <w:szCs w:val="28"/>
          <w:highlight w:val="none"/>
        </w:rPr>
      </w:pPr>
      <w:r>
        <w:rPr>
          <w:color w:val="auto"/>
          <w:sz w:val="28"/>
          <w:szCs w:val="28"/>
          <w:highlight w:val="none"/>
        </w:rPr>
        <w:t>（http://www.sanmen.gov.cn/col/col1229610743/index.html）</w:t>
      </w:r>
    </w:p>
    <w:p w14:paraId="5DF7AB0B">
      <w:pPr>
        <w:spacing w:line="440" w:lineRule="exact"/>
        <w:jc w:val="center"/>
        <w:rPr>
          <w:color w:val="auto"/>
          <w:highlight w:val="none"/>
        </w:rPr>
      </w:pPr>
    </w:p>
    <w:p w14:paraId="0ECD8A27">
      <w:pPr>
        <w:spacing w:line="440" w:lineRule="exact"/>
        <w:jc w:val="center"/>
        <w:rPr>
          <w:color w:val="auto"/>
          <w:highlight w:val="none"/>
        </w:rPr>
      </w:pPr>
    </w:p>
    <w:p w14:paraId="0A4AF60B">
      <w:pPr>
        <w:spacing w:line="440" w:lineRule="exact"/>
        <w:jc w:val="center"/>
        <w:rPr>
          <w:color w:val="auto"/>
          <w:highlight w:val="none"/>
        </w:rPr>
      </w:pPr>
    </w:p>
    <w:p w14:paraId="5A77009D">
      <w:pPr>
        <w:spacing w:line="440" w:lineRule="exact"/>
        <w:jc w:val="center"/>
        <w:rPr>
          <w:color w:val="auto"/>
          <w:highlight w:val="none"/>
        </w:rPr>
      </w:pPr>
    </w:p>
    <w:p w14:paraId="6603D763">
      <w:pPr>
        <w:spacing w:line="440" w:lineRule="exact"/>
        <w:jc w:val="center"/>
        <w:rPr>
          <w:color w:val="auto"/>
          <w:highlight w:val="none"/>
        </w:rPr>
      </w:pPr>
    </w:p>
    <w:p w14:paraId="66DC03BD">
      <w:pPr>
        <w:spacing w:line="440" w:lineRule="exact"/>
        <w:jc w:val="center"/>
        <w:rPr>
          <w:color w:val="auto"/>
          <w:highlight w:val="none"/>
        </w:rPr>
      </w:pPr>
    </w:p>
    <w:p w14:paraId="646306CC">
      <w:pPr>
        <w:spacing w:line="440" w:lineRule="exact"/>
        <w:jc w:val="center"/>
        <w:rPr>
          <w:color w:val="auto"/>
          <w:highlight w:val="none"/>
        </w:rPr>
      </w:pPr>
    </w:p>
    <w:p w14:paraId="0B7A6200">
      <w:pPr>
        <w:spacing w:line="440" w:lineRule="exact"/>
        <w:jc w:val="center"/>
        <w:rPr>
          <w:color w:val="auto"/>
          <w:highlight w:val="none"/>
        </w:rPr>
      </w:pPr>
    </w:p>
    <w:p w14:paraId="165C8280">
      <w:pPr>
        <w:spacing w:line="440" w:lineRule="exact"/>
        <w:jc w:val="center"/>
        <w:rPr>
          <w:color w:val="auto"/>
          <w:highlight w:val="none"/>
        </w:rPr>
      </w:pPr>
    </w:p>
    <w:p w14:paraId="439C69C9">
      <w:pPr>
        <w:spacing w:line="440" w:lineRule="exact"/>
        <w:jc w:val="center"/>
        <w:rPr>
          <w:color w:val="auto"/>
          <w:highlight w:val="none"/>
        </w:rPr>
      </w:pPr>
    </w:p>
    <w:p w14:paraId="28201FC9">
      <w:pPr>
        <w:spacing w:line="440" w:lineRule="exact"/>
        <w:jc w:val="center"/>
        <w:rPr>
          <w:color w:val="auto"/>
          <w:highlight w:val="none"/>
        </w:rPr>
      </w:pPr>
    </w:p>
    <w:p w14:paraId="34A5FDE0">
      <w:pPr>
        <w:spacing w:line="440" w:lineRule="exact"/>
        <w:jc w:val="center"/>
        <w:rPr>
          <w:color w:val="auto"/>
          <w:highlight w:val="none"/>
        </w:rPr>
      </w:pPr>
    </w:p>
    <w:p w14:paraId="0D99AD16">
      <w:pPr>
        <w:spacing w:line="440" w:lineRule="exact"/>
        <w:jc w:val="center"/>
        <w:rPr>
          <w:color w:val="auto"/>
          <w:highlight w:val="none"/>
        </w:rPr>
      </w:pPr>
    </w:p>
    <w:p w14:paraId="4FD18925">
      <w:pPr>
        <w:spacing w:line="440" w:lineRule="exact"/>
        <w:jc w:val="center"/>
        <w:rPr>
          <w:color w:val="auto"/>
          <w:highlight w:val="none"/>
        </w:rPr>
      </w:pPr>
    </w:p>
    <w:p w14:paraId="199A2D4F">
      <w:pPr>
        <w:spacing w:line="440" w:lineRule="exact"/>
        <w:jc w:val="center"/>
        <w:rPr>
          <w:color w:val="auto"/>
          <w:highlight w:val="none"/>
        </w:rPr>
      </w:pPr>
    </w:p>
    <w:p w14:paraId="21B94250">
      <w:pPr>
        <w:spacing w:line="440" w:lineRule="exact"/>
        <w:jc w:val="center"/>
        <w:rPr>
          <w:color w:val="auto"/>
          <w:highlight w:val="none"/>
        </w:rPr>
      </w:pPr>
    </w:p>
    <w:p w14:paraId="59A043E1">
      <w:pPr>
        <w:spacing w:line="440" w:lineRule="exact"/>
        <w:jc w:val="center"/>
        <w:rPr>
          <w:color w:val="auto"/>
          <w:highlight w:val="none"/>
        </w:rPr>
      </w:pPr>
    </w:p>
    <w:p w14:paraId="2C5569C8">
      <w:pPr>
        <w:spacing w:line="440" w:lineRule="exact"/>
        <w:jc w:val="center"/>
        <w:rPr>
          <w:color w:val="auto"/>
          <w:highlight w:val="none"/>
        </w:rPr>
      </w:pPr>
    </w:p>
    <w:p w14:paraId="33CA6FEA">
      <w:pPr>
        <w:spacing w:line="440" w:lineRule="exact"/>
        <w:jc w:val="center"/>
        <w:rPr>
          <w:color w:val="auto"/>
          <w:highlight w:val="none"/>
        </w:rPr>
      </w:pPr>
    </w:p>
    <w:p w14:paraId="1A719FBC">
      <w:pPr>
        <w:spacing w:line="440" w:lineRule="exact"/>
        <w:jc w:val="center"/>
        <w:rPr>
          <w:color w:val="auto"/>
          <w:highlight w:val="none"/>
        </w:rPr>
      </w:pPr>
    </w:p>
    <w:p w14:paraId="26D135FE">
      <w:pPr>
        <w:spacing w:line="440" w:lineRule="exact"/>
        <w:jc w:val="center"/>
        <w:rPr>
          <w:color w:val="auto"/>
          <w:highlight w:val="none"/>
        </w:rPr>
      </w:pPr>
    </w:p>
    <w:p w14:paraId="2A98E76B">
      <w:pPr>
        <w:pStyle w:val="3"/>
        <w:jc w:val="center"/>
        <w:rPr>
          <w:color w:val="auto"/>
          <w:highlight w:val="none"/>
        </w:rPr>
      </w:pPr>
    </w:p>
    <w:p w14:paraId="139D49B8">
      <w:pPr>
        <w:pStyle w:val="3"/>
        <w:jc w:val="center"/>
        <w:rPr>
          <w:rFonts w:hint="eastAsia"/>
          <w:color w:val="auto"/>
          <w:highlight w:val="none"/>
        </w:rPr>
      </w:pPr>
      <w:r>
        <w:rPr>
          <w:color w:val="auto"/>
          <w:highlight w:val="none"/>
        </w:rPr>
        <w:t>第七章  技术标准和要求</w:t>
      </w:r>
    </w:p>
    <w:p w14:paraId="24D1A4BE">
      <w:pPr>
        <w:pStyle w:val="29"/>
        <w:jc w:val="center"/>
        <w:rPr>
          <w:rFonts w:hint="eastAsia"/>
          <w:color w:val="auto"/>
          <w:highlight w:val="none"/>
        </w:rPr>
      </w:pPr>
      <w:bookmarkStart w:id="153" w:name="_Toc394573957"/>
      <w:bookmarkStart w:id="154" w:name="_Toc288556313"/>
      <w:bookmarkStart w:id="155" w:name="_Toc372899887"/>
      <w:bookmarkStart w:id="156" w:name="_Toc148964073"/>
      <w:r>
        <w:rPr>
          <w:rFonts w:hint="eastAsia"/>
          <w:color w:val="auto"/>
          <w:highlight w:val="none"/>
        </w:rPr>
        <w:t>1. 工程概况</w:t>
      </w:r>
      <w:bookmarkEnd w:id="153"/>
      <w:bookmarkEnd w:id="154"/>
      <w:bookmarkEnd w:id="155"/>
      <w:bookmarkEnd w:id="156"/>
    </w:p>
    <w:p w14:paraId="10A7C8E8">
      <w:pPr>
        <w:pStyle w:val="33"/>
        <w:spacing w:line="320" w:lineRule="exact"/>
        <w:rPr>
          <w:rFonts w:hint="eastAsia" w:ascii="Times New Roman" w:hAnsi="Times New Roman"/>
          <w:color w:val="auto"/>
          <w:highlight w:val="none"/>
        </w:rPr>
      </w:pPr>
    </w:p>
    <w:p w14:paraId="3FFF45E2">
      <w:pPr>
        <w:pStyle w:val="33"/>
        <w:spacing w:line="400" w:lineRule="exact"/>
        <w:rPr>
          <w:rFonts w:hint="eastAsia" w:ascii="Times New Roman" w:hAnsi="Times New Roman" w:eastAsia="宋体"/>
          <w:color w:val="auto"/>
          <w:highlight w:val="none"/>
          <w:lang w:eastAsia="zh-CN"/>
        </w:rPr>
      </w:pPr>
      <w:r>
        <w:rPr>
          <w:rFonts w:hint="eastAsia" w:ascii="Times New Roman" w:hAnsi="Times New Roman"/>
          <w:color w:val="auto"/>
          <w:highlight w:val="none"/>
        </w:rPr>
        <w:t>1.1招标工程：</w:t>
      </w:r>
      <w:r>
        <w:rPr>
          <w:rFonts w:hint="eastAsia" w:ascii="Times New Roman" w:hAnsi="Times New Roman"/>
          <w:color w:val="auto"/>
          <w:highlight w:val="none"/>
          <w:lang w:eastAsia="zh-CN"/>
        </w:rPr>
        <w:t>三门经济开发区科创中心装修提升工程</w:t>
      </w:r>
    </w:p>
    <w:p w14:paraId="657D0143">
      <w:pPr>
        <w:pStyle w:val="33"/>
        <w:spacing w:line="400" w:lineRule="exact"/>
        <w:rPr>
          <w:rFonts w:hint="eastAsia" w:ascii="Times New Roman" w:hAnsi="Times New Roman"/>
          <w:color w:val="auto"/>
          <w:highlight w:val="none"/>
        </w:rPr>
      </w:pPr>
      <w:r>
        <w:rPr>
          <w:rFonts w:hint="eastAsia" w:ascii="Times New Roman" w:hAnsi="Times New Roman"/>
          <w:color w:val="auto"/>
          <w:highlight w:val="none"/>
        </w:rPr>
        <w:t>1.2建设规模：详见本项目招标公告</w:t>
      </w:r>
    </w:p>
    <w:p w14:paraId="0EA2F08A">
      <w:pPr>
        <w:pStyle w:val="33"/>
        <w:spacing w:line="400" w:lineRule="exact"/>
        <w:rPr>
          <w:rFonts w:hint="eastAsia" w:ascii="Times New Roman" w:hAnsi="Times New Roman"/>
          <w:color w:val="auto"/>
          <w:highlight w:val="none"/>
        </w:rPr>
      </w:pPr>
      <w:r>
        <w:rPr>
          <w:rFonts w:hint="eastAsia" w:ascii="Times New Roman" w:hAnsi="Times New Roman"/>
          <w:color w:val="auto"/>
          <w:highlight w:val="none"/>
        </w:rPr>
        <w:t>1.3工程预算审核价：详见招标公告</w:t>
      </w:r>
    </w:p>
    <w:p w14:paraId="40ABAE70">
      <w:pPr>
        <w:pStyle w:val="33"/>
        <w:spacing w:line="400" w:lineRule="exact"/>
        <w:rPr>
          <w:rFonts w:hint="eastAsia" w:ascii="Times New Roman" w:hAnsi="Times New Roman" w:eastAsia="宋体"/>
          <w:color w:val="auto"/>
          <w:highlight w:val="none"/>
          <w:lang w:eastAsia="zh-CN"/>
        </w:rPr>
      </w:pPr>
      <w:r>
        <w:rPr>
          <w:rFonts w:hint="eastAsia" w:ascii="Times New Roman" w:hAnsi="Times New Roman"/>
          <w:color w:val="auto"/>
          <w:highlight w:val="none"/>
        </w:rPr>
        <w:t>1.4建设地点：</w:t>
      </w:r>
      <w:r>
        <w:rPr>
          <w:rFonts w:hint="eastAsia" w:ascii="Times New Roman" w:hAnsi="Times New Roman"/>
          <w:color w:val="auto"/>
          <w:highlight w:val="none"/>
          <w:lang w:eastAsia="zh-CN"/>
        </w:rPr>
        <w:t>三门县</w:t>
      </w:r>
    </w:p>
    <w:p w14:paraId="04019965">
      <w:pPr>
        <w:pStyle w:val="33"/>
        <w:rPr>
          <w:rFonts w:ascii="Times New Roman" w:hAnsi="Times New Roman"/>
          <w:color w:val="auto"/>
          <w:highlight w:val="none"/>
        </w:rPr>
      </w:pPr>
    </w:p>
    <w:p w14:paraId="2C5AE85D">
      <w:pPr>
        <w:pStyle w:val="29"/>
        <w:jc w:val="center"/>
        <w:rPr>
          <w:rFonts w:hint="eastAsia"/>
          <w:color w:val="auto"/>
          <w:highlight w:val="none"/>
        </w:rPr>
      </w:pPr>
      <w:bookmarkStart w:id="157" w:name="_Toc372899888"/>
      <w:bookmarkStart w:id="158" w:name="_Toc148964074"/>
      <w:bookmarkStart w:id="159" w:name="_Toc394573958"/>
      <w:bookmarkStart w:id="160" w:name="_Toc288556314"/>
      <w:r>
        <w:rPr>
          <w:rFonts w:hint="eastAsia"/>
          <w:color w:val="auto"/>
          <w:highlight w:val="none"/>
        </w:rPr>
        <w:t>2. 技术规范及标准</w:t>
      </w:r>
      <w:bookmarkEnd w:id="157"/>
      <w:bookmarkEnd w:id="158"/>
      <w:bookmarkEnd w:id="159"/>
      <w:bookmarkEnd w:id="160"/>
    </w:p>
    <w:p w14:paraId="6E70982D">
      <w:pPr>
        <w:pStyle w:val="33"/>
        <w:spacing w:line="320" w:lineRule="exact"/>
        <w:rPr>
          <w:rFonts w:hint="eastAsia" w:ascii="Times New Roman" w:hAnsi="Times New Roman"/>
          <w:color w:val="auto"/>
          <w:highlight w:val="none"/>
        </w:rPr>
      </w:pPr>
    </w:p>
    <w:p w14:paraId="7168E036">
      <w:pPr>
        <w:spacing w:line="400" w:lineRule="exact"/>
        <w:ind w:firstLine="420" w:firstLineChars="200"/>
        <w:rPr>
          <w:rFonts w:hint="eastAsia"/>
          <w:color w:val="auto"/>
          <w:highlight w:val="none"/>
        </w:rPr>
      </w:pPr>
      <w:r>
        <w:rPr>
          <w:rFonts w:hint="eastAsia"/>
          <w:color w:val="auto"/>
          <w:highlight w:val="none"/>
        </w:rPr>
        <w:t xml:space="preserve">2.1 </w:t>
      </w:r>
      <w:r>
        <w:rPr>
          <w:color w:val="auto"/>
          <w:highlight w:val="none"/>
        </w:rPr>
        <w:t>依据设计施工图纸和技术文件要求，本工程项目的材料、设备、施工必须达到以下现行中华人民共和国及省、市、行业的一切有关法规、规范的要求，如下述标准及规范要求有出入则以较严格者</w:t>
      </w:r>
      <w:r>
        <w:rPr>
          <w:rFonts w:hint="eastAsia"/>
          <w:color w:val="auto"/>
          <w:highlight w:val="none"/>
        </w:rPr>
        <w:t>或最新标准</w:t>
      </w:r>
      <w:r>
        <w:rPr>
          <w:color w:val="auto"/>
          <w:highlight w:val="none"/>
        </w:rPr>
        <w:t>为准。</w:t>
      </w:r>
    </w:p>
    <w:p w14:paraId="697C2AB5">
      <w:pPr>
        <w:pStyle w:val="33"/>
        <w:spacing w:line="400" w:lineRule="exact"/>
        <w:rPr>
          <w:rFonts w:hint="eastAsia"/>
          <w:color w:val="auto"/>
          <w:highlight w:val="none"/>
        </w:rPr>
      </w:pPr>
      <w:r>
        <w:rPr>
          <w:rFonts w:hint="eastAsia"/>
          <w:color w:val="auto"/>
          <w:highlight w:val="none"/>
        </w:rPr>
        <w:t>《工程测量标准》GB50026-2020</w:t>
      </w:r>
    </w:p>
    <w:p w14:paraId="20C12EDF">
      <w:pPr>
        <w:pStyle w:val="33"/>
        <w:spacing w:line="400" w:lineRule="exact"/>
        <w:rPr>
          <w:rFonts w:hint="eastAsia"/>
          <w:color w:val="auto"/>
          <w:highlight w:val="none"/>
        </w:rPr>
      </w:pPr>
      <w:r>
        <w:rPr>
          <w:rFonts w:hint="eastAsia"/>
          <w:color w:val="auto"/>
          <w:highlight w:val="none"/>
        </w:rPr>
        <w:t xml:space="preserve"> 《城镇道路工程施工与质量验收规范》CJJ1-2008</w:t>
      </w:r>
    </w:p>
    <w:p w14:paraId="603DD539">
      <w:pPr>
        <w:pStyle w:val="33"/>
        <w:spacing w:line="400" w:lineRule="exact"/>
        <w:rPr>
          <w:rFonts w:hint="eastAsia"/>
          <w:color w:val="auto"/>
          <w:highlight w:val="none"/>
        </w:rPr>
      </w:pPr>
      <w:r>
        <w:rPr>
          <w:rFonts w:hint="eastAsia"/>
          <w:color w:val="auto"/>
          <w:highlight w:val="none"/>
        </w:rPr>
        <w:t xml:space="preserve"> 《给水排水管道工程施工及验收规范》GB50268-2008</w:t>
      </w:r>
    </w:p>
    <w:p w14:paraId="0720CAB8">
      <w:pPr>
        <w:pStyle w:val="33"/>
        <w:spacing w:line="400" w:lineRule="exact"/>
        <w:rPr>
          <w:rFonts w:hint="eastAsia"/>
          <w:color w:val="auto"/>
          <w:highlight w:val="none"/>
        </w:rPr>
      </w:pPr>
      <w:r>
        <w:rPr>
          <w:rFonts w:hint="eastAsia"/>
          <w:color w:val="auto"/>
          <w:highlight w:val="none"/>
        </w:rPr>
        <w:t xml:space="preserve"> 《建筑地面工程施工质量验收规范》GB50209-2002</w:t>
      </w:r>
    </w:p>
    <w:p w14:paraId="56E2A912">
      <w:pPr>
        <w:pStyle w:val="33"/>
        <w:spacing w:line="400" w:lineRule="exact"/>
        <w:rPr>
          <w:rFonts w:hint="eastAsia"/>
          <w:color w:val="auto"/>
          <w:highlight w:val="none"/>
        </w:rPr>
      </w:pPr>
      <w:r>
        <w:rPr>
          <w:rFonts w:hint="eastAsia"/>
          <w:color w:val="auto"/>
          <w:highlight w:val="none"/>
        </w:rPr>
        <w:t xml:space="preserve"> 《建筑基坑支护技术规程》JGJ120-2012</w:t>
      </w:r>
    </w:p>
    <w:p w14:paraId="28823520">
      <w:pPr>
        <w:pStyle w:val="33"/>
        <w:spacing w:line="400" w:lineRule="exact"/>
        <w:rPr>
          <w:rFonts w:hint="eastAsia"/>
          <w:color w:val="auto"/>
          <w:highlight w:val="none"/>
        </w:rPr>
      </w:pPr>
      <w:r>
        <w:rPr>
          <w:rFonts w:hint="eastAsia"/>
          <w:color w:val="auto"/>
          <w:highlight w:val="none"/>
        </w:rPr>
        <w:t xml:space="preserve"> 《建筑地基处理技术规范》JGJ79-2012</w:t>
      </w:r>
    </w:p>
    <w:p w14:paraId="6CB2941D">
      <w:pPr>
        <w:pStyle w:val="33"/>
        <w:spacing w:line="400" w:lineRule="exact"/>
        <w:rPr>
          <w:rFonts w:hint="eastAsia"/>
          <w:color w:val="auto"/>
          <w:highlight w:val="none"/>
        </w:rPr>
      </w:pPr>
      <w:r>
        <w:rPr>
          <w:rFonts w:hint="eastAsia"/>
          <w:color w:val="auto"/>
          <w:highlight w:val="none"/>
        </w:rPr>
        <w:t xml:space="preserve"> 《混凝土结构工程施工质量验收规范》GB50204-2015</w:t>
      </w:r>
    </w:p>
    <w:p w14:paraId="42814249">
      <w:pPr>
        <w:pStyle w:val="33"/>
        <w:spacing w:line="400" w:lineRule="exact"/>
        <w:rPr>
          <w:rFonts w:hint="eastAsia"/>
          <w:color w:val="auto"/>
          <w:highlight w:val="none"/>
        </w:rPr>
      </w:pPr>
      <w:r>
        <w:rPr>
          <w:rFonts w:hint="eastAsia"/>
          <w:color w:val="auto"/>
          <w:highlight w:val="none"/>
        </w:rPr>
        <w:t xml:space="preserve"> 《混凝土质量控制标准》GB50164-2011</w:t>
      </w:r>
    </w:p>
    <w:p w14:paraId="54288463">
      <w:pPr>
        <w:pStyle w:val="33"/>
        <w:spacing w:line="400" w:lineRule="exact"/>
        <w:rPr>
          <w:rFonts w:hint="eastAsia"/>
          <w:color w:val="auto"/>
          <w:highlight w:val="none"/>
        </w:rPr>
      </w:pPr>
      <w:r>
        <w:rPr>
          <w:rFonts w:hint="eastAsia"/>
          <w:color w:val="auto"/>
          <w:highlight w:val="none"/>
        </w:rPr>
        <w:t xml:space="preserve"> 《普通混凝土用砂、石质量及检验方法标准》JGJ52-2006</w:t>
      </w:r>
    </w:p>
    <w:p w14:paraId="1F867A6C">
      <w:pPr>
        <w:pStyle w:val="33"/>
        <w:spacing w:line="400" w:lineRule="exact"/>
        <w:rPr>
          <w:rFonts w:hint="eastAsia"/>
          <w:color w:val="auto"/>
          <w:highlight w:val="none"/>
        </w:rPr>
      </w:pPr>
      <w:r>
        <w:rPr>
          <w:rFonts w:hint="eastAsia"/>
          <w:color w:val="auto"/>
          <w:highlight w:val="none"/>
        </w:rPr>
        <w:t xml:space="preserve"> 《混凝土外加剂应用技术规范》GB50119-2013</w:t>
      </w:r>
    </w:p>
    <w:p w14:paraId="33554ABF">
      <w:pPr>
        <w:pStyle w:val="33"/>
        <w:spacing w:line="400" w:lineRule="exact"/>
        <w:rPr>
          <w:rFonts w:hint="eastAsia"/>
          <w:color w:val="auto"/>
          <w:highlight w:val="none"/>
        </w:rPr>
      </w:pPr>
      <w:r>
        <w:rPr>
          <w:rFonts w:hint="eastAsia"/>
          <w:color w:val="auto"/>
          <w:highlight w:val="none"/>
        </w:rPr>
        <w:t xml:space="preserve"> 《钢筋机械连接技术规程》JGJ107-2016</w:t>
      </w:r>
    </w:p>
    <w:p w14:paraId="170BFECB">
      <w:pPr>
        <w:pStyle w:val="33"/>
        <w:spacing w:line="400" w:lineRule="exact"/>
        <w:rPr>
          <w:rFonts w:hint="eastAsia"/>
          <w:color w:val="auto"/>
          <w:highlight w:val="none"/>
        </w:rPr>
      </w:pPr>
      <w:r>
        <w:rPr>
          <w:rFonts w:hint="eastAsia"/>
          <w:color w:val="auto"/>
          <w:highlight w:val="none"/>
        </w:rPr>
        <w:t xml:space="preserve"> 《砌体结构工程施工质量验收规范》GB50203-2011</w:t>
      </w:r>
    </w:p>
    <w:p w14:paraId="58AF2D05">
      <w:pPr>
        <w:pStyle w:val="33"/>
        <w:spacing w:line="400" w:lineRule="exact"/>
        <w:rPr>
          <w:rFonts w:hint="eastAsia"/>
          <w:color w:val="auto"/>
          <w:highlight w:val="none"/>
        </w:rPr>
      </w:pPr>
      <w:r>
        <w:rPr>
          <w:rFonts w:hint="eastAsia"/>
          <w:color w:val="auto"/>
          <w:highlight w:val="none"/>
        </w:rPr>
        <w:t xml:space="preserve"> 《屋面工程技术规范》GB50345-2012</w:t>
      </w:r>
    </w:p>
    <w:p w14:paraId="78FDEF6E">
      <w:pPr>
        <w:pStyle w:val="33"/>
        <w:spacing w:line="400" w:lineRule="exact"/>
        <w:rPr>
          <w:rFonts w:hint="eastAsia"/>
          <w:color w:val="auto"/>
          <w:highlight w:val="none"/>
        </w:rPr>
      </w:pPr>
      <w:r>
        <w:rPr>
          <w:rFonts w:hint="eastAsia"/>
          <w:color w:val="auto"/>
          <w:highlight w:val="none"/>
        </w:rPr>
        <w:t xml:space="preserve"> 《建筑钢结构焊接技术规程》JGJ81-2002</w:t>
      </w:r>
    </w:p>
    <w:p w14:paraId="48B8D97A">
      <w:pPr>
        <w:pStyle w:val="33"/>
        <w:spacing w:line="400" w:lineRule="exact"/>
        <w:rPr>
          <w:rFonts w:hint="eastAsia"/>
          <w:color w:val="auto"/>
          <w:highlight w:val="none"/>
        </w:rPr>
      </w:pPr>
      <w:r>
        <w:rPr>
          <w:rFonts w:hint="eastAsia"/>
          <w:color w:val="auto"/>
          <w:highlight w:val="none"/>
        </w:rPr>
        <w:t xml:space="preserve"> 《冷弯薄壁型钢结构技术规范》GB50018-2002</w:t>
      </w:r>
    </w:p>
    <w:p w14:paraId="09C9F836">
      <w:pPr>
        <w:pStyle w:val="33"/>
        <w:spacing w:line="400" w:lineRule="exact"/>
        <w:rPr>
          <w:rFonts w:hint="eastAsia"/>
          <w:color w:val="auto"/>
          <w:highlight w:val="none"/>
        </w:rPr>
      </w:pPr>
      <w:r>
        <w:rPr>
          <w:rFonts w:hint="eastAsia"/>
          <w:color w:val="auto"/>
          <w:highlight w:val="none"/>
        </w:rPr>
        <w:t xml:space="preserve"> 《混凝土结构设计规范》GB50010-2010</w:t>
      </w:r>
    </w:p>
    <w:p w14:paraId="14E647ED">
      <w:pPr>
        <w:pStyle w:val="33"/>
        <w:spacing w:line="400" w:lineRule="exact"/>
        <w:rPr>
          <w:rFonts w:hint="eastAsia"/>
          <w:color w:val="auto"/>
          <w:highlight w:val="none"/>
        </w:rPr>
      </w:pPr>
      <w:r>
        <w:rPr>
          <w:rFonts w:hint="eastAsia"/>
          <w:color w:val="auto"/>
          <w:highlight w:val="none"/>
        </w:rPr>
        <w:t xml:space="preserve"> 《钢结构工程施工质量验收标准》GB50205-2020</w:t>
      </w:r>
    </w:p>
    <w:p w14:paraId="4CB323DE">
      <w:pPr>
        <w:pStyle w:val="33"/>
        <w:spacing w:line="400" w:lineRule="exact"/>
        <w:rPr>
          <w:rFonts w:hint="eastAsia"/>
          <w:color w:val="auto"/>
          <w:highlight w:val="none"/>
        </w:rPr>
      </w:pPr>
      <w:r>
        <w:rPr>
          <w:rFonts w:hint="eastAsia"/>
          <w:color w:val="auto"/>
          <w:highlight w:val="none"/>
        </w:rPr>
        <w:t xml:space="preserve"> 《钢结构防火涂料应用技术规程》CECS24-2020</w:t>
      </w:r>
    </w:p>
    <w:p w14:paraId="6FEBA650">
      <w:pPr>
        <w:pStyle w:val="33"/>
        <w:spacing w:line="400" w:lineRule="exact"/>
        <w:rPr>
          <w:rFonts w:hint="eastAsia"/>
          <w:color w:val="auto"/>
          <w:highlight w:val="none"/>
        </w:rPr>
      </w:pPr>
      <w:r>
        <w:rPr>
          <w:rFonts w:hint="eastAsia"/>
          <w:color w:val="auto"/>
          <w:highlight w:val="none"/>
        </w:rPr>
        <w:t xml:space="preserve"> 《门式刚架轻型房屋钢结构技术规范》GB51022-2015</w:t>
      </w:r>
    </w:p>
    <w:p w14:paraId="0C489000">
      <w:pPr>
        <w:pStyle w:val="33"/>
        <w:spacing w:line="400" w:lineRule="exact"/>
        <w:rPr>
          <w:rFonts w:hint="eastAsia"/>
          <w:color w:val="auto"/>
          <w:highlight w:val="none"/>
        </w:rPr>
      </w:pPr>
      <w:r>
        <w:rPr>
          <w:rFonts w:hint="eastAsia"/>
          <w:color w:val="auto"/>
          <w:highlight w:val="none"/>
        </w:rPr>
        <w:t xml:space="preserve"> 《钢结构高强度螺栓连接技术规程》JGJ82-2011</w:t>
      </w:r>
    </w:p>
    <w:p w14:paraId="620A83CE">
      <w:pPr>
        <w:pStyle w:val="33"/>
        <w:spacing w:line="400" w:lineRule="exact"/>
        <w:rPr>
          <w:rFonts w:hint="eastAsia"/>
          <w:color w:val="auto"/>
          <w:highlight w:val="none"/>
        </w:rPr>
      </w:pPr>
      <w:r>
        <w:rPr>
          <w:rFonts w:hint="eastAsia"/>
          <w:color w:val="auto"/>
          <w:highlight w:val="none"/>
        </w:rPr>
        <w:t xml:space="preserve"> 《涂装前钢材表面锈蚀等级和除锈等级》GB8923.1-2011</w:t>
      </w:r>
    </w:p>
    <w:p w14:paraId="77B35C16">
      <w:pPr>
        <w:pStyle w:val="33"/>
        <w:spacing w:line="400" w:lineRule="exact"/>
        <w:rPr>
          <w:rFonts w:hint="eastAsia"/>
          <w:color w:val="auto"/>
          <w:highlight w:val="none"/>
        </w:rPr>
      </w:pPr>
      <w:r>
        <w:rPr>
          <w:rFonts w:hint="eastAsia"/>
          <w:color w:val="auto"/>
          <w:highlight w:val="none"/>
        </w:rPr>
        <w:t xml:space="preserve"> 《施工现场临时用电安全技术规范》JGJ46-2005</w:t>
      </w:r>
    </w:p>
    <w:p w14:paraId="0D889E60">
      <w:pPr>
        <w:pStyle w:val="33"/>
        <w:spacing w:line="400" w:lineRule="exact"/>
        <w:rPr>
          <w:rFonts w:hint="eastAsia"/>
          <w:color w:val="auto"/>
          <w:highlight w:val="none"/>
        </w:rPr>
      </w:pPr>
      <w:r>
        <w:rPr>
          <w:rFonts w:hint="eastAsia"/>
          <w:color w:val="auto"/>
          <w:highlight w:val="none"/>
        </w:rPr>
        <w:t xml:space="preserve"> 《建筑施工高处作业安全技术规范》JGJ80-2016</w:t>
      </w:r>
    </w:p>
    <w:p w14:paraId="26BC01E1">
      <w:pPr>
        <w:pStyle w:val="33"/>
        <w:spacing w:line="400" w:lineRule="exact"/>
        <w:rPr>
          <w:rFonts w:hint="eastAsia"/>
          <w:color w:val="auto"/>
          <w:highlight w:val="none"/>
        </w:rPr>
      </w:pPr>
      <w:r>
        <w:rPr>
          <w:rFonts w:hint="eastAsia"/>
          <w:color w:val="auto"/>
          <w:highlight w:val="none"/>
        </w:rPr>
        <w:t xml:space="preserve"> 《建筑机械使用安全技术规程》JGJ33-2012</w:t>
      </w:r>
    </w:p>
    <w:p w14:paraId="4C8A4E53">
      <w:pPr>
        <w:pStyle w:val="33"/>
        <w:spacing w:line="400" w:lineRule="exact"/>
        <w:rPr>
          <w:rFonts w:hint="eastAsia"/>
          <w:color w:val="auto"/>
          <w:highlight w:val="none"/>
        </w:rPr>
      </w:pPr>
      <w:r>
        <w:rPr>
          <w:rFonts w:hint="eastAsia"/>
          <w:color w:val="auto"/>
          <w:highlight w:val="none"/>
        </w:rPr>
        <w:t xml:space="preserve"> 《建筑内部装修设计防火规范》GB50222-2017</w:t>
      </w:r>
    </w:p>
    <w:p w14:paraId="4792FE50">
      <w:pPr>
        <w:pStyle w:val="33"/>
        <w:spacing w:line="400" w:lineRule="exact"/>
        <w:rPr>
          <w:rFonts w:hint="eastAsia"/>
          <w:color w:val="auto"/>
          <w:highlight w:val="none"/>
        </w:rPr>
      </w:pPr>
      <w:r>
        <w:rPr>
          <w:rFonts w:hint="eastAsia"/>
          <w:color w:val="auto"/>
          <w:highlight w:val="none"/>
        </w:rPr>
        <w:t xml:space="preserve"> 《建筑装饰装修工程质量验收标准》GB50210-2018</w:t>
      </w:r>
    </w:p>
    <w:p w14:paraId="65FE5122">
      <w:pPr>
        <w:pStyle w:val="33"/>
        <w:spacing w:line="400" w:lineRule="exact"/>
        <w:rPr>
          <w:rFonts w:hint="eastAsia"/>
          <w:color w:val="auto"/>
          <w:highlight w:val="none"/>
        </w:rPr>
      </w:pPr>
      <w:r>
        <w:rPr>
          <w:rFonts w:hint="eastAsia"/>
          <w:color w:val="auto"/>
          <w:highlight w:val="none"/>
        </w:rPr>
        <w:t xml:space="preserve">《民用建筑工程室内环境污染控制标准》GB50325-2020 </w:t>
      </w:r>
    </w:p>
    <w:p w14:paraId="4C4AF41F">
      <w:pPr>
        <w:pStyle w:val="33"/>
        <w:spacing w:line="400" w:lineRule="exact"/>
        <w:rPr>
          <w:rFonts w:hint="eastAsia"/>
          <w:color w:val="auto"/>
          <w:highlight w:val="none"/>
        </w:rPr>
      </w:pPr>
      <w:r>
        <w:rPr>
          <w:rFonts w:hint="eastAsia"/>
          <w:color w:val="auto"/>
          <w:highlight w:val="none"/>
        </w:rPr>
        <w:t xml:space="preserve">《采暖通风与空气调节设计规范》GBJ19-2003 </w:t>
      </w:r>
    </w:p>
    <w:p w14:paraId="628C8CA1">
      <w:pPr>
        <w:pStyle w:val="33"/>
        <w:spacing w:line="400" w:lineRule="exact"/>
        <w:rPr>
          <w:rFonts w:hint="eastAsia"/>
          <w:color w:val="auto"/>
          <w:highlight w:val="none"/>
        </w:rPr>
      </w:pPr>
      <w:r>
        <w:rPr>
          <w:rFonts w:hint="eastAsia"/>
          <w:color w:val="auto"/>
          <w:highlight w:val="none"/>
        </w:rPr>
        <w:t xml:space="preserve">《建筑电气工程施工质量验收规范》GB50303-2015 </w:t>
      </w:r>
    </w:p>
    <w:p w14:paraId="76F0F000">
      <w:pPr>
        <w:pStyle w:val="33"/>
        <w:spacing w:line="400" w:lineRule="exact"/>
        <w:rPr>
          <w:rFonts w:hint="eastAsia"/>
          <w:color w:val="auto"/>
          <w:highlight w:val="none"/>
        </w:rPr>
      </w:pPr>
      <w:r>
        <w:rPr>
          <w:rFonts w:hint="eastAsia"/>
          <w:color w:val="auto"/>
          <w:highlight w:val="none"/>
        </w:rPr>
        <w:t xml:space="preserve">《建筑给水排水及采暖施工质量验收规程》GB50242-2002 </w:t>
      </w:r>
    </w:p>
    <w:p w14:paraId="7C0D81FF">
      <w:pPr>
        <w:pStyle w:val="33"/>
        <w:spacing w:line="400" w:lineRule="exact"/>
        <w:rPr>
          <w:rFonts w:hint="eastAsia"/>
          <w:color w:val="auto"/>
          <w:highlight w:val="none"/>
        </w:rPr>
      </w:pPr>
      <w:r>
        <w:rPr>
          <w:rFonts w:hint="eastAsia"/>
          <w:color w:val="auto"/>
          <w:highlight w:val="none"/>
        </w:rPr>
        <w:t xml:space="preserve">《通风与空调工程施工质量验收规范》GB50243-2016 </w:t>
      </w:r>
    </w:p>
    <w:p w14:paraId="6A050868">
      <w:pPr>
        <w:pStyle w:val="33"/>
        <w:spacing w:line="400" w:lineRule="exact"/>
        <w:rPr>
          <w:rFonts w:hint="eastAsia"/>
          <w:color w:val="auto"/>
          <w:highlight w:val="none"/>
        </w:rPr>
      </w:pPr>
      <w:r>
        <w:rPr>
          <w:rFonts w:hint="eastAsia"/>
          <w:color w:val="auto"/>
          <w:highlight w:val="none"/>
        </w:rPr>
        <w:t xml:space="preserve">《火灾自动报警系统设计规范》GB50116-2013 </w:t>
      </w:r>
    </w:p>
    <w:p w14:paraId="7FD1A97C">
      <w:pPr>
        <w:pStyle w:val="33"/>
        <w:spacing w:line="400" w:lineRule="exact"/>
        <w:rPr>
          <w:rFonts w:hint="eastAsia"/>
          <w:color w:val="auto"/>
          <w:highlight w:val="none"/>
        </w:rPr>
      </w:pPr>
      <w:r>
        <w:rPr>
          <w:rFonts w:hint="eastAsia"/>
          <w:color w:val="auto"/>
          <w:highlight w:val="none"/>
        </w:rPr>
        <w:t xml:space="preserve">《火灾自动报警系统施工及验收标准》GB 50166-2019 </w:t>
      </w:r>
    </w:p>
    <w:p w14:paraId="1495FEB7">
      <w:pPr>
        <w:pStyle w:val="33"/>
        <w:spacing w:line="400" w:lineRule="exact"/>
        <w:rPr>
          <w:rFonts w:hint="eastAsia"/>
          <w:color w:val="auto"/>
          <w:highlight w:val="none"/>
        </w:rPr>
      </w:pPr>
      <w:r>
        <w:rPr>
          <w:rFonts w:hint="eastAsia"/>
          <w:color w:val="auto"/>
          <w:highlight w:val="none"/>
        </w:rPr>
        <w:t xml:space="preserve">《自动喷水灭火系统施工及验收规范》GB 50261-2017 </w:t>
      </w:r>
    </w:p>
    <w:p w14:paraId="2066D58A">
      <w:pPr>
        <w:pStyle w:val="33"/>
        <w:spacing w:line="400" w:lineRule="exact"/>
        <w:rPr>
          <w:rFonts w:hint="eastAsia"/>
          <w:color w:val="auto"/>
          <w:highlight w:val="none"/>
        </w:rPr>
      </w:pPr>
      <w:r>
        <w:rPr>
          <w:rFonts w:hint="eastAsia"/>
          <w:color w:val="auto"/>
          <w:highlight w:val="none"/>
        </w:rPr>
        <w:t xml:space="preserve">《浙江省园林绿化工程施工质量验收规范》 </w:t>
      </w:r>
    </w:p>
    <w:p w14:paraId="0EB0387C">
      <w:pPr>
        <w:pStyle w:val="33"/>
        <w:spacing w:line="400" w:lineRule="exact"/>
        <w:rPr>
          <w:rFonts w:hint="eastAsia"/>
          <w:color w:val="auto"/>
          <w:highlight w:val="none"/>
        </w:rPr>
      </w:pPr>
      <w:r>
        <w:rPr>
          <w:rFonts w:hint="eastAsia"/>
          <w:color w:val="auto"/>
          <w:highlight w:val="none"/>
        </w:rPr>
        <w:t>《浙江省园林绿化技术规程(试行)》DB33/T1009-2001、DB33/T1009.1-2001</w:t>
      </w:r>
    </w:p>
    <w:p w14:paraId="117BBF1C">
      <w:pPr>
        <w:pStyle w:val="33"/>
        <w:spacing w:line="400" w:lineRule="exact"/>
        <w:rPr>
          <w:rFonts w:hint="eastAsia"/>
          <w:color w:val="auto"/>
          <w:highlight w:val="none"/>
        </w:rPr>
      </w:pPr>
      <w:r>
        <w:rPr>
          <w:rFonts w:hint="eastAsia"/>
          <w:color w:val="auto"/>
          <w:highlight w:val="none"/>
        </w:rPr>
        <w:t>……</w:t>
      </w:r>
    </w:p>
    <w:p w14:paraId="6B83E57D">
      <w:pPr>
        <w:pStyle w:val="33"/>
        <w:spacing w:line="400" w:lineRule="exact"/>
        <w:rPr>
          <w:rFonts w:hint="eastAsia" w:ascii="Times New Roman" w:hAnsi="Times New Roman"/>
          <w:color w:val="auto"/>
          <w:highlight w:val="none"/>
        </w:rPr>
      </w:pPr>
      <w:r>
        <w:rPr>
          <w:rFonts w:hint="eastAsia" w:ascii="Times New Roman" w:hAnsi="Times New Roman"/>
          <w:color w:val="auto"/>
          <w:highlight w:val="none"/>
        </w:rPr>
        <w:t>2.2</w:t>
      </w:r>
      <w:r>
        <w:rPr>
          <w:rFonts w:ascii="Times New Roman" w:hAnsi="Times New Roman"/>
          <w:color w:val="auto"/>
          <w:highlight w:val="none"/>
        </w:rPr>
        <w:t>以上技术规范由承包人自备，如有不足之处或未能达到国家最新标准时，承包人应使施工及选用的设备和材料符合最新版本的国家标准、规范。</w:t>
      </w:r>
    </w:p>
    <w:p w14:paraId="3123358D">
      <w:pPr>
        <w:pStyle w:val="33"/>
        <w:rPr>
          <w:rFonts w:hint="eastAsia" w:ascii="Times New Roman" w:hAnsi="Times New Roman"/>
          <w:color w:val="auto"/>
          <w:highlight w:val="none"/>
        </w:rPr>
      </w:pPr>
    </w:p>
    <w:p w14:paraId="11502BF4">
      <w:pPr>
        <w:pStyle w:val="29"/>
        <w:jc w:val="center"/>
        <w:rPr>
          <w:color w:val="auto"/>
          <w:highlight w:val="none"/>
        </w:rPr>
      </w:pPr>
      <w:bookmarkStart w:id="161" w:name="_Toc282596327"/>
      <w:bookmarkStart w:id="162" w:name="_Toc229990372"/>
      <w:bookmarkStart w:id="163" w:name="_Toc148964075"/>
      <w:bookmarkStart w:id="164" w:name="_Toc283976562"/>
      <w:bookmarkStart w:id="165" w:name="_Toc283886272"/>
      <w:bookmarkStart w:id="166" w:name="_Toc394573959"/>
      <w:bookmarkStart w:id="167" w:name="_Toc288556315"/>
      <w:bookmarkStart w:id="168" w:name="_Toc372899889"/>
      <w:r>
        <w:rPr>
          <w:rFonts w:hint="eastAsia"/>
          <w:color w:val="auto"/>
          <w:highlight w:val="none"/>
        </w:rPr>
        <w:t>3</w:t>
      </w:r>
      <w:r>
        <w:rPr>
          <w:color w:val="auto"/>
          <w:highlight w:val="none"/>
        </w:rPr>
        <w:t>．材料质量要求</w:t>
      </w:r>
      <w:bookmarkEnd w:id="161"/>
      <w:bookmarkEnd w:id="162"/>
      <w:bookmarkEnd w:id="163"/>
      <w:bookmarkEnd w:id="164"/>
      <w:bookmarkEnd w:id="165"/>
      <w:bookmarkEnd w:id="166"/>
      <w:bookmarkEnd w:id="167"/>
      <w:bookmarkEnd w:id="168"/>
    </w:p>
    <w:p w14:paraId="2254EBF8">
      <w:pPr>
        <w:pStyle w:val="33"/>
        <w:spacing w:line="320" w:lineRule="exact"/>
        <w:rPr>
          <w:rFonts w:hint="eastAsia" w:ascii="Times New Roman" w:hAnsi="Times New Roman"/>
          <w:color w:val="auto"/>
          <w:highlight w:val="none"/>
        </w:rPr>
      </w:pPr>
    </w:p>
    <w:p w14:paraId="2EE099C1">
      <w:pPr>
        <w:pStyle w:val="33"/>
        <w:spacing w:line="400" w:lineRule="exact"/>
        <w:rPr>
          <w:rFonts w:ascii="Times New Roman" w:hAnsi="Times New Roman"/>
          <w:color w:val="auto"/>
          <w:highlight w:val="none"/>
        </w:rPr>
      </w:pPr>
      <w:r>
        <w:rPr>
          <w:rFonts w:hint="eastAsia" w:ascii="Times New Roman" w:hAnsi="Times New Roman"/>
          <w:color w:val="auto"/>
          <w:highlight w:val="none"/>
        </w:rPr>
        <w:t xml:space="preserve">3.1 </w:t>
      </w:r>
      <w:r>
        <w:rPr>
          <w:rFonts w:ascii="Times New Roman" w:hAnsi="Times New Roman"/>
          <w:color w:val="auto"/>
          <w:highlight w:val="none"/>
        </w:rPr>
        <w:t>材料选择</w:t>
      </w:r>
    </w:p>
    <w:p w14:paraId="2CA1CAB6">
      <w:pPr>
        <w:pStyle w:val="33"/>
        <w:spacing w:line="400" w:lineRule="exact"/>
        <w:rPr>
          <w:rFonts w:hAnsi="宋体" w:cs="Arial"/>
          <w:color w:val="auto"/>
          <w:highlight w:val="none"/>
        </w:rPr>
      </w:pPr>
      <w:r>
        <w:rPr>
          <w:rFonts w:hint="eastAsia" w:ascii="Times New Roman" w:hAnsi="Times New Roman"/>
          <w:color w:val="auto"/>
          <w:highlight w:val="none"/>
        </w:rPr>
        <w:t>（1）</w:t>
      </w:r>
      <w:r>
        <w:rPr>
          <w:rFonts w:hint="eastAsia" w:hAnsi="宋体" w:cs="Arial"/>
          <w:color w:val="auto"/>
          <w:highlight w:val="none"/>
        </w:rPr>
        <w:t>本章节附件为“主要设备材料备选品牌一览表”，投标人在投标时必须按招标文件表中所列的备选品牌之一进行报价。</w:t>
      </w:r>
    </w:p>
    <w:p w14:paraId="32B1CE63">
      <w:pPr>
        <w:pStyle w:val="33"/>
        <w:spacing w:line="400" w:lineRule="exact"/>
        <w:rPr>
          <w:rFonts w:ascii="Times New Roman" w:hAnsi="Times New Roman"/>
          <w:color w:val="auto"/>
          <w:highlight w:val="none"/>
        </w:rPr>
      </w:pPr>
      <w:r>
        <w:rPr>
          <w:rFonts w:hint="eastAsia" w:ascii="Times New Roman" w:hAnsi="Times New Roman"/>
          <w:color w:val="auto"/>
          <w:highlight w:val="none"/>
        </w:rPr>
        <w:t>（2）</w:t>
      </w:r>
      <w:r>
        <w:rPr>
          <w:rFonts w:ascii="Times New Roman" w:hAnsi="Times New Roman"/>
          <w:color w:val="auto"/>
          <w:highlight w:val="none"/>
        </w:rPr>
        <w:t>本招标文件涉及的其他主要材料及零星材料，各投标人须根据设计施工图的要求及意图按中高档的用材标准进行选材并报价，所有建筑材料要求采用在行业内有一定知名度的品牌，并符合环保要求，严禁选择不合设计要求的低档材料进行投标报价及组织施工实施。</w:t>
      </w:r>
    </w:p>
    <w:p w14:paraId="5DCF7CF9">
      <w:pPr>
        <w:pStyle w:val="33"/>
        <w:spacing w:line="400" w:lineRule="exact"/>
        <w:rPr>
          <w:rFonts w:ascii="Times New Roman" w:hAnsi="Times New Roman"/>
          <w:color w:val="auto"/>
          <w:highlight w:val="none"/>
        </w:rPr>
      </w:pPr>
      <w:bookmarkStart w:id="169" w:name="_Toc66769198"/>
      <w:r>
        <w:rPr>
          <w:rFonts w:hint="eastAsia" w:ascii="Times New Roman" w:hAnsi="Times New Roman"/>
          <w:color w:val="auto"/>
          <w:highlight w:val="none"/>
        </w:rPr>
        <w:t xml:space="preserve">3.2 </w:t>
      </w:r>
      <w:r>
        <w:rPr>
          <w:rFonts w:ascii="Times New Roman" w:hAnsi="Times New Roman"/>
          <w:color w:val="auto"/>
          <w:highlight w:val="none"/>
        </w:rPr>
        <w:t>材料的质量保证</w:t>
      </w:r>
      <w:bookmarkEnd w:id="169"/>
    </w:p>
    <w:p w14:paraId="73677CF5">
      <w:pPr>
        <w:pStyle w:val="33"/>
        <w:spacing w:line="400" w:lineRule="exact"/>
        <w:rPr>
          <w:rFonts w:ascii="Times New Roman" w:hAnsi="Times New Roman"/>
          <w:color w:val="auto"/>
          <w:highlight w:val="none"/>
        </w:rPr>
      </w:pPr>
      <w:r>
        <w:rPr>
          <w:rFonts w:hint="eastAsia" w:ascii="Times New Roman" w:hAnsi="Times New Roman"/>
          <w:color w:val="auto"/>
          <w:highlight w:val="none"/>
        </w:rPr>
        <w:t>（1）</w:t>
      </w:r>
      <w:r>
        <w:rPr>
          <w:rFonts w:ascii="Times New Roman" w:hAnsi="Times New Roman"/>
          <w:color w:val="auto"/>
          <w:highlight w:val="none"/>
        </w:rPr>
        <w:t>在免费保修期内，</w:t>
      </w:r>
      <w:r>
        <w:rPr>
          <w:rFonts w:hint="eastAsia" w:ascii="Times New Roman" w:hAnsi="Times New Roman"/>
          <w:color w:val="auto"/>
          <w:highlight w:val="none"/>
        </w:rPr>
        <w:t>承包</w:t>
      </w:r>
      <w:r>
        <w:rPr>
          <w:rFonts w:ascii="Times New Roman" w:hAnsi="Times New Roman"/>
          <w:color w:val="auto"/>
          <w:highlight w:val="none"/>
        </w:rPr>
        <w:t>人对有缺陷的部位必须无偿地给予修理与更换，并承担一切由此引起的对</w:t>
      </w:r>
      <w:r>
        <w:rPr>
          <w:rFonts w:hint="eastAsia" w:ascii="Times New Roman" w:hAnsi="Times New Roman"/>
          <w:color w:val="auto"/>
          <w:highlight w:val="none"/>
        </w:rPr>
        <w:t>发包人</w:t>
      </w:r>
      <w:r>
        <w:rPr>
          <w:rFonts w:ascii="Times New Roman" w:hAnsi="Times New Roman"/>
          <w:color w:val="auto"/>
          <w:highlight w:val="none"/>
        </w:rPr>
        <w:t>或第三者的直接损失，除非该缺陷是由于人为破坏或合同规定的不可抗因素造成的损坏。</w:t>
      </w:r>
    </w:p>
    <w:p w14:paraId="3A08A2AB">
      <w:pPr>
        <w:pStyle w:val="33"/>
        <w:spacing w:line="400" w:lineRule="exact"/>
        <w:rPr>
          <w:rFonts w:ascii="Times New Roman" w:hAnsi="Times New Roman"/>
          <w:color w:val="auto"/>
          <w:highlight w:val="none"/>
        </w:rPr>
      </w:pPr>
      <w:r>
        <w:rPr>
          <w:rFonts w:hint="eastAsia" w:ascii="Times New Roman" w:hAnsi="Times New Roman"/>
          <w:color w:val="auto"/>
          <w:highlight w:val="none"/>
        </w:rPr>
        <w:t>（2）承包</w:t>
      </w:r>
      <w:r>
        <w:rPr>
          <w:rFonts w:ascii="Times New Roman" w:hAnsi="Times New Roman"/>
          <w:color w:val="auto"/>
          <w:highlight w:val="none"/>
        </w:rPr>
        <w:t>人必须对所承包的工程的质量负全部责任，其责任不因其他材料生产商提供的保证书而减轻或更改。</w:t>
      </w:r>
    </w:p>
    <w:p w14:paraId="4FC1A836">
      <w:pPr>
        <w:pStyle w:val="33"/>
        <w:spacing w:line="400" w:lineRule="exact"/>
        <w:rPr>
          <w:rFonts w:ascii="Times New Roman" w:hAnsi="Times New Roman"/>
          <w:color w:val="auto"/>
          <w:highlight w:val="none"/>
        </w:rPr>
      </w:pPr>
      <w:r>
        <w:rPr>
          <w:rFonts w:hint="eastAsia" w:ascii="Times New Roman" w:hAnsi="Times New Roman"/>
          <w:color w:val="auto"/>
          <w:highlight w:val="none"/>
        </w:rPr>
        <w:t>（3）</w:t>
      </w:r>
      <w:r>
        <w:rPr>
          <w:rFonts w:ascii="Times New Roman" w:hAnsi="Times New Roman"/>
          <w:color w:val="auto"/>
          <w:highlight w:val="none"/>
        </w:rPr>
        <w:t>材料检验结果证明其有害物质含量指标超标的产品不得在工程上使用。</w:t>
      </w:r>
    </w:p>
    <w:p w14:paraId="77E924B9">
      <w:pPr>
        <w:pStyle w:val="33"/>
        <w:spacing w:line="400" w:lineRule="exact"/>
        <w:rPr>
          <w:rFonts w:ascii="Times New Roman" w:hAnsi="Times New Roman"/>
          <w:color w:val="auto"/>
          <w:highlight w:val="none"/>
        </w:rPr>
      </w:pPr>
      <w:r>
        <w:rPr>
          <w:rFonts w:hint="eastAsia" w:ascii="Times New Roman" w:hAnsi="Times New Roman"/>
          <w:color w:val="auto"/>
          <w:highlight w:val="none"/>
        </w:rPr>
        <w:t xml:space="preserve">3.3 </w:t>
      </w:r>
      <w:r>
        <w:rPr>
          <w:rFonts w:ascii="Times New Roman" w:hAnsi="Times New Roman"/>
          <w:color w:val="auto"/>
          <w:highlight w:val="none"/>
        </w:rPr>
        <w:t>供应要求</w:t>
      </w:r>
    </w:p>
    <w:p w14:paraId="6A336012">
      <w:pPr>
        <w:pStyle w:val="33"/>
        <w:spacing w:line="400" w:lineRule="exact"/>
        <w:rPr>
          <w:rFonts w:ascii="Times New Roman" w:hAnsi="Times New Roman"/>
          <w:color w:val="auto"/>
          <w:highlight w:val="none"/>
        </w:rPr>
      </w:pPr>
      <w:r>
        <w:rPr>
          <w:rFonts w:hint="eastAsia" w:ascii="Times New Roman" w:hAnsi="Times New Roman"/>
          <w:color w:val="auto"/>
          <w:highlight w:val="none"/>
        </w:rPr>
        <w:t>（1）</w:t>
      </w:r>
      <w:r>
        <w:rPr>
          <w:rFonts w:ascii="Times New Roman" w:hAnsi="Times New Roman"/>
          <w:color w:val="auto"/>
          <w:highlight w:val="none"/>
        </w:rPr>
        <w:t>本次招标承包范围内的建筑施工材料均由承包人根据本招标文件、设计图纸和国家有关规定的具体要求进行采购、运输、检验、保管，但</w:t>
      </w:r>
      <w:r>
        <w:rPr>
          <w:rFonts w:hint="eastAsia" w:ascii="Times New Roman" w:hAnsi="Times New Roman"/>
          <w:color w:val="auto"/>
          <w:highlight w:val="none"/>
        </w:rPr>
        <w:t>发包</w:t>
      </w:r>
      <w:r>
        <w:rPr>
          <w:rFonts w:ascii="Times New Roman" w:hAnsi="Times New Roman"/>
          <w:color w:val="auto"/>
          <w:highlight w:val="none"/>
        </w:rPr>
        <w:t>人保留变更和指定材料的权利；所有建筑材料须有产品合格证和质量保证书，应先送样品，样品经设计方、监理方、</w:t>
      </w:r>
      <w:r>
        <w:rPr>
          <w:rFonts w:hint="eastAsia" w:ascii="Times New Roman" w:hAnsi="Times New Roman"/>
          <w:color w:val="auto"/>
          <w:highlight w:val="none"/>
        </w:rPr>
        <w:t>发包</w:t>
      </w:r>
      <w:r>
        <w:rPr>
          <w:rFonts w:ascii="Times New Roman" w:hAnsi="Times New Roman"/>
          <w:color w:val="auto"/>
          <w:highlight w:val="none"/>
        </w:rPr>
        <w:t>人确认与招标要求一致后封存，批量供应时应与样品一致，并经相关部门检验合格后方可使用。</w:t>
      </w:r>
    </w:p>
    <w:p w14:paraId="7E621141">
      <w:pPr>
        <w:pStyle w:val="33"/>
        <w:spacing w:line="400" w:lineRule="exact"/>
        <w:rPr>
          <w:rFonts w:hint="eastAsia" w:ascii="Times New Roman" w:hAnsi="Times New Roman"/>
          <w:color w:val="auto"/>
          <w:highlight w:val="none"/>
        </w:rPr>
      </w:pPr>
      <w:bookmarkStart w:id="170" w:name="_Toc163749454"/>
      <w:bookmarkStart w:id="171" w:name="_Toc66769200"/>
      <w:bookmarkStart w:id="172" w:name="_Toc61168478"/>
      <w:r>
        <w:rPr>
          <w:rFonts w:hint="eastAsia" w:ascii="Times New Roman" w:hAnsi="Times New Roman"/>
          <w:color w:val="auto"/>
          <w:highlight w:val="none"/>
        </w:rPr>
        <w:t>（2）</w:t>
      </w:r>
      <w:r>
        <w:rPr>
          <w:rFonts w:ascii="Times New Roman" w:hAnsi="Times New Roman"/>
          <w:color w:val="auto"/>
          <w:highlight w:val="none"/>
        </w:rPr>
        <w:t>由承包人采购的主要建筑材料，当承包人选定的产品质量达不到设计要求和预期质量目标时，</w:t>
      </w:r>
      <w:r>
        <w:rPr>
          <w:rFonts w:hint="eastAsia" w:ascii="Times New Roman" w:hAnsi="Times New Roman"/>
          <w:color w:val="auto"/>
          <w:highlight w:val="none"/>
        </w:rPr>
        <w:t>发包</w:t>
      </w:r>
      <w:r>
        <w:rPr>
          <w:rFonts w:ascii="Times New Roman" w:hAnsi="Times New Roman"/>
          <w:color w:val="auto"/>
          <w:highlight w:val="none"/>
        </w:rPr>
        <w:t>人保留更换的权利，且中标价不予调整。</w:t>
      </w:r>
      <w:bookmarkEnd w:id="170"/>
      <w:bookmarkEnd w:id="171"/>
      <w:bookmarkEnd w:id="172"/>
    </w:p>
    <w:p w14:paraId="7FAEB13C">
      <w:pPr>
        <w:pStyle w:val="33"/>
        <w:spacing w:line="400" w:lineRule="exact"/>
        <w:rPr>
          <w:rFonts w:hint="eastAsia" w:ascii="Times New Roman" w:hAnsi="Times New Roman"/>
          <w:color w:val="auto"/>
          <w:highlight w:val="none"/>
        </w:rPr>
      </w:pPr>
    </w:p>
    <w:p w14:paraId="2EC46FB9">
      <w:pPr>
        <w:pStyle w:val="29"/>
        <w:jc w:val="center"/>
        <w:rPr>
          <w:color w:val="auto"/>
          <w:highlight w:val="none"/>
        </w:rPr>
      </w:pPr>
      <w:bookmarkStart w:id="173" w:name="_Toc8305389"/>
      <w:bookmarkStart w:id="174" w:name="_Toc16521985"/>
      <w:bookmarkStart w:id="175" w:name="_Toc11121"/>
      <w:bookmarkStart w:id="176" w:name="_Toc148964076"/>
      <w:bookmarkStart w:id="177" w:name="_Toc26660"/>
      <w:bookmarkStart w:id="178" w:name="_Toc3666_WPSOffice_Level2"/>
      <w:bookmarkStart w:id="179" w:name="_Toc3776_WPSOffice_Level2"/>
      <w:bookmarkStart w:id="180" w:name="_Toc4972"/>
      <w:bookmarkStart w:id="181" w:name="_Toc10796_WPSOffice_Level2"/>
      <w:bookmarkStart w:id="182" w:name="_Toc21651_WPSOffice_Level2"/>
      <w:bookmarkStart w:id="183" w:name="_Toc7891"/>
      <w:bookmarkStart w:id="184" w:name="_Toc10894_WPSOffice_Level2"/>
      <w:r>
        <w:rPr>
          <w:rFonts w:hint="eastAsia"/>
          <w:color w:val="auto"/>
          <w:highlight w:val="none"/>
        </w:rPr>
        <w:t>4</w:t>
      </w:r>
      <w:r>
        <w:rPr>
          <w:color w:val="auto"/>
          <w:highlight w:val="none"/>
        </w:rPr>
        <w:t>．工程管理的要求</w:t>
      </w:r>
      <w:bookmarkEnd w:id="173"/>
      <w:bookmarkEnd w:id="174"/>
      <w:bookmarkEnd w:id="175"/>
      <w:bookmarkEnd w:id="176"/>
      <w:bookmarkEnd w:id="177"/>
      <w:bookmarkEnd w:id="178"/>
      <w:bookmarkEnd w:id="179"/>
      <w:bookmarkEnd w:id="180"/>
      <w:bookmarkEnd w:id="181"/>
      <w:bookmarkEnd w:id="182"/>
      <w:bookmarkEnd w:id="183"/>
      <w:bookmarkEnd w:id="184"/>
    </w:p>
    <w:p w14:paraId="0523D5D2">
      <w:pPr>
        <w:pStyle w:val="33"/>
        <w:spacing w:line="320" w:lineRule="exact"/>
        <w:rPr>
          <w:rFonts w:ascii="Times New Roman" w:hAnsi="Times New Roman"/>
          <w:color w:val="auto"/>
          <w:highlight w:val="none"/>
        </w:rPr>
      </w:pPr>
    </w:p>
    <w:p w14:paraId="5BFC1035">
      <w:pPr>
        <w:pStyle w:val="33"/>
        <w:spacing w:line="400" w:lineRule="exact"/>
        <w:rPr>
          <w:rFonts w:ascii="Times New Roman" w:hAnsi="Times New Roman"/>
          <w:color w:val="auto"/>
          <w:highlight w:val="none"/>
        </w:rPr>
      </w:pPr>
      <w:r>
        <w:rPr>
          <w:rFonts w:hint="eastAsia" w:ascii="Times New Roman" w:hAnsi="Times New Roman"/>
          <w:color w:val="auto"/>
          <w:highlight w:val="none"/>
        </w:rPr>
        <w:t xml:space="preserve">4.1 </w:t>
      </w:r>
      <w:r>
        <w:rPr>
          <w:rFonts w:ascii="Times New Roman" w:hAnsi="Times New Roman"/>
          <w:color w:val="auto"/>
          <w:highlight w:val="none"/>
        </w:rPr>
        <w:t>本工程发包范围内的工程项目，未经发包人同意一律不得分包。一经发现立即取消承包资格，作违约处理，并承担由此引起的一切经济损失。</w:t>
      </w:r>
    </w:p>
    <w:p w14:paraId="1D981FE9">
      <w:pPr>
        <w:pStyle w:val="33"/>
        <w:spacing w:line="400" w:lineRule="exact"/>
        <w:rPr>
          <w:rFonts w:hint="eastAsia" w:ascii="Times New Roman" w:hAnsi="Times New Roman"/>
          <w:color w:val="auto"/>
          <w:highlight w:val="none"/>
        </w:rPr>
      </w:pPr>
      <w:r>
        <w:rPr>
          <w:rFonts w:hint="eastAsia" w:ascii="Times New Roman" w:hAnsi="Times New Roman"/>
          <w:color w:val="auto"/>
          <w:highlight w:val="none"/>
        </w:rPr>
        <w:t xml:space="preserve">4.2 </w:t>
      </w:r>
      <w:r>
        <w:rPr>
          <w:rFonts w:ascii="Times New Roman" w:hAnsi="Times New Roman"/>
          <w:color w:val="auto"/>
          <w:highlight w:val="none"/>
        </w:rPr>
        <w:t>承包人应严格按已确认设计图纸和施工技术方案组织施工，并无条件地接受发包人委托的监理单位对施工质量的监督和管理。</w:t>
      </w:r>
    </w:p>
    <w:p w14:paraId="48025D0C">
      <w:pPr>
        <w:pStyle w:val="33"/>
        <w:rPr>
          <w:rFonts w:hint="eastAsia" w:ascii="Times New Roman" w:hAnsi="Times New Roman"/>
          <w:color w:val="auto"/>
          <w:highlight w:val="none"/>
        </w:rPr>
      </w:pPr>
    </w:p>
    <w:p w14:paraId="2202CDC3">
      <w:pPr>
        <w:pStyle w:val="29"/>
        <w:jc w:val="center"/>
        <w:rPr>
          <w:rFonts w:hint="eastAsia"/>
          <w:color w:val="auto"/>
          <w:highlight w:val="none"/>
        </w:rPr>
      </w:pPr>
      <w:bookmarkStart w:id="185" w:name="_Toc394573961"/>
      <w:bookmarkStart w:id="186" w:name="_Toc372899891"/>
      <w:bookmarkStart w:id="187" w:name="_Toc4855_WPSOffice_Level2"/>
      <w:bookmarkStart w:id="188" w:name="_Toc21397_WPSOffice_Level2"/>
      <w:bookmarkStart w:id="189" w:name="_Toc282596329"/>
      <w:bookmarkStart w:id="190" w:name="_Toc229990374"/>
      <w:bookmarkStart w:id="191" w:name="_Toc288556317"/>
      <w:bookmarkStart w:id="192" w:name="_Toc16521986"/>
      <w:bookmarkStart w:id="193" w:name="_Toc283976564"/>
      <w:bookmarkStart w:id="194" w:name="_Toc5042"/>
      <w:bookmarkStart w:id="195" w:name="_Toc8305390"/>
      <w:bookmarkStart w:id="196" w:name="_Toc10595_WPSOffice_Level2"/>
      <w:bookmarkStart w:id="197" w:name="_Toc283886274"/>
      <w:bookmarkStart w:id="198" w:name="_Toc24061"/>
      <w:bookmarkStart w:id="199" w:name="_Toc14581"/>
      <w:bookmarkStart w:id="200" w:name="_Toc148964077"/>
      <w:bookmarkStart w:id="201" w:name="_Toc16423_WPSOffice_Level2"/>
      <w:bookmarkStart w:id="202" w:name="_Toc9799"/>
      <w:bookmarkStart w:id="203" w:name="_Toc14543_WPSOffice_Level2"/>
      <w:r>
        <w:rPr>
          <w:color w:val="auto"/>
          <w:highlight w:val="none"/>
        </w:rPr>
        <w:t>5．其他</w:t>
      </w:r>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p>
    <w:p w14:paraId="216D7084">
      <w:pPr>
        <w:pStyle w:val="33"/>
        <w:spacing w:line="320" w:lineRule="exact"/>
        <w:rPr>
          <w:rFonts w:hint="eastAsia" w:ascii="Times New Roman" w:hAnsi="Times New Roman"/>
          <w:color w:val="auto"/>
          <w:highlight w:val="none"/>
        </w:rPr>
      </w:pPr>
    </w:p>
    <w:p w14:paraId="6F760531">
      <w:pPr>
        <w:pStyle w:val="33"/>
        <w:spacing w:line="320" w:lineRule="exact"/>
        <w:rPr>
          <w:rFonts w:ascii="Times New Roman" w:hAnsi="Times New Roman"/>
          <w:color w:val="auto"/>
          <w:highlight w:val="none"/>
        </w:rPr>
      </w:pPr>
    </w:p>
    <w:p w14:paraId="08A462C0">
      <w:pPr>
        <w:pStyle w:val="33"/>
        <w:spacing w:line="320" w:lineRule="exact"/>
        <w:rPr>
          <w:rFonts w:ascii="Times New Roman" w:hAnsi="Times New Roman"/>
          <w:color w:val="auto"/>
          <w:highlight w:val="none"/>
        </w:rPr>
      </w:pPr>
    </w:p>
    <w:p w14:paraId="4088748D">
      <w:pPr>
        <w:pStyle w:val="33"/>
        <w:spacing w:line="320" w:lineRule="exact"/>
        <w:rPr>
          <w:rFonts w:ascii="Times New Roman" w:hAnsi="Times New Roman"/>
          <w:color w:val="auto"/>
          <w:highlight w:val="none"/>
        </w:rPr>
      </w:pPr>
    </w:p>
    <w:p w14:paraId="371D6CF5">
      <w:pPr>
        <w:pStyle w:val="33"/>
        <w:spacing w:line="320" w:lineRule="exact"/>
        <w:rPr>
          <w:rFonts w:ascii="Times New Roman" w:hAnsi="Times New Roman"/>
          <w:color w:val="auto"/>
          <w:highlight w:val="none"/>
        </w:rPr>
      </w:pPr>
    </w:p>
    <w:p w14:paraId="48AC9DA8">
      <w:pPr>
        <w:pStyle w:val="33"/>
        <w:spacing w:line="320" w:lineRule="exact"/>
        <w:rPr>
          <w:rFonts w:hint="eastAsia" w:ascii="Times New Roman" w:hAnsi="Times New Roman"/>
          <w:color w:val="auto"/>
          <w:highlight w:val="none"/>
        </w:rPr>
      </w:pPr>
    </w:p>
    <w:p w14:paraId="046CE87D">
      <w:pPr>
        <w:pStyle w:val="33"/>
        <w:spacing w:line="320" w:lineRule="exact"/>
        <w:rPr>
          <w:rFonts w:hint="eastAsia" w:ascii="Times New Roman" w:hAnsi="Times New Roman"/>
          <w:color w:val="auto"/>
          <w:highlight w:val="none"/>
        </w:rPr>
      </w:pPr>
    </w:p>
    <w:p w14:paraId="7AF39796">
      <w:pPr>
        <w:pStyle w:val="33"/>
        <w:spacing w:line="320" w:lineRule="exact"/>
        <w:rPr>
          <w:rFonts w:hint="eastAsia" w:ascii="Times New Roman" w:hAnsi="Times New Roman"/>
          <w:color w:val="auto"/>
          <w:highlight w:val="none"/>
        </w:rPr>
      </w:pPr>
    </w:p>
    <w:p w14:paraId="6F02A766">
      <w:pPr>
        <w:pStyle w:val="33"/>
        <w:spacing w:line="320" w:lineRule="exact"/>
        <w:rPr>
          <w:rFonts w:ascii="Times New Roman" w:hAnsi="Times New Roman"/>
          <w:color w:val="auto"/>
          <w:highlight w:val="none"/>
        </w:rPr>
      </w:pPr>
    </w:p>
    <w:p w14:paraId="2BCEF087">
      <w:pPr>
        <w:pStyle w:val="33"/>
        <w:spacing w:line="320" w:lineRule="exact"/>
        <w:rPr>
          <w:rFonts w:ascii="Times New Roman" w:hAnsi="Times New Roman"/>
          <w:color w:val="auto"/>
          <w:highlight w:val="none"/>
        </w:rPr>
      </w:pPr>
    </w:p>
    <w:p w14:paraId="1AF6D2C8">
      <w:pPr>
        <w:pStyle w:val="33"/>
        <w:spacing w:line="320" w:lineRule="exact"/>
        <w:rPr>
          <w:rFonts w:ascii="Times New Roman" w:hAnsi="Times New Roman"/>
          <w:color w:val="auto"/>
          <w:highlight w:val="none"/>
        </w:rPr>
      </w:pPr>
    </w:p>
    <w:p w14:paraId="1427B10F">
      <w:pPr>
        <w:pStyle w:val="33"/>
        <w:spacing w:line="320" w:lineRule="exact"/>
        <w:rPr>
          <w:rFonts w:ascii="Times New Roman" w:hAnsi="Times New Roman"/>
          <w:color w:val="auto"/>
          <w:highlight w:val="none"/>
        </w:rPr>
      </w:pPr>
    </w:p>
    <w:p w14:paraId="1C9D808B">
      <w:pPr>
        <w:pStyle w:val="33"/>
        <w:spacing w:line="320" w:lineRule="exact"/>
        <w:rPr>
          <w:rFonts w:ascii="Times New Roman" w:hAnsi="Times New Roman"/>
          <w:color w:val="auto"/>
          <w:highlight w:val="none"/>
        </w:rPr>
      </w:pPr>
    </w:p>
    <w:p w14:paraId="5C90AC77">
      <w:pPr>
        <w:pStyle w:val="33"/>
        <w:spacing w:line="320" w:lineRule="exact"/>
        <w:rPr>
          <w:rFonts w:ascii="Times New Roman" w:hAnsi="Times New Roman"/>
          <w:color w:val="auto"/>
          <w:highlight w:val="none"/>
        </w:rPr>
      </w:pPr>
    </w:p>
    <w:p w14:paraId="356106C6">
      <w:pPr>
        <w:pStyle w:val="33"/>
        <w:spacing w:line="320" w:lineRule="exact"/>
        <w:rPr>
          <w:rFonts w:ascii="Times New Roman" w:hAnsi="Times New Roman"/>
          <w:color w:val="auto"/>
          <w:highlight w:val="none"/>
        </w:rPr>
      </w:pPr>
    </w:p>
    <w:p w14:paraId="67CA5B5D">
      <w:pPr>
        <w:pStyle w:val="33"/>
        <w:spacing w:line="320" w:lineRule="exact"/>
        <w:rPr>
          <w:rFonts w:ascii="Times New Roman" w:hAnsi="Times New Roman"/>
          <w:color w:val="auto"/>
          <w:highlight w:val="none"/>
        </w:rPr>
      </w:pPr>
    </w:p>
    <w:p w14:paraId="006C8408">
      <w:pPr>
        <w:pStyle w:val="33"/>
        <w:spacing w:line="320" w:lineRule="exact"/>
        <w:rPr>
          <w:rFonts w:ascii="Times New Roman" w:hAnsi="Times New Roman"/>
          <w:color w:val="auto"/>
          <w:highlight w:val="none"/>
        </w:rPr>
      </w:pPr>
    </w:p>
    <w:p w14:paraId="3CACAAAE">
      <w:pPr>
        <w:pStyle w:val="33"/>
        <w:spacing w:line="320" w:lineRule="exact"/>
        <w:rPr>
          <w:rFonts w:ascii="Times New Roman" w:hAnsi="Times New Roman"/>
          <w:color w:val="auto"/>
          <w:highlight w:val="none"/>
        </w:rPr>
      </w:pPr>
    </w:p>
    <w:p w14:paraId="79FE9831">
      <w:pPr>
        <w:pStyle w:val="33"/>
        <w:spacing w:line="320" w:lineRule="exact"/>
        <w:rPr>
          <w:rFonts w:ascii="Times New Roman" w:hAnsi="Times New Roman"/>
          <w:color w:val="auto"/>
          <w:highlight w:val="none"/>
        </w:rPr>
      </w:pPr>
    </w:p>
    <w:p w14:paraId="5AAB6B0B">
      <w:pPr>
        <w:pStyle w:val="33"/>
        <w:spacing w:line="320" w:lineRule="exact"/>
        <w:rPr>
          <w:rFonts w:ascii="Times New Roman" w:hAnsi="Times New Roman"/>
          <w:color w:val="auto"/>
          <w:highlight w:val="none"/>
        </w:rPr>
      </w:pPr>
    </w:p>
    <w:p w14:paraId="0FF25299">
      <w:pPr>
        <w:rPr>
          <w:rFonts w:hint="eastAsia"/>
          <w:color w:val="auto"/>
          <w:highlight w:val="none"/>
        </w:rPr>
      </w:pPr>
      <w:r>
        <w:rPr>
          <w:rFonts w:hint="eastAsia"/>
          <w:color w:val="auto"/>
          <w:highlight w:val="none"/>
        </w:rPr>
        <w:br w:type="page"/>
      </w:r>
    </w:p>
    <w:p w14:paraId="0CE9BFB3">
      <w:pPr>
        <w:spacing w:line="400" w:lineRule="exact"/>
        <w:rPr>
          <w:rFonts w:hint="eastAsia"/>
          <w:color w:val="auto"/>
          <w:highlight w:val="none"/>
        </w:rPr>
      </w:pPr>
      <w:r>
        <w:rPr>
          <w:rFonts w:hint="eastAsia"/>
          <w:color w:val="auto"/>
          <w:highlight w:val="none"/>
        </w:rPr>
        <w:t>附件：主要设备材料备选品牌一览表</w:t>
      </w:r>
    </w:p>
    <w:tbl>
      <w:tblPr>
        <w:tblStyle w:val="17"/>
        <w:tblW w:w="8360" w:type="dxa"/>
        <w:tblInd w:w="78" w:type="dxa"/>
        <w:tblLayout w:type="fixed"/>
        <w:tblCellMar>
          <w:top w:w="0" w:type="dxa"/>
          <w:left w:w="108" w:type="dxa"/>
          <w:bottom w:w="0" w:type="dxa"/>
          <w:right w:w="108" w:type="dxa"/>
        </w:tblCellMar>
      </w:tblPr>
      <w:tblGrid>
        <w:gridCol w:w="580"/>
        <w:gridCol w:w="3261"/>
        <w:gridCol w:w="2970"/>
        <w:gridCol w:w="1549"/>
      </w:tblGrid>
      <w:tr w14:paraId="4CC5AECC">
        <w:tblPrEx>
          <w:tblCellMar>
            <w:top w:w="0" w:type="dxa"/>
            <w:left w:w="108" w:type="dxa"/>
            <w:bottom w:w="0" w:type="dxa"/>
            <w:right w:w="108" w:type="dxa"/>
          </w:tblCellMar>
        </w:tblPrEx>
        <w:trPr>
          <w:trHeight w:val="589" w:hRule="atLeast"/>
        </w:trPr>
        <w:tc>
          <w:tcPr>
            <w:tcW w:w="8360" w:type="dxa"/>
            <w:gridSpan w:val="4"/>
            <w:tcBorders>
              <w:top w:val="nil"/>
              <w:left w:val="nil"/>
              <w:bottom w:val="nil"/>
              <w:right w:val="nil"/>
            </w:tcBorders>
          </w:tcPr>
          <w:p w14:paraId="2802AC33">
            <w:pPr>
              <w:pStyle w:val="8"/>
              <w:jc w:val="center"/>
              <w:rPr>
                <w:rFonts w:ascii="宋体" w:hAnsi="宋体"/>
                <w:b/>
                <w:color w:val="auto"/>
                <w:sz w:val="36"/>
                <w:highlight w:val="none"/>
              </w:rPr>
            </w:pPr>
            <w:r>
              <w:rPr>
                <w:rFonts w:hint="eastAsia" w:ascii="宋体" w:hAnsi="宋体" w:cs="宋体"/>
                <w:b/>
                <w:bCs/>
                <w:color w:val="auto"/>
                <w:kern w:val="0"/>
                <w:sz w:val="36"/>
                <w:szCs w:val="36"/>
                <w:highlight w:val="none"/>
              </w:rPr>
              <w:t>主要设备材料备选品牌一览表</w:t>
            </w:r>
          </w:p>
        </w:tc>
      </w:tr>
      <w:tr w14:paraId="03B7E5BC">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02AD9AF9">
            <w:pPr>
              <w:rPr>
                <w:rFonts w:ascii="宋体" w:hAnsi="宋体"/>
                <w:color w:val="auto"/>
                <w:sz w:val="22"/>
                <w:highlight w:val="none"/>
              </w:rPr>
            </w:pPr>
            <w:r>
              <w:rPr>
                <w:rFonts w:hint="eastAsia" w:ascii="宋体" w:hAnsi="宋体"/>
                <w:color w:val="auto"/>
                <w:sz w:val="22"/>
                <w:highlight w:val="none"/>
              </w:rPr>
              <w:t>序号</w:t>
            </w:r>
          </w:p>
        </w:tc>
        <w:tc>
          <w:tcPr>
            <w:tcW w:w="3261" w:type="dxa"/>
            <w:tcBorders>
              <w:top w:val="single" w:color="auto" w:sz="6" w:space="0"/>
              <w:left w:val="single" w:color="auto" w:sz="6" w:space="0"/>
              <w:bottom w:val="single" w:color="auto" w:sz="6" w:space="0"/>
              <w:right w:val="single" w:color="auto" w:sz="6" w:space="0"/>
            </w:tcBorders>
            <w:vAlign w:val="center"/>
          </w:tcPr>
          <w:p w14:paraId="271BBD19">
            <w:pPr>
              <w:rPr>
                <w:rFonts w:ascii="宋体" w:hAnsi="宋体"/>
                <w:color w:val="auto"/>
                <w:sz w:val="22"/>
                <w:highlight w:val="none"/>
              </w:rPr>
            </w:pPr>
            <w:r>
              <w:rPr>
                <w:rFonts w:hint="eastAsia" w:ascii="宋体" w:hAnsi="宋体"/>
                <w:color w:val="auto"/>
                <w:sz w:val="22"/>
                <w:highlight w:val="none"/>
              </w:rPr>
              <w:t>材料名称</w:t>
            </w:r>
          </w:p>
        </w:tc>
        <w:tc>
          <w:tcPr>
            <w:tcW w:w="2970" w:type="dxa"/>
            <w:tcBorders>
              <w:top w:val="single" w:color="auto" w:sz="6" w:space="0"/>
              <w:left w:val="single" w:color="auto" w:sz="6" w:space="0"/>
              <w:bottom w:val="single" w:color="auto" w:sz="6" w:space="0"/>
              <w:right w:val="single" w:color="auto" w:sz="6" w:space="0"/>
            </w:tcBorders>
            <w:vAlign w:val="center"/>
          </w:tcPr>
          <w:p w14:paraId="0B3E1241">
            <w:pPr>
              <w:rPr>
                <w:rFonts w:ascii="宋体" w:hAnsi="宋体"/>
                <w:color w:val="auto"/>
                <w:sz w:val="22"/>
                <w:highlight w:val="none"/>
              </w:rPr>
            </w:pPr>
            <w:r>
              <w:rPr>
                <w:rFonts w:hint="eastAsia" w:ascii="宋体" w:hAnsi="宋体"/>
                <w:color w:val="auto"/>
                <w:sz w:val="22"/>
                <w:highlight w:val="none"/>
              </w:rPr>
              <w:t>推荐品牌</w:t>
            </w:r>
          </w:p>
        </w:tc>
        <w:tc>
          <w:tcPr>
            <w:tcW w:w="1549" w:type="dxa"/>
            <w:tcBorders>
              <w:top w:val="single" w:color="auto" w:sz="6" w:space="0"/>
              <w:left w:val="single" w:color="auto" w:sz="6" w:space="0"/>
              <w:bottom w:val="single" w:color="auto" w:sz="6" w:space="0"/>
              <w:right w:val="single" w:color="auto" w:sz="6" w:space="0"/>
            </w:tcBorders>
            <w:vAlign w:val="center"/>
          </w:tcPr>
          <w:p w14:paraId="2D45C189">
            <w:pPr>
              <w:rPr>
                <w:rFonts w:ascii="宋体" w:hAnsi="宋体"/>
                <w:color w:val="auto"/>
                <w:sz w:val="22"/>
                <w:highlight w:val="none"/>
              </w:rPr>
            </w:pPr>
            <w:r>
              <w:rPr>
                <w:rFonts w:hint="eastAsia" w:ascii="宋体" w:hAnsi="宋体"/>
                <w:color w:val="auto"/>
                <w:sz w:val="22"/>
                <w:highlight w:val="none"/>
              </w:rPr>
              <w:t>备注</w:t>
            </w:r>
          </w:p>
        </w:tc>
      </w:tr>
      <w:tr w14:paraId="02704AE1">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1081B7EC">
            <w:pPr>
              <w:rPr>
                <w:rFonts w:ascii="宋体" w:hAnsi="宋体"/>
                <w:color w:val="auto"/>
                <w:sz w:val="22"/>
                <w:highlight w:val="none"/>
              </w:rPr>
            </w:pPr>
            <w:r>
              <w:rPr>
                <w:rFonts w:hint="eastAsia" w:ascii="宋体" w:hAnsi="宋体"/>
                <w:color w:val="auto"/>
                <w:sz w:val="22"/>
                <w:highlight w:val="none"/>
              </w:rPr>
              <w:t>1</w:t>
            </w:r>
          </w:p>
        </w:tc>
        <w:tc>
          <w:tcPr>
            <w:tcW w:w="3261" w:type="dxa"/>
            <w:tcBorders>
              <w:top w:val="single" w:color="auto" w:sz="6" w:space="0"/>
              <w:left w:val="single" w:color="auto" w:sz="6" w:space="0"/>
              <w:bottom w:val="single" w:color="auto" w:sz="6" w:space="0"/>
              <w:right w:val="single" w:color="auto" w:sz="6" w:space="0"/>
            </w:tcBorders>
            <w:vAlign w:val="center"/>
          </w:tcPr>
          <w:p w14:paraId="6E611416">
            <w:pPr>
              <w:rPr>
                <w:rFonts w:ascii="宋体" w:hAnsi="宋体"/>
                <w:color w:val="auto"/>
                <w:sz w:val="22"/>
                <w:highlight w:val="none"/>
              </w:rPr>
            </w:pPr>
            <w:r>
              <w:rPr>
                <w:rFonts w:hint="eastAsia" w:ascii="宋体" w:hAnsi="宋体"/>
                <w:color w:val="auto"/>
                <w:sz w:val="22"/>
                <w:highlight w:val="none"/>
              </w:rPr>
              <w:t>钢材</w:t>
            </w:r>
          </w:p>
        </w:tc>
        <w:tc>
          <w:tcPr>
            <w:tcW w:w="2970" w:type="dxa"/>
            <w:tcBorders>
              <w:top w:val="single" w:color="auto" w:sz="6" w:space="0"/>
              <w:left w:val="single" w:color="auto" w:sz="6" w:space="0"/>
              <w:bottom w:val="single" w:color="auto" w:sz="6" w:space="0"/>
              <w:right w:val="single" w:color="auto" w:sz="6" w:space="0"/>
            </w:tcBorders>
            <w:vAlign w:val="center"/>
          </w:tcPr>
          <w:p w14:paraId="3250889B">
            <w:pPr>
              <w:rPr>
                <w:rFonts w:ascii="宋体" w:hAnsi="宋体"/>
                <w:color w:val="auto"/>
                <w:sz w:val="22"/>
                <w:highlight w:val="none"/>
              </w:rPr>
            </w:pPr>
            <w:r>
              <w:rPr>
                <w:rFonts w:hint="eastAsia" w:ascii="宋体" w:hAnsi="宋体"/>
                <w:color w:val="auto"/>
                <w:sz w:val="22"/>
                <w:highlight w:val="none"/>
              </w:rPr>
              <w:t>江苏沙钢、宝钢、杭钢、鞍钢</w:t>
            </w:r>
          </w:p>
        </w:tc>
        <w:tc>
          <w:tcPr>
            <w:tcW w:w="1549" w:type="dxa"/>
            <w:tcBorders>
              <w:top w:val="single" w:color="auto" w:sz="6" w:space="0"/>
              <w:left w:val="single" w:color="auto" w:sz="6" w:space="0"/>
              <w:bottom w:val="single" w:color="auto" w:sz="6" w:space="0"/>
              <w:right w:val="single" w:color="auto" w:sz="6" w:space="0"/>
            </w:tcBorders>
            <w:vAlign w:val="center"/>
          </w:tcPr>
          <w:p w14:paraId="0BCA5EB3">
            <w:pPr>
              <w:rPr>
                <w:rFonts w:ascii="宋体" w:hAnsi="宋体"/>
                <w:color w:val="auto"/>
                <w:sz w:val="22"/>
                <w:highlight w:val="none"/>
              </w:rPr>
            </w:pPr>
            <w:r>
              <w:rPr>
                <w:rFonts w:hint="eastAsia" w:ascii="宋体" w:hAnsi="宋体"/>
                <w:color w:val="auto"/>
                <w:sz w:val="22"/>
                <w:highlight w:val="none"/>
              </w:rPr>
              <w:t>或相当于</w:t>
            </w:r>
          </w:p>
        </w:tc>
      </w:tr>
      <w:tr w14:paraId="2702D4B4">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6EEF12C1">
            <w:pPr>
              <w:rPr>
                <w:rFonts w:ascii="宋体" w:hAnsi="宋体"/>
                <w:color w:val="auto"/>
                <w:sz w:val="22"/>
                <w:highlight w:val="none"/>
              </w:rPr>
            </w:pPr>
            <w:r>
              <w:rPr>
                <w:rFonts w:hint="eastAsia" w:ascii="宋体" w:hAnsi="宋体"/>
                <w:color w:val="auto"/>
                <w:sz w:val="22"/>
                <w:highlight w:val="none"/>
              </w:rPr>
              <w:t>2</w:t>
            </w:r>
          </w:p>
        </w:tc>
        <w:tc>
          <w:tcPr>
            <w:tcW w:w="3261" w:type="dxa"/>
            <w:tcBorders>
              <w:top w:val="single" w:color="auto" w:sz="6" w:space="0"/>
              <w:left w:val="single" w:color="auto" w:sz="6" w:space="0"/>
              <w:bottom w:val="single" w:color="auto" w:sz="6" w:space="0"/>
              <w:right w:val="single" w:color="auto" w:sz="6" w:space="0"/>
            </w:tcBorders>
            <w:vAlign w:val="center"/>
          </w:tcPr>
          <w:p w14:paraId="196B8F39">
            <w:pPr>
              <w:rPr>
                <w:rFonts w:ascii="宋体" w:hAnsi="宋体"/>
                <w:color w:val="auto"/>
                <w:sz w:val="22"/>
                <w:highlight w:val="none"/>
              </w:rPr>
            </w:pPr>
            <w:r>
              <w:rPr>
                <w:rFonts w:hint="eastAsia" w:ascii="宋体" w:hAnsi="宋体"/>
                <w:color w:val="auto"/>
                <w:sz w:val="22"/>
                <w:highlight w:val="none"/>
              </w:rPr>
              <w:t>水泥</w:t>
            </w:r>
          </w:p>
        </w:tc>
        <w:tc>
          <w:tcPr>
            <w:tcW w:w="2970" w:type="dxa"/>
            <w:tcBorders>
              <w:top w:val="single" w:color="auto" w:sz="6" w:space="0"/>
              <w:left w:val="single" w:color="auto" w:sz="6" w:space="0"/>
              <w:bottom w:val="single" w:color="auto" w:sz="6" w:space="0"/>
              <w:right w:val="single" w:color="auto" w:sz="6" w:space="0"/>
            </w:tcBorders>
            <w:vAlign w:val="center"/>
          </w:tcPr>
          <w:p w14:paraId="4E083787">
            <w:pPr>
              <w:rPr>
                <w:rFonts w:ascii="宋体" w:hAnsi="宋体"/>
                <w:color w:val="auto"/>
                <w:sz w:val="22"/>
                <w:highlight w:val="none"/>
              </w:rPr>
            </w:pPr>
            <w:r>
              <w:rPr>
                <w:rFonts w:hint="eastAsia" w:ascii="宋体" w:hAnsi="宋体"/>
                <w:color w:val="auto"/>
                <w:sz w:val="22"/>
                <w:highlight w:val="none"/>
              </w:rPr>
              <w:t>尖峰、三狮、海螺</w:t>
            </w:r>
          </w:p>
        </w:tc>
        <w:tc>
          <w:tcPr>
            <w:tcW w:w="1549" w:type="dxa"/>
            <w:tcBorders>
              <w:top w:val="single" w:color="auto" w:sz="6" w:space="0"/>
              <w:left w:val="single" w:color="auto" w:sz="6" w:space="0"/>
              <w:bottom w:val="single" w:color="auto" w:sz="6" w:space="0"/>
              <w:right w:val="single" w:color="auto" w:sz="6" w:space="0"/>
            </w:tcBorders>
            <w:vAlign w:val="center"/>
          </w:tcPr>
          <w:p w14:paraId="0ECF0E52">
            <w:pPr>
              <w:rPr>
                <w:rFonts w:ascii="宋体" w:hAnsi="宋体"/>
                <w:color w:val="auto"/>
                <w:sz w:val="22"/>
                <w:highlight w:val="none"/>
              </w:rPr>
            </w:pPr>
            <w:r>
              <w:rPr>
                <w:rFonts w:hint="eastAsia" w:ascii="宋体" w:hAnsi="宋体"/>
                <w:color w:val="auto"/>
                <w:sz w:val="22"/>
                <w:highlight w:val="none"/>
              </w:rPr>
              <w:t>或相当于</w:t>
            </w:r>
          </w:p>
        </w:tc>
      </w:tr>
      <w:tr w14:paraId="145684E1">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63A634B6">
            <w:pPr>
              <w:rPr>
                <w:rFonts w:ascii="宋体" w:hAnsi="宋体"/>
                <w:color w:val="auto"/>
                <w:sz w:val="22"/>
                <w:highlight w:val="none"/>
              </w:rPr>
            </w:pPr>
            <w:r>
              <w:rPr>
                <w:rFonts w:hint="eastAsia" w:ascii="宋体" w:hAnsi="宋体"/>
                <w:color w:val="auto"/>
                <w:sz w:val="22"/>
                <w:highlight w:val="none"/>
              </w:rPr>
              <w:t>3</w:t>
            </w:r>
          </w:p>
        </w:tc>
        <w:tc>
          <w:tcPr>
            <w:tcW w:w="3261" w:type="dxa"/>
            <w:tcBorders>
              <w:top w:val="single" w:color="auto" w:sz="6" w:space="0"/>
              <w:left w:val="single" w:color="auto" w:sz="6" w:space="0"/>
              <w:bottom w:val="single" w:color="auto" w:sz="6" w:space="0"/>
              <w:right w:val="single" w:color="auto" w:sz="6" w:space="0"/>
            </w:tcBorders>
            <w:vAlign w:val="center"/>
          </w:tcPr>
          <w:p w14:paraId="7265C1E1">
            <w:pPr>
              <w:rPr>
                <w:rFonts w:ascii="宋体" w:hAnsi="宋体"/>
                <w:color w:val="auto"/>
                <w:sz w:val="22"/>
                <w:highlight w:val="none"/>
              </w:rPr>
            </w:pPr>
            <w:r>
              <w:rPr>
                <w:rFonts w:hint="eastAsia" w:ascii="宋体" w:hAnsi="宋体"/>
                <w:color w:val="auto"/>
                <w:sz w:val="22"/>
                <w:highlight w:val="none"/>
              </w:rPr>
              <w:t>铝合金及五金配件</w:t>
            </w:r>
          </w:p>
        </w:tc>
        <w:tc>
          <w:tcPr>
            <w:tcW w:w="2970" w:type="dxa"/>
            <w:tcBorders>
              <w:top w:val="single" w:color="auto" w:sz="6" w:space="0"/>
              <w:left w:val="single" w:color="auto" w:sz="6" w:space="0"/>
              <w:bottom w:val="single" w:color="auto" w:sz="6" w:space="0"/>
              <w:right w:val="single" w:color="auto" w:sz="6" w:space="0"/>
            </w:tcBorders>
            <w:vAlign w:val="center"/>
          </w:tcPr>
          <w:p w14:paraId="26FE07C4">
            <w:pPr>
              <w:rPr>
                <w:rFonts w:ascii="宋体" w:hAnsi="宋体"/>
                <w:color w:val="auto"/>
                <w:sz w:val="22"/>
                <w:highlight w:val="none"/>
              </w:rPr>
            </w:pPr>
            <w:r>
              <w:rPr>
                <w:rFonts w:hint="eastAsia" w:ascii="宋体" w:hAnsi="宋体"/>
                <w:color w:val="auto"/>
                <w:sz w:val="22"/>
                <w:highlight w:val="none"/>
              </w:rPr>
              <w:t>凤铝、兴发、坚美</w:t>
            </w:r>
          </w:p>
        </w:tc>
        <w:tc>
          <w:tcPr>
            <w:tcW w:w="1549" w:type="dxa"/>
            <w:tcBorders>
              <w:top w:val="single" w:color="auto" w:sz="6" w:space="0"/>
              <w:left w:val="single" w:color="auto" w:sz="6" w:space="0"/>
              <w:bottom w:val="single" w:color="auto" w:sz="6" w:space="0"/>
              <w:right w:val="single" w:color="auto" w:sz="6" w:space="0"/>
            </w:tcBorders>
            <w:vAlign w:val="center"/>
          </w:tcPr>
          <w:p w14:paraId="69AF7156">
            <w:pPr>
              <w:rPr>
                <w:rFonts w:ascii="宋体" w:hAnsi="宋体"/>
                <w:color w:val="auto"/>
                <w:sz w:val="22"/>
                <w:highlight w:val="none"/>
              </w:rPr>
            </w:pPr>
            <w:r>
              <w:rPr>
                <w:rFonts w:hint="eastAsia" w:ascii="宋体" w:hAnsi="宋体"/>
                <w:color w:val="auto"/>
                <w:sz w:val="22"/>
                <w:highlight w:val="none"/>
              </w:rPr>
              <w:t>或相当于</w:t>
            </w:r>
          </w:p>
        </w:tc>
      </w:tr>
      <w:tr w14:paraId="5AB92AFB">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0D9E6EDF">
            <w:pPr>
              <w:widowControl/>
              <w:rPr>
                <w:rFonts w:ascii="宋体" w:hAnsi="宋体"/>
                <w:color w:val="auto"/>
                <w:sz w:val="22"/>
                <w:highlight w:val="none"/>
              </w:rPr>
            </w:pPr>
            <w:r>
              <w:rPr>
                <w:rFonts w:hint="eastAsia" w:ascii="宋体" w:hAnsi="宋体" w:cs="宋体"/>
                <w:color w:val="auto"/>
                <w:kern w:val="0"/>
                <w:szCs w:val="21"/>
                <w:highlight w:val="none"/>
              </w:rPr>
              <w:t>4</w:t>
            </w:r>
          </w:p>
        </w:tc>
        <w:tc>
          <w:tcPr>
            <w:tcW w:w="3261" w:type="dxa"/>
            <w:tcBorders>
              <w:top w:val="single" w:color="auto" w:sz="6" w:space="0"/>
              <w:left w:val="single" w:color="auto" w:sz="6" w:space="0"/>
              <w:bottom w:val="single" w:color="auto" w:sz="6" w:space="0"/>
              <w:right w:val="single" w:color="auto" w:sz="6" w:space="0"/>
            </w:tcBorders>
          </w:tcPr>
          <w:p w14:paraId="679DCE00">
            <w:pPr>
              <w:pStyle w:val="27"/>
              <w:spacing w:before="176"/>
              <w:ind w:right="208"/>
              <w:jc w:val="both"/>
              <w:rPr>
                <w:rFonts w:hAnsi="宋体"/>
                <w:color w:val="auto"/>
                <w:sz w:val="22"/>
                <w:highlight w:val="none"/>
              </w:rPr>
            </w:pPr>
            <w:r>
              <w:rPr>
                <w:color w:val="auto"/>
                <w:sz w:val="21"/>
                <w:highlight w:val="none"/>
              </w:rPr>
              <w:t>玻璃</w:t>
            </w:r>
          </w:p>
        </w:tc>
        <w:tc>
          <w:tcPr>
            <w:tcW w:w="2970" w:type="dxa"/>
            <w:tcBorders>
              <w:top w:val="single" w:color="auto" w:sz="6" w:space="0"/>
              <w:left w:val="single" w:color="auto" w:sz="6" w:space="0"/>
              <w:bottom w:val="single" w:color="auto" w:sz="6" w:space="0"/>
              <w:right w:val="single" w:color="auto" w:sz="6" w:space="0"/>
            </w:tcBorders>
            <w:vAlign w:val="center"/>
          </w:tcPr>
          <w:p w14:paraId="0C64F5F0">
            <w:pPr>
              <w:widowControl/>
              <w:rPr>
                <w:rFonts w:ascii="宋体" w:hAnsi="宋体"/>
                <w:color w:val="auto"/>
                <w:sz w:val="22"/>
                <w:highlight w:val="none"/>
              </w:rPr>
            </w:pPr>
            <w:r>
              <w:rPr>
                <w:color w:val="auto"/>
                <w:highlight w:val="none"/>
              </w:rPr>
              <w:t>南玻、耀皮、杭玻、浙江广一</w:t>
            </w:r>
          </w:p>
        </w:tc>
        <w:tc>
          <w:tcPr>
            <w:tcW w:w="1549" w:type="dxa"/>
            <w:tcBorders>
              <w:top w:val="single" w:color="auto" w:sz="6" w:space="0"/>
              <w:left w:val="single" w:color="auto" w:sz="6" w:space="0"/>
              <w:bottom w:val="single" w:color="auto" w:sz="6" w:space="0"/>
              <w:right w:val="single" w:color="auto" w:sz="6" w:space="0"/>
            </w:tcBorders>
          </w:tcPr>
          <w:p w14:paraId="2E976D85">
            <w:pPr>
              <w:pStyle w:val="27"/>
              <w:spacing w:before="176"/>
              <w:ind w:right="66"/>
              <w:jc w:val="both"/>
              <w:rPr>
                <w:rFonts w:hAnsi="宋体"/>
                <w:color w:val="auto"/>
                <w:sz w:val="22"/>
                <w:highlight w:val="none"/>
              </w:rPr>
            </w:pPr>
            <w:r>
              <w:rPr>
                <w:color w:val="auto"/>
                <w:sz w:val="21"/>
                <w:highlight w:val="none"/>
              </w:rPr>
              <w:t>或相当于</w:t>
            </w:r>
          </w:p>
        </w:tc>
      </w:tr>
      <w:tr w14:paraId="5E103AAA">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36A72884">
            <w:pPr>
              <w:rPr>
                <w:rFonts w:ascii="宋体" w:hAnsi="宋体"/>
                <w:color w:val="auto"/>
                <w:sz w:val="22"/>
                <w:highlight w:val="none"/>
              </w:rPr>
            </w:pPr>
            <w:r>
              <w:rPr>
                <w:rFonts w:hint="eastAsia" w:ascii="宋体" w:hAnsi="宋体"/>
                <w:color w:val="auto"/>
                <w:sz w:val="22"/>
                <w:highlight w:val="none"/>
              </w:rPr>
              <w:t>5</w:t>
            </w:r>
          </w:p>
        </w:tc>
        <w:tc>
          <w:tcPr>
            <w:tcW w:w="3261" w:type="dxa"/>
            <w:tcBorders>
              <w:top w:val="single" w:color="auto" w:sz="6" w:space="0"/>
              <w:left w:val="single" w:color="auto" w:sz="6" w:space="0"/>
              <w:bottom w:val="single" w:color="auto" w:sz="6" w:space="0"/>
              <w:right w:val="single" w:color="auto" w:sz="6" w:space="0"/>
            </w:tcBorders>
            <w:vAlign w:val="center"/>
          </w:tcPr>
          <w:p w14:paraId="1DC71E90">
            <w:pPr>
              <w:rPr>
                <w:rFonts w:ascii="宋体" w:hAnsi="宋体"/>
                <w:color w:val="auto"/>
                <w:sz w:val="22"/>
                <w:highlight w:val="none"/>
              </w:rPr>
            </w:pPr>
            <w:r>
              <w:rPr>
                <w:rFonts w:hint="eastAsia" w:ascii="宋体" w:hAnsi="宋体"/>
                <w:color w:val="auto"/>
                <w:sz w:val="22"/>
                <w:highlight w:val="none"/>
              </w:rPr>
              <w:t>墙面瓷砖、地砖</w:t>
            </w:r>
          </w:p>
        </w:tc>
        <w:tc>
          <w:tcPr>
            <w:tcW w:w="2970" w:type="dxa"/>
            <w:tcBorders>
              <w:top w:val="single" w:color="auto" w:sz="6" w:space="0"/>
              <w:left w:val="single" w:color="auto" w:sz="6" w:space="0"/>
              <w:bottom w:val="single" w:color="auto" w:sz="6" w:space="0"/>
              <w:right w:val="single" w:color="auto" w:sz="6" w:space="0"/>
            </w:tcBorders>
            <w:vAlign w:val="center"/>
          </w:tcPr>
          <w:p w14:paraId="2FD9C4CC">
            <w:pPr>
              <w:rPr>
                <w:rFonts w:ascii="宋体" w:hAnsi="宋体"/>
                <w:color w:val="auto"/>
                <w:sz w:val="22"/>
                <w:highlight w:val="none"/>
              </w:rPr>
            </w:pPr>
            <w:r>
              <w:rPr>
                <w:rFonts w:hint="eastAsia" w:ascii="宋体" w:hAnsi="宋体"/>
                <w:color w:val="auto"/>
                <w:sz w:val="22"/>
                <w:highlight w:val="none"/>
              </w:rPr>
              <w:t>诺贝尔、冠军、尊卓</w:t>
            </w:r>
          </w:p>
        </w:tc>
        <w:tc>
          <w:tcPr>
            <w:tcW w:w="1549" w:type="dxa"/>
            <w:tcBorders>
              <w:top w:val="single" w:color="auto" w:sz="6" w:space="0"/>
              <w:left w:val="single" w:color="auto" w:sz="6" w:space="0"/>
              <w:bottom w:val="single" w:color="auto" w:sz="6" w:space="0"/>
              <w:right w:val="single" w:color="auto" w:sz="6" w:space="0"/>
            </w:tcBorders>
            <w:vAlign w:val="center"/>
          </w:tcPr>
          <w:p w14:paraId="63FFD23E">
            <w:pPr>
              <w:rPr>
                <w:rFonts w:ascii="宋体" w:hAnsi="宋体"/>
                <w:color w:val="auto"/>
                <w:sz w:val="22"/>
                <w:highlight w:val="none"/>
              </w:rPr>
            </w:pPr>
            <w:r>
              <w:rPr>
                <w:rFonts w:hint="eastAsia" w:ascii="宋体" w:hAnsi="宋体"/>
                <w:color w:val="auto"/>
                <w:sz w:val="22"/>
                <w:highlight w:val="none"/>
              </w:rPr>
              <w:t>或相当于</w:t>
            </w:r>
          </w:p>
        </w:tc>
      </w:tr>
      <w:tr w14:paraId="2DC851D6">
        <w:tblPrEx>
          <w:tblCellMar>
            <w:top w:w="0" w:type="dxa"/>
            <w:left w:w="108" w:type="dxa"/>
            <w:bottom w:w="0" w:type="dxa"/>
            <w:right w:w="108" w:type="dxa"/>
          </w:tblCellMar>
        </w:tblPrEx>
        <w:trPr>
          <w:trHeight w:val="769" w:hRule="atLeast"/>
        </w:trPr>
        <w:tc>
          <w:tcPr>
            <w:tcW w:w="580" w:type="dxa"/>
            <w:tcBorders>
              <w:top w:val="single" w:color="auto" w:sz="6" w:space="0"/>
              <w:left w:val="single" w:color="auto" w:sz="6" w:space="0"/>
              <w:bottom w:val="single" w:color="auto" w:sz="6" w:space="0"/>
              <w:right w:val="single" w:color="auto" w:sz="6" w:space="0"/>
            </w:tcBorders>
            <w:vAlign w:val="center"/>
          </w:tcPr>
          <w:p w14:paraId="3F904590">
            <w:pPr>
              <w:rPr>
                <w:rFonts w:ascii="宋体" w:hAnsi="宋体"/>
                <w:color w:val="auto"/>
                <w:sz w:val="22"/>
                <w:highlight w:val="none"/>
              </w:rPr>
            </w:pPr>
            <w:r>
              <w:rPr>
                <w:rFonts w:hint="eastAsia" w:ascii="宋体" w:hAnsi="宋体"/>
                <w:color w:val="auto"/>
                <w:sz w:val="22"/>
                <w:highlight w:val="none"/>
              </w:rPr>
              <w:t>6</w:t>
            </w:r>
          </w:p>
        </w:tc>
        <w:tc>
          <w:tcPr>
            <w:tcW w:w="3261" w:type="dxa"/>
            <w:tcBorders>
              <w:top w:val="single" w:color="auto" w:sz="6" w:space="0"/>
              <w:left w:val="single" w:color="auto" w:sz="6" w:space="0"/>
              <w:bottom w:val="single" w:color="auto" w:sz="6" w:space="0"/>
              <w:right w:val="single" w:color="auto" w:sz="6" w:space="0"/>
            </w:tcBorders>
            <w:vAlign w:val="center"/>
          </w:tcPr>
          <w:p w14:paraId="503BAF3B">
            <w:pPr>
              <w:rPr>
                <w:rFonts w:ascii="宋体" w:hAnsi="宋体"/>
                <w:color w:val="auto"/>
                <w:sz w:val="22"/>
                <w:highlight w:val="none"/>
              </w:rPr>
            </w:pPr>
            <w:r>
              <w:rPr>
                <w:rFonts w:hint="eastAsia" w:ascii="宋体" w:hAnsi="宋体"/>
                <w:color w:val="auto"/>
                <w:sz w:val="22"/>
                <w:highlight w:val="none"/>
              </w:rPr>
              <w:t>油漆、乳胶漆、涂料（反射隔热涂料、真石漆等）、腻子粉</w:t>
            </w:r>
          </w:p>
        </w:tc>
        <w:tc>
          <w:tcPr>
            <w:tcW w:w="2970" w:type="dxa"/>
            <w:tcBorders>
              <w:top w:val="single" w:color="auto" w:sz="6" w:space="0"/>
              <w:left w:val="single" w:color="auto" w:sz="6" w:space="0"/>
              <w:bottom w:val="single" w:color="auto" w:sz="6" w:space="0"/>
              <w:right w:val="single" w:color="auto" w:sz="6" w:space="0"/>
            </w:tcBorders>
            <w:vAlign w:val="center"/>
          </w:tcPr>
          <w:p w14:paraId="080465E8">
            <w:pPr>
              <w:rPr>
                <w:rFonts w:ascii="宋体" w:hAnsi="宋体"/>
                <w:color w:val="auto"/>
                <w:sz w:val="22"/>
                <w:highlight w:val="none"/>
              </w:rPr>
            </w:pPr>
            <w:r>
              <w:rPr>
                <w:rFonts w:hint="eastAsia" w:ascii="宋体" w:hAnsi="宋体"/>
                <w:color w:val="auto"/>
                <w:sz w:val="22"/>
                <w:highlight w:val="none"/>
              </w:rPr>
              <w:t>立邦、多乐士、华润、本杰明</w:t>
            </w:r>
          </w:p>
        </w:tc>
        <w:tc>
          <w:tcPr>
            <w:tcW w:w="1549" w:type="dxa"/>
            <w:tcBorders>
              <w:top w:val="single" w:color="auto" w:sz="6" w:space="0"/>
              <w:left w:val="single" w:color="auto" w:sz="6" w:space="0"/>
              <w:bottom w:val="single" w:color="auto" w:sz="6" w:space="0"/>
              <w:right w:val="single" w:color="auto" w:sz="6" w:space="0"/>
            </w:tcBorders>
            <w:vAlign w:val="center"/>
          </w:tcPr>
          <w:p w14:paraId="69232F61">
            <w:pPr>
              <w:rPr>
                <w:rFonts w:ascii="宋体" w:hAnsi="宋体"/>
                <w:color w:val="auto"/>
                <w:sz w:val="22"/>
                <w:highlight w:val="none"/>
              </w:rPr>
            </w:pPr>
            <w:r>
              <w:rPr>
                <w:rFonts w:hint="eastAsia" w:ascii="宋体" w:hAnsi="宋体"/>
                <w:color w:val="auto"/>
                <w:sz w:val="22"/>
                <w:highlight w:val="none"/>
              </w:rPr>
              <w:t>或相当于</w:t>
            </w:r>
          </w:p>
        </w:tc>
      </w:tr>
      <w:tr w14:paraId="220108C6">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011C54CE">
            <w:pPr>
              <w:rPr>
                <w:rFonts w:ascii="宋体" w:hAnsi="宋体"/>
                <w:color w:val="auto"/>
                <w:sz w:val="22"/>
                <w:highlight w:val="none"/>
              </w:rPr>
            </w:pPr>
            <w:r>
              <w:rPr>
                <w:rFonts w:hint="eastAsia" w:ascii="宋体" w:hAnsi="宋体"/>
                <w:color w:val="auto"/>
                <w:sz w:val="22"/>
                <w:highlight w:val="none"/>
              </w:rPr>
              <w:t>7</w:t>
            </w:r>
          </w:p>
        </w:tc>
        <w:tc>
          <w:tcPr>
            <w:tcW w:w="3261" w:type="dxa"/>
            <w:tcBorders>
              <w:top w:val="single" w:color="auto" w:sz="6" w:space="0"/>
              <w:left w:val="single" w:color="auto" w:sz="6" w:space="0"/>
              <w:bottom w:val="single" w:color="auto" w:sz="6" w:space="0"/>
              <w:right w:val="single" w:color="auto" w:sz="6" w:space="0"/>
            </w:tcBorders>
            <w:vAlign w:val="center"/>
          </w:tcPr>
          <w:p w14:paraId="5A6D5B14">
            <w:pPr>
              <w:rPr>
                <w:rFonts w:ascii="宋体" w:hAnsi="宋体"/>
                <w:color w:val="auto"/>
                <w:sz w:val="22"/>
                <w:highlight w:val="none"/>
              </w:rPr>
            </w:pPr>
            <w:r>
              <w:rPr>
                <w:rFonts w:hint="eastAsia" w:ascii="宋体" w:hAnsi="宋体"/>
                <w:color w:val="auto"/>
                <w:sz w:val="22"/>
                <w:highlight w:val="none"/>
              </w:rPr>
              <w:t>免漆板、细木工板、人造板等板材</w:t>
            </w:r>
          </w:p>
        </w:tc>
        <w:tc>
          <w:tcPr>
            <w:tcW w:w="2970" w:type="dxa"/>
            <w:tcBorders>
              <w:top w:val="single" w:color="auto" w:sz="6" w:space="0"/>
              <w:left w:val="single" w:color="auto" w:sz="6" w:space="0"/>
              <w:bottom w:val="single" w:color="auto" w:sz="6" w:space="0"/>
              <w:right w:val="single" w:color="auto" w:sz="6" w:space="0"/>
            </w:tcBorders>
            <w:vAlign w:val="center"/>
          </w:tcPr>
          <w:p w14:paraId="762CD959">
            <w:pPr>
              <w:rPr>
                <w:rFonts w:ascii="宋体" w:hAnsi="宋体"/>
                <w:color w:val="auto"/>
                <w:sz w:val="22"/>
                <w:highlight w:val="none"/>
              </w:rPr>
            </w:pPr>
            <w:r>
              <w:rPr>
                <w:rFonts w:hint="eastAsia" w:ascii="宋体" w:hAnsi="宋体"/>
                <w:color w:val="auto"/>
                <w:sz w:val="22"/>
                <w:highlight w:val="none"/>
              </w:rPr>
              <w:t>兔宝宝、千年舟、莫干山</w:t>
            </w:r>
          </w:p>
        </w:tc>
        <w:tc>
          <w:tcPr>
            <w:tcW w:w="1549" w:type="dxa"/>
            <w:tcBorders>
              <w:top w:val="single" w:color="auto" w:sz="6" w:space="0"/>
              <w:left w:val="single" w:color="auto" w:sz="6" w:space="0"/>
              <w:bottom w:val="single" w:color="auto" w:sz="6" w:space="0"/>
              <w:right w:val="single" w:color="auto" w:sz="6" w:space="0"/>
            </w:tcBorders>
            <w:vAlign w:val="center"/>
          </w:tcPr>
          <w:p w14:paraId="795A068D">
            <w:pPr>
              <w:rPr>
                <w:rFonts w:ascii="宋体" w:hAnsi="宋体"/>
                <w:color w:val="auto"/>
                <w:sz w:val="22"/>
                <w:highlight w:val="none"/>
              </w:rPr>
            </w:pPr>
            <w:r>
              <w:rPr>
                <w:rFonts w:hint="eastAsia" w:ascii="宋体" w:hAnsi="宋体"/>
                <w:color w:val="auto"/>
                <w:sz w:val="22"/>
                <w:highlight w:val="none"/>
              </w:rPr>
              <w:t>或相当于</w:t>
            </w:r>
          </w:p>
        </w:tc>
      </w:tr>
      <w:tr w14:paraId="4F4DE11B">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539269B7">
            <w:pPr>
              <w:rPr>
                <w:rFonts w:ascii="宋体" w:hAnsi="宋体"/>
                <w:color w:val="auto"/>
                <w:sz w:val="22"/>
                <w:highlight w:val="none"/>
              </w:rPr>
            </w:pPr>
            <w:r>
              <w:rPr>
                <w:rFonts w:hint="eastAsia" w:ascii="宋体" w:hAnsi="宋体"/>
                <w:color w:val="auto"/>
                <w:sz w:val="22"/>
                <w:highlight w:val="none"/>
              </w:rPr>
              <w:t>8</w:t>
            </w:r>
          </w:p>
        </w:tc>
        <w:tc>
          <w:tcPr>
            <w:tcW w:w="3261" w:type="dxa"/>
            <w:tcBorders>
              <w:top w:val="single" w:color="auto" w:sz="6" w:space="0"/>
              <w:left w:val="single" w:color="auto" w:sz="6" w:space="0"/>
              <w:bottom w:val="single" w:color="auto" w:sz="6" w:space="0"/>
              <w:right w:val="single" w:color="auto" w:sz="6" w:space="0"/>
            </w:tcBorders>
            <w:vAlign w:val="center"/>
          </w:tcPr>
          <w:p w14:paraId="2F871B38">
            <w:pPr>
              <w:rPr>
                <w:rFonts w:ascii="宋体" w:hAnsi="宋体"/>
                <w:color w:val="auto"/>
                <w:sz w:val="22"/>
                <w:highlight w:val="none"/>
              </w:rPr>
            </w:pPr>
            <w:r>
              <w:rPr>
                <w:rFonts w:hint="eastAsia" w:ascii="宋体" w:hAnsi="宋体"/>
                <w:color w:val="auto"/>
                <w:sz w:val="22"/>
                <w:highlight w:val="none"/>
              </w:rPr>
              <w:t>挤塑保温板</w:t>
            </w:r>
          </w:p>
        </w:tc>
        <w:tc>
          <w:tcPr>
            <w:tcW w:w="2970" w:type="dxa"/>
            <w:tcBorders>
              <w:top w:val="single" w:color="auto" w:sz="6" w:space="0"/>
              <w:left w:val="single" w:color="auto" w:sz="6" w:space="0"/>
              <w:bottom w:val="single" w:color="auto" w:sz="6" w:space="0"/>
              <w:right w:val="single" w:color="auto" w:sz="6" w:space="0"/>
            </w:tcBorders>
            <w:vAlign w:val="center"/>
          </w:tcPr>
          <w:p w14:paraId="58422948">
            <w:pPr>
              <w:rPr>
                <w:rFonts w:ascii="宋体" w:hAnsi="宋体"/>
                <w:color w:val="auto"/>
                <w:sz w:val="22"/>
                <w:highlight w:val="none"/>
              </w:rPr>
            </w:pPr>
            <w:r>
              <w:rPr>
                <w:rFonts w:hint="eastAsia" w:ascii="宋体" w:hAnsi="宋体"/>
                <w:color w:val="auto"/>
                <w:sz w:val="22"/>
                <w:highlight w:val="none"/>
              </w:rPr>
              <w:t>白云、泰戈、北鹏</w:t>
            </w:r>
          </w:p>
        </w:tc>
        <w:tc>
          <w:tcPr>
            <w:tcW w:w="1549" w:type="dxa"/>
            <w:tcBorders>
              <w:top w:val="single" w:color="auto" w:sz="6" w:space="0"/>
              <w:left w:val="single" w:color="auto" w:sz="6" w:space="0"/>
              <w:bottom w:val="single" w:color="auto" w:sz="6" w:space="0"/>
              <w:right w:val="single" w:color="auto" w:sz="6" w:space="0"/>
            </w:tcBorders>
            <w:vAlign w:val="center"/>
          </w:tcPr>
          <w:p w14:paraId="4F43CD0D">
            <w:pPr>
              <w:rPr>
                <w:rFonts w:ascii="宋体" w:hAnsi="宋体"/>
                <w:color w:val="auto"/>
                <w:sz w:val="22"/>
                <w:highlight w:val="none"/>
              </w:rPr>
            </w:pPr>
            <w:r>
              <w:rPr>
                <w:rFonts w:hint="eastAsia" w:ascii="宋体" w:hAnsi="宋体"/>
                <w:color w:val="auto"/>
                <w:sz w:val="22"/>
                <w:highlight w:val="none"/>
              </w:rPr>
              <w:t>或相当于</w:t>
            </w:r>
          </w:p>
        </w:tc>
      </w:tr>
      <w:tr w14:paraId="1D9B9A93">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1D3C4057">
            <w:pPr>
              <w:rPr>
                <w:rFonts w:ascii="宋体" w:hAnsi="宋体"/>
                <w:color w:val="auto"/>
                <w:sz w:val="22"/>
                <w:highlight w:val="none"/>
              </w:rPr>
            </w:pPr>
            <w:r>
              <w:rPr>
                <w:rFonts w:hint="eastAsia" w:ascii="宋体" w:hAnsi="宋体"/>
                <w:color w:val="auto"/>
                <w:sz w:val="22"/>
                <w:highlight w:val="none"/>
              </w:rPr>
              <w:t>9</w:t>
            </w:r>
          </w:p>
        </w:tc>
        <w:tc>
          <w:tcPr>
            <w:tcW w:w="3261" w:type="dxa"/>
            <w:tcBorders>
              <w:top w:val="single" w:color="auto" w:sz="6" w:space="0"/>
              <w:left w:val="single" w:color="auto" w:sz="6" w:space="0"/>
              <w:bottom w:val="single" w:color="auto" w:sz="6" w:space="0"/>
              <w:right w:val="single" w:color="auto" w:sz="6" w:space="0"/>
            </w:tcBorders>
            <w:vAlign w:val="center"/>
          </w:tcPr>
          <w:p w14:paraId="74A69965">
            <w:pPr>
              <w:rPr>
                <w:rFonts w:ascii="宋体" w:hAnsi="宋体"/>
                <w:color w:val="auto"/>
                <w:sz w:val="22"/>
                <w:highlight w:val="none"/>
              </w:rPr>
            </w:pPr>
            <w:r>
              <w:rPr>
                <w:rFonts w:hint="eastAsia" w:ascii="宋体" w:hAnsi="宋体"/>
                <w:color w:val="auto"/>
                <w:sz w:val="22"/>
                <w:highlight w:val="none"/>
              </w:rPr>
              <w:t>成品木质防火门(含门锁、合页、闭门器、顺位器等所有五金配件)</w:t>
            </w:r>
          </w:p>
        </w:tc>
        <w:tc>
          <w:tcPr>
            <w:tcW w:w="2970" w:type="dxa"/>
            <w:tcBorders>
              <w:top w:val="single" w:color="auto" w:sz="6" w:space="0"/>
              <w:left w:val="single" w:color="auto" w:sz="6" w:space="0"/>
              <w:bottom w:val="single" w:color="auto" w:sz="6" w:space="0"/>
              <w:right w:val="single" w:color="auto" w:sz="6" w:space="0"/>
            </w:tcBorders>
            <w:vAlign w:val="center"/>
          </w:tcPr>
          <w:p w14:paraId="40466CBB">
            <w:pPr>
              <w:rPr>
                <w:rFonts w:ascii="宋体" w:hAnsi="宋体"/>
                <w:color w:val="auto"/>
                <w:sz w:val="22"/>
                <w:highlight w:val="none"/>
              </w:rPr>
            </w:pPr>
            <w:r>
              <w:rPr>
                <w:rFonts w:hint="eastAsia" w:ascii="宋体" w:hAnsi="宋体"/>
                <w:color w:val="auto"/>
                <w:sz w:val="22"/>
                <w:highlight w:val="none"/>
              </w:rPr>
              <w:t>千秋、茗轩、通用、华泰</w:t>
            </w:r>
          </w:p>
        </w:tc>
        <w:tc>
          <w:tcPr>
            <w:tcW w:w="1549" w:type="dxa"/>
            <w:tcBorders>
              <w:top w:val="single" w:color="auto" w:sz="6" w:space="0"/>
              <w:left w:val="single" w:color="auto" w:sz="6" w:space="0"/>
              <w:bottom w:val="single" w:color="auto" w:sz="6" w:space="0"/>
              <w:right w:val="single" w:color="auto" w:sz="6" w:space="0"/>
            </w:tcBorders>
            <w:vAlign w:val="center"/>
          </w:tcPr>
          <w:p w14:paraId="02DBE58C">
            <w:pPr>
              <w:rPr>
                <w:rFonts w:ascii="宋体" w:hAnsi="宋体"/>
                <w:color w:val="auto"/>
                <w:sz w:val="22"/>
                <w:highlight w:val="none"/>
              </w:rPr>
            </w:pPr>
            <w:r>
              <w:rPr>
                <w:rFonts w:hint="eastAsia" w:ascii="宋体" w:hAnsi="宋体"/>
                <w:color w:val="auto"/>
                <w:sz w:val="22"/>
                <w:highlight w:val="none"/>
              </w:rPr>
              <w:t>或相当于</w:t>
            </w:r>
          </w:p>
        </w:tc>
      </w:tr>
      <w:tr w14:paraId="34D71C5D">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647CABF3">
            <w:pPr>
              <w:rPr>
                <w:rFonts w:ascii="宋体" w:hAnsi="宋体"/>
                <w:color w:val="auto"/>
                <w:sz w:val="22"/>
                <w:highlight w:val="none"/>
              </w:rPr>
            </w:pPr>
            <w:r>
              <w:rPr>
                <w:rFonts w:hint="eastAsia" w:ascii="宋体" w:hAnsi="宋体"/>
                <w:color w:val="auto"/>
                <w:sz w:val="22"/>
                <w:highlight w:val="none"/>
              </w:rPr>
              <w:t>10</w:t>
            </w:r>
          </w:p>
        </w:tc>
        <w:tc>
          <w:tcPr>
            <w:tcW w:w="3261" w:type="dxa"/>
            <w:tcBorders>
              <w:top w:val="single" w:color="auto" w:sz="6" w:space="0"/>
              <w:left w:val="single" w:color="auto" w:sz="6" w:space="0"/>
              <w:bottom w:val="single" w:color="auto" w:sz="6" w:space="0"/>
              <w:right w:val="single" w:color="auto" w:sz="6" w:space="0"/>
            </w:tcBorders>
            <w:vAlign w:val="center"/>
          </w:tcPr>
          <w:p w14:paraId="03D268EA">
            <w:pPr>
              <w:rPr>
                <w:rFonts w:ascii="宋体" w:hAnsi="宋体"/>
                <w:color w:val="auto"/>
                <w:sz w:val="22"/>
                <w:highlight w:val="none"/>
              </w:rPr>
            </w:pPr>
            <w:r>
              <w:rPr>
                <w:rFonts w:hint="eastAsia" w:ascii="宋体" w:hAnsi="宋体"/>
                <w:color w:val="auto"/>
                <w:sz w:val="22"/>
                <w:highlight w:val="none"/>
              </w:rPr>
              <w:t>PVC塑料地板</w:t>
            </w:r>
          </w:p>
        </w:tc>
        <w:tc>
          <w:tcPr>
            <w:tcW w:w="2970" w:type="dxa"/>
            <w:tcBorders>
              <w:top w:val="single" w:color="auto" w:sz="6" w:space="0"/>
              <w:left w:val="single" w:color="auto" w:sz="6" w:space="0"/>
              <w:bottom w:val="single" w:color="auto" w:sz="6" w:space="0"/>
              <w:right w:val="single" w:color="auto" w:sz="6" w:space="0"/>
            </w:tcBorders>
            <w:vAlign w:val="center"/>
          </w:tcPr>
          <w:p w14:paraId="3DD68A08">
            <w:pPr>
              <w:rPr>
                <w:rFonts w:ascii="宋体" w:hAnsi="宋体"/>
                <w:color w:val="auto"/>
                <w:sz w:val="22"/>
                <w:highlight w:val="none"/>
              </w:rPr>
            </w:pPr>
            <w:r>
              <w:rPr>
                <w:rFonts w:hint="eastAsia" w:ascii="宋体" w:hAnsi="宋体"/>
                <w:color w:val="auto"/>
                <w:sz w:val="22"/>
                <w:highlight w:val="none"/>
              </w:rPr>
              <w:t>博凯、美莱尔、艾琪尔、LG</w:t>
            </w:r>
          </w:p>
        </w:tc>
        <w:tc>
          <w:tcPr>
            <w:tcW w:w="1549" w:type="dxa"/>
            <w:tcBorders>
              <w:top w:val="single" w:color="auto" w:sz="6" w:space="0"/>
              <w:left w:val="single" w:color="auto" w:sz="6" w:space="0"/>
              <w:bottom w:val="single" w:color="auto" w:sz="6" w:space="0"/>
              <w:right w:val="single" w:color="auto" w:sz="6" w:space="0"/>
            </w:tcBorders>
            <w:vAlign w:val="center"/>
          </w:tcPr>
          <w:p w14:paraId="5DCCFB51">
            <w:pPr>
              <w:rPr>
                <w:rFonts w:ascii="宋体" w:hAnsi="宋体"/>
                <w:color w:val="auto"/>
                <w:sz w:val="22"/>
                <w:highlight w:val="none"/>
              </w:rPr>
            </w:pPr>
            <w:r>
              <w:rPr>
                <w:rFonts w:hint="eastAsia" w:ascii="宋体" w:hAnsi="宋体"/>
                <w:color w:val="auto"/>
                <w:sz w:val="22"/>
                <w:highlight w:val="none"/>
              </w:rPr>
              <w:t>或相当于</w:t>
            </w:r>
          </w:p>
        </w:tc>
      </w:tr>
      <w:tr w14:paraId="6A79B059">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51CCA321">
            <w:pPr>
              <w:rPr>
                <w:rFonts w:ascii="宋体" w:hAnsi="宋体"/>
                <w:color w:val="auto"/>
                <w:sz w:val="22"/>
                <w:highlight w:val="none"/>
              </w:rPr>
            </w:pPr>
            <w:r>
              <w:rPr>
                <w:rFonts w:hint="eastAsia" w:ascii="宋体" w:hAnsi="宋体"/>
                <w:color w:val="auto"/>
                <w:sz w:val="22"/>
                <w:highlight w:val="none"/>
              </w:rPr>
              <w:t>11</w:t>
            </w:r>
          </w:p>
        </w:tc>
        <w:tc>
          <w:tcPr>
            <w:tcW w:w="3261" w:type="dxa"/>
            <w:tcBorders>
              <w:top w:val="single" w:color="auto" w:sz="6" w:space="0"/>
              <w:left w:val="single" w:color="auto" w:sz="6" w:space="0"/>
              <w:bottom w:val="single" w:color="auto" w:sz="6" w:space="0"/>
              <w:right w:val="single" w:color="auto" w:sz="6" w:space="0"/>
            </w:tcBorders>
            <w:vAlign w:val="center"/>
          </w:tcPr>
          <w:p w14:paraId="5687D7E5">
            <w:pPr>
              <w:rPr>
                <w:rFonts w:ascii="宋体" w:hAnsi="宋体"/>
                <w:color w:val="auto"/>
                <w:sz w:val="22"/>
                <w:highlight w:val="none"/>
              </w:rPr>
            </w:pPr>
            <w:r>
              <w:rPr>
                <w:rFonts w:hint="eastAsia" w:ascii="宋体" w:hAnsi="宋体"/>
                <w:color w:val="auto"/>
                <w:sz w:val="22"/>
                <w:highlight w:val="none"/>
              </w:rPr>
              <w:t>防水卷材和防水涂料</w:t>
            </w:r>
          </w:p>
        </w:tc>
        <w:tc>
          <w:tcPr>
            <w:tcW w:w="2970" w:type="dxa"/>
            <w:tcBorders>
              <w:top w:val="single" w:color="auto" w:sz="6" w:space="0"/>
              <w:left w:val="single" w:color="auto" w:sz="6" w:space="0"/>
              <w:bottom w:val="single" w:color="auto" w:sz="6" w:space="0"/>
              <w:right w:val="single" w:color="auto" w:sz="6" w:space="0"/>
            </w:tcBorders>
            <w:vAlign w:val="center"/>
          </w:tcPr>
          <w:p w14:paraId="19D943E9">
            <w:pPr>
              <w:rPr>
                <w:rFonts w:ascii="宋体" w:hAnsi="宋体"/>
                <w:color w:val="auto"/>
                <w:sz w:val="22"/>
                <w:highlight w:val="none"/>
              </w:rPr>
            </w:pPr>
            <w:r>
              <w:rPr>
                <w:rFonts w:hint="eastAsia" w:ascii="宋体" w:hAnsi="宋体"/>
                <w:color w:val="auto"/>
                <w:sz w:val="22"/>
                <w:highlight w:val="none"/>
              </w:rPr>
              <w:t>东方雨虹、科顺、淮坊宇虹</w:t>
            </w:r>
          </w:p>
        </w:tc>
        <w:tc>
          <w:tcPr>
            <w:tcW w:w="1549" w:type="dxa"/>
            <w:tcBorders>
              <w:top w:val="single" w:color="auto" w:sz="6" w:space="0"/>
              <w:left w:val="single" w:color="auto" w:sz="6" w:space="0"/>
              <w:bottom w:val="single" w:color="auto" w:sz="6" w:space="0"/>
              <w:right w:val="single" w:color="auto" w:sz="6" w:space="0"/>
            </w:tcBorders>
            <w:vAlign w:val="center"/>
          </w:tcPr>
          <w:p w14:paraId="4D44B200">
            <w:pPr>
              <w:rPr>
                <w:rFonts w:ascii="宋体" w:hAnsi="宋体"/>
                <w:color w:val="auto"/>
                <w:sz w:val="22"/>
                <w:highlight w:val="none"/>
              </w:rPr>
            </w:pPr>
            <w:r>
              <w:rPr>
                <w:rFonts w:hint="eastAsia" w:ascii="宋体" w:hAnsi="宋体"/>
                <w:color w:val="auto"/>
                <w:sz w:val="22"/>
                <w:highlight w:val="none"/>
              </w:rPr>
              <w:t>或相当于</w:t>
            </w:r>
          </w:p>
        </w:tc>
      </w:tr>
      <w:tr w14:paraId="74278198">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0F39829E">
            <w:pPr>
              <w:rPr>
                <w:rFonts w:ascii="宋体" w:hAnsi="宋体"/>
                <w:color w:val="auto"/>
                <w:sz w:val="22"/>
                <w:highlight w:val="none"/>
              </w:rPr>
            </w:pPr>
            <w:r>
              <w:rPr>
                <w:rFonts w:hint="eastAsia" w:ascii="宋体" w:hAnsi="宋体"/>
                <w:color w:val="auto"/>
                <w:sz w:val="22"/>
                <w:highlight w:val="none"/>
              </w:rPr>
              <w:t>12</w:t>
            </w:r>
          </w:p>
        </w:tc>
        <w:tc>
          <w:tcPr>
            <w:tcW w:w="3261" w:type="dxa"/>
            <w:tcBorders>
              <w:top w:val="single" w:color="auto" w:sz="6" w:space="0"/>
              <w:left w:val="single" w:color="auto" w:sz="6" w:space="0"/>
              <w:bottom w:val="single" w:color="auto" w:sz="6" w:space="0"/>
              <w:right w:val="single" w:color="auto" w:sz="6" w:space="0"/>
            </w:tcBorders>
            <w:vAlign w:val="center"/>
          </w:tcPr>
          <w:p w14:paraId="4E3FC6D2">
            <w:pPr>
              <w:rPr>
                <w:rFonts w:ascii="宋体" w:hAnsi="宋体"/>
                <w:color w:val="auto"/>
                <w:sz w:val="22"/>
                <w:highlight w:val="none"/>
              </w:rPr>
            </w:pPr>
            <w:r>
              <w:rPr>
                <w:rFonts w:hint="eastAsia" w:ascii="宋体" w:hAnsi="宋体"/>
                <w:color w:val="auto"/>
                <w:sz w:val="22"/>
                <w:highlight w:val="none"/>
              </w:rPr>
              <w:t>镀锌钢管、焊接钢管、不锈钢塑管</w:t>
            </w:r>
          </w:p>
        </w:tc>
        <w:tc>
          <w:tcPr>
            <w:tcW w:w="2970" w:type="dxa"/>
            <w:tcBorders>
              <w:top w:val="single" w:color="auto" w:sz="6" w:space="0"/>
              <w:left w:val="single" w:color="auto" w:sz="6" w:space="0"/>
              <w:bottom w:val="single" w:color="auto" w:sz="6" w:space="0"/>
              <w:right w:val="single" w:color="auto" w:sz="6" w:space="0"/>
            </w:tcBorders>
            <w:vAlign w:val="center"/>
          </w:tcPr>
          <w:p w14:paraId="363AA64F">
            <w:pPr>
              <w:rPr>
                <w:rFonts w:ascii="宋体" w:hAnsi="宋体"/>
                <w:color w:val="auto"/>
                <w:sz w:val="22"/>
                <w:highlight w:val="none"/>
              </w:rPr>
            </w:pPr>
            <w:r>
              <w:rPr>
                <w:rFonts w:hint="eastAsia" w:ascii="宋体" w:hAnsi="宋体"/>
                <w:color w:val="auto"/>
                <w:sz w:val="22"/>
                <w:highlight w:val="none"/>
              </w:rPr>
              <w:t>天津利达、浙江金洲、上钢</w:t>
            </w:r>
          </w:p>
        </w:tc>
        <w:tc>
          <w:tcPr>
            <w:tcW w:w="1549" w:type="dxa"/>
            <w:tcBorders>
              <w:top w:val="single" w:color="auto" w:sz="6" w:space="0"/>
              <w:left w:val="single" w:color="auto" w:sz="6" w:space="0"/>
              <w:bottom w:val="single" w:color="auto" w:sz="6" w:space="0"/>
              <w:right w:val="single" w:color="auto" w:sz="6" w:space="0"/>
            </w:tcBorders>
            <w:vAlign w:val="center"/>
          </w:tcPr>
          <w:p w14:paraId="729C854A">
            <w:pPr>
              <w:rPr>
                <w:rFonts w:ascii="宋体" w:hAnsi="宋体"/>
                <w:color w:val="auto"/>
                <w:sz w:val="22"/>
                <w:highlight w:val="none"/>
              </w:rPr>
            </w:pPr>
            <w:r>
              <w:rPr>
                <w:rFonts w:hint="eastAsia" w:ascii="宋体" w:hAnsi="宋体"/>
                <w:color w:val="auto"/>
                <w:sz w:val="22"/>
                <w:highlight w:val="none"/>
              </w:rPr>
              <w:t>或相当于</w:t>
            </w:r>
          </w:p>
        </w:tc>
      </w:tr>
      <w:tr w14:paraId="02164611">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4A49F1CB">
            <w:pPr>
              <w:rPr>
                <w:rFonts w:ascii="宋体" w:hAnsi="宋体"/>
                <w:color w:val="auto"/>
                <w:sz w:val="22"/>
                <w:highlight w:val="none"/>
              </w:rPr>
            </w:pPr>
            <w:r>
              <w:rPr>
                <w:rFonts w:hint="eastAsia" w:ascii="宋体" w:hAnsi="宋体"/>
                <w:color w:val="auto"/>
                <w:sz w:val="22"/>
                <w:highlight w:val="none"/>
              </w:rPr>
              <w:t>13</w:t>
            </w:r>
          </w:p>
        </w:tc>
        <w:tc>
          <w:tcPr>
            <w:tcW w:w="3261" w:type="dxa"/>
            <w:tcBorders>
              <w:top w:val="single" w:color="auto" w:sz="6" w:space="0"/>
              <w:left w:val="single" w:color="auto" w:sz="6" w:space="0"/>
              <w:bottom w:val="single" w:color="auto" w:sz="6" w:space="0"/>
              <w:right w:val="single" w:color="auto" w:sz="6" w:space="0"/>
            </w:tcBorders>
            <w:vAlign w:val="center"/>
          </w:tcPr>
          <w:p w14:paraId="5428BF81">
            <w:pPr>
              <w:rPr>
                <w:rFonts w:ascii="宋体" w:hAnsi="宋体"/>
                <w:color w:val="auto"/>
                <w:sz w:val="22"/>
                <w:highlight w:val="none"/>
              </w:rPr>
            </w:pPr>
            <w:r>
              <w:rPr>
                <w:rFonts w:hint="eastAsia" w:ascii="宋体" w:hAnsi="宋体"/>
                <w:color w:val="auto"/>
                <w:sz w:val="22"/>
                <w:highlight w:val="none"/>
              </w:rPr>
              <w:t>给排水管材</w:t>
            </w:r>
          </w:p>
        </w:tc>
        <w:tc>
          <w:tcPr>
            <w:tcW w:w="2970" w:type="dxa"/>
            <w:tcBorders>
              <w:top w:val="single" w:color="auto" w:sz="6" w:space="0"/>
              <w:left w:val="single" w:color="auto" w:sz="6" w:space="0"/>
              <w:bottom w:val="single" w:color="auto" w:sz="6" w:space="0"/>
              <w:right w:val="single" w:color="auto" w:sz="6" w:space="0"/>
            </w:tcBorders>
            <w:vAlign w:val="center"/>
          </w:tcPr>
          <w:p w14:paraId="328C6090">
            <w:pPr>
              <w:rPr>
                <w:rFonts w:ascii="宋体" w:hAnsi="宋体"/>
                <w:color w:val="auto"/>
                <w:sz w:val="22"/>
                <w:highlight w:val="none"/>
              </w:rPr>
            </w:pPr>
            <w:r>
              <w:rPr>
                <w:rFonts w:hint="eastAsia" w:ascii="宋体" w:hAnsi="宋体"/>
                <w:color w:val="auto"/>
                <w:sz w:val="22"/>
                <w:highlight w:val="none"/>
              </w:rPr>
              <w:t>伟星、公元、中财</w:t>
            </w:r>
          </w:p>
        </w:tc>
        <w:tc>
          <w:tcPr>
            <w:tcW w:w="1549" w:type="dxa"/>
            <w:tcBorders>
              <w:top w:val="single" w:color="auto" w:sz="6" w:space="0"/>
              <w:left w:val="single" w:color="auto" w:sz="6" w:space="0"/>
              <w:bottom w:val="single" w:color="auto" w:sz="6" w:space="0"/>
              <w:right w:val="single" w:color="auto" w:sz="6" w:space="0"/>
            </w:tcBorders>
            <w:vAlign w:val="center"/>
          </w:tcPr>
          <w:p w14:paraId="4164DC52">
            <w:pPr>
              <w:rPr>
                <w:rFonts w:ascii="宋体" w:hAnsi="宋体"/>
                <w:color w:val="auto"/>
                <w:sz w:val="22"/>
                <w:highlight w:val="none"/>
              </w:rPr>
            </w:pPr>
            <w:r>
              <w:rPr>
                <w:rFonts w:hint="eastAsia" w:ascii="宋体" w:hAnsi="宋体"/>
                <w:color w:val="auto"/>
                <w:sz w:val="22"/>
                <w:highlight w:val="none"/>
              </w:rPr>
              <w:t>或相当于</w:t>
            </w:r>
          </w:p>
        </w:tc>
      </w:tr>
      <w:tr w14:paraId="7F8C8F33">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03248924">
            <w:pPr>
              <w:rPr>
                <w:rFonts w:ascii="宋体" w:hAnsi="宋体"/>
                <w:color w:val="auto"/>
                <w:sz w:val="22"/>
                <w:highlight w:val="none"/>
              </w:rPr>
            </w:pPr>
            <w:r>
              <w:rPr>
                <w:rFonts w:hint="eastAsia" w:ascii="宋体" w:hAnsi="宋体"/>
                <w:color w:val="auto"/>
                <w:sz w:val="22"/>
                <w:highlight w:val="none"/>
              </w:rPr>
              <w:t>14</w:t>
            </w:r>
          </w:p>
        </w:tc>
        <w:tc>
          <w:tcPr>
            <w:tcW w:w="3261" w:type="dxa"/>
            <w:tcBorders>
              <w:top w:val="single" w:color="auto" w:sz="6" w:space="0"/>
              <w:left w:val="single" w:color="auto" w:sz="6" w:space="0"/>
              <w:bottom w:val="single" w:color="auto" w:sz="6" w:space="0"/>
              <w:right w:val="single" w:color="auto" w:sz="6" w:space="0"/>
            </w:tcBorders>
            <w:vAlign w:val="center"/>
          </w:tcPr>
          <w:p w14:paraId="781FB508">
            <w:pPr>
              <w:rPr>
                <w:rFonts w:ascii="宋体" w:hAnsi="宋体"/>
                <w:color w:val="auto"/>
                <w:sz w:val="22"/>
                <w:highlight w:val="none"/>
              </w:rPr>
            </w:pPr>
            <w:r>
              <w:rPr>
                <w:rFonts w:hint="eastAsia" w:ascii="宋体" w:hAnsi="宋体"/>
                <w:color w:val="auto"/>
                <w:sz w:val="22"/>
                <w:highlight w:val="none"/>
              </w:rPr>
              <w:t>洁具</w:t>
            </w:r>
          </w:p>
        </w:tc>
        <w:tc>
          <w:tcPr>
            <w:tcW w:w="2970" w:type="dxa"/>
            <w:tcBorders>
              <w:top w:val="single" w:color="auto" w:sz="6" w:space="0"/>
              <w:left w:val="single" w:color="auto" w:sz="6" w:space="0"/>
              <w:bottom w:val="single" w:color="auto" w:sz="6" w:space="0"/>
              <w:right w:val="single" w:color="auto" w:sz="6" w:space="0"/>
            </w:tcBorders>
            <w:vAlign w:val="center"/>
          </w:tcPr>
          <w:p w14:paraId="02C2B0AE">
            <w:pPr>
              <w:rPr>
                <w:rFonts w:ascii="宋体" w:hAnsi="宋体"/>
                <w:color w:val="auto"/>
                <w:sz w:val="22"/>
                <w:highlight w:val="none"/>
              </w:rPr>
            </w:pPr>
            <w:r>
              <w:rPr>
                <w:rFonts w:hint="eastAsia" w:ascii="宋体" w:hAnsi="宋体"/>
                <w:color w:val="auto"/>
                <w:sz w:val="22"/>
                <w:highlight w:val="none"/>
              </w:rPr>
              <w:t>箭牌、恒洁、惠达、安华</w:t>
            </w:r>
          </w:p>
        </w:tc>
        <w:tc>
          <w:tcPr>
            <w:tcW w:w="1549" w:type="dxa"/>
            <w:tcBorders>
              <w:top w:val="single" w:color="auto" w:sz="6" w:space="0"/>
              <w:left w:val="single" w:color="auto" w:sz="6" w:space="0"/>
              <w:bottom w:val="single" w:color="auto" w:sz="6" w:space="0"/>
              <w:right w:val="single" w:color="auto" w:sz="6" w:space="0"/>
            </w:tcBorders>
            <w:vAlign w:val="center"/>
          </w:tcPr>
          <w:p w14:paraId="1947E0E8">
            <w:pPr>
              <w:rPr>
                <w:rFonts w:ascii="宋体" w:hAnsi="宋体"/>
                <w:color w:val="auto"/>
                <w:sz w:val="22"/>
                <w:highlight w:val="none"/>
              </w:rPr>
            </w:pPr>
            <w:r>
              <w:rPr>
                <w:rFonts w:hint="eastAsia" w:ascii="宋体" w:hAnsi="宋体"/>
                <w:color w:val="auto"/>
                <w:sz w:val="22"/>
                <w:highlight w:val="none"/>
              </w:rPr>
              <w:t>或相当于</w:t>
            </w:r>
          </w:p>
        </w:tc>
      </w:tr>
      <w:tr w14:paraId="1787C4E9">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4979AE4B">
            <w:pPr>
              <w:tabs>
                <w:tab w:val="left" w:pos="348"/>
              </w:tabs>
              <w:rPr>
                <w:rFonts w:ascii="宋体" w:hAnsi="宋体"/>
                <w:color w:val="auto"/>
                <w:sz w:val="22"/>
                <w:highlight w:val="none"/>
              </w:rPr>
            </w:pPr>
            <w:r>
              <w:rPr>
                <w:rFonts w:hint="eastAsia" w:ascii="宋体" w:hAnsi="宋体"/>
                <w:color w:val="auto"/>
                <w:sz w:val="22"/>
                <w:highlight w:val="none"/>
              </w:rPr>
              <w:t>15</w:t>
            </w:r>
          </w:p>
        </w:tc>
        <w:tc>
          <w:tcPr>
            <w:tcW w:w="3261" w:type="dxa"/>
            <w:tcBorders>
              <w:top w:val="single" w:color="auto" w:sz="6" w:space="0"/>
              <w:left w:val="single" w:color="auto" w:sz="6" w:space="0"/>
              <w:bottom w:val="single" w:color="auto" w:sz="6" w:space="0"/>
              <w:right w:val="single" w:color="auto" w:sz="6" w:space="0"/>
            </w:tcBorders>
            <w:vAlign w:val="center"/>
          </w:tcPr>
          <w:p w14:paraId="5D14590E">
            <w:pPr>
              <w:rPr>
                <w:rFonts w:ascii="宋体" w:hAnsi="宋体"/>
                <w:color w:val="auto"/>
                <w:sz w:val="22"/>
                <w:highlight w:val="none"/>
              </w:rPr>
            </w:pPr>
            <w:r>
              <w:rPr>
                <w:rFonts w:hint="eastAsia" w:ascii="宋体" w:hAnsi="宋体"/>
                <w:color w:val="auto"/>
                <w:sz w:val="22"/>
                <w:highlight w:val="none"/>
              </w:rPr>
              <w:t>地  漏</w:t>
            </w:r>
          </w:p>
        </w:tc>
        <w:tc>
          <w:tcPr>
            <w:tcW w:w="2970" w:type="dxa"/>
            <w:tcBorders>
              <w:top w:val="single" w:color="auto" w:sz="6" w:space="0"/>
              <w:left w:val="single" w:color="auto" w:sz="6" w:space="0"/>
              <w:bottom w:val="single" w:color="auto" w:sz="6" w:space="0"/>
              <w:right w:val="single" w:color="auto" w:sz="6" w:space="0"/>
            </w:tcBorders>
            <w:vAlign w:val="center"/>
          </w:tcPr>
          <w:p w14:paraId="5A3339C5">
            <w:pPr>
              <w:rPr>
                <w:rFonts w:ascii="宋体" w:hAnsi="宋体"/>
                <w:color w:val="auto"/>
                <w:sz w:val="22"/>
                <w:highlight w:val="none"/>
              </w:rPr>
            </w:pPr>
            <w:r>
              <w:rPr>
                <w:rFonts w:hint="eastAsia" w:ascii="宋体" w:hAnsi="宋体"/>
                <w:color w:val="auto"/>
                <w:sz w:val="22"/>
                <w:highlight w:val="none"/>
              </w:rPr>
              <w:t>永浪、埃美柯、奥雷士</w:t>
            </w:r>
          </w:p>
        </w:tc>
        <w:tc>
          <w:tcPr>
            <w:tcW w:w="1549" w:type="dxa"/>
            <w:tcBorders>
              <w:top w:val="single" w:color="auto" w:sz="6" w:space="0"/>
              <w:left w:val="single" w:color="auto" w:sz="6" w:space="0"/>
              <w:bottom w:val="single" w:color="auto" w:sz="6" w:space="0"/>
              <w:right w:val="single" w:color="auto" w:sz="6" w:space="0"/>
            </w:tcBorders>
            <w:vAlign w:val="center"/>
          </w:tcPr>
          <w:p w14:paraId="37C58692">
            <w:pPr>
              <w:rPr>
                <w:rFonts w:ascii="宋体" w:hAnsi="宋体"/>
                <w:color w:val="auto"/>
                <w:sz w:val="22"/>
                <w:highlight w:val="none"/>
              </w:rPr>
            </w:pPr>
            <w:r>
              <w:rPr>
                <w:rFonts w:hint="eastAsia" w:ascii="宋体" w:hAnsi="宋体"/>
                <w:color w:val="auto"/>
                <w:sz w:val="22"/>
                <w:highlight w:val="none"/>
              </w:rPr>
              <w:t>或相当于</w:t>
            </w:r>
          </w:p>
        </w:tc>
      </w:tr>
      <w:tr w14:paraId="57C2718B">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56CB5CE2">
            <w:pPr>
              <w:rPr>
                <w:rFonts w:ascii="宋体" w:hAnsi="宋体"/>
                <w:color w:val="auto"/>
                <w:sz w:val="22"/>
                <w:highlight w:val="none"/>
              </w:rPr>
            </w:pPr>
            <w:r>
              <w:rPr>
                <w:rFonts w:hint="eastAsia" w:ascii="宋体" w:hAnsi="宋体"/>
                <w:color w:val="auto"/>
                <w:sz w:val="22"/>
                <w:highlight w:val="none"/>
              </w:rPr>
              <w:t>16</w:t>
            </w:r>
          </w:p>
        </w:tc>
        <w:tc>
          <w:tcPr>
            <w:tcW w:w="3261" w:type="dxa"/>
            <w:tcBorders>
              <w:top w:val="single" w:color="auto" w:sz="6" w:space="0"/>
              <w:left w:val="single" w:color="auto" w:sz="6" w:space="0"/>
              <w:bottom w:val="single" w:color="auto" w:sz="6" w:space="0"/>
              <w:right w:val="single" w:color="auto" w:sz="6" w:space="0"/>
            </w:tcBorders>
            <w:vAlign w:val="center"/>
          </w:tcPr>
          <w:p w14:paraId="7DC1C73B">
            <w:pPr>
              <w:rPr>
                <w:rFonts w:ascii="宋体" w:hAnsi="宋体"/>
                <w:color w:val="auto"/>
                <w:sz w:val="22"/>
                <w:highlight w:val="none"/>
              </w:rPr>
            </w:pPr>
            <w:r>
              <w:rPr>
                <w:rFonts w:hint="eastAsia" w:ascii="宋体" w:hAnsi="宋体"/>
                <w:color w:val="auto"/>
                <w:sz w:val="22"/>
                <w:highlight w:val="none"/>
              </w:rPr>
              <w:t>水龙头</w:t>
            </w:r>
          </w:p>
        </w:tc>
        <w:tc>
          <w:tcPr>
            <w:tcW w:w="2970" w:type="dxa"/>
            <w:tcBorders>
              <w:top w:val="single" w:color="auto" w:sz="6" w:space="0"/>
              <w:left w:val="single" w:color="auto" w:sz="6" w:space="0"/>
              <w:bottom w:val="single" w:color="auto" w:sz="6" w:space="0"/>
              <w:right w:val="single" w:color="auto" w:sz="6" w:space="0"/>
            </w:tcBorders>
            <w:vAlign w:val="center"/>
          </w:tcPr>
          <w:p w14:paraId="4A489E1F">
            <w:pPr>
              <w:rPr>
                <w:rFonts w:ascii="宋体" w:hAnsi="宋体"/>
                <w:color w:val="auto"/>
                <w:sz w:val="22"/>
                <w:highlight w:val="none"/>
              </w:rPr>
            </w:pPr>
            <w:r>
              <w:rPr>
                <w:rFonts w:hint="eastAsia" w:ascii="宋体" w:hAnsi="宋体"/>
                <w:color w:val="auto"/>
                <w:sz w:val="22"/>
                <w:highlight w:val="none"/>
              </w:rPr>
              <w:t>箭牌、恒洁、惠达</w:t>
            </w:r>
          </w:p>
        </w:tc>
        <w:tc>
          <w:tcPr>
            <w:tcW w:w="1549" w:type="dxa"/>
            <w:tcBorders>
              <w:top w:val="single" w:color="auto" w:sz="6" w:space="0"/>
              <w:left w:val="single" w:color="auto" w:sz="6" w:space="0"/>
              <w:bottom w:val="single" w:color="auto" w:sz="6" w:space="0"/>
              <w:right w:val="single" w:color="auto" w:sz="6" w:space="0"/>
            </w:tcBorders>
            <w:vAlign w:val="center"/>
          </w:tcPr>
          <w:p w14:paraId="6E938F83">
            <w:pPr>
              <w:rPr>
                <w:rFonts w:ascii="宋体" w:hAnsi="宋体"/>
                <w:color w:val="auto"/>
                <w:sz w:val="22"/>
                <w:highlight w:val="none"/>
              </w:rPr>
            </w:pPr>
            <w:r>
              <w:rPr>
                <w:rFonts w:hint="eastAsia" w:ascii="宋体" w:hAnsi="宋体"/>
                <w:color w:val="auto"/>
                <w:sz w:val="22"/>
                <w:highlight w:val="none"/>
              </w:rPr>
              <w:t>或相当于</w:t>
            </w:r>
          </w:p>
        </w:tc>
      </w:tr>
      <w:tr w14:paraId="227F2704">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317C1C19">
            <w:pPr>
              <w:rPr>
                <w:rFonts w:ascii="宋体" w:hAnsi="宋体"/>
                <w:color w:val="auto"/>
                <w:sz w:val="22"/>
                <w:highlight w:val="none"/>
              </w:rPr>
            </w:pPr>
            <w:r>
              <w:rPr>
                <w:rFonts w:hint="eastAsia" w:ascii="宋体" w:hAnsi="宋体"/>
                <w:color w:val="auto"/>
                <w:sz w:val="22"/>
                <w:highlight w:val="none"/>
              </w:rPr>
              <w:t>17</w:t>
            </w:r>
          </w:p>
        </w:tc>
        <w:tc>
          <w:tcPr>
            <w:tcW w:w="3261" w:type="dxa"/>
            <w:tcBorders>
              <w:top w:val="single" w:color="auto" w:sz="6" w:space="0"/>
              <w:left w:val="single" w:color="auto" w:sz="6" w:space="0"/>
              <w:bottom w:val="single" w:color="auto" w:sz="6" w:space="0"/>
              <w:right w:val="single" w:color="auto" w:sz="6" w:space="0"/>
            </w:tcBorders>
            <w:vAlign w:val="center"/>
          </w:tcPr>
          <w:p w14:paraId="0178B332">
            <w:pPr>
              <w:rPr>
                <w:rFonts w:ascii="宋体" w:hAnsi="宋体"/>
                <w:color w:val="auto"/>
                <w:sz w:val="22"/>
                <w:highlight w:val="none"/>
              </w:rPr>
            </w:pPr>
            <w:r>
              <w:rPr>
                <w:rFonts w:hint="eastAsia" w:ascii="宋体" w:hAnsi="宋体"/>
                <w:color w:val="auto"/>
                <w:sz w:val="22"/>
                <w:highlight w:val="none"/>
              </w:rPr>
              <w:t>配电箱主要开关元气件</w:t>
            </w:r>
          </w:p>
        </w:tc>
        <w:tc>
          <w:tcPr>
            <w:tcW w:w="2970" w:type="dxa"/>
            <w:tcBorders>
              <w:top w:val="single" w:color="auto" w:sz="6" w:space="0"/>
              <w:left w:val="single" w:color="auto" w:sz="6" w:space="0"/>
              <w:bottom w:val="single" w:color="auto" w:sz="6" w:space="0"/>
              <w:right w:val="single" w:color="auto" w:sz="6" w:space="0"/>
            </w:tcBorders>
            <w:vAlign w:val="center"/>
          </w:tcPr>
          <w:p w14:paraId="15BEA69B">
            <w:pPr>
              <w:rPr>
                <w:rFonts w:ascii="宋体" w:hAnsi="宋体"/>
                <w:color w:val="auto"/>
                <w:sz w:val="22"/>
                <w:highlight w:val="none"/>
              </w:rPr>
            </w:pPr>
            <w:r>
              <w:rPr>
                <w:rFonts w:hint="eastAsia" w:ascii="宋体" w:hAnsi="宋体"/>
                <w:color w:val="auto"/>
                <w:sz w:val="22"/>
                <w:highlight w:val="none"/>
              </w:rPr>
              <w:t>常开、正泰、德力西</w:t>
            </w:r>
          </w:p>
        </w:tc>
        <w:tc>
          <w:tcPr>
            <w:tcW w:w="1549" w:type="dxa"/>
            <w:tcBorders>
              <w:top w:val="single" w:color="auto" w:sz="6" w:space="0"/>
              <w:left w:val="single" w:color="auto" w:sz="6" w:space="0"/>
              <w:bottom w:val="single" w:color="auto" w:sz="6" w:space="0"/>
              <w:right w:val="single" w:color="auto" w:sz="6" w:space="0"/>
            </w:tcBorders>
            <w:vAlign w:val="center"/>
          </w:tcPr>
          <w:p w14:paraId="564005D5">
            <w:pPr>
              <w:rPr>
                <w:rFonts w:ascii="宋体" w:hAnsi="宋体"/>
                <w:color w:val="auto"/>
                <w:sz w:val="22"/>
                <w:highlight w:val="none"/>
              </w:rPr>
            </w:pPr>
            <w:r>
              <w:rPr>
                <w:rFonts w:hint="eastAsia" w:ascii="宋体" w:hAnsi="宋体"/>
                <w:color w:val="auto"/>
                <w:sz w:val="22"/>
                <w:highlight w:val="none"/>
              </w:rPr>
              <w:t>或相当于</w:t>
            </w:r>
          </w:p>
        </w:tc>
      </w:tr>
      <w:tr w14:paraId="4283B917">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0C0014BE">
            <w:pPr>
              <w:rPr>
                <w:rFonts w:ascii="宋体" w:hAnsi="宋体"/>
                <w:color w:val="auto"/>
                <w:sz w:val="22"/>
                <w:highlight w:val="none"/>
              </w:rPr>
            </w:pPr>
            <w:r>
              <w:rPr>
                <w:rFonts w:hint="eastAsia" w:ascii="宋体" w:hAnsi="宋体"/>
                <w:color w:val="auto"/>
                <w:sz w:val="22"/>
                <w:highlight w:val="none"/>
              </w:rPr>
              <w:t>18</w:t>
            </w:r>
          </w:p>
        </w:tc>
        <w:tc>
          <w:tcPr>
            <w:tcW w:w="3261" w:type="dxa"/>
            <w:tcBorders>
              <w:top w:val="single" w:color="auto" w:sz="6" w:space="0"/>
              <w:left w:val="single" w:color="auto" w:sz="6" w:space="0"/>
              <w:bottom w:val="single" w:color="auto" w:sz="6" w:space="0"/>
              <w:right w:val="single" w:color="auto" w:sz="6" w:space="0"/>
            </w:tcBorders>
            <w:vAlign w:val="center"/>
          </w:tcPr>
          <w:p w14:paraId="437717AB">
            <w:pPr>
              <w:rPr>
                <w:rFonts w:ascii="宋体" w:hAnsi="宋体"/>
                <w:color w:val="auto"/>
                <w:sz w:val="22"/>
                <w:highlight w:val="none"/>
              </w:rPr>
            </w:pPr>
            <w:r>
              <w:rPr>
                <w:rFonts w:hint="eastAsia" w:ascii="宋体" w:hAnsi="宋体"/>
                <w:color w:val="auto"/>
                <w:sz w:val="22"/>
                <w:highlight w:val="none"/>
              </w:rPr>
              <w:t>电线电缆</w:t>
            </w:r>
          </w:p>
        </w:tc>
        <w:tc>
          <w:tcPr>
            <w:tcW w:w="2970" w:type="dxa"/>
            <w:tcBorders>
              <w:top w:val="single" w:color="auto" w:sz="6" w:space="0"/>
              <w:left w:val="single" w:color="auto" w:sz="6" w:space="0"/>
              <w:bottom w:val="single" w:color="auto" w:sz="6" w:space="0"/>
              <w:right w:val="single" w:color="auto" w:sz="6" w:space="0"/>
            </w:tcBorders>
            <w:vAlign w:val="center"/>
          </w:tcPr>
          <w:p w14:paraId="4211CE27">
            <w:pPr>
              <w:rPr>
                <w:rFonts w:ascii="宋体" w:hAnsi="宋体"/>
                <w:color w:val="auto"/>
                <w:sz w:val="22"/>
                <w:highlight w:val="none"/>
              </w:rPr>
            </w:pPr>
            <w:r>
              <w:rPr>
                <w:rFonts w:hint="eastAsia" w:ascii="宋体" w:hAnsi="宋体"/>
                <w:color w:val="auto"/>
                <w:sz w:val="22"/>
                <w:highlight w:val="none"/>
              </w:rPr>
              <w:t>永通中策、亘古、开开、中大元通</w:t>
            </w:r>
          </w:p>
        </w:tc>
        <w:tc>
          <w:tcPr>
            <w:tcW w:w="1549" w:type="dxa"/>
            <w:tcBorders>
              <w:top w:val="single" w:color="auto" w:sz="6" w:space="0"/>
              <w:left w:val="single" w:color="auto" w:sz="6" w:space="0"/>
              <w:bottom w:val="single" w:color="auto" w:sz="6" w:space="0"/>
              <w:right w:val="single" w:color="auto" w:sz="6" w:space="0"/>
            </w:tcBorders>
            <w:vAlign w:val="center"/>
          </w:tcPr>
          <w:p w14:paraId="0148560F">
            <w:pPr>
              <w:rPr>
                <w:rFonts w:ascii="宋体" w:hAnsi="宋体"/>
                <w:color w:val="auto"/>
                <w:sz w:val="22"/>
                <w:highlight w:val="none"/>
              </w:rPr>
            </w:pPr>
            <w:r>
              <w:rPr>
                <w:rFonts w:hint="eastAsia" w:ascii="宋体" w:hAnsi="宋体"/>
                <w:color w:val="auto"/>
                <w:sz w:val="22"/>
                <w:highlight w:val="none"/>
              </w:rPr>
              <w:t>或相当于</w:t>
            </w:r>
          </w:p>
        </w:tc>
      </w:tr>
      <w:tr w14:paraId="240B5464">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5E6BA61F">
            <w:pPr>
              <w:rPr>
                <w:rFonts w:ascii="宋体" w:hAnsi="宋体"/>
                <w:color w:val="auto"/>
                <w:sz w:val="22"/>
                <w:highlight w:val="none"/>
              </w:rPr>
            </w:pPr>
            <w:r>
              <w:rPr>
                <w:rFonts w:hint="eastAsia" w:ascii="宋体" w:hAnsi="宋体"/>
                <w:color w:val="auto"/>
                <w:sz w:val="22"/>
                <w:highlight w:val="none"/>
              </w:rPr>
              <w:t>19</w:t>
            </w:r>
          </w:p>
        </w:tc>
        <w:tc>
          <w:tcPr>
            <w:tcW w:w="3261" w:type="dxa"/>
            <w:tcBorders>
              <w:top w:val="single" w:color="auto" w:sz="6" w:space="0"/>
              <w:left w:val="single" w:color="auto" w:sz="6" w:space="0"/>
              <w:bottom w:val="single" w:color="auto" w:sz="6" w:space="0"/>
              <w:right w:val="single" w:color="auto" w:sz="6" w:space="0"/>
            </w:tcBorders>
            <w:vAlign w:val="center"/>
          </w:tcPr>
          <w:p w14:paraId="790B90DD">
            <w:pPr>
              <w:rPr>
                <w:rFonts w:ascii="宋体" w:hAnsi="宋体"/>
                <w:color w:val="auto"/>
                <w:sz w:val="22"/>
                <w:highlight w:val="none"/>
              </w:rPr>
            </w:pPr>
            <w:r>
              <w:rPr>
                <w:rFonts w:hint="eastAsia" w:ascii="宋体" w:hAnsi="宋体"/>
                <w:color w:val="auto"/>
                <w:sz w:val="22"/>
                <w:highlight w:val="none"/>
              </w:rPr>
              <w:t>照明灯具</w:t>
            </w:r>
          </w:p>
        </w:tc>
        <w:tc>
          <w:tcPr>
            <w:tcW w:w="2970" w:type="dxa"/>
            <w:tcBorders>
              <w:top w:val="single" w:color="auto" w:sz="6" w:space="0"/>
              <w:left w:val="single" w:color="auto" w:sz="6" w:space="0"/>
              <w:bottom w:val="single" w:color="auto" w:sz="6" w:space="0"/>
              <w:right w:val="single" w:color="auto" w:sz="6" w:space="0"/>
            </w:tcBorders>
            <w:vAlign w:val="center"/>
          </w:tcPr>
          <w:p w14:paraId="04BFB458">
            <w:pPr>
              <w:rPr>
                <w:rFonts w:ascii="宋体" w:hAnsi="宋体"/>
                <w:color w:val="auto"/>
                <w:sz w:val="22"/>
                <w:highlight w:val="none"/>
              </w:rPr>
            </w:pPr>
            <w:r>
              <w:rPr>
                <w:rFonts w:hint="eastAsia" w:ascii="宋体" w:hAnsi="宋体"/>
                <w:color w:val="auto"/>
                <w:sz w:val="22"/>
                <w:highlight w:val="none"/>
              </w:rPr>
              <w:t>佛山照明、欧普、雷士</w:t>
            </w:r>
          </w:p>
        </w:tc>
        <w:tc>
          <w:tcPr>
            <w:tcW w:w="1549" w:type="dxa"/>
            <w:tcBorders>
              <w:top w:val="single" w:color="auto" w:sz="6" w:space="0"/>
              <w:left w:val="single" w:color="auto" w:sz="6" w:space="0"/>
              <w:bottom w:val="single" w:color="auto" w:sz="6" w:space="0"/>
              <w:right w:val="single" w:color="auto" w:sz="6" w:space="0"/>
            </w:tcBorders>
            <w:vAlign w:val="center"/>
          </w:tcPr>
          <w:p w14:paraId="3216CBDC">
            <w:pPr>
              <w:rPr>
                <w:rFonts w:ascii="宋体" w:hAnsi="宋体"/>
                <w:color w:val="auto"/>
                <w:sz w:val="22"/>
                <w:highlight w:val="none"/>
              </w:rPr>
            </w:pPr>
            <w:r>
              <w:rPr>
                <w:rFonts w:hint="eastAsia" w:ascii="宋体" w:hAnsi="宋体"/>
                <w:color w:val="auto"/>
                <w:sz w:val="22"/>
                <w:highlight w:val="none"/>
              </w:rPr>
              <w:t>或相当于</w:t>
            </w:r>
          </w:p>
        </w:tc>
      </w:tr>
      <w:tr w14:paraId="50351287">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3DC6EB68">
            <w:pPr>
              <w:rPr>
                <w:rFonts w:ascii="宋体" w:hAnsi="宋体"/>
                <w:color w:val="auto"/>
                <w:sz w:val="22"/>
                <w:highlight w:val="none"/>
              </w:rPr>
            </w:pPr>
            <w:r>
              <w:rPr>
                <w:rFonts w:hint="eastAsia" w:ascii="宋体" w:hAnsi="宋体"/>
                <w:color w:val="auto"/>
                <w:sz w:val="22"/>
                <w:highlight w:val="none"/>
              </w:rPr>
              <w:t>20</w:t>
            </w:r>
          </w:p>
        </w:tc>
        <w:tc>
          <w:tcPr>
            <w:tcW w:w="3261" w:type="dxa"/>
            <w:tcBorders>
              <w:top w:val="single" w:color="auto" w:sz="6" w:space="0"/>
              <w:left w:val="single" w:color="auto" w:sz="6" w:space="0"/>
              <w:bottom w:val="single" w:color="auto" w:sz="6" w:space="0"/>
              <w:right w:val="single" w:color="auto" w:sz="6" w:space="0"/>
            </w:tcBorders>
            <w:vAlign w:val="center"/>
          </w:tcPr>
          <w:p w14:paraId="683E8833">
            <w:pPr>
              <w:rPr>
                <w:rFonts w:ascii="宋体" w:hAnsi="宋体"/>
                <w:color w:val="auto"/>
                <w:sz w:val="22"/>
                <w:highlight w:val="none"/>
              </w:rPr>
            </w:pPr>
            <w:r>
              <w:rPr>
                <w:rFonts w:hint="eastAsia" w:ascii="宋体" w:hAnsi="宋体"/>
                <w:color w:val="auto"/>
                <w:sz w:val="22"/>
                <w:highlight w:val="none"/>
              </w:rPr>
              <w:t>开关、插座</w:t>
            </w:r>
          </w:p>
        </w:tc>
        <w:tc>
          <w:tcPr>
            <w:tcW w:w="2970" w:type="dxa"/>
            <w:tcBorders>
              <w:top w:val="single" w:color="auto" w:sz="6" w:space="0"/>
              <w:left w:val="single" w:color="auto" w:sz="6" w:space="0"/>
              <w:bottom w:val="single" w:color="auto" w:sz="6" w:space="0"/>
              <w:right w:val="single" w:color="auto" w:sz="6" w:space="0"/>
            </w:tcBorders>
            <w:vAlign w:val="center"/>
          </w:tcPr>
          <w:p w14:paraId="623C1E85">
            <w:pPr>
              <w:rPr>
                <w:rFonts w:ascii="宋体" w:hAnsi="宋体"/>
                <w:color w:val="auto"/>
                <w:sz w:val="22"/>
                <w:highlight w:val="none"/>
              </w:rPr>
            </w:pPr>
            <w:r>
              <w:rPr>
                <w:rFonts w:hint="eastAsia" w:ascii="宋体" w:hAnsi="宋体"/>
                <w:color w:val="auto"/>
                <w:sz w:val="22"/>
                <w:highlight w:val="none"/>
              </w:rPr>
              <w:t>公牛、德力西、正泰</w:t>
            </w:r>
          </w:p>
        </w:tc>
        <w:tc>
          <w:tcPr>
            <w:tcW w:w="1549" w:type="dxa"/>
            <w:tcBorders>
              <w:top w:val="single" w:color="auto" w:sz="6" w:space="0"/>
              <w:left w:val="single" w:color="auto" w:sz="6" w:space="0"/>
              <w:bottom w:val="single" w:color="auto" w:sz="6" w:space="0"/>
              <w:right w:val="single" w:color="auto" w:sz="6" w:space="0"/>
            </w:tcBorders>
            <w:vAlign w:val="center"/>
          </w:tcPr>
          <w:p w14:paraId="4EC4FBDC">
            <w:pPr>
              <w:rPr>
                <w:rFonts w:ascii="宋体" w:hAnsi="宋体"/>
                <w:color w:val="auto"/>
                <w:sz w:val="22"/>
                <w:highlight w:val="none"/>
              </w:rPr>
            </w:pPr>
            <w:r>
              <w:rPr>
                <w:rFonts w:hint="eastAsia" w:ascii="宋体" w:hAnsi="宋体"/>
                <w:color w:val="auto"/>
                <w:sz w:val="22"/>
                <w:highlight w:val="none"/>
              </w:rPr>
              <w:t>或相当于</w:t>
            </w:r>
          </w:p>
        </w:tc>
      </w:tr>
      <w:tr w14:paraId="39FD4F33">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08BD58D3">
            <w:pPr>
              <w:rPr>
                <w:rFonts w:ascii="宋体" w:hAnsi="宋体"/>
                <w:color w:val="auto"/>
                <w:sz w:val="22"/>
                <w:highlight w:val="none"/>
              </w:rPr>
            </w:pPr>
            <w:r>
              <w:rPr>
                <w:rFonts w:hint="eastAsia" w:ascii="宋体" w:hAnsi="宋体"/>
                <w:color w:val="auto"/>
                <w:sz w:val="22"/>
                <w:highlight w:val="none"/>
              </w:rPr>
              <w:t>21</w:t>
            </w:r>
          </w:p>
        </w:tc>
        <w:tc>
          <w:tcPr>
            <w:tcW w:w="3261" w:type="dxa"/>
            <w:tcBorders>
              <w:top w:val="single" w:color="auto" w:sz="6" w:space="0"/>
              <w:left w:val="single" w:color="auto" w:sz="6" w:space="0"/>
              <w:bottom w:val="single" w:color="auto" w:sz="6" w:space="0"/>
              <w:right w:val="single" w:color="auto" w:sz="6" w:space="0"/>
            </w:tcBorders>
            <w:vAlign w:val="center"/>
          </w:tcPr>
          <w:p w14:paraId="0ED81713">
            <w:pPr>
              <w:rPr>
                <w:rFonts w:ascii="宋体" w:hAnsi="宋体"/>
                <w:color w:val="auto"/>
                <w:sz w:val="22"/>
                <w:highlight w:val="none"/>
              </w:rPr>
            </w:pPr>
            <w:r>
              <w:rPr>
                <w:rFonts w:hint="eastAsia" w:ascii="宋体" w:hAnsi="宋体"/>
                <w:color w:val="auto"/>
                <w:sz w:val="22"/>
                <w:highlight w:val="none"/>
              </w:rPr>
              <w:t>配电箱元器件</w:t>
            </w:r>
          </w:p>
        </w:tc>
        <w:tc>
          <w:tcPr>
            <w:tcW w:w="2970" w:type="dxa"/>
            <w:tcBorders>
              <w:top w:val="single" w:color="auto" w:sz="6" w:space="0"/>
              <w:left w:val="single" w:color="auto" w:sz="6" w:space="0"/>
              <w:bottom w:val="single" w:color="auto" w:sz="6" w:space="0"/>
              <w:right w:val="single" w:color="auto" w:sz="6" w:space="0"/>
            </w:tcBorders>
            <w:vAlign w:val="center"/>
          </w:tcPr>
          <w:p w14:paraId="22065130">
            <w:pPr>
              <w:rPr>
                <w:rFonts w:ascii="宋体" w:hAnsi="宋体"/>
                <w:color w:val="auto"/>
                <w:sz w:val="22"/>
                <w:highlight w:val="none"/>
              </w:rPr>
            </w:pPr>
            <w:r>
              <w:rPr>
                <w:rFonts w:hint="eastAsia" w:ascii="宋体" w:hAnsi="宋体"/>
                <w:color w:val="auto"/>
                <w:sz w:val="22"/>
                <w:highlight w:val="none"/>
              </w:rPr>
              <w:t>德力西、施耐德、正泰</w:t>
            </w:r>
          </w:p>
        </w:tc>
        <w:tc>
          <w:tcPr>
            <w:tcW w:w="1549" w:type="dxa"/>
            <w:tcBorders>
              <w:top w:val="single" w:color="auto" w:sz="6" w:space="0"/>
              <w:left w:val="single" w:color="auto" w:sz="6" w:space="0"/>
              <w:bottom w:val="single" w:color="auto" w:sz="6" w:space="0"/>
              <w:right w:val="single" w:color="auto" w:sz="6" w:space="0"/>
            </w:tcBorders>
            <w:vAlign w:val="center"/>
          </w:tcPr>
          <w:p w14:paraId="5077702D">
            <w:pPr>
              <w:rPr>
                <w:rFonts w:ascii="宋体" w:hAnsi="宋体"/>
                <w:color w:val="auto"/>
                <w:sz w:val="22"/>
                <w:highlight w:val="none"/>
              </w:rPr>
            </w:pPr>
            <w:r>
              <w:rPr>
                <w:rFonts w:hint="eastAsia" w:ascii="宋体" w:hAnsi="宋体"/>
                <w:color w:val="auto"/>
                <w:sz w:val="22"/>
                <w:highlight w:val="none"/>
              </w:rPr>
              <w:t>或相当于</w:t>
            </w:r>
          </w:p>
        </w:tc>
      </w:tr>
      <w:tr w14:paraId="22FAFC98">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7F67E77E">
            <w:pPr>
              <w:rPr>
                <w:rFonts w:ascii="宋体" w:hAnsi="宋体"/>
                <w:color w:val="auto"/>
                <w:sz w:val="22"/>
                <w:highlight w:val="none"/>
              </w:rPr>
            </w:pPr>
            <w:r>
              <w:rPr>
                <w:rFonts w:hint="eastAsia" w:ascii="宋体" w:hAnsi="宋体"/>
                <w:color w:val="auto"/>
                <w:sz w:val="22"/>
                <w:highlight w:val="none"/>
              </w:rPr>
              <w:t>22</w:t>
            </w:r>
          </w:p>
        </w:tc>
        <w:tc>
          <w:tcPr>
            <w:tcW w:w="3261" w:type="dxa"/>
            <w:tcBorders>
              <w:top w:val="single" w:color="auto" w:sz="6" w:space="0"/>
              <w:left w:val="single" w:color="auto" w:sz="6" w:space="0"/>
              <w:bottom w:val="single" w:color="auto" w:sz="6" w:space="0"/>
              <w:right w:val="single" w:color="auto" w:sz="6" w:space="0"/>
            </w:tcBorders>
            <w:vAlign w:val="center"/>
          </w:tcPr>
          <w:p w14:paraId="7842C855">
            <w:pPr>
              <w:rPr>
                <w:rFonts w:ascii="宋体" w:hAnsi="宋体"/>
                <w:color w:val="auto"/>
                <w:sz w:val="22"/>
                <w:highlight w:val="none"/>
              </w:rPr>
            </w:pPr>
            <w:r>
              <w:rPr>
                <w:rFonts w:hint="eastAsia" w:ascii="宋体" w:hAnsi="宋体"/>
                <w:color w:val="auto"/>
                <w:sz w:val="22"/>
                <w:highlight w:val="none"/>
              </w:rPr>
              <w:t>排风扇（换气扇）</w:t>
            </w:r>
          </w:p>
        </w:tc>
        <w:tc>
          <w:tcPr>
            <w:tcW w:w="2970" w:type="dxa"/>
            <w:tcBorders>
              <w:top w:val="single" w:color="auto" w:sz="6" w:space="0"/>
              <w:left w:val="single" w:color="auto" w:sz="6" w:space="0"/>
              <w:bottom w:val="single" w:color="auto" w:sz="6" w:space="0"/>
              <w:right w:val="single" w:color="auto" w:sz="6" w:space="0"/>
            </w:tcBorders>
            <w:vAlign w:val="center"/>
          </w:tcPr>
          <w:p w14:paraId="29AD4C8D">
            <w:pPr>
              <w:rPr>
                <w:rFonts w:ascii="宋体" w:hAnsi="宋体"/>
                <w:color w:val="auto"/>
                <w:sz w:val="22"/>
                <w:highlight w:val="none"/>
              </w:rPr>
            </w:pPr>
            <w:r>
              <w:rPr>
                <w:rFonts w:hint="eastAsia" w:ascii="宋体" w:hAnsi="宋体"/>
                <w:color w:val="auto"/>
                <w:sz w:val="22"/>
                <w:highlight w:val="none"/>
              </w:rPr>
              <w:t>乘风、元正、曼海迪、美的</w:t>
            </w:r>
          </w:p>
        </w:tc>
        <w:tc>
          <w:tcPr>
            <w:tcW w:w="1549" w:type="dxa"/>
            <w:tcBorders>
              <w:top w:val="single" w:color="auto" w:sz="6" w:space="0"/>
              <w:left w:val="single" w:color="auto" w:sz="6" w:space="0"/>
              <w:bottom w:val="single" w:color="auto" w:sz="6" w:space="0"/>
              <w:right w:val="single" w:color="auto" w:sz="6" w:space="0"/>
            </w:tcBorders>
            <w:vAlign w:val="center"/>
          </w:tcPr>
          <w:p w14:paraId="43E01875">
            <w:pPr>
              <w:rPr>
                <w:rFonts w:ascii="宋体" w:hAnsi="宋体"/>
                <w:color w:val="auto"/>
                <w:sz w:val="22"/>
                <w:highlight w:val="none"/>
              </w:rPr>
            </w:pPr>
            <w:r>
              <w:rPr>
                <w:rFonts w:hint="eastAsia" w:ascii="宋体" w:hAnsi="宋体"/>
                <w:color w:val="auto"/>
                <w:sz w:val="22"/>
                <w:highlight w:val="none"/>
              </w:rPr>
              <w:t>或相当于</w:t>
            </w:r>
          </w:p>
        </w:tc>
      </w:tr>
      <w:tr w14:paraId="3E41B722">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36A4644D">
            <w:pPr>
              <w:rPr>
                <w:rFonts w:ascii="宋体" w:hAnsi="宋体"/>
                <w:color w:val="auto"/>
                <w:sz w:val="22"/>
                <w:highlight w:val="none"/>
              </w:rPr>
            </w:pPr>
            <w:r>
              <w:rPr>
                <w:rFonts w:hint="eastAsia" w:ascii="宋体" w:hAnsi="宋体"/>
                <w:color w:val="auto"/>
                <w:sz w:val="22"/>
                <w:highlight w:val="none"/>
              </w:rPr>
              <w:t>23</w:t>
            </w:r>
          </w:p>
        </w:tc>
        <w:tc>
          <w:tcPr>
            <w:tcW w:w="3261" w:type="dxa"/>
            <w:tcBorders>
              <w:top w:val="single" w:color="auto" w:sz="6" w:space="0"/>
              <w:left w:val="single" w:color="auto" w:sz="6" w:space="0"/>
              <w:bottom w:val="single" w:color="auto" w:sz="6" w:space="0"/>
              <w:right w:val="single" w:color="auto" w:sz="6" w:space="0"/>
            </w:tcBorders>
            <w:vAlign w:val="center"/>
          </w:tcPr>
          <w:p w14:paraId="62CC304E">
            <w:pPr>
              <w:rPr>
                <w:rFonts w:ascii="宋体" w:hAnsi="宋体"/>
                <w:color w:val="auto"/>
                <w:sz w:val="22"/>
                <w:highlight w:val="none"/>
              </w:rPr>
            </w:pPr>
            <w:r>
              <w:rPr>
                <w:rFonts w:hint="eastAsia" w:ascii="宋体" w:hAnsi="宋体"/>
                <w:color w:val="auto"/>
                <w:sz w:val="22"/>
                <w:highlight w:val="none"/>
              </w:rPr>
              <w:t>风机、风口、风阀、风口、消声器</w:t>
            </w:r>
          </w:p>
        </w:tc>
        <w:tc>
          <w:tcPr>
            <w:tcW w:w="2970" w:type="dxa"/>
            <w:tcBorders>
              <w:top w:val="single" w:color="auto" w:sz="6" w:space="0"/>
              <w:left w:val="single" w:color="auto" w:sz="6" w:space="0"/>
              <w:bottom w:val="single" w:color="auto" w:sz="6" w:space="0"/>
              <w:right w:val="single" w:color="auto" w:sz="6" w:space="0"/>
            </w:tcBorders>
            <w:vAlign w:val="center"/>
          </w:tcPr>
          <w:p w14:paraId="400384BF">
            <w:pPr>
              <w:rPr>
                <w:rFonts w:ascii="宋体" w:hAnsi="宋体"/>
                <w:color w:val="auto"/>
                <w:sz w:val="22"/>
                <w:highlight w:val="none"/>
              </w:rPr>
            </w:pPr>
            <w:r>
              <w:rPr>
                <w:rFonts w:hint="eastAsia" w:ascii="宋体" w:hAnsi="宋体"/>
                <w:color w:val="auto"/>
                <w:sz w:val="22"/>
                <w:highlight w:val="none"/>
              </w:rPr>
              <w:t>上建、建设、亿利达</w:t>
            </w:r>
          </w:p>
        </w:tc>
        <w:tc>
          <w:tcPr>
            <w:tcW w:w="1549" w:type="dxa"/>
            <w:tcBorders>
              <w:top w:val="single" w:color="auto" w:sz="6" w:space="0"/>
              <w:left w:val="single" w:color="auto" w:sz="6" w:space="0"/>
              <w:bottom w:val="single" w:color="auto" w:sz="6" w:space="0"/>
              <w:right w:val="single" w:color="auto" w:sz="6" w:space="0"/>
            </w:tcBorders>
            <w:vAlign w:val="center"/>
          </w:tcPr>
          <w:p w14:paraId="63CD8E79">
            <w:pPr>
              <w:rPr>
                <w:rFonts w:ascii="宋体" w:hAnsi="宋体"/>
                <w:color w:val="auto"/>
                <w:sz w:val="22"/>
                <w:highlight w:val="none"/>
              </w:rPr>
            </w:pPr>
            <w:r>
              <w:rPr>
                <w:rFonts w:hint="eastAsia" w:ascii="宋体" w:hAnsi="宋体"/>
                <w:color w:val="auto"/>
                <w:sz w:val="22"/>
                <w:highlight w:val="none"/>
              </w:rPr>
              <w:t>或相当于</w:t>
            </w:r>
          </w:p>
        </w:tc>
      </w:tr>
      <w:tr w14:paraId="42134414">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2AF2A688">
            <w:pPr>
              <w:rPr>
                <w:rFonts w:ascii="宋体" w:hAnsi="宋体"/>
                <w:color w:val="auto"/>
                <w:sz w:val="22"/>
                <w:highlight w:val="none"/>
              </w:rPr>
            </w:pPr>
            <w:r>
              <w:rPr>
                <w:rFonts w:hint="eastAsia" w:ascii="宋体" w:hAnsi="宋体"/>
                <w:color w:val="auto"/>
                <w:sz w:val="22"/>
                <w:highlight w:val="none"/>
              </w:rPr>
              <w:t>24</w:t>
            </w:r>
          </w:p>
        </w:tc>
        <w:tc>
          <w:tcPr>
            <w:tcW w:w="3261" w:type="dxa"/>
            <w:tcBorders>
              <w:top w:val="single" w:color="auto" w:sz="6" w:space="0"/>
              <w:left w:val="single" w:color="auto" w:sz="6" w:space="0"/>
              <w:bottom w:val="single" w:color="auto" w:sz="6" w:space="0"/>
              <w:right w:val="single" w:color="auto" w:sz="6" w:space="0"/>
            </w:tcBorders>
            <w:vAlign w:val="center"/>
          </w:tcPr>
          <w:p w14:paraId="3A337BB6">
            <w:pPr>
              <w:rPr>
                <w:rFonts w:ascii="宋体" w:hAnsi="宋体"/>
                <w:color w:val="auto"/>
                <w:sz w:val="22"/>
                <w:highlight w:val="none"/>
              </w:rPr>
            </w:pPr>
            <w:r>
              <w:rPr>
                <w:rFonts w:hint="eastAsia" w:ascii="宋体" w:hAnsi="宋体"/>
                <w:color w:val="auto"/>
                <w:sz w:val="22"/>
                <w:highlight w:val="none"/>
              </w:rPr>
              <w:t>消火栓</w:t>
            </w:r>
          </w:p>
        </w:tc>
        <w:tc>
          <w:tcPr>
            <w:tcW w:w="2970" w:type="dxa"/>
            <w:tcBorders>
              <w:top w:val="single" w:color="auto" w:sz="6" w:space="0"/>
              <w:left w:val="single" w:color="auto" w:sz="6" w:space="0"/>
              <w:bottom w:val="single" w:color="auto" w:sz="6" w:space="0"/>
              <w:right w:val="single" w:color="auto" w:sz="6" w:space="0"/>
            </w:tcBorders>
            <w:vAlign w:val="center"/>
          </w:tcPr>
          <w:p w14:paraId="18FE6D5E">
            <w:pPr>
              <w:rPr>
                <w:rFonts w:ascii="宋体" w:hAnsi="宋体"/>
                <w:color w:val="auto"/>
                <w:sz w:val="22"/>
                <w:highlight w:val="none"/>
              </w:rPr>
            </w:pPr>
            <w:r>
              <w:rPr>
                <w:rFonts w:hint="eastAsia" w:ascii="宋体" w:hAnsi="宋体"/>
                <w:color w:val="auto"/>
                <w:sz w:val="22"/>
                <w:highlight w:val="none"/>
              </w:rPr>
              <w:t>丽消，永康元安、江山江郎峰</w:t>
            </w:r>
          </w:p>
        </w:tc>
        <w:tc>
          <w:tcPr>
            <w:tcW w:w="1549" w:type="dxa"/>
            <w:tcBorders>
              <w:top w:val="single" w:color="auto" w:sz="6" w:space="0"/>
              <w:left w:val="single" w:color="auto" w:sz="6" w:space="0"/>
              <w:bottom w:val="single" w:color="auto" w:sz="6" w:space="0"/>
              <w:right w:val="single" w:color="auto" w:sz="6" w:space="0"/>
            </w:tcBorders>
            <w:vAlign w:val="center"/>
          </w:tcPr>
          <w:p w14:paraId="2C70AE36">
            <w:pPr>
              <w:rPr>
                <w:rFonts w:ascii="宋体" w:hAnsi="宋体"/>
                <w:color w:val="auto"/>
                <w:sz w:val="22"/>
                <w:highlight w:val="none"/>
              </w:rPr>
            </w:pPr>
            <w:r>
              <w:rPr>
                <w:rFonts w:hint="eastAsia" w:ascii="宋体" w:hAnsi="宋体"/>
                <w:color w:val="auto"/>
                <w:sz w:val="22"/>
                <w:highlight w:val="none"/>
              </w:rPr>
              <w:t>或相当于</w:t>
            </w:r>
          </w:p>
        </w:tc>
      </w:tr>
      <w:tr w14:paraId="138EC096">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50E62952">
            <w:pPr>
              <w:rPr>
                <w:rFonts w:ascii="宋体" w:hAnsi="宋体"/>
                <w:color w:val="auto"/>
                <w:sz w:val="22"/>
                <w:highlight w:val="none"/>
              </w:rPr>
            </w:pPr>
            <w:r>
              <w:rPr>
                <w:rFonts w:hint="eastAsia" w:ascii="宋体" w:hAnsi="宋体"/>
                <w:color w:val="auto"/>
                <w:sz w:val="22"/>
                <w:highlight w:val="none"/>
              </w:rPr>
              <w:t>25</w:t>
            </w:r>
          </w:p>
        </w:tc>
        <w:tc>
          <w:tcPr>
            <w:tcW w:w="3261" w:type="dxa"/>
            <w:tcBorders>
              <w:top w:val="single" w:color="auto" w:sz="6" w:space="0"/>
              <w:left w:val="single" w:color="auto" w:sz="6" w:space="0"/>
              <w:bottom w:val="single" w:color="auto" w:sz="6" w:space="0"/>
              <w:right w:val="single" w:color="auto" w:sz="6" w:space="0"/>
            </w:tcBorders>
            <w:vAlign w:val="center"/>
          </w:tcPr>
          <w:p w14:paraId="3E768B76">
            <w:pPr>
              <w:rPr>
                <w:rFonts w:ascii="宋体" w:hAnsi="宋体"/>
                <w:color w:val="auto"/>
                <w:sz w:val="22"/>
                <w:highlight w:val="none"/>
              </w:rPr>
            </w:pPr>
            <w:r>
              <w:rPr>
                <w:rFonts w:hint="eastAsia" w:ascii="宋体" w:hAnsi="宋体"/>
                <w:color w:val="auto"/>
                <w:sz w:val="22"/>
                <w:highlight w:val="none"/>
              </w:rPr>
              <w:t>综合布线系统</w:t>
            </w:r>
          </w:p>
        </w:tc>
        <w:tc>
          <w:tcPr>
            <w:tcW w:w="2970" w:type="dxa"/>
            <w:tcBorders>
              <w:top w:val="single" w:color="auto" w:sz="6" w:space="0"/>
              <w:left w:val="single" w:color="auto" w:sz="6" w:space="0"/>
              <w:bottom w:val="single" w:color="auto" w:sz="6" w:space="0"/>
              <w:right w:val="single" w:color="auto" w:sz="6" w:space="0"/>
            </w:tcBorders>
            <w:vAlign w:val="center"/>
          </w:tcPr>
          <w:p w14:paraId="379F2E29">
            <w:pPr>
              <w:rPr>
                <w:rFonts w:ascii="宋体" w:hAnsi="宋体"/>
                <w:color w:val="auto"/>
                <w:sz w:val="22"/>
                <w:highlight w:val="none"/>
              </w:rPr>
            </w:pPr>
            <w:r>
              <w:rPr>
                <w:rFonts w:hint="eastAsia" w:ascii="宋体" w:hAnsi="宋体"/>
                <w:color w:val="auto"/>
                <w:sz w:val="22"/>
                <w:highlight w:val="none"/>
              </w:rPr>
              <w:t>劳兰、凯勒、兰泽德勒</w:t>
            </w:r>
          </w:p>
        </w:tc>
        <w:tc>
          <w:tcPr>
            <w:tcW w:w="1549" w:type="dxa"/>
            <w:tcBorders>
              <w:top w:val="single" w:color="auto" w:sz="6" w:space="0"/>
              <w:left w:val="single" w:color="auto" w:sz="6" w:space="0"/>
              <w:bottom w:val="single" w:color="auto" w:sz="6" w:space="0"/>
              <w:right w:val="single" w:color="auto" w:sz="6" w:space="0"/>
            </w:tcBorders>
            <w:vAlign w:val="center"/>
          </w:tcPr>
          <w:p w14:paraId="5E59CC6F">
            <w:pPr>
              <w:rPr>
                <w:rFonts w:ascii="宋体" w:hAnsi="宋体"/>
                <w:color w:val="auto"/>
                <w:sz w:val="22"/>
                <w:highlight w:val="none"/>
              </w:rPr>
            </w:pPr>
            <w:r>
              <w:rPr>
                <w:rFonts w:hint="eastAsia" w:ascii="宋体" w:hAnsi="宋体"/>
                <w:color w:val="auto"/>
                <w:sz w:val="22"/>
                <w:highlight w:val="none"/>
              </w:rPr>
              <w:t>或相当于</w:t>
            </w:r>
          </w:p>
        </w:tc>
      </w:tr>
      <w:tr w14:paraId="4E1218DE">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1F10EDB5">
            <w:pPr>
              <w:rPr>
                <w:rFonts w:ascii="宋体" w:hAnsi="宋体"/>
                <w:color w:val="auto"/>
                <w:sz w:val="22"/>
                <w:highlight w:val="none"/>
              </w:rPr>
            </w:pPr>
            <w:r>
              <w:rPr>
                <w:rFonts w:hint="eastAsia" w:ascii="宋体" w:hAnsi="宋体"/>
                <w:color w:val="auto"/>
                <w:sz w:val="22"/>
                <w:highlight w:val="none"/>
              </w:rPr>
              <w:t>26</w:t>
            </w:r>
          </w:p>
        </w:tc>
        <w:tc>
          <w:tcPr>
            <w:tcW w:w="3261" w:type="dxa"/>
            <w:tcBorders>
              <w:top w:val="single" w:color="auto" w:sz="6" w:space="0"/>
              <w:left w:val="single" w:color="auto" w:sz="6" w:space="0"/>
              <w:bottom w:val="single" w:color="auto" w:sz="6" w:space="0"/>
              <w:right w:val="single" w:color="auto" w:sz="6" w:space="0"/>
            </w:tcBorders>
            <w:vAlign w:val="center"/>
          </w:tcPr>
          <w:p w14:paraId="668CB8A4">
            <w:pPr>
              <w:rPr>
                <w:rFonts w:ascii="宋体" w:hAnsi="宋体"/>
                <w:color w:val="auto"/>
                <w:sz w:val="22"/>
                <w:highlight w:val="none"/>
              </w:rPr>
            </w:pPr>
            <w:r>
              <w:rPr>
                <w:rFonts w:hint="eastAsia" w:ascii="宋体" w:hAnsi="宋体"/>
                <w:color w:val="auto"/>
                <w:sz w:val="22"/>
                <w:highlight w:val="none"/>
              </w:rPr>
              <w:t>计算机网络系统</w:t>
            </w:r>
          </w:p>
        </w:tc>
        <w:tc>
          <w:tcPr>
            <w:tcW w:w="2970" w:type="dxa"/>
            <w:tcBorders>
              <w:top w:val="single" w:color="auto" w:sz="6" w:space="0"/>
              <w:left w:val="single" w:color="auto" w:sz="6" w:space="0"/>
              <w:bottom w:val="single" w:color="auto" w:sz="6" w:space="0"/>
              <w:right w:val="single" w:color="auto" w:sz="6" w:space="0"/>
            </w:tcBorders>
            <w:vAlign w:val="center"/>
          </w:tcPr>
          <w:p w14:paraId="3D77359B">
            <w:pPr>
              <w:rPr>
                <w:rFonts w:ascii="宋体" w:hAnsi="宋体"/>
                <w:color w:val="auto"/>
                <w:sz w:val="22"/>
                <w:highlight w:val="none"/>
              </w:rPr>
            </w:pPr>
            <w:r>
              <w:rPr>
                <w:rFonts w:hint="eastAsia" w:ascii="宋体" w:hAnsi="宋体"/>
                <w:color w:val="auto"/>
                <w:sz w:val="22"/>
                <w:highlight w:val="none"/>
              </w:rPr>
              <w:t>华为、华三、锐捷</w:t>
            </w:r>
          </w:p>
        </w:tc>
        <w:tc>
          <w:tcPr>
            <w:tcW w:w="1549" w:type="dxa"/>
            <w:tcBorders>
              <w:top w:val="single" w:color="auto" w:sz="6" w:space="0"/>
              <w:left w:val="single" w:color="auto" w:sz="6" w:space="0"/>
              <w:bottom w:val="single" w:color="auto" w:sz="6" w:space="0"/>
              <w:right w:val="single" w:color="auto" w:sz="6" w:space="0"/>
            </w:tcBorders>
            <w:vAlign w:val="center"/>
          </w:tcPr>
          <w:p w14:paraId="414D9B40">
            <w:pPr>
              <w:rPr>
                <w:rFonts w:ascii="宋体" w:hAnsi="宋体"/>
                <w:color w:val="auto"/>
                <w:sz w:val="22"/>
                <w:highlight w:val="none"/>
              </w:rPr>
            </w:pPr>
            <w:r>
              <w:rPr>
                <w:rFonts w:hint="eastAsia" w:ascii="宋体" w:hAnsi="宋体"/>
                <w:color w:val="auto"/>
                <w:sz w:val="22"/>
                <w:highlight w:val="none"/>
              </w:rPr>
              <w:t>或相当于</w:t>
            </w:r>
          </w:p>
        </w:tc>
      </w:tr>
      <w:tr w14:paraId="0E9373E2">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5D000E08">
            <w:pPr>
              <w:rPr>
                <w:rFonts w:ascii="宋体" w:hAnsi="宋体"/>
                <w:color w:val="auto"/>
                <w:sz w:val="22"/>
                <w:highlight w:val="none"/>
              </w:rPr>
            </w:pPr>
            <w:r>
              <w:rPr>
                <w:rFonts w:hint="eastAsia" w:ascii="宋体" w:hAnsi="宋体"/>
                <w:color w:val="auto"/>
                <w:sz w:val="22"/>
                <w:highlight w:val="none"/>
              </w:rPr>
              <w:t>27</w:t>
            </w:r>
          </w:p>
        </w:tc>
        <w:tc>
          <w:tcPr>
            <w:tcW w:w="3261" w:type="dxa"/>
            <w:tcBorders>
              <w:top w:val="single" w:color="auto" w:sz="6" w:space="0"/>
              <w:left w:val="single" w:color="auto" w:sz="6" w:space="0"/>
              <w:bottom w:val="single" w:color="auto" w:sz="6" w:space="0"/>
              <w:right w:val="single" w:color="auto" w:sz="6" w:space="0"/>
            </w:tcBorders>
            <w:vAlign w:val="center"/>
          </w:tcPr>
          <w:p w14:paraId="13067661">
            <w:pPr>
              <w:rPr>
                <w:rFonts w:ascii="宋体" w:hAnsi="宋体"/>
                <w:color w:val="auto"/>
                <w:sz w:val="22"/>
                <w:highlight w:val="none"/>
              </w:rPr>
            </w:pPr>
            <w:r>
              <w:rPr>
                <w:rFonts w:hint="eastAsia" w:ascii="宋体" w:hAnsi="宋体"/>
                <w:color w:val="auto"/>
                <w:sz w:val="22"/>
                <w:highlight w:val="none"/>
              </w:rPr>
              <w:t>安全防范系统</w:t>
            </w:r>
          </w:p>
        </w:tc>
        <w:tc>
          <w:tcPr>
            <w:tcW w:w="2970" w:type="dxa"/>
            <w:tcBorders>
              <w:top w:val="single" w:color="auto" w:sz="6" w:space="0"/>
              <w:left w:val="single" w:color="auto" w:sz="6" w:space="0"/>
              <w:bottom w:val="single" w:color="auto" w:sz="6" w:space="0"/>
              <w:right w:val="single" w:color="auto" w:sz="6" w:space="0"/>
            </w:tcBorders>
            <w:vAlign w:val="center"/>
          </w:tcPr>
          <w:p w14:paraId="3D7132B9">
            <w:pPr>
              <w:rPr>
                <w:rFonts w:ascii="宋体" w:hAnsi="宋体"/>
                <w:color w:val="auto"/>
                <w:sz w:val="22"/>
                <w:highlight w:val="none"/>
              </w:rPr>
            </w:pPr>
            <w:r>
              <w:rPr>
                <w:rFonts w:hint="eastAsia" w:ascii="宋体" w:hAnsi="宋体"/>
                <w:color w:val="auto"/>
                <w:sz w:val="22"/>
                <w:highlight w:val="none"/>
              </w:rPr>
              <w:t>海康威视、大华、天地伟业</w:t>
            </w:r>
          </w:p>
        </w:tc>
        <w:tc>
          <w:tcPr>
            <w:tcW w:w="1549" w:type="dxa"/>
            <w:tcBorders>
              <w:top w:val="single" w:color="auto" w:sz="6" w:space="0"/>
              <w:left w:val="single" w:color="auto" w:sz="6" w:space="0"/>
              <w:bottom w:val="single" w:color="auto" w:sz="6" w:space="0"/>
              <w:right w:val="single" w:color="auto" w:sz="6" w:space="0"/>
            </w:tcBorders>
            <w:vAlign w:val="center"/>
          </w:tcPr>
          <w:p w14:paraId="1A66522A">
            <w:pPr>
              <w:rPr>
                <w:rFonts w:ascii="宋体" w:hAnsi="宋体"/>
                <w:color w:val="auto"/>
                <w:sz w:val="22"/>
                <w:highlight w:val="none"/>
              </w:rPr>
            </w:pPr>
            <w:r>
              <w:rPr>
                <w:rFonts w:hint="eastAsia" w:ascii="宋体" w:hAnsi="宋体"/>
                <w:color w:val="auto"/>
                <w:sz w:val="22"/>
                <w:highlight w:val="none"/>
              </w:rPr>
              <w:t>或相当于</w:t>
            </w:r>
          </w:p>
        </w:tc>
      </w:tr>
      <w:tr w14:paraId="061E0A56">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5A89D734">
            <w:pPr>
              <w:rPr>
                <w:rFonts w:ascii="宋体" w:hAnsi="宋体"/>
                <w:color w:val="auto"/>
                <w:sz w:val="22"/>
                <w:highlight w:val="none"/>
              </w:rPr>
            </w:pPr>
            <w:r>
              <w:rPr>
                <w:rFonts w:hint="eastAsia" w:ascii="宋体" w:hAnsi="宋体"/>
                <w:color w:val="auto"/>
                <w:sz w:val="22"/>
                <w:highlight w:val="none"/>
              </w:rPr>
              <w:t>28</w:t>
            </w:r>
          </w:p>
        </w:tc>
        <w:tc>
          <w:tcPr>
            <w:tcW w:w="3261" w:type="dxa"/>
            <w:tcBorders>
              <w:top w:val="single" w:color="auto" w:sz="6" w:space="0"/>
              <w:left w:val="single" w:color="auto" w:sz="6" w:space="0"/>
              <w:bottom w:val="single" w:color="auto" w:sz="6" w:space="0"/>
              <w:right w:val="single" w:color="auto" w:sz="6" w:space="0"/>
            </w:tcBorders>
            <w:vAlign w:val="center"/>
          </w:tcPr>
          <w:p w14:paraId="608B58F7">
            <w:pPr>
              <w:rPr>
                <w:rFonts w:ascii="宋体" w:hAnsi="宋体"/>
                <w:color w:val="auto"/>
                <w:sz w:val="22"/>
                <w:highlight w:val="none"/>
              </w:rPr>
            </w:pPr>
            <w:r>
              <w:rPr>
                <w:rFonts w:hint="eastAsia" w:ascii="宋体" w:hAnsi="宋体"/>
                <w:color w:val="auto"/>
                <w:sz w:val="22"/>
                <w:highlight w:val="none"/>
              </w:rPr>
              <w:t>无负压供水设备</w:t>
            </w:r>
          </w:p>
        </w:tc>
        <w:tc>
          <w:tcPr>
            <w:tcW w:w="2970" w:type="dxa"/>
            <w:tcBorders>
              <w:top w:val="single" w:color="auto" w:sz="6" w:space="0"/>
              <w:left w:val="single" w:color="auto" w:sz="6" w:space="0"/>
              <w:bottom w:val="single" w:color="auto" w:sz="6" w:space="0"/>
              <w:right w:val="single" w:color="auto" w:sz="6" w:space="0"/>
            </w:tcBorders>
            <w:vAlign w:val="center"/>
          </w:tcPr>
          <w:p w14:paraId="00D61038">
            <w:pPr>
              <w:rPr>
                <w:rFonts w:ascii="宋体" w:hAnsi="宋体"/>
                <w:color w:val="auto"/>
                <w:sz w:val="22"/>
                <w:highlight w:val="none"/>
              </w:rPr>
            </w:pPr>
            <w:r>
              <w:rPr>
                <w:rFonts w:hint="eastAsia" w:ascii="宋体" w:hAnsi="宋体"/>
                <w:color w:val="auto"/>
                <w:sz w:val="22"/>
                <w:highlight w:val="none"/>
              </w:rPr>
              <w:t>熊猫、凯泉、杭州南方</w:t>
            </w:r>
          </w:p>
        </w:tc>
        <w:tc>
          <w:tcPr>
            <w:tcW w:w="1549" w:type="dxa"/>
            <w:tcBorders>
              <w:top w:val="single" w:color="auto" w:sz="6" w:space="0"/>
              <w:left w:val="single" w:color="auto" w:sz="6" w:space="0"/>
              <w:bottom w:val="single" w:color="auto" w:sz="6" w:space="0"/>
              <w:right w:val="single" w:color="auto" w:sz="6" w:space="0"/>
            </w:tcBorders>
            <w:vAlign w:val="center"/>
          </w:tcPr>
          <w:p w14:paraId="26E7498F">
            <w:pPr>
              <w:rPr>
                <w:rFonts w:ascii="宋体" w:hAnsi="宋体"/>
                <w:color w:val="auto"/>
                <w:sz w:val="22"/>
                <w:highlight w:val="none"/>
              </w:rPr>
            </w:pPr>
            <w:r>
              <w:rPr>
                <w:rFonts w:hint="eastAsia" w:ascii="宋体" w:hAnsi="宋体"/>
                <w:color w:val="auto"/>
                <w:sz w:val="22"/>
                <w:highlight w:val="none"/>
              </w:rPr>
              <w:t>或相当于</w:t>
            </w:r>
          </w:p>
        </w:tc>
      </w:tr>
      <w:tr w14:paraId="0F1622BA">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6D9F8842">
            <w:pPr>
              <w:rPr>
                <w:rFonts w:ascii="宋体" w:hAnsi="宋体"/>
                <w:color w:val="auto"/>
                <w:sz w:val="22"/>
                <w:highlight w:val="none"/>
              </w:rPr>
            </w:pPr>
            <w:r>
              <w:rPr>
                <w:rFonts w:hint="eastAsia" w:ascii="宋体" w:hAnsi="宋体"/>
                <w:color w:val="auto"/>
                <w:sz w:val="22"/>
                <w:highlight w:val="none"/>
              </w:rPr>
              <w:t>29</w:t>
            </w:r>
          </w:p>
        </w:tc>
        <w:tc>
          <w:tcPr>
            <w:tcW w:w="3261" w:type="dxa"/>
            <w:tcBorders>
              <w:top w:val="single" w:color="auto" w:sz="6" w:space="0"/>
              <w:left w:val="single" w:color="auto" w:sz="6" w:space="0"/>
              <w:bottom w:val="single" w:color="auto" w:sz="6" w:space="0"/>
              <w:right w:val="single" w:color="auto" w:sz="6" w:space="0"/>
            </w:tcBorders>
            <w:vAlign w:val="center"/>
          </w:tcPr>
          <w:p w14:paraId="1B7388F0">
            <w:pPr>
              <w:rPr>
                <w:rFonts w:ascii="宋体" w:hAnsi="宋体"/>
                <w:color w:val="auto"/>
                <w:sz w:val="22"/>
                <w:highlight w:val="none"/>
              </w:rPr>
            </w:pPr>
            <w:r>
              <w:rPr>
                <w:rFonts w:hint="eastAsia" w:ascii="宋体" w:hAnsi="宋体"/>
                <w:color w:val="auto"/>
                <w:sz w:val="22"/>
                <w:highlight w:val="none"/>
              </w:rPr>
              <w:t>消防稳压设备</w:t>
            </w:r>
          </w:p>
        </w:tc>
        <w:tc>
          <w:tcPr>
            <w:tcW w:w="2970" w:type="dxa"/>
            <w:tcBorders>
              <w:top w:val="single" w:color="auto" w:sz="6" w:space="0"/>
              <w:left w:val="single" w:color="auto" w:sz="6" w:space="0"/>
              <w:bottom w:val="single" w:color="auto" w:sz="6" w:space="0"/>
              <w:right w:val="single" w:color="auto" w:sz="6" w:space="0"/>
            </w:tcBorders>
            <w:vAlign w:val="center"/>
          </w:tcPr>
          <w:p w14:paraId="1A175004">
            <w:pPr>
              <w:rPr>
                <w:rFonts w:ascii="宋体" w:hAnsi="宋体"/>
                <w:color w:val="auto"/>
                <w:sz w:val="22"/>
                <w:highlight w:val="none"/>
              </w:rPr>
            </w:pPr>
            <w:r>
              <w:rPr>
                <w:rFonts w:hint="eastAsia" w:ascii="宋体" w:hAnsi="宋体"/>
                <w:color w:val="auto"/>
                <w:sz w:val="22"/>
                <w:highlight w:val="none"/>
              </w:rPr>
              <w:t>熊猫、凯泉、上海威派格、</w:t>
            </w:r>
          </w:p>
        </w:tc>
        <w:tc>
          <w:tcPr>
            <w:tcW w:w="1549" w:type="dxa"/>
            <w:tcBorders>
              <w:top w:val="single" w:color="auto" w:sz="6" w:space="0"/>
              <w:left w:val="single" w:color="auto" w:sz="6" w:space="0"/>
              <w:bottom w:val="single" w:color="auto" w:sz="6" w:space="0"/>
              <w:right w:val="single" w:color="auto" w:sz="6" w:space="0"/>
            </w:tcBorders>
            <w:vAlign w:val="center"/>
          </w:tcPr>
          <w:p w14:paraId="3A91F3DA">
            <w:pPr>
              <w:rPr>
                <w:rFonts w:ascii="宋体" w:hAnsi="宋体"/>
                <w:color w:val="auto"/>
                <w:sz w:val="22"/>
                <w:highlight w:val="none"/>
              </w:rPr>
            </w:pPr>
            <w:r>
              <w:rPr>
                <w:rFonts w:hint="eastAsia" w:ascii="宋体" w:hAnsi="宋体"/>
                <w:color w:val="auto"/>
                <w:sz w:val="22"/>
                <w:highlight w:val="none"/>
              </w:rPr>
              <w:t>或相当于</w:t>
            </w:r>
          </w:p>
        </w:tc>
      </w:tr>
      <w:tr w14:paraId="4F0E0B1A">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255F0366">
            <w:pPr>
              <w:rPr>
                <w:rFonts w:ascii="宋体" w:hAnsi="宋体"/>
                <w:color w:val="auto"/>
                <w:sz w:val="22"/>
                <w:highlight w:val="none"/>
              </w:rPr>
            </w:pPr>
            <w:r>
              <w:rPr>
                <w:rFonts w:hint="eastAsia" w:ascii="宋体" w:hAnsi="宋体"/>
                <w:color w:val="auto"/>
                <w:sz w:val="22"/>
                <w:highlight w:val="none"/>
              </w:rPr>
              <w:t>30</w:t>
            </w:r>
          </w:p>
        </w:tc>
        <w:tc>
          <w:tcPr>
            <w:tcW w:w="3261" w:type="dxa"/>
            <w:tcBorders>
              <w:top w:val="single" w:color="auto" w:sz="6" w:space="0"/>
              <w:left w:val="single" w:color="auto" w:sz="6" w:space="0"/>
              <w:bottom w:val="single" w:color="auto" w:sz="6" w:space="0"/>
              <w:right w:val="single" w:color="auto" w:sz="6" w:space="0"/>
            </w:tcBorders>
            <w:vAlign w:val="center"/>
          </w:tcPr>
          <w:p w14:paraId="6DA65F8A">
            <w:pPr>
              <w:rPr>
                <w:rFonts w:ascii="宋体" w:hAnsi="宋体"/>
                <w:color w:val="auto"/>
                <w:sz w:val="22"/>
                <w:highlight w:val="none"/>
              </w:rPr>
            </w:pPr>
            <w:r>
              <w:rPr>
                <w:rFonts w:hint="eastAsia" w:ascii="宋体" w:hAnsi="宋体"/>
                <w:color w:val="auto"/>
                <w:sz w:val="22"/>
                <w:highlight w:val="none"/>
              </w:rPr>
              <w:t>消防电气</w:t>
            </w:r>
          </w:p>
        </w:tc>
        <w:tc>
          <w:tcPr>
            <w:tcW w:w="2970" w:type="dxa"/>
            <w:tcBorders>
              <w:top w:val="single" w:color="auto" w:sz="6" w:space="0"/>
              <w:left w:val="single" w:color="auto" w:sz="6" w:space="0"/>
              <w:bottom w:val="single" w:color="auto" w:sz="6" w:space="0"/>
              <w:right w:val="single" w:color="auto" w:sz="6" w:space="0"/>
            </w:tcBorders>
            <w:vAlign w:val="center"/>
          </w:tcPr>
          <w:p w14:paraId="1AE98C37">
            <w:pPr>
              <w:rPr>
                <w:rFonts w:ascii="宋体" w:hAnsi="宋体"/>
                <w:color w:val="auto"/>
                <w:sz w:val="22"/>
                <w:highlight w:val="none"/>
              </w:rPr>
            </w:pPr>
            <w:r>
              <w:rPr>
                <w:rFonts w:hint="eastAsia" w:ascii="宋体" w:hAnsi="宋体"/>
                <w:color w:val="auto"/>
                <w:sz w:val="22"/>
                <w:highlight w:val="none"/>
              </w:rPr>
              <w:t>北大青鸟、泰和安、海湾</w:t>
            </w:r>
          </w:p>
        </w:tc>
        <w:tc>
          <w:tcPr>
            <w:tcW w:w="1549" w:type="dxa"/>
            <w:tcBorders>
              <w:top w:val="single" w:color="auto" w:sz="6" w:space="0"/>
              <w:left w:val="single" w:color="auto" w:sz="6" w:space="0"/>
              <w:bottom w:val="single" w:color="auto" w:sz="6" w:space="0"/>
              <w:right w:val="single" w:color="auto" w:sz="6" w:space="0"/>
            </w:tcBorders>
            <w:vAlign w:val="center"/>
          </w:tcPr>
          <w:p w14:paraId="742558C3">
            <w:pPr>
              <w:rPr>
                <w:rFonts w:ascii="宋体" w:hAnsi="宋体"/>
                <w:color w:val="auto"/>
                <w:sz w:val="22"/>
                <w:highlight w:val="none"/>
              </w:rPr>
            </w:pPr>
            <w:r>
              <w:rPr>
                <w:rFonts w:hint="eastAsia" w:ascii="宋体" w:hAnsi="宋体"/>
                <w:color w:val="auto"/>
                <w:sz w:val="22"/>
                <w:highlight w:val="none"/>
              </w:rPr>
              <w:t>或相当于</w:t>
            </w:r>
          </w:p>
        </w:tc>
      </w:tr>
      <w:tr w14:paraId="102A606B">
        <w:tblPrEx>
          <w:tblCellMar>
            <w:top w:w="0" w:type="dxa"/>
            <w:left w:w="108" w:type="dxa"/>
            <w:bottom w:w="0" w:type="dxa"/>
            <w:right w:w="108" w:type="dxa"/>
          </w:tblCellMar>
        </w:tblPrEx>
        <w:trPr>
          <w:trHeight w:val="618" w:hRule="atLeast"/>
        </w:trPr>
        <w:tc>
          <w:tcPr>
            <w:tcW w:w="580" w:type="dxa"/>
            <w:tcBorders>
              <w:top w:val="single" w:color="auto" w:sz="6" w:space="0"/>
              <w:left w:val="single" w:color="auto" w:sz="6" w:space="0"/>
              <w:bottom w:val="single" w:color="auto" w:sz="6" w:space="0"/>
              <w:right w:val="single" w:color="auto" w:sz="6" w:space="0"/>
            </w:tcBorders>
            <w:vAlign w:val="center"/>
          </w:tcPr>
          <w:p w14:paraId="05977588">
            <w:pPr>
              <w:rPr>
                <w:rFonts w:ascii="宋体" w:hAnsi="宋体"/>
                <w:color w:val="auto"/>
                <w:sz w:val="22"/>
                <w:highlight w:val="none"/>
              </w:rPr>
            </w:pPr>
            <w:r>
              <w:rPr>
                <w:rFonts w:hint="eastAsia" w:ascii="宋体" w:hAnsi="宋体"/>
                <w:color w:val="auto"/>
                <w:sz w:val="22"/>
                <w:highlight w:val="none"/>
              </w:rPr>
              <w:t>31</w:t>
            </w:r>
          </w:p>
        </w:tc>
        <w:tc>
          <w:tcPr>
            <w:tcW w:w="3261" w:type="dxa"/>
            <w:tcBorders>
              <w:top w:val="single" w:color="auto" w:sz="6" w:space="0"/>
              <w:left w:val="single" w:color="auto" w:sz="6" w:space="0"/>
              <w:bottom w:val="single" w:color="auto" w:sz="6" w:space="0"/>
              <w:right w:val="single" w:color="auto" w:sz="6" w:space="0"/>
            </w:tcBorders>
            <w:vAlign w:val="center"/>
          </w:tcPr>
          <w:p w14:paraId="62E334BA">
            <w:pPr>
              <w:rPr>
                <w:rFonts w:ascii="宋体" w:hAnsi="宋体"/>
                <w:color w:val="auto"/>
                <w:sz w:val="22"/>
                <w:highlight w:val="none"/>
              </w:rPr>
            </w:pPr>
            <w:r>
              <w:rPr>
                <w:rFonts w:hint="eastAsia" w:ascii="宋体" w:hAnsi="宋体"/>
                <w:color w:val="auto"/>
                <w:sz w:val="22"/>
                <w:highlight w:val="none"/>
              </w:rPr>
              <w:t>UPS系统</w:t>
            </w:r>
          </w:p>
        </w:tc>
        <w:tc>
          <w:tcPr>
            <w:tcW w:w="2970" w:type="dxa"/>
            <w:tcBorders>
              <w:top w:val="single" w:color="auto" w:sz="6" w:space="0"/>
              <w:left w:val="single" w:color="auto" w:sz="6" w:space="0"/>
              <w:bottom w:val="single" w:color="auto" w:sz="6" w:space="0"/>
              <w:right w:val="single" w:color="auto" w:sz="6" w:space="0"/>
            </w:tcBorders>
            <w:vAlign w:val="center"/>
          </w:tcPr>
          <w:p w14:paraId="0CFAE29C">
            <w:pPr>
              <w:rPr>
                <w:rFonts w:ascii="宋体" w:hAnsi="宋体"/>
                <w:color w:val="auto"/>
                <w:sz w:val="22"/>
                <w:highlight w:val="none"/>
              </w:rPr>
            </w:pPr>
            <w:r>
              <w:rPr>
                <w:rFonts w:hint="eastAsia" w:ascii="宋体" w:hAnsi="宋体"/>
                <w:color w:val="auto"/>
                <w:sz w:val="22"/>
                <w:highlight w:val="none"/>
              </w:rPr>
              <w:t>约顿、佰力盾、史图斯</w:t>
            </w:r>
          </w:p>
        </w:tc>
        <w:tc>
          <w:tcPr>
            <w:tcW w:w="1549" w:type="dxa"/>
            <w:tcBorders>
              <w:top w:val="single" w:color="auto" w:sz="6" w:space="0"/>
              <w:left w:val="single" w:color="auto" w:sz="6" w:space="0"/>
              <w:bottom w:val="single" w:color="auto" w:sz="6" w:space="0"/>
              <w:right w:val="single" w:color="auto" w:sz="6" w:space="0"/>
            </w:tcBorders>
            <w:vAlign w:val="center"/>
          </w:tcPr>
          <w:p w14:paraId="49B1917F">
            <w:pPr>
              <w:rPr>
                <w:rFonts w:ascii="宋体" w:hAnsi="宋体"/>
                <w:color w:val="auto"/>
                <w:sz w:val="22"/>
                <w:highlight w:val="none"/>
              </w:rPr>
            </w:pPr>
            <w:r>
              <w:rPr>
                <w:rFonts w:hint="eastAsia" w:ascii="宋体" w:hAnsi="宋体"/>
                <w:color w:val="auto"/>
                <w:sz w:val="22"/>
                <w:highlight w:val="none"/>
              </w:rPr>
              <w:t>或相当于</w:t>
            </w:r>
          </w:p>
        </w:tc>
      </w:tr>
      <w:tr w14:paraId="0FF33827">
        <w:tblPrEx>
          <w:tblCellMar>
            <w:top w:w="0" w:type="dxa"/>
            <w:left w:w="108" w:type="dxa"/>
            <w:bottom w:w="0" w:type="dxa"/>
            <w:right w:w="108" w:type="dxa"/>
          </w:tblCellMar>
        </w:tblPrEx>
        <w:trPr>
          <w:trHeight w:val="643" w:hRule="atLeast"/>
        </w:trPr>
        <w:tc>
          <w:tcPr>
            <w:tcW w:w="580" w:type="dxa"/>
            <w:tcBorders>
              <w:top w:val="single" w:color="auto" w:sz="4" w:space="0"/>
              <w:left w:val="single" w:color="auto" w:sz="4" w:space="0"/>
              <w:bottom w:val="single" w:color="auto" w:sz="4" w:space="0"/>
              <w:right w:val="single" w:color="auto" w:sz="4" w:space="0"/>
            </w:tcBorders>
            <w:vAlign w:val="center"/>
          </w:tcPr>
          <w:p w14:paraId="3C3EF181">
            <w:pPr>
              <w:rPr>
                <w:rFonts w:ascii="宋体" w:hAnsi="宋体"/>
                <w:color w:val="auto"/>
                <w:sz w:val="22"/>
                <w:highlight w:val="none"/>
              </w:rPr>
            </w:pPr>
            <w:r>
              <w:rPr>
                <w:rFonts w:hint="eastAsia" w:ascii="宋体" w:hAnsi="宋体"/>
                <w:color w:val="auto"/>
                <w:sz w:val="22"/>
                <w:highlight w:val="none"/>
              </w:rPr>
              <w:t>32</w:t>
            </w:r>
          </w:p>
        </w:tc>
        <w:tc>
          <w:tcPr>
            <w:tcW w:w="3261" w:type="dxa"/>
            <w:tcBorders>
              <w:top w:val="single" w:color="auto" w:sz="4" w:space="0"/>
              <w:left w:val="single" w:color="auto" w:sz="4" w:space="0"/>
              <w:bottom w:val="single" w:color="auto" w:sz="4" w:space="0"/>
              <w:right w:val="single" w:color="auto" w:sz="4" w:space="0"/>
            </w:tcBorders>
            <w:vAlign w:val="center"/>
          </w:tcPr>
          <w:p w14:paraId="2967DAE6">
            <w:pPr>
              <w:rPr>
                <w:rFonts w:ascii="宋体" w:hAnsi="宋体"/>
                <w:color w:val="auto"/>
                <w:sz w:val="22"/>
                <w:highlight w:val="none"/>
              </w:rPr>
            </w:pPr>
            <w:r>
              <w:rPr>
                <w:rFonts w:hint="eastAsia" w:ascii="宋体" w:hAnsi="宋体"/>
                <w:color w:val="auto"/>
                <w:sz w:val="22"/>
                <w:highlight w:val="none"/>
              </w:rPr>
              <w:t>空调</w:t>
            </w:r>
          </w:p>
        </w:tc>
        <w:tc>
          <w:tcPr>
            <w:tcW w:w="2970" w:type="dxa"/>
            <w:tcBorders>
              <w:top w:val="single" w:color="auto" w:sz="4" w:space="0"/>
              <w:left w:val="single" w:color="auto" w:sz="4" w:space="0"/>
              <w:bottom w:val="single" w:color="auto" w:sz="4" w:space="0"/>
              <w:right w:val="single" w:color="auto" w:sz="4" w:space="0"/>
            </w:tcBorders>
            <w:vAlign w:val="center"/>
          </w:tcPr>
          <w:p w14:paraId="50A61334">
            <w:pPr>
              <w:rPr>
                <w:rFonts w:ascii="宋体" w:hAnsi="宋体"/>
                <w:color w:val="auto"/>
                <w:sz w:val="22"/>
                <w:highlight w:val="none"/>
              </w:rPr>
            </w:pPr>
            <w:r>
              <w:rPr>
                <w:rFonts w:hint="eastAsia" w:ascii="宋体" w:hAnsi="宋体"/>
                <w:color w:val="auto"/>
                <w:sz w:val="22"/>
                <w:highlight w:val="none"/>
              </w:rPr>
              <w:t>美的、格力、日立、</w:t>
            </w:r>
          </w:p>
        </w:tc>
        <w:tc>
          <w:tcPr>
            <w:tcW w:w="1549" w:type="dxa"/>
            <w:tcBorders>
              <w:top w:val="single" w:color="auto" w:sz="4" w:space="0"/>
              <w:left w:val="single" w:color="auto" w:sz="4" w:space="0"/>
              <w:bottom w:val="single" w:color="auto" w:sz="4" w:space="0"/>
              <w:right w:val="single" w:color="auto" w:sz="4" w:space="0"/>
            </w:tcBorders>
            <w:vAlign w:val="center"/>
          </w:tcPr>
          <w:p w14:paraId="3E51C488">
            <w:pPr>
              <w:rPr>
                <w:rFonts w:ascii="宋体" w:hAnsi="宋体"/>
                <w:color w:val="auto"/>
                <w:sz w:val="22"/>
                <w:highlight w:val="none"/>
              </w:rPr>
            </w:pPr>
            <w:r>
              <w:rPr>
                <w:rFonts w:hint="eastAsia" w:ascii="宋体" w:hAnsi="宋体"/>
                <w:color w:val="auto"/>
                <w:sz w:val="22"/>
                <w:highlight w:val="none"/>
              </w:rPr>
              <w:t>或相当于</w:t>
            </w:r>
          </w:p>
        </w:tc>
      </w:tr>
      <w:tr w14:paraId="0F8266A4">
        <w:tblPrEx>
          <w:tblCellMar>
            <w:top w:w="0" w:type="dxa"/>
            <w:left w:w="108" w:type="dxa"/>
            <w:bottom w:w="0" w:type="dxa"/>
            <w:right w:w="108" w:type="dxa"/>
          </w:tblCellMar>
        </w:tblPrEx>
        <w:trPr>
          <w:trHeight w:val="643" w:hRule="atLeast"/>
        </w:trPr>
        <w:tc>
          <w:tcPr>
            <w:tcW w:w="580" w:type="dxa"/>
            <w:tcBorders>
              <w:top w:val="single" w:color="auto" w:sz="4" w:space="0"/>
              <w:left w:val="single" w:color="auto" w:sz="4" w:space="0"/>
              <w:bottom w:val="single" w:color="auto" w:sz="4" w:space="0"/>
              <w:right w:val="single" w:color="auto" w:sz="4" w:space="0"/>
            </w:tcBorders>
            <w:vAlign w:val="center"/>
          </w:tcPr>
          <w:p w14:paraId="29B104D5">
            <w:pPr>
              <w:rPr>
                <w:rFonts w:ascii="宋体" w:hAnsi="宋体"/>
                <w:color w:val="auto"/>
                <w:sz w:val="22"/>
                <w:highlight w:val="none"/>
              </w:rPr>
            </w:pPr>
            <w:r>
              <w:rPr>
                <w:rFonts w:hint="eastAsia" w:ascii="宋体" w:hAnsi="宋体"/>
                <w:color w:val="auto"/>
                <w:sz w:val="22"/>
                <w:highlight w:val="none"/>
              </w:rPr>
              <w:t>33</w:t>
            </w:r>
          </w:p>
        </w:tc>
        <w:tc>
          <w:tcPr>
            <w:tcW w:w="3261" w:type="dxa"/>
            <w:tcBorders>
              <w:top w:val="single" w:color="auto" w:sz="4" w:space="0"/>
              <w:left w:val="single" w:color="auto" w:sz="4" w:space="0"/>
              <w:bottom w:val="single" w:color="auto" w:sz="4" w:space="0"/>
              <w:right w:val="single" w:color="auto" w:sz="4" w:space="0"/>
            </w:tcBorders>
            <w:vAlign w:val="center"/>
          </w:tcPr>
          <w:p w14:paraId="1251EE00">
            <w:pPr>
              <w:rPr>
                <w:rFonts w:ascii="宋体" w:hAnsi="宋体"/>
                <w:color w:val="auto"/>
                <w:sz w:val="22"/>
                <w:highlight w:val="none"/>
              </w:rPr>
            </w:pPr>
            <w:r>
              <w:rPr>
                <w:rFonts w:hint="eastAsia" w:ascii="宋体" w:hAnsi="宋体"/>
                <w:color w:val="auto"/>
                <w:sz w:val="22"/>
                <w:highlight w:val="none"/>
              </w:rPr>
              <w:t>抗震</w:t>
            </w:r>
          </w:p>
        </w:tc>
        <w:tc>
          <w:tcPr>
            <w:tcW w:w="2970" w:type="dxa"/>
            <w:tcBorders>
              <w:top w:val="single" w:color="auto" w:sz="4" w:space="0"/>
              <w:left w:val="single" w:color="auto" w:sz="4" w:space="0"/>
              <w:bottom w:val="single" w:color="auto" w:sz="4" w:space="0"/>
              <w:right w:val="single" w:color="auto" w:sz="4" w:space="0"/>
            </w:tcBorders>
            <w:vAlign w:val="center"/>
          </w:tcPr>
          <w:p w14:paraId="0CE94CED">
            <w:pPr>
              <w:rPr>
                <w:rFonts w:ascii="宋体" w:hAnsi="宋体"/>
                <w:color w:val="auto"/>
                <w:sz w:val="22"/>
                <w:highlight w:val="none"/>
              </w:rPr>
            </w:pPr>
            <w:r>
              <w:rPr>
                <w:rFonts w:hint="eastAsia" w:ascii="宋体" w:hAnsi="宋体"/>
                <w:color w:val="auto"/>
                <w:sz w:val="22"/>
                <w:highlight w:val="none"/>
              </w:rPr>
              <w:t>旗鱼（浙江）、慧鱼（江苏）、泰德阳光（北京）</w:t>
            </w:r>
          </w:p>
        </w:tc>
        <w:tc>
          <w:tcPr>
            <w:tcW w:w="1549" w:type="dxa"/>
            <w:tcBorders>
              <w:top w:val="single" w:color="auto" w:sz="4" w:space="0"/>
              <w:left w:val="single" w:color="auto" w:sz="4" w:space="0"/>
              <w:bottom w:val="single" w:color="auto" w:sz="4" w:space="0"/>
              <w:right w:val="single" w:color="auto" w:sz="4" w:space="0"/>
            </w:tcBorders>
            <w:vAlign w:val="center"/>
          </w:tcPr>
          <w:p w14:paraId="357F5C66">
            <w:pPr>
              <w:rPr>
                <w:rFonts w:ascii="宋体" w:hAnsi="宋体"/>
                <w:color w:val="auto"/>
                <w:sz w:val="22"/>
                <w:highlight w:val="none"/>
              </w:rPr>
            </w:pPr>
            <w:r>
              <w:rPr>
                <w:rFonts w:hint="eastAsia" w:ascii="宋体" w:hAnsi="宋体"/>
                <w:color w:val="auto"/>
                <w:sz w:val="22"/>
                <w:highlight w:val="none"/>
              </w:rPr>
              <w:t>或相当于</w:t>
            </w:r>
          </w:p>
        </w:tc>
      </w:tr>
    </w:tbl>
    <w:p w14:paraId="72AC2FDE">
      <w:pPr>
        <w:rPr>
          <w:b/>
          <w:color w:val="auto"/>
          <w:highlight w:val="none"/>
        </w:rPr>
      </w:pPr>
    </w:p>
    <w:p w14:paraId="725CD9BC">
      <w:pPr>
        <w:spacing w:line="400" w:lineRule="exact"/>
        <w:rPr>
          <w:rFonts w:hint="eastAsia"/>
          <w:b/>
          <w:color w:val="auto"/>
          <w:highlight w:val="none"/>
        </w:rPr>
      </w:pPr>
      <w:r>
        <w:rPr>
          <w:rFonts w:hint="eastAsia"/>
          <w:b/>
          <w:color w:val="auto"/>
          <w:highlight w:val="none"/>
        </w:rPr>
        <w:t>注：投标人在招标文件备选品牌中或相当于备选品牌中的优等品选择其一进行报价，施工时由招标人在备选品牌中任一品牌指定进行施工，其材料单价不得调整。</w:t>
      </w:r>
    </w:p>
    <w:p w14:paraId="601322B9">
      <w:pPr>
        <w:pStyle w:val="3"/>
        <w:jc w:val="center"/>
        <w:rPr>
          <w:color w:val="auto"/>
          <w:highlight w:val="none"/>
        </w:rPr>
      </w:pPr>
    </w:p>
    <w:p w14:paraId="0D0DA177">
      <w:pPr>
        <w:pStyle w:val="3"/>
        <w:jc w:val="center"/>
        <w:rPr>
          <w:color w:val="auto"/>
          <w:highlight w:val="none"/>
        </w:rPr>
      </w:pPr>
    </w:p>
    <w:p w14:paraId="1B34AE40">
      <w:pPr>
        <w:pStyle w:val="3"/>
        <w:jc w:val="center"/>
        <w:rPr>
          <w:color w:val="auto"/>
          <w:highlight w:val="none"/>
        </w:rPr>
      </w:pPr>
    </w:p>
    <w:p w14:paraId="512480D1">
      <w:pPr>
        <w:pStyle w:val="3"/>
        <w:jc w:val="center"/>
        <w:rPr>
          <w:color w:val="auto"/>
          <w:highlight w:val="none"/>
        </w:rPr>
      </w:pPr>
    </w:p>
    <w:p w14:paraId="74DD8C53">
      <w:pPr>
        <w:pStyle w:val="3"/>
        <w:jc w:val="center"/>
        <w:rPr>
          <w:color w:val="auto"/>
          <w:highlight w:val="none"/>
        </w:rPr>
      </w:pPr>
    </w:p>
    <w:p w14:paraId="1A0AE0B4">
      <w:pPr>
        <w:pStyle w:val="3"/>
        <w:jc w:val="center"/>
        <w:rPr>
          <w:color w:val="auto"/>
          <w:highlight w:val="none"/>
        </w:rPr>
      </w:pPr>
    </w:p>
    <w:p w14:paraId="1916718C">
      <w:pPr>
        <w:pStyle w:val="3"/>
        <w:jc w:val="center"/>
        <w:rPr>
          <w:color w:val="auto"/>
          <w:highlight w:val="none"/>
        </w:rPr>
      </w:pPr>
    </w:p>
    <w:p w14:paraId="46AC4484">
      <w:pPr>
        <w:rPr>
          <w:color w:val="auto"/>
          <w:highlight w:val="none"/>
        </w:rPr>
      </w:pPr>
      <w:r>
        <w:rPr>
          <w:color w:val="auto"/>
          <w:highlight w:val="none"/>
        </w:rPr>
        <w:br w:type="page"/>
      </w:r>
    </w:p>
    <w:p w14:paraId="2C7692E1">
      <w:pPr>
        <w:pStyle w:val="3"/>
        <w:jc w:val="center"/>
        <w:rPr>
          <w:color w:val="auto"/>
          <w:highlight w:val="none"/>
        </w:rPr>
      </w:pPr>
    </w:p>
    <w:p w14:paraId="71CBB344">
      <w:pPr>
        <w:pStyle w:val="3"/>
        <w:jc w:val="center"/>
        <w:rPr>
          <w:color w:val="auto"/>
          <w:highlight w:val="none"/>
        </w:rPr>
      </w:pPr>
    </w:p>
    <w:p w14:paraId="61150A7D">
      <w:pPr>
        <w:pStyle w:val="3"/>
        <w:jc w:val="center"/>
        <w:rPr>
          <w:color w:val="auto"/>
          <w:highlight w:val="none"/>
        </w:rPr>
      </w:pPr>
    </w:p>
    <w:p w14:paraId="17CE9FBD">
      <w:pPr>
        <w:pStyle w:val="3"/>
        <w:jc w:val="center"/>
        <w:rPr>
          <w:color w:val="auto"/>
          <w:highlight w:val="none"/>
        </w:rPr>
      </w:pPr>
    </w:p>
    <w:p w14:paraId="25927D7F">
      <w:pPr>
        <w:pStyle w:val="3"/>
        <w:jc w:val="center"/>
        <w:rPr>
          <w:color w:val="auto"/>
          <w:highlight w:val="none"/>
        </w:rPr>
      </w:pPr>
    </w:p>
    <w:p w14:paraId="7748D55D">
      <w:pPr>
        <w:pStyle w:val="3"/>
        <w:jc w:val="center"/>
        <w:rPr>
          <w:color w:val="auto"/>
          <w:highlight w:val="none"/>
        </w:rPr>
      </w:pPr>
    </w:p>
    <w:p w14:paraId="0C23BE71">
      <w:pPr>
        <w:pStyle w:val="3"/>
        <w:jc w:val="center"/>
        <w:rPr>
          <w:color w:val="auto"/>
          <w:highlight w:val="none"/>
        </w:rPr>
      </w:pPr>
      <w:r>
        <w:rPr>
          <w:color w:val="auto"/>
          <w:highlight w:val="none"/>
        </w:rPr>
        <w:t>第八章  投标文件格式</w:t>
      </w:r>
    </w:p>
    <w:p w14:paraId="01E103F3">
      <w:pPr>
        <w:spacing w:line="400" w:lineRule="exact"/>
        <w:jc w:val="center"/>
        <w:rPr>
          <w:b/>
          <w:bCs/>
          <w:color w:val="auto"/>
          <w:sz w:val="36"/>
          <w:szCs w:val="36"/>
          <w:highlight w:val="none"/>
        </w:rPr>
      </w:pPr>
      <w:r>
        <w:rPr>
          <w:color w:val="auto"/>
          <w:highlight w:val="none"/>
        </w:rPr>
        <w:br w:type="page"/>
      </w:r>
      <w:r>
        <w:rPr>
          <w:rFonts w:hint="eastAsia"/>
          <w:b/>
          <w:bCs/>
          <w:color w:val="auto"/>
          <w:sz w:val="36"/>
          <w:szCs w:val="36"/>
          <w:highlight w:val="none"/>
        </w:rPr>
        <w:t>目</w:t>
      </w:r>
      <w:r>
        <w:rPr>
          <w:b/>
          <w:bCs/>
          <w:color w:val="auto"/>
          <w:sz w:val="36"/>
          <w:szCs w:val="36"/>
          <w:highlight w:val="none"/>
        </w:rPr>
        <w:t xml:space="preserve">  </w:t>
      </w:r>
      <w:r>
        <w:rPr>
          <w:rFonts w:hint="eastAsia"/>
          <w:b/>
          <w:bCs/>
          <w:color w:val="auto"/>
          <w:sz w:val="36"/>
          <w:szCs w:val="36"/>
          <w:highlight w:val="none"/>
        </w:rPr>
        <w:t>录</w:t>
      </w:r>
    </w:p>
    <w:p w14:paraId="233BC9AA">
      <w:pPr>
        <w:spacing w:line="540" w:lineRule="exact"/>
        <w:ind w:firstLine="420" w:firstLineChars="200"/>
        <w:rPr>
          <w:color w:val="auto"/>
          <w:highlight w:val="none"/>
        </w:rPr>
      </w:pPr>
      <w:r>
        <w:rPr>
          <w:rFonts w:hint="eastAsia"/>
          <w:color w:val="auto"/>
          <w:highlight w:val="none"/>
        </w:rPr>
        <w:t>一、项目负责人简历表</w:t>
      </w:r>
    </w:p>
    <w:p w14:paraId="27AA66FF">
      <w:pPr>
        <w:spacing w:line="540" w:lineRule="exact"/>
        <w:ind w:firstLine="420" w:firstLineChars="200"/>
        <w:rPr>
          <w:color w:val="auto"/>
          <w:highlight w:val="none"/>
        </w:rPr>
      </w:pPr>
      <w:r>
        <w:rPr>
          <w:rFonts w:hint="eastAsia"/>
          <w:color w:val="auto"/>
          <w:highlight w:val="none"/>
        </w:rPr>
        <w:t>二、技术负责人简历表</w:t>
      </w:r>
    </w:p>
    <w:p w14:paraId="6BB377DB">
      <w:pPr>
        <w:spacing w:line="540" w:lineRule="exact"/>
        <w:ind w:firstLine="420" w:firstLineChars="200"/>
        <w:rPr>
          <w:color w:val="auto"/>
          <w:highlight w:val="none"/>
        </w:rPr>
      </w:pPr>
      <w:r>
        <w:rPr>
          <w:rFonts w:hint="eastAsia"/>
          <w:color w:val="auto"/>
          <w:highlight w:val="none"/>
        </w:rPr>
        <w:t>三、主要施工机械设备表</w:t>
      </w:r>
    </w:p>
    <w:p w14:paraId="76A2968B">
      <w:pPr>
        <w:spacing w:line="540" w:lineRule="exact"/>
        <w:ind w:firstLine="420" w:firstLineChars="200"/>
        <w:rPr>
          <w:color w:val="auto"/>
          <w:highlight w:val="none"/>
        </w:rPr>
      </w:pPr>
      <w:r>
        <w:rPr>
          <w:rFonts w:hint="eastAsia"/>
          <w:color w:val="auto"/>
          <w:highlight w:val="none"/>
        </w:rPr>
        <w:t>四、台州市建设工程投标人资格自查表</w:t>
      </w:r>
    </w:p>
    <w:p w14:paraId="6B18A6DE">
      <w:pPr>
        <w:spacing w:line="540" w:lineRule="exact"/>
        <w:ind w:firstLine="420" w:firstLineChars="200"/>
        <w:rPr>
          <w:color w:val="auto"/>
          <w:highlight w:val="none"/>
        </w:rPr>
      </w:pPr>
      <w:r>
        <w:rPr>
          <w:rFonts w:hint="eastAsia"/>
          <w:color w:val="auto"/>
          <w:highlight w:val="none"/>
        </w:rPr>
        <w:t>五、台州市建设工程投标项目负责人资格自查表</w:t>
      </w:r>
    </w:p>
    <w:p w14:paraId="0C294543">
      <w:pPr>
        <w:spacing w:line="540" w:lineRule="exact"/>
        <w:ind w:firstLine="420" w:firstLineChars="200"/>
        <w:rPr>
          <w:color w:val="auto"/>
          <w:highlight w:val="none"/>
        </w:rPr>
      </w:pPr>
      <w:r>
        <w:rPr>
          <w:rFonts w:hint="eastAsia"/>
          <w:color w:val="auto"/>
          <w:highlight w:val="none"/>
        </w:rPr>
        <w:t>六、建设工程投标人及项目负责人资信分自查表</w:t>
      </w:r>
    </w:p>
    <w:p w14:paraId="0848D877">
      <w:pPr>
        <w:spacing w:line="540" w:lineRule="exact"/>
        <w:ind w:firstLine="420" w:firstLineChars="200"/>
        <w:rPr>
          <w:color w:val="auto"/>
          <w:highlight w:val="none"/>
        </w:rPr>
      </w:pPr>
      <w:r>
        <w:rPr>
          <w:rFonts w:hint="eastAsia"/>
          <w:color w:val="auto"/>
          <w:highlight w:val="none"/>
        </w:rPr>
        <w:t>七、台州市建设工程诚信投标承诺书</w:t>
      </w:r>
    </w:p>
    <w:p w14:paraId="39D8F988">
      <w:pPr>
        <w:spacing w:line="540" w:lineRule="exact"/>
        <w:ind w:firstLine="420" w:firstLineChars="200"/>
        <w:rPr>
          <w:color w:val="auto"/>
          <w:highlight w:val="none"/>
        </w:rPr>
      </w:pPr>
      <w:r>
        <w:rPr>
          <w:rFonts w:hint="eastAsia"/>
          <w:color w:val="auto"/>
          <w:highlight w:val="none"/>
        </w:rPr>
        <w:t>八、法定代表人授权委托书</w:t>
      </w:r>
    </w:p>
    <w:p w14:paraId="421FD4CA">
      <w:pPr>
        <w:spacing w:line="540" w:lineRule="exact"/>
        <w:ind w:firstLine="420" w:firstLineChars="200"/>
        <w:rPr>
          <w:color w:val="auto"/>
          <w:highlight w:val="none"/>
        </w:rPr>
      </w:pPr>
      <w:r>
        <w:rPr>
          <w:rFonts w:hint="eastAsia"/>
          <w:color w:val="auto"/>
          <w:highlight w:val="none"/>
        </w:rPr>
        <w:t>九、台州市建设工程安全生产任职资格承诺书</w:t>
      </w:r>
    </w:p>
    <w:p w14:paraId="25EBC93E">
      <w:pPr>
        <w:spacing w:line="540" w:lineRule="exact"/>
        <w:ind w:firstLine="420" w:firstLineChars="200"/>
        <w:rPr>
          <w:color w:val="auto"/>
          <w:highlight w:val="none"/>
        </w:rPr>
      </w:pPr>
      <w:r>
        <w:rPr>
          <w:rFonts w:hint="eastAsia"/>
          <w:color w:val="auto"/>
          <w:highlight w:val="none"/>
        </w:rPr>
        <w:t>十、停工证明（若有）</w:t>
      </w:r>
    </w:p>
    <w:p w14:paraId="410FF815">
      <w:pPr>
        <w:spacing w:line="540" w:lineRule="exact"/>
        <w:ind w:firstLine="420" w:firstLineChars="200"/>
        <w:rPr>
          <w:color w:val="auto"/>
          <w:highlight w:val="none"/>
        </w:rPr>
      </w:pPr>
      <w:r>
        <w:rPr>
          <w:rFonts w:hint="eastAsia"/>
          <w:color w:val="auto"/>
          <w:highlight w:val="none"/>
        </w:rPr>
        <w:t>十一、未验收证明（若有）</w:t>
      </w:r>
    </w:p>
    <w:p w14:paraId="681D496A">
      <w:pPr>
        <w:spacing w:line="540" w:lineRule="exact"/>
        <w:ind w:firstLine="420" w:firstLineChars="200"/>
        <w:rPr>
          <w:rFonts w:hint="eastAsia"/>
          <w:color w:val="auto"/>
          <w:highlight w:val="none"/>
        </w:rPr>
      </w:pPr>
      <w:r>
        <w:rPr>
          <w:rFonts w:hint="eastAsia"/>
          <w:color w:val="auto"/>
          <w:highlight w:val="none"/>
        </w:rPr>
        <w:t>十二、法定代表人身份证明</w:t>
      </w:r>
    </w:p>
    <w:p w14:paraId="2DA4EAF3">
      <w:pPr>
        <w:spacing w:line="400" w:lineRule="exact"/>
        <w:jc w:val="center"/>
        <w:rPr>
          <w:rFonts w:hint="eastAsia" w:ascii="黑体" w:hAnsi="黑体" w:eastAsia="黑体"/>
          <w:color w:val="auto"/>
          <w:sz w:val="32"/>
          <w:szCs w:val="32"/>
          <w:highlight w:val="none"/>
        </w:rPr>
      </w:pPr>
    </w:p>
    <w:p w14:paraId="7CEA5A6D">
      <w:pPr>
        <w:spacing w:line="400" w:lineRule="exact"/>
        <w:jc w:val="left"/>
        <w:rPr>
          <w:color w:val="auto"/>
          <w:sz w:val="24"/>
          <w:highlight w:val="none"/>
        </w:rPr>
      </w:pPr>
      <w:r>
        <w:rPr>
          <w:color w:val="auto"/>
          <w:highlight w:val="none"/>
        </w:rPr>
        <w:br w:type="page"/>
      </w:r>
      <w:bookmarkStart w:id="204" w:name="_Toc148964080"/>
      <w:r>
        <w:rPr>
          <w:color w:val="auto"/>
          <w:szCs w:val="28"/>
          <w:highlight w:val="none"/>
        </w:rPr>
        <w:t>一、项目负责人简历表</w:t>
      </w:r>
      <w:bookmarkEnd w:id="204"/>
      <w:r>
        <w:rPr>
          <w:rFonts w:hint="eastAsia"/>
          <w:color w:val="auto"/>
          <w:szCs w:val="28"/>
          <w:highlight w:val="none"/>
          <w:lang w:eastAsia="zh-CN"/>
        </w:rPr>
        <w:t>：</w:t>
      </w:r>
      <w:r>
        <w:rPr>
          <w:color w:val="auto"/>
          <w:sz w:val="24"/>
          <w:highlight w:val="none"/>
        </w:rPr>
        <w:t xml:space="preserve">  </w:t>
      </w:r>
    </w:p>
    <w:p w14:paraId="524D9699">
      <w:pPr>
        <w:spacing w:line="360" w:lineRule="auto"/>
        <w:jc w:val="center"/>
        <w:rPr>
          <w:color w:val="auto"/>
          <w:sz w:val="24"/>
          <w:highlight w:val="none"/>
        </w:rPr>
      </w:pPr>
      <w:r>
        <w:rPr>
          <w:color w:val="auto"/>
          <w:sz w:val="24"/>
          <w:highlight w:val="none"/>
          <w:u w:val="single"/>
        </w:rPr>
        <w:t xml:space="preserve">                              </w:t>
      </w:r>
      <w:r>
        <w:rPr>
          <w:color w:val="auto"/>
          <w:sz w:val="24"/>
          <w:highlight w:val="none"/>
        </w:rPr>
        <w:t xml:space="preserve">工程 </w:t>
      </w:r>
    </w:p>
    <w:p w14:paraId="5F0CBED0">
      <w:pPr>
        <w:spacing w:line="360" w:lineRule="auto"/>
        <w:jc w:val="center"/>
        <w:rPr>
          <w:rFonts w:eastAsia="黑体"/>
          <w:color w:val="auto"/>
          <w:sz w:val="44"/>
          <w:highlight w:val="none"/>
        </w:rPr>
      </w:pPr>
      <w:r>
        <w:rPr>
          <w:rFonts w:eastAsia="黑体"/>
          <w:color w:val="auto"/>
          <w:sz w:val="44"/>
          <w:highlight w:val="none"/>
        </w:rPr>
        <w:t>项目负责人简历表</w:t>
      </w:r>
    </w:p>
    <w:tbl>
      <w:tblPr>
        <w:tblStyle w:val="17"/>
        <w:tblW w:w="0" w:type="auto"/>
        <w:tblInd w:w="108" w:type="dxa"/>
        <w:tblLayout w:type="fixed"/>
        <w:tblCellMar>
          <w:top w:w="0" w:type="dxa"/>
          <w:left w:w="108" w:type="dxa"/>
          <w:bottom w:w="0" w:type="dxa"/>
          <w:right w:w="108" w:type="dxa"/>
        </w:tblCellMar>
      </w:tblPr>
      <w:tblGrid>
        <w:gridCol w:w="1090"/>
        <w:gridCol w:w="280"/>
        <w:gridCol w:w="665"/>
        <w:gridCol w:w="895"/>
        <w:gridCol w:w="1091"/>
        <w:gridCol w:w="1117"/>
        <w:gridCol w:w="935"/>
        <w:gridCol w:w="974"/>
        <w:gridCol w:w="1355"/>
      </w:tblGrid>
      <w:tr w14:paraId="41F960C9">
        <w:tblPrEx>
          <w:tblCellMar>
            <w:top w:w="0" w:type="dxa"/>
            <w:left w:w="108" w:type="dxa"/>
            <w:bottom w:w="0" w:type="dxa"/>
            <w:right w:w="108" w:type="dxa"/>
          </w:tblCellMar>
        </w:tblPrEx>
        <w:trPr>
          <w:trHeight w:val="466" w:hRule="atLeast"/>
        </w:trPr>
        <w:tc>
          <w:tcPr>
            <w:tcW w:w="10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DE2EE4">
            <w:pPr>
              <w:widowControl/>
              <w:jc w:val="center"/>
              <w:rPr>
                <w:color w:val="auto"/>
                <w:kern w:val="0"/>
                <w:sz w:val="24"/>
                <w:highlight w:val="none"/>
              </w:rPr>
            </w:pPr>
            <w:r>
              <w:rPr>
                <w:color w:val="auto"/>
                <w:kern w:val="0"/>
                <w:sz w:val="24"/>
                <w:highlight w:val="none"/>
              </w:rPr>
              <w:t>姓名</w:t>
            </w:r>
          </w:p>
        </w:tc>
        <w:tc>
          <w:tcPr>
            <w:tcW w:w="944"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03F948E7">
            <w:pPr>
              <w:widowControl/>
              <w:jc w:val="center"/>
              <w:rPr>
                <w:color w:val="auto"/>
                <w:kern w:val="0"/>
                <w:sz w:val="24"/>
                <w:highlight w:val="none"/>
              </w:rPr>
            </w:pPr>
            <w:r>
              <w:rPr>
                <w:color w:val="auto"/>
                <w:kern w:val="0"/>
                <w:sz w:val="24"/>
                <w:highlight w:val="none"/>
              </w:rPr>
              <w:t>　</w:t>
            </w:r>
          </w:p>
        </w:tc>
        <w:tc>
          <w:tcPr>
            <w:tcW w:w="895" w:type="dxa"/>
            <w:tcBorders>
              <w:top w:val="single" w:color="000000" w:sz="4" w:space="0"/>
              <w:left w:val="nil"/>
              <w:bottom w:val="single" w:color="000000" w:sz="4" w:space="0"/>
              <w:right w:val="single" w:color="000000" w:sz="4" w:space="0"/>
            </w:tcBorders>
            <w:shd w:val="clear" w:color="auto" w:fill="FFFFFF"/>
            <w:noWrap w:val="0"/>
            <w:vAlign w:val="center"/>
          </w:tcPr>
          <w:p w14:paraId="0DD78B0D">
            <w:pPr>
              <w:widowControl/>
              <w:jc w:val="center"/>
              <w:rPr>
                <w:color w:val="auto"/>
                <w:kern w:val="0"/>
                <w:sz w:val="24"/>
                <w:highlight w:val="none"/>
              </w:rPr>
            </w:pPr>
            <w:r>
              <w:rPr>
                <w:color w:val="auto"/>
                <w:kern w:val="0"/>
                <w:sz w:val="24"/>
                <w:highlight w:val="none"/>
              </w:rPr>
              <w:t>性别</w:t>
            </w:r>
          </w:p>
        </w:tc>
        <w:tc>
          <w:tcPr>
            <w:tcW w:w="1090" w:type="dxa"/>
            <w:tcBorders>
              <w:top w:val="single" w:color="000000" w:sz="4" w:space="0"/>
              <w:left w:val="nil"/>
              <w:bottom w:val="single" w:color="000000" w:sz="4" w:space="0"/>
              <w:right w:val="single" w:color="000000" w:sz="4" w:space="0"/>
            </w:tcBorders>
            <w:shd w:val="clear" w:color="auto" w:fill="FFFFFF"/>
            <w:noWrap w:val="0"/>
            <w:vAlign w:val="center"/>
          </w:tcPr>
          <w:p w14:paraId="6D3578E4">
            <w:pPr>
              <w:widowControl/>
              <w:jc w:val="center"/>
              <w:rPr>
                <w:color w:val="auto"/>
                <w:kern w:val="0"/>
                <w:sz w:val="24"/>
                <w:highlight w:val="none"/>
              </w:rPr>
            </w:pPr>
            <w:r>
              <w:rPr>
                <w:color w:val="auto"/>
                <w:kern w:val="0"/>
                <w:sz w:val="24"/>
                <w:highlight w:val="none"/>
              </w:rPr>
              <w:t>　</w:t>
            </w:r>
          </w:p>
        </w:tc>
        <w:tc>
          <w:tcPr>
            <w:tcW w:w="1117" w:type="dxa"/>
            <w:tcBorders>
              <w:top w:val="single" w:color="000000" w:sz="4" w:space="0"/>
              <w:left w:val="nil"/>
              <w:bottom w:val="single" w:color="000000" w:sz="4" w:space="0"/>
              <w:right w:val="single" w:color="000000" w:sz="4" w:space="0"/>
            </w:tcBorders>
            <w:shd w:val="clear" w:color="auto" w:fill="FFFFFF"/>
            <w:noWrap w:val="0"/>
            <w:vAlign w:val="center"/>
          </w:tcPr>
          <w:p w14:paraId="4E9D2DB6">
            <w:pPr>
              <w:widowControl/>
              <w:jc w:val="center"/>
              <w:rPr>
                <w:color w:val="auto"/>
                <w:kern w:val="0"/>
                <w:sz w:val="24"/>
                <w:highlight w:val="none"/>
              </w:rPr>
            </w:pPr>
            <w:r>
              <w:rPr>
                <w:color w:val="auto"/>
                <w:kern w:val="0"/>
                <w:sz w:val="24"/>
                <w:highlight w:val="none"/>
              </w:rPr>
              <w:t>年龄</w:t>
            </w:r>
          </w:p>
        </w:tc>
        <w:tc>
          <w:tcPr>
            <w:tcW w:w="934" w:type="dxa"/>
            <w:tcBorders>
              <w:top w:val="single" w:color="000000" w:sz="4" w:space="0"/>
              <w:left w:val="nil"/>
              <w:bottom w:val="single" w:color="000000" w:sz="4" w:space="0"/>
              <w:right w:val="single" w:color="000000" w:sz="4" w:space="0"/>
            </w:tcBorders>
            <w:shd w:val="clear" w:color="auto" w:fill="FFFFFF"/>
            <w:noWrap w:val="0"/>
            <w:vAlign w:val="center"/>
          </w:tcPr>
          <w:p w14:paraId="26EB5E8E">
            <w:pPr>
              <w:widowControl/>
              <w:jc w:val="center"/>
              <w:rPr>
                <w:color w:val="auto"/>
                <w:kern w:val="0"/>
                <w:sz w:val="24"/>
                <w:highlight w:val="none"/>
              </w:rPr>
            </w:pPr>
            <w:r>
              <w:rPr>
                <w:color w:val="auto"/>
                <w:kern w:val="0"/>
                <w:sz w:val="24"/>
                <w:highlight w:val="none"/>
              </w:rPr>
              <w:t>　</w:t>
            </w:r>
          </w:p>
        </w:tc>
        <w:tc>
          <w:tcPr>
            <w:tcW w:w="973" w:type="dxa"/>
            <w:tcBorders>
              <w:top w:val="single" w:color="000000" w:sz="4" w:space="0"/>
              <w:left w:val="nil"/>
              <w:bottom w:val="single" w:color="000000" w:sz="4" w:space="0"/>
              <w:right w:val="single" w:color="000000" w:sz="4" w:space="0"/>
            </w:tcBorders>
            <w:shd w:val="clear" w:color="auto" w:fill="FFFFFF"/>
            <w:noWrap w:val="0"/>
            <w:vAlign w:val="center"/>
          </w:tcPr>
          <w:p w14:paraId="1FF9B461">
            <w:pPr>
              <w:widowControl/>
              <w:jc w:val="center"/>
              <w:rPr>
                <w:color w:val="auto"/>
                <w:kern w:val="0"/>
                <w:sz w:val="24"/>
                <w:highlight w:val="none"/>
              </w:rPr>
            </w:pPr>
            <w:r>
              <w:rPr>
                <w:color w:val="auto"/>
                <w:kern w:val="0"/>
                <w:sz w:val="24"/>
                <w:highlight w:val="none"/>
              </w:rPr>
              <w:t>专业</w:t>
            </w:r>
          </w:p>
        </w:tc>
        <w:tc>
          <w:tcPr>
            <w:tcW w:w="1354" w:type="dxa"/>
            <w:tcBorders>
              <w:top w:val="single" w:color="000000" w:sz="4" w:space="0"/>
              <w:left w:val="nil"/>
              <w:bottom w:val="single" w:color="000000" w:sz="4" w:space="0"/>
              <w:right w:val="single" w:color="000000" w:sz="4" w:space="0"/>
            </w:tcBorders>
            <w:shd w:val="clear" w:color="auto" w:fill="FFFFFF"/>
            <w:noWrap w:val="0"/>
            <w:vAlign w:val="center"/>
          </w:tcPr>
          <w:p w14:paraId="1D31FD54">
            <w:pPr>
              <w:widowControl/>
              <w:jc w:val="center"/>
              <w:rPr>
                <w:color w:val="auto"/>
                <w:kern w:val="0"/>
                <w:sz w:val="24"/>
                <w:highlight w:val="none"/>
              </w:rPr>
            </w:pPr>
            <w:r>
              <w:rPr>
                <w:color w:val="auto"/>
                <w:kern w:val="0"/>
                <w:sz w:val="24"/>
                <w:highlight w:val="none"/>
              </w:rPr>
              <w:t>　</w:t>
            </w:r>
          </w:p>
        </w:tc>
      </w:tr>
      <w:tr w14:paraId="3B347372">
        <w:tblPrEx>
          <w:tblCellMar>
            <w:top w:w="0" w:type="dxa"/>
            <w:left w:w="108" w:type="dxa"/>
            <w:bottom w:w="0" w:type="dxa"/>
            <w:right w:w="108" w:type="dxa"/>
          </w:tblCellMar>
        </w:tblPrEx>
        <w:trPr>
          <w:trHeight w:val="480" w:hRule="atLeast"/>
        </w:trPr>
        <w:tc>
          <w:tcPr>
            <w:tcW w:w="137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570B47">
            <w:pPr>
              <w:widowControl/>
              <w:jc w:val="center"/>
              <w:rPr>
                <w:color w:val="auto"/>
                <w:kern w:val="0"/>
                <w:sz w:val="24"/>
                <w:highlight w:val="none"/>
              </w:rPr>
            </w:pPr>
            <w:r>
              <w:rPr>
                <w:color w:val="auto"/>
                <w:kern w:val="0"/>
                <w:sz w:val="24"/>
                <w:highlight w:val="none"/>
              </w:rPr>
              <w:t>资质等级</w:t>
            </w:r>
          </w:p>
        </w:tc>
        <w:tc>
          <w:tcPr>
            <w:tcW w:w="1560"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77D99478">
            <w:pPr>
              <w:widowControl/>
              <w:jc w:val="center"/>
              <w:rPr>
                <w:color w:val="auto"/>
                <w:kern w:val="0"/>
                <w:sz w:val="24"/>
                <w:highlight w:val="none"/>
              </w:rPr>
            </w:pPr>
            <w:r>
              <w:rPr>
                <w:color w:val="auto"/>
                <w:kern w:val="0"/>
                <w:sz w:val="24"/>
                <w:highlight w:val="none"/>
              </w:rPr>
              <w:t>　</w:t>
            </w:r>
          </w:p>
        </w:tc>
        <w:tc>
          <w:tcPr>
            <w:tcW w:w="1090" w:type="dxa"/>
            <w:tcBorders>
              <w:top w:val="nil"/>
              <w:left w:val="nil"/>
              <w:bottom w:val="single" w:color="000000" w:sz="4" w:space="0"/>
              <w:right w:val="single" w:color="000000" w:sz="4" w:space="0"/>
            </w:tcBorders>
            <w:shd w:val="clear" w:color="auto" w:fill="FFFFFF"/>
            <w:noWrap w:val="0"/>
            <w:vAlign w:val="center"/>
          </w:tcPr>
          <w:p w14:paraId="25416844">
            <w:pPr>
              <w:widowControl/>
              <w:jc w:val="center"/>
              <w:rPr>
                <w:color w:val="auto"/>
                <w:kern w:val="0"/>
                <w:sz w:val="24"/>
                <w:highlight w:val="none"/>
              </w:rPr>
            </w:pPr>
            <w:r>
              <w:rPr>
                <w:color w:val="auto"/>
                <w:kern w:val="0"/>
                <w:sz w:val="24"/>
                <w:highlight w:val="none"/>
              </w:rPr>
              <w:t>职称</w:t>
            </w:r>
          </w:p>
        </w:tc>
        <w:tc>
          <w:tcPr>
            <w:tcW w:w="2052"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5FA6D206">
            <w:pPr>
              <w:widowControl/>
              <w:jc w:val="center"/>
              <w:rPr>
                <w:color w:val="auto"/>
                <w:kern w:val="0"/>
                <w:sz w:val="24"/>
                <w:highlight w:val="none"/>
              </w:rPr>
            </w:pPr>
            <w:r>
              <w:rPr>
                <w:color w:val="auto"/>
                <w:kern w:val="0"/>
                <w:sz w:val="24"/>
                <w:highlight w:val="none"/>
              </w:rPr>
              <w:t>　</w:t>
            </w:r>
          </w:p>
        </w:tc>
        <w:tc>
          <w:tcPr>
            <w:tcW w:w="973" w:type="dxa"/>
            <w:tcBorders>
              <w:top w:val="nil"/>
              <w:left w:val="nil"/>
              <w:bottom w:val="single" w:color="000000" w:sz="4" w:space="0"/>
              <w:right w:val="single" w:color="000000" w:sz="4" w:space="0"/>
            </w:tcBorders>
            <w:shd w:val="clear" w:color="auto" w:fill="FFFFFF"/>
            <w:noWrap w:val="0"/>
            <w:vAlign w:val="center"/>
          </w:tcPr>
          <w:p w14:paraId="063ED746">
            <w:pPr>
              <w:widowControl/>
              <w:jc w:val="center"/>
              <w:rPr>
                <w:color w:val="auto"/>
                <w:kern w:val="0"/>
                <w:sz w:val="24"/>
                <w:highlight w:val="none"/>
              </w:rPr>
            </w:pPr>
            <w:r>
              <w:rPr>
                <w:color w:val="auto"/>
                <w:kern w:val="0"/>
                <w:sz w:val="24"/>
                <w:highlight w:val="none"/>
              </w:rPr>
              <w:t>学历</w:t>
            </w:r>
          </w:p>
        </w:tc>
        <w:tc>
          <w:tcPr>
            <w:tcW w:w="1354" w:type="dxa"/>
            <w:tcBorders>
              <w:top w:val="nil"/>
              <w:left w:val="nil"/>
              <w:bottom w:val="single" w:color="000000" w:sz="4" w:space="0"/>
              <w:right w:val="single" w:color="000000" w:sz="4" w:space="0"/>
            </w:tcBorders>
            <w:shd w:val="clear" w:color="auto" w:fill="FFFFFF"/>
            <w:noWrap w:val="0"/>
            <w:vAlign w:val="center"/>
          </w:tcPr>
          <w:p w14:paraId="091DCE99">
            <w:pPr>
              <w:widowControl/>
              <w:jc w:val="center"/>
              <w:rPr>
                <w:color w:val="auto"/>
                <w:kern w:val="0"/>
                <w:sz w:val="24"/>
                <w:highlight w:val="none"/>
              </w:rPr>
            </w:pPr>
            <w:r>
              <w:rPr>
                <w:color w:val="auto"/>
                <w:kern w:val="0"/>
                <w:sz w:val="24"/>
                <w:highlight w:val="none"/>
              </w:rPr>
              <w:t>　</w:t>
            </w:r>
          </w:p>
        </w:tc>
      </w:tr>
      <w:tr w14:paraId="0D3BEAE7">
        <w:tblPrEx>
          <w:tblCellMar>
            <w:top w:w="0" w:type="dxa"/>
            <w:left w:w="108" w:type="dxa"/>
            <w:bottom w:w="0" w:type="dxa"/>
            <w:right w:w="108" w:type="dxa"/>
          </w:tblCellMar>
        </w:tblPrEx>
        <w:trPr>
          <w:trHeight w:val="491" w:hRule="atLeast"/>
        </w:trPr>
        <w:tc>
          <w:tcPr>
            <w:tcW w:w="2035"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67774E">
            <w:pPr>
              <w:widowControl/>
              <w:jc w:val="center"/>
              <w:rPr>
                <w:color w:val="auto"/>
                <w:kern w:val="0"/>
                <w:sz w:val="24"/>
                <w:highlight w:val="none"/>
              </w:rPr>
            </w:pPr>
            <w:r>
              <w:rPr>
                <w:color w:val="auto"/>
                <w:kern w:val="0"/>
                <w:sz w:val="24"/>
                <w:highlight w:val="none"/>
              </w:rPr>
              <w:t>参加工作时间</w:t>
            </w:r>
          </w:p>
        </w:tc>
        <w:tc>
          <w:tcPr>
            <w:tcW w:w="1986"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40F98D4E">
            <w:pPr>
              <w:widowControl/>
              <w:ind w:leftChars="-137" w:hanging="288" w:hangingChars="120"/>
              <w:jc w:val="left"/>
              <w:rPr>
                <w:color w:val="auto"/>
                <w:kern w:val="0"/>
                <w:sz w:val="24"/>
                <w:highlight w:val="none"/>
              </w:rPr>
            </w:pPr>
          </w:p>
        </w:tc>
        <w:tc>
          <w:tcPr>
            <w:tcW w:w="3026" w:type="dxa"/>
            <w:gridSpan w:val="3"/>
            <w:tcBorders>
              <w:top w:val="single" w:color="000000" w:sz="4" w:space="0"/>
              <w:left w:val="nil"/>
              <w:bottom w:val="single" w:color="000000" w:sz="4" w:space="0"/>
              <w:right w:val="single" w:color="000000" w:sz="4" w:space="0"/>
            </w:tcBorders>
            <w:shd w:val="clear" w:color="auto" w:fill="FFFFFF"/>
            <w:noWrap w:val="0"/>
            <w:vAlign w:val="center"/>
          </w:tcPr>
          <w:p w14:paraId="0E0C9301">
            <w:pPr>
              <w:widowControl/>
              <w:jc w:val="center"/>
              <w:rPr>
                <w:color w:val="auto"/>
                <w:kern w:val="0"/>
                <w:sz w:val="24"/>
                <w:highlight w:val="none"/>
              </w:rPr>
            </w:pPr>
            <w:r>
              <w:rPr>
                <w:color w:val="auto"/>
                <w:kern w:val="0"/>
                <w:sz w:val="24"/>
                <w:highlight w:val="none"/>
              </w:rPr>
              <w:t>从事项目负责人年限</w:t>
            </w:r>
          </w:p>
        </w:tc>
        <w:tc>
          <w:tcPr>
            <w:tcW w:w="1354" w:type="dxa"/>
            <w:tcBorders>
              <w:top w:val="nil"/>
              <w:left w:val="nil"/>
              <w:bottom w:val="single" w:color="000000" w:sz="4" w:space="0"/>
              <w:right w:val="single" w:color="000000" w:sz="4" w:space="0"/>
            </w:tcBorders>
            <w:shd w:val="clear" w:color="auto" w:fill="FFFFFF"/>
            <w:noWrap w:val="0"/>
            <w:vAlign w:val="center"/>
          </w:tcPr>
          <w:p w14:paraId="7BEF6368">
            <w:pPr>
              <w:widowControl/>
              <w:jc w:val="left"/>
              <w:rPr>
                <w:color w:val="auto"/>
                <w:kern w:val="0"/>
                <w:sz w:val="24"/>
                <w:highlight w:val="none"/>
              </w:rPr>
            </w:pPr>
            <w:r>
              <w:rPr>
                <w:color w:val="auto"/>
                <w:kern w:val="0"/>
                <w:sz w:val="24"/>
                <w:highlight w:val="none"/>
              </w:rPr>
              <w:t>　</w:t>
            </w:r>
          </w:p>
        </w:tc>
      </w:tr>
      <w:tr w14:paraId="37AE9994">
        <w:tblPrEx>
          <w:tblCellMar>
            <w:top w:w="0" w:type="dxa"/>
            <w:left w:w="108" w:type="dxa"/>
            <w:bottom w:w="0" w:type="dxa"/>
            <w:right w:w="108" w:type="dxa"/>
          </w:tblCellMar>
        </w:tblPrEx>
        <w:trPr>
          <w:trHeight w:val="504" w:hRule="atLeast"/>
        </w:trPr>
        <w:tc>
          <w:tcPr>
            <w:tcW w:w="137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C8A5BB">
            <w:pPr>
              <w:widowControl/>
              <w:jc w:val="center"/>
              <w:rPr>
                <w:color w:val="auto"/>
                <w:kern w:val="0"/>
                <w:sz w:val="24"/>
                <w:highlight w:val="none"/>
              </w:rPr>
            </w:pPr>
            <w:r>
              <w:rPr>
                <w:color w:val="auto"/>
                <w:kern w:val="0"/>
                <w:sz w:val="24"/>
                <w:highlight w:val="none"/>
              </w:rPr>
              <w:t>证书号</w:t>
            </w:r>
          </w:p>
        </w:tc>
        <w:tc>
          <w:tcPr>
            <w:tcW w:w="2651" w:type="dxa"/>
            <w:gridSpan w:val="3"/>
            <w:tcBorders>
              <w:top w:val="single" w:color="000000" w:sz="4" w:space="0"/>
              <w:left w:val="nil"/>
              <w:bottom w:val="single" w:color="000000" w:sz="4" w:space="0"/>
              <w:right w:val="single" w:color="000000" w:sz="4" w:space="0"/>
            </w:tcBorders>
            <w:shd w:val="clear" w:color="auto" w:fill="FFFFFF"/>
            <w:noWrap w:val="0"/>
            <w:vAlign w:val="center"/>
          </w:tcPr>
          <w:p w14:paraId="45AA6D3A">
            <w:pPr>
              <w:widowControl/>
              <w:jc w:val="center"/>
              <w:rPr>
                <w:color w:val="auto"/>
                <w:kern w:val="0"/>
                <w:sz w:val="24"/>
                <w:highlight w:val="none"/>
              </w:rPr>
            </w:pPr>
            <w:r>
              <w:rPr>
                <w:color w:val="auto"/>
                <w:kern w:val="0"/>
                <w:sz w:val="24"/>
                <w:highlight w:val="none"/>
              </w:rPr>
              <w:t>　</w:t>
            </w:r>
          </w:p>
        </w:tc>
        <w:tc>
          <w:tcPr>
            <w:tcW w:w="1117" w:type="dxa"/>
            <w:tcBorders>
              <w:top w:val="nil"/>
              <w:left w:val="nil"/>
              <w:bottom w:val="single" w:color="000000" w:sz="4" w:space="0"/>
              <w:right w:val="single" w:color="000000" w:sz="4" w:space="0"/>
            </w:tcBorders>
            <w:shd w:val="clear" w:color="auto" w:fill="FFFFFF"/>
            <w:noWrap w:val="0"/>
            <w:vAlign w:val="center"/>
          </w:tcPr>
          <w:p w14:paraId="479EF67D">
            <w:pPr>
              <w:widowControl/>
              <w:jc w:val="center"/>
              <w:rPr>
                <w:color w:val="auto"/>
                <w:kern w:val="0"/>
                <w:sz w:val="24"/>
                <w:highlight w:val="none"/>
              </w:rPr>
            </w:pPr>
            <w:r>
              <w:rPr>
                <w:color w:val="auto"/>
                <w:kern w:val="0"/>
                <w:sz w:val="24"/>
                <w:highlight w:val="none"/>
              </w:rPr>
              <w:t>身份证</w:t>
            </w:r>
          </w:p>
        </w:tc>
        <w:tc>
          <w:tcPr>
            <w:tcW w:w="3262" w:type="dxa"/>
            <w:gridSpan w:val="3"/>
            <w:tcBorders>
              <w:top w:val="single" w:color="000000" w:sz="4" w:space="0"/>
              <w:left w:val="nil"/>
              <w:bottom w:val="single" w:color="000000" w:sz="4" w:space="0"/>
              <w:right w:val="single" w:color="000000" w:sz="4" w:space="0"/>
            </w:tcBorders>
            <w:shd w:val="clear" w:color="auto" w:fill="FFFFFF"/>
            <w:noWrap w:val="0"/>
            <w:vAlign w:val="center"/>
          </w:tcPr>
          <w:p w14:paraId="2FDF0C03">
            <w:pPr>
              <w:widowControl/>
              <w:jc w:val="center"/>
              <w:rPr>
                <w:color w:val="auto"/>
                <w:kern w:val="0"/>
                <w:sz w:val="24"/>
                <w:highlight w:val="none"/>
              </w:rPr>
            </w:pPr>
            <w:r>
              <w:rPr>
                <w:color w:val="auto"/>
                <w:kern w:val="0"/>
                <w:sz w:val="24"/>
                <w:highlight w:val="none"/>
              </w:rPr>
              <w:t>　</w:t>
            </w:r>
          </w:p>
        </w:tc>
      </w:tr>
      <w:tr w14:paraId="2DB2A86E">
        <w:tblPrEx>
          <w:tblCellMar>
            <w:top w:w="0" w:type="dxa"/>
            <w:left w:w="108" w:type="dxa"/>
            <w:bottom w:w="0" w:type="dxa"/>
            <w:right w:w="108" w:type="dxa"/>
          </w:tblCellMar>
        </w:tblPrEx>
        <w:trPr>
          <w:trHeight w:val="7278" w:hRule="atLeast"/>
        </w:trPr>
        <w:tc>
          <w:tcPr>
            <w:tcW w:w="1090" w:type="dxa"/>
            <w:vMerge w:val="restart"/>
            <w:tcBorders>
              <w:top w:val="nil"/>
              <w:left w:val="single" w:color="000000" w:sz="4" w:space="0"/>
              <w:bottom w:val="single" w:color="000000" w:sz="4" w:space="0"/>
              <w:right w:val="single" w:color="000000" w:sz="4" w:space="0"/>
            </w:tcBorders>
            <w:shd w:val="clear" w:color="auto" w:fill="FFFFFF"/>
            <w:noWrap w:val="0"/>
            <w:vAlign w:val="center"/>
          </w:tcPr>
          <w:p w14:paraId="2A57FEB5">
            <w:pPr>
              <w:widowControl/>
              <w:jc w:val="center"/>
              <w:rPr>
                <w:color w:val="auto"/>
                <w:kern w:val="0"/>
                <w:sz w:val="24"/>
                <w:highlight w:val="none"/>
              </w:rPr>
            </w:pPr>
            <w:r>
              <w:rPr>
                <w:color w:val="auto"/>
                <w:kern w:val="0"/>
                <w:sz w:val="24"/>
                <w:highlight w:val="none"/>
              </w:rPr>
              <w:t>简</w:t>
            </w:r>
          </w:p>
          <w:p w14:paraId="31276F1E">
            <w:pPr>
              <w:widowControl/>
              <w:jc w:val="center"/>
              <w:rPr>
                <w:color w:val="auto"/>
                <w:kern w:val="0"/>
                <w:sz w:val="24"/>
                <w:highlight w:val="none"/>
              </w:rPr>
            </w:pPr>
          </w:p>
          <w:p w14:paraId="3B07643E">
            <w:pPr>
              <w:widowControl/>
              <w:jc w:val="center"/>
              <w:rPr>
                <w:color w:val="auto"/>
                <w:kern w:val="0"/>
                <w:sz w:val="24"/>
                <w:highlight w:val="none"/>
              </w:rPr>
            </w:pPr>
          </w:p>
          <w:p w14:paraId="158B833C">
            <w:pPr>
              <w:widowControl/>
              <w:jc w:val="center"/>
              <w:rPr>
                <w:color w:val="auto"/>
                <w:kern w:val="0"/>
                <w:sz w:val="24"/>
                <w:highlight w:val="none"/>
              </w:rPr>
            </w:pPr>
          </w:p>
          <w:p w14:paraId="54981842">
            <w:pPr>
              <w:widowControl/>
              <w:jc w:val="center"/>
              <w:rPr>
                <w:color w:val="auto"/>
                <w:kern w:val="0"/>
                <w:sz w:val="24"/>
                <w:highlight w:val="none"/>
              </w:rPr>
            </w:pPr>
          </w:p>
          <w:p w14:paraId="7CC3E6E9">
            <w:pPr>
              <w:widowControl/>
              <w:jc w:val="center"/>
              <w:rPr>
                <w:color w:val="auto"/>
                <w:kern w:val="0"/>
                <w:sz w:val="24"/>
                <w:highlight w:val="none"/>
              </w:rPr>
            </w:pPr>
          </w:p>
          <w:p w14:paraId="671B8940">
            <w:pPr>
              <w:widowControl/>
              <w:jc w:val="center"/>
              <w:rPr>
                <w:color w:val="auto"/>
                <w:kern w:val="0"/>
                <w:sz w:val="24"/>
                <w:highlight w:val="none"/>
              </w:rPr>
            </w:pPr>
            <w:r>
              <w:rPr>
                <w:color w:val="auto"/>
                <w:kern w:val="0"/>
                <w:sz w:val="24"/>
                <w:highlight w:val="none"/>
              </w:rPr>
              <w:t>历</w:t>
            </w:r>
          </w:p>
        </w:tc>
        <w:tc>
          <w:tcPr>
            <w:tcW w:w="7312" w:type="dxa"/>
            <w:gridSpan w:val="8"/>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2E16F585">
            <w:pPr>
              <w:widowControl/>
              <w:jc w:val="left"/>
              <w:rPr>
                <w:color w:val="auto"/>
                <w:kern w:val="0"/>
                <w:sz w:val="24"/>
                <w:highlight w:val="none"/>
              </w:rPr>
            </w:pPr>
          </w:p>
        </w:tc>
      </w:tr>
      <w:tr w14:paraId="3EB4B0C3">
        <w:tblPrEx>
          <w:tblCellMar>
            <w:top w:w="0" w:type="dxa"/>
            <w:left w:w="108" w:type="dxa"/>
            <w:bottom w:w="0" w:type="dxa"/>
            <w:right w:w="108" w:type="dxa"/>
          </w:tblCellMar>
        </w:tblPrEx>
        <w:trPr>
          <w:trHeight w:val="312" w:hRule="atLeast"/>
        </w:trPr>
        <w:tc>
          <w:tcPr>
            <w:tcW w:w="1090" w:type="dxa"/>
            <w:vMerge w:val="continue"/>
            <w:tcBorders>
              <w:top w:val="nil"/>
              <w:left w:val="single" w:color="000000" w:sz="4" w:space="0"/>
              <w:bottom w:val="single" w:color="000000" w:sz="4" w:space="0"/>
              <w:right w:val="single" w:color="000000" w:sz="4" w:space="0"/>
            </w:tcBorders>
            <w:noWrap w:val="0"/>
            <w:vAlign w:val="center"/>
          </w:tcPr>
          <w:p w14:paraId="0A05B37B">
            <w:pPr>
              <w:widowControl/>
              <w:jc w:val="left"/>
              <w:rPr>
                <w:color w:val="auto"/>
                <w:kern w:val="0"/>
                <w:sz w:val="22"/>
                <w:szCs w:val="22"/>
                <w:highlight w:val="none"/>
              </w:rPr>
            </w:pPr>
          </w:p>
        </w:tc>
        <w:tc>
          <w:tcPr>
            <w:tcW w:w="7312"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14:paraId="0EE4FC67">
            <w:pPr>
              <w:widowControl/>
              <w:jc w:val="left"/>
              <w:rPr>
                <w:color w:val="auto"/>
                <w:kern w:val="0"/>
                <w:sz w:val="22"/>
                <w:szCs w:val="22"/>
                <w:highlight w:val="none"/>
              </w:rPr>
            </w:pPr>
          </w:p>
        </w:tc>
      </w:tr>
    </w:tbl>
    <w:p w14:paraId="0DA97482">
      <w:pPr>
        <w:spacing w:line="440" w:lineRule="exact"/>
        <w:ind w:right="480" w:firstLine="4800" w:firstLineChars="2000"/>
        <w:rPr>
          <w:rFonts w:hint="eastAsia"/>
          <w:color w:val="auto"/>
          <w:sz w:val="24"/>
          <w:highlight w:val="none"/>
        </w:rPr>
      </w:pPr>
    </w:p>
    <w:p w14:paraId="61A65E3B">
      <w:pPr>
        <w:spacing w:line="440" w:lineRule="exact"/>
        <w:ind w:right="480" w:firstLine="4800" w:firstLineChars="2000"/>
        <w:rPr>
          <w:color w:val="auto"/>
          <w:sz w:val="24"/>
          <w:highlight w:val="none"/>
        </w:rPr>
      </w:pPr>
      <w:r>
        <w:rPr>
          <w:color w:val="auto"/>
          <w:sz w:val="24"/>
          <w:highlight w:val="none"/>
        </w:rPr>
        <w:t xml:space="preserve">法定代表人（签字或盖章）： </w:t>
      </w:r>
    </w:p>
    <w:p w14:paraId="03931B6D">
      <w:pPr>
        <w:spacing w:line="440" w:lineRule="exact"/>
        <w:ind w:right="480"/>
        <w:jc w:val="center"/>
        <w:rPr>
          <w:rFonts w:hint="eastAsia"/>
          <w:color w:val="auto"/>
          <w:sz w:val="24"/>
          <w:highlight w:val="none"/>
        </w:rPr>
      </w:pPr>
      <w:r>
        <w:rPr>
          <w:color w:val="auto"/>
          <w:highlight w:val="none"/>
        </w:rPr>
        <w:t xml:space="preserve">                                  </w:t>
      </w:r>
      <w:r>
        <w:rPr>
          <w:color w:val="auto"/>
          <w:sz w:val="24"/>
          <w:highlight w:val="none"/>
        </w:rPr>
        <w:t xml:space="preserve">   投 标 人（盖章）：  </w:t>
      </w:r>
    </w:p>
    <w:p w14:paraId="206AC1E7">
      <w:pPr>
        <w:spacing w:line="440" w:lineRule="exact"/>
        <w:ind w:right="840"/>
        <w:jc w:val="right"/>
        <w:rPr>
          <w:color w:val="auto"/>
          <w:sz w:val="24"/>
          <w:highlight w:val="none"/>
        </w:rPr>
      </w:pPr>
      <w:r>
        <w:rPr>
          <w:color w:val="auto"/>
          <w:sz w:val="24"/>
          <w:highlight w:val="none"/>
        </w:rPr>
        <w:t>日期：    年   月   日</w:t>
      </w:r>
    </w:p>
    <w:p w14:paraId="3A4FFB49">
      <w:pPr>
        <w:pStyle w:val="29"/>
        <w:rPr>
          <w:rFonts w:cs="Times New Roman"/>
          <w:color w:val="auto"/>
          <w:szCs w:val="28"/>
          <w:highlight w:val="none"/>
        </w:rPr>
      </w:pPr>
    </w:p>
    <w:p w14:paraId="04762DE4">
      <w:pPr>
        <w:pStyle w:val="29"/>
        <w:rPr>
          <w:rFonts w:cs="Times New Roman"/>
          <w:color w:val="auto"/>
          <w:szCs w:val="28"/>
          <w:highlight w:val="none"/>
        </w:rPr>
      </w:pPr>
      <w:r>
        <w:rPr>
          <w:rFonts w:cs="Times New Roman"/>
          <w:color w:val="auto"/>
          <w:szCs w:val="28"/>
          <w:highlight w:val="none"/>
        </w:rPr>
        <w:t>二、技术负责人简历表</w:t>
      </w:r>
    </w:p>
    <w:p w14:paraId="669FDDE2">
      <w:pPr>
        <w:spacing w:line="440" w:lineRule="exact"/>
        <w:jc w:val="center"/>
        <w:rPr>
          <w:rFonts w:eastAsia="黑体"/>
          <w:color w:val="auto"/>
          <w:sz w:val="20"/>
          <w:szCs w:val="20"/>
          <w:highlight w:val="none"/>
        </w:rPr>
      </w:pPr>
    </w:p>
    <w:p w14:paraId="6FC7876C">
      <w:pPr>
        <w:spacing w:line="360" w:lineRule="auto"/>
        <w:jc w:val="center"/>
        <w:rPr>
          <w:color w:val="auto"/>
          <w:sz w:val="24"/>
          <w:highlight w:val="none"/>
        </w:rPr>
      </w:pPr>
      <w:r>
        <w:rPr>
          <w:color w:val="auto"/>
          <w:sz w:val="24"/>
          <w:highlight w:val="none"/>
          <w:u w:val="single"/>
        </w:rPr>
        <w:t xml:space="preserve">                              </w:t>
      </w:r>
      <w:r>
        <w:rPr>
          <w:color w:val="auto"/>
          <w:sz w:val="24"/>
          <w:highlight w:val="none"/>
        </w:rPr>
        <w:t>工程</w:t>
      </w:r>
    </w:p>
    <w:p w14:paraId="151C60CB">
      <w:pPr>
        <w:spacing w:line="360" w:lineRule="auto"/>
        <w:jc w:val="center"/>
        <w:rPr>
          <w:rFonts w:eastAsia="黑体"/>
          <w:color w:val="auto"/>
          <w:sz w:val="44"/>
          <w:highlight w:val="none"/>
        </w:rPr>
      </w:pPr>
      <w:r>
        <w:rPr>
          <w:rFonts w:eastAsia="黑体"/>
          <w:color w:val="auto"/>
          <w:sz w:val="44"/>
          <w:highlight w:val="none"/>
        </w:rPr>
        <w:t>技术负责人简历表</w:t>
      </w:r>
    </w:p>
    <w:tbl>
      <w:tblPr>
        <w:tblStyle w:val="17"/>
        <w:tblW w:w="0" w:type="auto"/>
        <w:tblInd w:w="-72" w:type="dxa"/>
        <w:tblLayout w:type="fixed"/>
        <w:tblCellMar>
          <w:top w:w="0" w:type="dxa"/>
          <w:left w:w="108" w:type="dxa"/>
          <w:bottom w:w="0" w:type="dxa"/>
          <w:right w:w="108" w:type="dxa"/>
        </w:tblCellMar>
      </w:tblPr>
      <w:tblGrid>
        <w:gridCol w:w="1140"/>
        <w:gridCol w:w="1380"/>
        <w:gridCol w:w="920"/>
        <w:gridCol w:w="700"/>
        <w:gridCol w:w="820"/>
        <w:gridCol w:w="980"/>
        <w:gridCol w:w="1080"/>
        <w:gridCol w:w="1500"/>
      </w:tblGrid>
      <w:tr w14:paraId="196EC713">
        <w:tblPrEx>
          <w:tblCellMar>
            <w:top w:w="0" w:type="dxa"/>
            <w:left w:w="108" w:type="dxa"/>
            <w:bottom w:w="0" w:type="dxa"/>
            <w:right w:w="108" w:type="dxa"/>
          </w:tblCellMar>
        </w:tblPrEx>
        <w:trPr>
          <w:trHeight w:val="525" w:hRule="atLeast"/>
        </w:trPr>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E0AD5D">
            <w:pPr>
              <w:widowControl/>
              <w:jc w:val="center"/>
              <w:rPr>
                <w:color w:val="auto"/>
                <w:kern w:val="0"/>
                <w:sz w:val="24"/>
                <w:highlight w:val="none"/>
              </w:rPr>
            </w:pPr>
            <w:r>
              <w:rPr>
                <w:color w:val="auto"/>
                <w:kern w:val="0"/>
                <w:sz w:val="24"/>
                <w:highlight w:val="none"/>
              </w:rPr>
              <w:t>姓名</w:t>
            </w:r>
          </w:p>
        </w:tc>
        <w:tc>
          <w:tcPr>
            <w:tcW w:w="1380" w:type="dxa"/>
            <w:tcBorders>
              <w:top w:val="single" w:color="000000" w:sz="4" w:space="0"/>
              <w:left w:val="nil"/>
              <w:bottom w:val="single" w:color="000000" w:sz="4" w:space="0"/>
              <w:right w:val="single" w:color="000000" w:sz="4" w:space="0"/>
            </w:tcBorders>
            <w:shd w:val="clear" w:color="auto" w:fill="FFFFFF"/>
            <w:noWrap w:val="0"/>
            <w:vAlign w:val="center"/>
          </w:tcPr>
          <w:p w14:paraId="00C7E126">
            <w:pPr>
              <w:widowControl/>
              <w:jc w:val="center"/>
              <w:rPr>
                <w:color w:val="auto"/>
                <w:kern w:val="0"/>
                <w:sz w:val="24"/>
                <w:highlight w:val="none"/>
              </w:rPr>
            </w:pPr>
            <w:r>
              <w:rPr>
                <w:color w:val="auto"/>
                <w:kern w:val="0"/>
                <w:sz w:val="24"/>
                <w:highlight w:val="none"/>
              </w:rPr>
              <w:t>　</w:t>
            </w: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75799753">
            <w:pPr>
              <w:widowControl/>
              <w:jc w:val="center"/>
              <w:rPr>
                <w:color w:val="auto"/>
                <w:kern w:val="0"/>
                <w:sz w:val="24"/>
                <w:highlight w:val="none"/>
              </w:rPr>
            </w:pPr>
            <w:r>
              <w:rPr>
                <w:color w:val="auto"/>
                <w:kern w:val="0"/>
                <w:sz w:val="24"/>
                <w:highlight w:val="none"/>
              </w:rPr>
              <w:t>性别</w:t>
            </w:r>
          </w:p>
        </w:tc>
        <w:tc>
          <w:tcPr>
            <w:tcW w:w="700" w:type="dxa"/>
            <w:tcBorders>
              <w:top w:val="single" w:color="000000" w:sz="4" w:space="0"/>
              <w:left w:val="nil"/>
              <w:bottom w:val="single" w:color="000000" w:sz="4" w:space="0"/>
              <w:right w:val="single" w:color="000000" w:sz="4" w:space="0"/>
            </w:tcBorders>
            <w:shd w:val="clear" w:color="auto" w:fill="FFFFFF"/>
            <w:noWrap w:val="0"/>
            <w:vAlign w:val="center"/>
          </w:tcPr>
          <w:p w14:paraId="6C9748B8">
            <w:pPr>
              <w:widowControl/>
              <w:jc w:val="center"/>
              <w:rPr>
                <w:color w:val="auto"/>
                <w:kern w:val="0"/>
                <w:sz w:val="24"/>
                <w:highlight w:val="none"/>
              </w:rPr>
            </w:pPr>
            <w:r>
              <w:rPr>
                <w:color w:val="auto"/>
                <w:kern w:val="0"/>
                <w:sz w:val="24"/>
                <w:highlight w:val="none"/>
              </w:rPr>
              <w:t>　</w:t>
            </w:r>
          </w:p>
        </w:tc>
        <w:tc>
          <w:tcPr>
            <w:tcW w:w="820" w:type="dxa"/>
            <w:tcBorders>
              <w:top w:val="single" w:color="000000" w:sz="4" w:space="0"/>
              <w:left w:val="nil"/>
              <w:bottom w:val="single" w:color="000000" w:sz="4" w:space="0"/>
              <w:right w:val="single" w:color="000000" w:sz="4" w:space="0"/>
            </w:tcBorders>
            <w:shd w:val="clear" w:color="auto" w:fill="FFFFFF"/>
            <w:noWrap w:val="0"/>
            <w:vAlign w:val="center"/>
          </w:tcPr>
          <w:p w14:paraId="2CB93989">
            <w:pPr>
              <w:widowControl/>
              <w:jc w:val="center"/>
              <w:rPr>
                <w:color w:val="auto"/>
                <w:kern w:val="0"/>
                <w:sz w:val="24"/>
                <w:highlight w:val="none"/>
              </w:rPr>
            </w:pPr>
            <w:r>
              <w:rPr>
                <w:color w:val="auto"/>
                <w:kern w:val="0"/>
                <w:sz w:val="24"/>
                <w:highlight w:val="none"/>
              </w:rPr>
              <w:t>年龄</w:t>
            </w:r>
          </w:p>
        </w:tc>
        <w:tc>
          <w:tcPr>
            <w:tcW w:w="980" w:type="dxa"/>
            <w:tcBorders>
              <w:top w:val="single" w:color="000000" w:sz="4" w:space="0"/>
              <w:left w:val="nil"/>
              <w:bottom w:val="single" w:color="000000" w:sz="4" w:space="0"/>
              <w:right w:val="single" w:color="000000" w:sz="4" w:space="0"/>
            </w:tcBorders>
            <w:shd w:val="clear" w:color="auto" w:fill="FFFFFF"/>
            <w:noWrap w:val="0"/>
            <w:vAlign w:val="center"/>
          </w:tcPr>
          <w:p w14:paraId="440D40AE">
            <w:pPr>
              <w:widowControl/>
              <w:jc w:val="center"/>
              <w:rPr>
                <w:color w:val="auto"/>
                <w:kern w:val="0"/>
                <w:sz w:val="24"/>
                <w:highlight w:val="none"/>
              </w:rPr>
            </w:pPr>
            <w:r>
              <w:rPr>
                <w:color w:val="auto"/>
                <w:kern w:val="0"/>
                <w:sz w:val="24"/>
                <w:highlight w:val="none"/>
              </w:rPr>
              <w:t>　</w:t>
            </w:r>
          </w:p>
        </w:tc>
        <w:tc>
          <w:tcPr>
            <w:tcW w:w="1080" w:type="dxa"/>
            <w:tcBorders>
              <w:top w:val="single" w:color="000000" w:sz="4" w:space="0"/>
              <w:left w:val="nil"/>
              <w:bottom w:val="single" w:color="000000" w:sz="4" w:space="0"/>
              <w:right w:val="single" w:color="000000" w:sz="4" w:space="0"/>
            </w:tcBorders>
            <w:shd w:val="clear" w:color="auto" w:fill="FFFFFF"/>
            <w:noWrap w:val="0"/>
            <w:vAlign w:val="center"/>
          </w:tcPr>
          <w:p w14:paraId="526CEDA7">
            <w:pPr>
              <w:widowControl/>
              <w:jc w:val="center"/>
              <w:rPr>
                <w:color w:val="auto"/>
                <w:kern w:val="0"/>
                <w:sz w:val="24"/>
                <w:highlight w:val="none"/>
              </w:rPr>
            </w:pPr>
            <w:r>
              <w:rPr>
                <w:color w:val="auto"/>
                <w:kern w:val="0"/>
                <w:sz w:val="24"/>
                <w:highlight w:val="none"/>
              </w:rPr>
              <w:t>专业</w:t>
            </w:r>
          </w:p>
        </w:tc>
        <w:tc>
          <w:tcPr>
            <w:tcW w:w="1500" w:type="dxa"/>
            <w:tcBorders>
              <w:top w:val="single" w:color="000000" w:sz="4" w:space="0"/>
              <w:left w:val="nil"/>
              <w:bottom w:val="single" w:color="000000" w:sz="4" w:space="0"/>
              <w:right w:val="single" w:color="000000" w:sz="4" w:space="0"/>
            </w:tcBorders>
            <w:shd w:val="clear" w:color="auto" w:fill="FFFFFF"/>
            <w:noWrap w:val="0"/>
            <w:vAlign w:val="center"/>
          </w:tcPr>
          <w:p w14:paraId="6097647B">
            <w:pPr>
              <w:widowControl/>
              <w:jc w:val="center"/>
              <w:rPr>
                <w:color w:val="auto"/>
                <w:kern w:val="0"/>
                <w:sz w:val="24"/>
                <w:highlight w:val="none"/>
              </w:rPr>
            </w:pPr>
            <w:r>
              <w:rPr>
                <w:color w:val="auto"/>
                <w:kern w:val="0"/>
                <w:sz w:val="24"/>
                <w:highlight w:val="none"/>
              </w:rPr>
              <w:t>　</w:t>
            </w:r>
          </w:p>
        </w:tc>
      </w:tr>
      <w:tr w14:paraId="671C17D4">
        <w:tblPrEx>
          <w:tblCellMar>
            <w:top w:w="0" w:type="dxa"/>
            <w:left w:w="108" w:type="dxa"/>
            <w:bottom w:w="0" w:type="dxa"/>
            <w:right w:w="108" w:type="dxa"/>
          </w:tblCellMar>
        </w:tblPrEx>
        <w:trPr>
          <w:trHeight w:val="540" w:hRule="atLeast"/>
        </w:trPr>
        <w:tc>
          <w:tcPr>
            <w:tcW w:w="1140" w:type="dxa"/>
            <w:tcBorders>
              <w:top w:val="nil"/>
              <w:left w:val="single" w:color="000000" w:sz="4" w:space="0"/>
              <w:bottom w:val="single" w:color="000000" w:sz="4" w:space="0"/>
              <w:right w:val="single" w:color="000000" w:sz="4" w:space="0"/>
            </w:tcBorders>
            <w:shd w:val="clear" w:color="auto" w:fill="FFFFFF"/>
            <w:noWrap w:val="0"/>
            <w:vAlign w:val="center"/>
          </w:tcPr>
          <w:p w14:paraId="5E3CF553">
            <w:pPr>
              <w:widowControl/>
              <w:jc w:val="center"/>
              <w:rPr>
                <w:color w:val="auto"/>
                <w:kern w:val="0"/>
                <w:sz w:val="24"/>
                <w:highlight w:val="none"/>
              </w:rPr>
            </w:pPr>
            <w:r>
              <w:rPr>
                <w:color w:val="auto"/>
                <w:kern w:val="0"/>
                <w:sz w:val="24"/>
                <w:highlight w:val="none"/>
              </w:rPr>
              <w:t>职称</w:t>
            </w:r>
          </w:p>
        </w:tc>
        <w:tc>
          <w:tcPr>
            <w:tcW w:w="1380" w:type="dxa"/>
            <w:tcBorders>
              <w:top w:val="single" w:color="000000" w:sz="4" w:space="0"/>
              <w:left w:val="nil"/>
              <w:bottom w:val="single" w:color="000000" w:sz="4" w:space="0"/>
              <w:right w:val="single" w:color="000000" w:sz="4" w:space="0"/>
            </w:tcBorders>
            <w:shd w:val="clear" w:color="auto" w:fill="FFFFFF"/>
            <w:noWrap w:val="0"/>
            <w:vAlign w:val="center"/>
          </w:tcPr>
          <w:p w14:paraId="2B6920E3">
            <w:pPr>
              <w:widowControl/>
              <w:jc w:val="center"/>
              <w:rPr>
                <w:color w:val="auto"/>
                <w:kern w:val="0"/>
                <w:sz w:val="24"/>
                <w:highlight w:val="none"/>
              </w:rPr>
            </w:pPr>
            <w:r>
              <w:rPr>
                <w:color w:val="auto"/>
                <w:kern w:val="0"/>
                <w:sz w:val="24"/>
                <w:highlight w:val="none"/>
              </w:rPr>
              <w:t>　</w:t>
            </w:r>
          </w:p>
        </w:tc>
        <w:tc>
          <w:tcPr>
            <w:tcW w:w="1620"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33F922DB">
            <w:pPr>
              <w:widowControl/>
              <w:jc w:val="center"/>
              <w:rPr>
                <w:color w:val="auto"/>
                <w:kern w:val="0"/>
                <w:sz w:val="24"/>
                <w:highlight w:val="none"/>
              </w:rPr>
            </w:pPr>
            <w:r>
              <w:rPr>
                <w:color w:val="auto"/>
                <w:kern w:val="0"/>
                <w:sz w:val="24"/>
                <w:highlight w:val="none"/>
              </w:rPr>
              <w:t>毕业院校</w:t>
            </w:r>
          </w:p>
        </w:tc>
        <w:tc>
          <w:tcPr>
            <w:tcW w:w="1800"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5F611CA6">
            <w:pPr>
              <w:widowControl/>
              <w:jc w:val="center"/>
              <w:rPr>
                <w:color w:val="auto"/>
                <w:kern w:val="0"/>
                <w:sz w:val="24"/>
                <w:highlight w:val="none"/>
              </w:rPr>
            </w:pPr>
            <w:r>
              <w:rPr>
                <w:color w:val="auto"/>
                <w:kern w:val="0"/>
                <w:sz w:val="24"/>
                <w:highlight w:val="none"/>
              </w:rPr>
              <w:t>　</w:t>
            </w:r>
          </w:p>
        </w:tc>
        <w:tc>
          <w:tcPr>
            <w:tcW w:w="1080" w:type="dxa"/>
            <w:tcBorders>
              <w:top w:val="nil"/>
              <w:left w:val="nil"/>
              <w:bottom w:val="single" w:color="000000" w:sz="4" w:space="0"/>
              <w:right w:val="single" w:color="000000" w:sz="4" w:space="0"/>
            </w:tcBorders>
            <w:shd w:val="clear" w:color="auto" w:fill="FFFFFF"/>
            <w:noWrap w:val="0"/>
            <w:vAlign w:val="center"/>
          </w:tcPr>
          <w:p w14:paraId="48DDDD48">
            <w:pPr>
              <w:widowControl/>
              <w:jc w:val="center"/>
              <w:rPr>
                <w:color w:val="auto"/>
                <w:kern w:val="0"/>
                <w:sz w:val="24"/>
                <w:highlight w:val="none"/>
              </w:rPr>
            </w:pPr>
            <w:r>
              <w:rPr>
                <w:color w:val="auto"/>
                <w:kern w:val="0"/>
                <w:sz w:val="24"/>
                <w:highlight w:val="none"/>
              </w:rPr>
              <w:t>学历</w:t>
            </w:r>
          </w:p>
        </w:tc>
        <w:tc>
          <w:tcPr>
            <w:tcW w:w="1500" w:type="dxa"/>
            <w:tcBorders>
              <w:top w:val="nil"/>
              <w:left w:val="nil"/>
              <w:bottom w:val="single" w:color="000000" w:sz="4" w:space="0"/>
              <w:right w:val="single" w:color="000000" w:sz="4" w:space="0"/>
            </w:tcBorders>
            <w:shd w:val="clear" w:color="auto" w:fill="FFFFFF"/>
            <w:noWrap w:val="0"/>
            <w:vAlign w:val="center"/>
          </w:tcPr>
          <w:p w14:paraId="2D6042DD">
            <w:pPr>
              <w:widowControl/>
              <w:jc w:val="center"/>
              <w:rPr>
                <w:color w:val="auto"/>
                <w:kern w:val="0"/>
                <w:sz w:val="24"/>
                <w:highlight w:val="none"/>
              </w:rPr>
            </w:pPr>
            <w:r>
              <w:rPr>
                <w:color w:val="auto"/>
                <w:kern w:val="0"/>
                <w:sz w:val="24"/>
                <w:highlight w:val="none"/>
              </w:rPr>
              <w:t>　</w:t>
            </w:r>
          </w:p>
        </w:tc>
      </w:tr>
      <w:tr w14:paraId="321ED66F">
        <w:tblPrEx>
          <w:tblCellMar>
            <w:top w:w="0" w:type="dxa"/>
            <w:left w:w="108" w:type="dxa"/>
            <w:bottom w:w="0" w:type="dxa"/>
            <w:right w:w="108" w:type="dxa"/>
          </w:tblCellMar>
        </w:tblPrEx>
        <w:trPr>
          <w:trHeight w:val="567" w:hRule="atLeast"/>
        </w:trPr>
        <w:tc>
          <w:tcPr>
            <w:tcW w:w="252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24DFDFE">
            <w:pPr>
              <w:widowControl/>
              <w:jc w:val="center"/>
              <w:rPr>
                <w:color w:val="auto"/>
                <w:kern w:val="0"/>
                <w:sz w:val="24"/>
                <w:highlight w:val="none"/>
              </w:rPr>
            </w:pPr>
            <w:r>
              <w:rPr>
                <w:color w:val="auto"/>
                <w:kern w:val="0"/>
                <w:sz w:val="24"/>
                <w:highlight w:val="none"/>
              </w:rPr>
              <w:t>参加工作时间</w:t>
            </w:r>
          </w:p>
        </w:tc>
        <w:tc>
          <w:tcPr>
            <w:tcW w:w="1620"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67DEC22A">
            <w:pPr>
              <w:widowControl/>
              <w:jc w:val="center"/>
              <w:rPr>
                <w:color w:val="auto"/>
                <w:kern w:val="0"/>
                <w:sz w:val="24"/>
                <w:highlight w:val="none"/>
              </w:rPr>
            </w:pPr>
            <w:r>
              <w:rPr>
                <w:color w:val="auto"/>
                <w:kern w:val="0"/>
                <w:sz w:val="24"/>
                <w:highlight w:val="none"/>
              </w:rPr>
              <w:t>　</w:t>
            </w:r>
          </w:p>
        </w:tc>
        <w:tc>
          <w:tcPr>
            <w:tcW w:w="2880" w:type="dxa"/>
            <w:gridSpan w:val="3"/>
            <w:tcBorders>
              <w:top w:val="single" w:color="000000" w:sz="4" w:space="0"/>
              <w:left w:val="nil"/>
              <w:bottom w:val="single" w:color="000000" w:sz="4" w:space="0"/>
              <w:right w:val="single" w:color="000000" w:sz="4" w:space="0"/>
            </w:tcBorders>
            <w:shd w:val="clear" w:color="auto" w:fill="FFFFFF"/>
            <w:noWrap w:val="0"/>
            <w:vAlign w:val="center"/>
          </w:tcPr>
          <w:p w14:paraId="7952DEAD">
            <w:pPr>
              <w:widowControl/>
              <w:jc w:val="center"/>
              <w:rPr>
                <w:color w:val="auto"/>
                <w:kern w:val="0"/>
                <w:sz w:val="24"/>
                <w:highlight w:val="none"/>
              </w:rPr>
            </w:pPr>
            <w:r>
              <w:rPr>
                <w:color w:val="auto"/>
                <w:kern w:val="0"/>
                <w:sz w:val="24"/>
                <w:highlight w:val="none"/>
              </w:rPr>
              <w:t>从事技术负责人年限</w:t>
            </w:r>
          </w:p>
        </w:tc>
        <w:tc>
          <w:tcPr>
            <w:tcW w:w="1500" w:type="dxa"/>
            <w:tcBorders>
              <w:top w:val="nil"/>
              <w:left w:val="nil"/>
              <w:bottom w:val="single" w:color="000000" w:sz="4" w:space="0"/>
              <w:right w:val="single" w:color="000000" w:sz="4" w:space="0"/>
            </w:tcBorders>
            <w:shd w:val="clear" w:color="auto" w:fill="FFFFFF"/>
            <w:noWrap w:val="0"/>
            <w:vAlign w:val="center"/>
          </w:tcPr>
          <w:p w14:paraId="25D2A221">
            <w:pPr>
              <w:widowControl/>
              <w:jc w:val="center"/>
              <w:rPr>
                <w:color w:val="auto"/>
                <w:kern w:val="0"/>
                <w:sz w:val="24"/>
                <w:highlight w:val="none"/>
              </w:rPr>
            </w:pPr>
            <w:r>
              <w:rPr>
                <w:color w:val="auto"/>
                <w:kern w:val="0"/>
                <w:sz w:val="24"/>
                <w:highlight w:val="none"/>
              </w:rPr>
              <w:t>　</w:t>
            </w:r>
          </w:p>
        </w:tc>
      </w:tr>
      <w:tr w14:paraId="0DF64A5A">
        <w:tblPrEx>
          <w:tblCellMar>
            <w:top w:w="0" w:type="dxa"/>
            <w:left w:w="108" w:type="dxa"/>
            <w:bottom w:w="0" w:type="dxa"/>
            <w:right w:w="108" w:type="dxa"/>
          </w:tblCellMar>
        </w:tblPrEx>
        <w:trPr>
          <w:trHeight w:val="7387" w:hRule="atLeast"/>
        </w:trPr>
        <w:tc>
          <w:tcPr>
            <w:tcW w:w="1140" w:type="dxa"/>
            <w:tcBorders>
              <w:top w:val="nil"/>
              <w:left w:val="single" w:color="000000" w:sz="4" w:space="0"/>
              <w:bottom w:val="single" w:color="auto" w:sz="4" w:space="0"/>
              <w:right w:val="single" w:color="000000" w:sz="4" w:space="0"/>
            </w:tcBorders>
            <w:shd w:val="clear" w:color="auto" w:fill="FFFFFF"/>
            <w:noWrap w:val="0"/>
            <w:vAlign w:val="center"/>
          </w:tcPr>
          <w:p w14:paraId="35E7601A">
            <w:pPr>
              <w:widowControl/>
              <w:jc w:val="center"/>
              <w:rPr>
                <w:color w:val="auto"/>
                <w:kern w:val="0"/>
                <w:sz w:val="24"/>
                <w:highlight w:val="none"/>
              </w:rPr>
            </w:pPr>
            <w:r>
              <w:rPr>
                <w:color w:val="auto"/>
                <w:kern w:val="0"/>
                <w:sz w:val="24"/>
                <w:highlight w:val="none"/>
              </w:rPr>
              <w:t>简</w:t>
            </w:r>
          </w:p>
          <w:p w14:paraId="16851D15">
            <w:pPr>
              <w:widowControl/>
              <w:jc w:val="center"/>
              <w:rPr>
                <w:color w:val="auto"/>
                <w:kern w:val="0"/>
                <w:sz w:val="24"/>
                <w:highlight w:val="none"/>
              </w:rPr>
            </w:pPr>
          </w:p>
          <w:p w14:paraId="08598E76">
            <w:pPr>
              <w:widowControl/>
              <w:jc w:val="center"/>
              <w:rPr>
                <w:color w:val="auto"/>
                <w:kern w:val="0"/>
                <w:sz w:val="24"/>
                <w:highlight w:val="none"/>
              </w:rPr>
            </w:pPr>
          </w:p>
          <w:p w14:paraId="58466ACF">
            <w:pPr>
              <w:widowControl/>
              <w:jc w:val="center"/>
              <w:rPr>
                <w:color w:val="auto"/>
                <w:kern w:val="0"/>
                <w:sz w:val="24"/>
                <w:highlight w:val="none"/>
              </w:rPr>
            </w:pPr>
          </w:p>
          <w:p w14:paraId="67CEC751">
            <w:pPr>
              <w:widowControl/>
              <w:jc w:val="center"/>
              <w:rPr>
                <w:color w:val="auto"/>
                <w:kern w:val="0"/>
                <w:sz w:val="24"/>
                <w:highlight w:val="none"/>
              </w:rPr>
            </w:pPr>
          </w:p>
          <w:p w14:paraId="3C8D6735">
            <w:pPr>
              <w:widowControl/>
              <w:jc w:val="center"/>
              <w:rPr>
                <w:color w:val="auto"/>
                <w:kern w:val="0"/>
                <w:sz w:val="24"/>
                <w:highlight w:val="none"/>
              </w:rPr>
            </w:pPr>
          </w:p>
          <w:p w14:paraId="011F2CD2">
            <w:pPr>
              <w:widowControl/>
              <w:jc w:val="center"/>
              <w:rPr>
                <w:color w:val="auto"/>
                <w:kern w:val="0"/>
                <w:sz w:val="24"/>
                <w:highlight w:val="none"/>
              </w:rPr>
            </w:pPr>
            <w:r>
              <w:rPr>
                <w:color w:val="auto"/>
                <w:kern w:val="0"/>
                <w:sz w:val="24"/>
                <w:highlight w:val="none"/>
              </w:rPr>
              <w:t>历</w:t>
            </w:r>
          </w:p>
        </w:tc>
        <w:tc>
          <w:tcPr>
            <w:tcW w:w="7380" w:type="dxa"/>
            <w:gridSpan w:val="7"/>
            <w:tcBorders>
              <w:top w:val="single" w:color="000000" w:sz="4" w:space="0"/>
              <w:left w:val="nil"/>
              <w:bottom w:val="single" w:color="auto" w:sz="4" w:space="0"/>
              <w:right w:val="single" w:color="000000" w:sz="4" w:space="0"/>
            </w:tcBorders>
            <w:shd w:val="clear" w:color="auto" w:fill="FFFFFF"/>
            <w:noWrap w:val="0"/>
            <w:vAlign w:val="top"/>
          </w:tcPr>
          <w:p w14:paraId="2E3A2AF6">
            <w:pPr>
              <w:widowControl/>
              <w:jc w:val="left"/>
              <w:rPr>
                <w:color w:val="auto"/>
                <w:kern w:val="0"/>
                <w:sz w:val="24"/>
                <w:highlight w:val="none"/>
              </w:rPr>
            </w:pPr>
            <w:r>
              <w:rPr>
                <w:color w:val="auto"/>
                <w:kern w:val="0"/>
                <w:sz w:val="24"/>
                <w:highlight w:val="none"/>
              </w:rPr>
              <w:t>　</w:t>
            </w:r>
          </w:p>
        </w:tc>
      </w:tr>
    </w:tbl>
    <w:p w14:paraId="2A7BA8A1">
      <w:pPr>
        <w:spacing w:line="440" w:lineRule="exact"/>
        <w:ind w:right="480" w:firstLine="4800" w:firstLineChars="2000"/>
        <w:rPr>
          <w:rFonts w:hint="eastAsia"/>
          <w:color w:val="auto"/>
          <w:sz w:val="24"/>
          <w:highlight w:val="none"/>
        </w:rPr>
      </w:pPr>
    </w:p>
    <w:p w14:paraId="6A03E685">
      <w:pPr>
        <w:spacing w:line="440" w:lineRule="exact"/>
        <w:ind w:right="480" w:firstLine="4800" w:firstLineChars="2000"/>
        <w:rPr>
          <w:color w:val="auto"/>
          <w:sz w:val="24"/>
          <w:highlight w:val="none"/>
        </w:rPr>
      </w:pPr>
      <w:r>
        <w:rPr>
          <w:color w:val="auto"/>
          <w:sz w:val="24"/>
          <w:highlight w:val="none"/>
        </w:rPr>
        <w:t xml:space="preserve">法定代表人（签字或盖章）： </w:t>
      </w:r>
    </w:p>
    <w:p w14:paraId="30ED996F">
      <w:pPr>
        <w:spacing w:line="440" w:lineRule="exact"/>
        <w:ind w:right="480"/>
        <w:jc w:val="center"/>
        <w:rPr>
          <w:color w:val="auto"/>
          <w:sz w:val="24"/>
          <w:highlight w:val="none"/>
        </w:rPr>
      </w:pPr>
      <w:r>
        <w:rPr>
          <w:color w:val="auto"/>
          <w:sz w:val="24"/>
          <w:highlight w:val="none"/>
        </w:rPr>
        <w:t xml:space="preserve">                                投 标 人（盖章）：  </w:t>
      </w:r>
    </w:p>
    <w:p w14:paraId="0DA7F5EE">
      <w:pPr>
        <w:spacing w:line="440" w:lineRule="exact"/>
        <w:ind w:right="480" w:firstLine="4800" w:firstLineChars="2000"/>
        <w:rPr>
          <w:rFonts w:hint="eastAsia"/>
          <w:color w:val="auto"/>
          <w:sz w:val="24"/>
          <w:highlight w:val="none"/>
        </w:rPr>
      </w:pPr>
      <w:r>
        <w:rPr>
          <w:color w:val="auto"/>
          <w:sz w:val="24"/>
          <w:highlight w:val="none"/>
        </w:rPr>
        <w:t>日期：    年   月   日</w:t>
      </w:r>
    </w:p>
    <w:p w14:paraId="5B681220">
      <w:pPr>
        <w:pStyle w:val="29"/>
        <w:rPr>
          <w:rFonts w:cs="Times New Roman"/>
          <w:color w:val="auto"/>
          <w:szCs w:val="28"/>
          <w:highlight w:val="none"/>
        </w:rPr>
      </w:pPr>
      <w:bookmarkStart w:id="205" w:name="_Toc148964082"/>
      <w:r>
        <w:rPr>
          <w:rFonts w:cs="Times New Roman"/>
          <w:color w:val="auto"/>
          <w:szCs w:val="28"/>
          <w:highlight w:val="none"/>
        </w:rPr>
        <w:t>三、主要施工机械设备表</w:t>
      </w:r>
      <w:bookmarkEnd w:id="205"/>
    </w:p>
    <w:p w14:paraId="7C821CB5">
      <w:pPr>
        <w:spacing w:line="440" w:lineRule="exact"/>
        <w:jc w:val="center"/>
        <w:rPr>
          <w:rFonts w:eastAsia="黑体"/>
          <w:color w:val="auto"/>
          <w:sz w:val="20"/>
          <w:szCs w:val="20"/>
          <w:highlight w:val="none"/>
        </w:rPr>
      </w:pPr>
    </w:p>
    <w:p w14:paraId="7DB6E577">
      <w:pPr>
        <w:spacing w:line="360" w:lineRule="auto"/>
        <w:jc w:val="center"/>
        <w:rPr>
          <w:color w:val="auto"/>
          <w:sz w:val="24"/>
          <w:highlight w:val="none"/>
        </w:rPr>
      </w:pPr>
      <w:r>
        <w:rPr>
          <w:color w:val="auto"/>
          <w:sz w:val="24"/>
          <w:highlight w:val="none"/>
          <w:u w:val="single"/>
        </w:rPr>
        <w:t xml:space="preserve">                              </w:t>
      </w:r>
      <w:r>
        <w:rPr>
          <w:color w:val="auto"/>
          <w:sz w:val="24"/>
          <w:highlight w:val="none"/>
        </w:rPr>
        <w:t>工程</w:t>
      </w:r>
    </w:p>
    <w:p w14:paraId="14A5D673">
      <w:pPr>
        <w:spacing w:line="360" w:lineRule="auto"/>
        <w:jc w:val="center"/>
        <w:rPr>
          <w:rFonts w:eastAsia="黑体"/>
          <w:color w:val="auto"/>
          <w:sz w:val="44"/>
          <w:highlight w:val="none"/>
        </w:rPr>
      </w:pPr>
      <w:r>
        <w:rPr>
          <w:rFonts w:eastAsia="黑体"/>
          <w:color w:val="auto"/>
          <w:sz w:val="44"/>
          <w:highlight w:val="none"/>
        </w:rPr>
        <w:t>主要施工机械设备表</w:t>
      </w:r>
    </w:p>
    <w:tbl>
      <w:tblPr>
        <w:tblStyle w:val="17"/>
        <w:tblW w:w="0" w:type="auto"/>
        <w:tblInd w:w="0" w:type="dxa"/>
        <w:tblLayout w:type="fixed"/>
        <w:tblCellMar>
          <w:top w:w="0" w:type="dxa"/>
          <w:left w:w="108" w:type="dxa"/>
          <w:bottom w:w="0" w:type="dxa"/>
          <w:right w:w="108" w:type="dxa"/>
        </w:tblCellMar>
      </w:tblPr>
      <w:tblGrid>
        <w:gridCol w:w="828"/>
        <w:gridCol w:w="1440"/>
        <w:gridCol w:w="1440"/>
        <w:gridCol w:w="1060"/>
        <w:gridCol w:w="1420"/>
        <w:gridCol w:w="1340"/>
        <w:gridCol w:w="920"/>
      </w:tblGrid>
      <w:tr w14:paraId="12C21849">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2E2CC4">
            <w:pPr>
              <w:widowControl/>
              <w:jc w:val="center"/>
              <w:rPr>
                <w:color w:val="auto"/>
                <w:kern w:val="0"/>
                <w:sz w:val="22"/>
                <w:szCs w:val="22"/>
                <w:highlight w:val="none"/>
              </w:rPr>
            </w:pPr>
            <w:r>
              <w:rPr>
                <w:color w:val="auto"/>
                <w:kern w:val="0"/>
                <w:sz w:val="22"/>
                <w:szCs w:val="22"/>
                <w:highlight w:val="none"/>
              </w:rPr>
              <w:t>序号</w:t>
            </w: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572FBB3">
            <w:pPr>
              <w:widowControl/>
              <w:jc w:val="center"/>
              <w:rPr>
                <w:color w:val="auto"/>
                <w:kern w:val="0"/>
                <w:sz w:val="22"/>
                <w:szCs w:val="22"/>
                <w:highlight w:val="none"/>
              </w:rPr>
            </w:pPr>
            <w:r>
              <w:rPr>
                <w:color w:val="auto"/>
                <w:kern w:val="0"/>
                <w:sz w:val="22"/>
                <w:szCs w:val="22"/>
                <w:highlight w:val="none"/>
              </w:rPr>
              <w:t>设备名称</w:t>
            </w: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627F9AC">
            <w:pPr>
              <w:widowControl/>
              <w:jc w:val="center"/>
              <w:rPr>
                <w:color w:val="auto"/>
                <w:kern w:val="0"/>
                <w:sz w:val="22"/>
                <w:szCs w:val="22"/>
                <w:highlight w:val="none"/>
              </w:rPr>
            </w:pPr>
            <w:r>
              <w:rPr>
                <w:color w:val="auto"/>
                <w:kern w:val="0"/>
                <w:sz w:val="22"/>
                <w:szCs w:val="22"/>
                <w:highlight w:val="none"/>
              </w:rPr>
              <w:t>规格型号</w:t>
            </w: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0A6C2B63">
            <w:pPr>
              <w:widowControl/>
              <w:jc w:val="center"/>
              <w:rPr>
                <w:color w:val="auto"/>
                <w:kern w:val="0"/>
                <w:sz w:val="22"/>
                <w:szCs w:val="22"/>
                <w:highlight w:val="none"/>
              </w:rPr>
            </w:pPr>
            <w:r>
              <w:rPr>
                <w:color w:val="auto"/>
                <w:kern w:val="0"/>
                <w:sz w:val="22"/>
                <w:szCs w:val="22"/>
                <w:highlight w:val="none"/>
              </w:rPr>
              <w:t>数量</w:t>
            </w: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349BB347">
            <w:pPr>
              <w:widowControl/>
              <w:jc w:val="center"/>
              <w:rPr>
                <w:color w:val="auto"/>
                <w:kern w:val="0"/>
                <w:sz w:val="22"/>
                <w:szCs w:val="22"/>
                <w:highlight w:val="none"/>
              </w:rPr>
            </w:pPr>
            <w:r>
              <w:rPr>
                <w:color w:val="auto"/>
                <w:kern w:val="0"/>
                <w:sz w:val="22"/>
                <w:szCs w:val="22"/>
                <w:highlight w:val="none"/>
              </w:rPr>
              <w:t>设备能力</w:t>
            </w: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0EC9B80C">
            <w:pPr>
              <w:widowControl/>
              <w:jc w:val="center"/>
              <w:rPr>
                <w:color w:val="auto"/>
                <w:kern w:val="0"/>
                <w:sz w:val="22"/>
                <w:szCs w:val="22"/>
                <w:highlight w:val="none"/>
              </w:rPr>
            </w:pPr>
            <w:r>
              <w:rPr>
                <w:color w:val="auto"/>
                <w:kern w:val="0"/>
                <w:sz w:val="22"/>
                <w:szCs w:val="22"/>
                <w:highlight w:val="none"/>
              </w:rPr>
              <w:t>进场时间</w:t>
            </w: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2EE90B49">
            <w:pPr>
              <w:widowControl/>
              <w:jc w:val="center"/>
              <w:rPr>
                <w:color w:val="auto"/>
                <w:kern w:val="0"/>
                <w:sz w:val="22"/>
                <w:szCs w:val="22"/>
                <w:highlight w:val="none"/>
              </w:rPr>
            </w:pPr>
            <w:r>
              <w:rPr>
                <w:color w:val="auto"/>
                <w:kern w:val="0"/>
                <w:sz w:val="22"/>
                <w:szCs w:val="22"/>
                <w:highlight w:val="none"/>
              </w:rPr>
              <w:t>备注</w:t>
            </w:r>
          </w:p>
        </w:tc>
      </w:tr>
      <w:tr w14:paraId="725C548A">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71AF90">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270BFAA">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293FD9AE">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6EA9FB7F">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6B51EC17">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79071529">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0E75A8AD">
            <w:pPr>
              <w:widowControl/>
              <w:jc w:val="center"/>
              <w:rPr>
                <w:color w:val="auto"/>
                <w:kern w:val="0"/>
                <w:sz w:val="22"/>
                <w:szCs w:val="22"/>
                <w:highlight w:val="none"/>
              </w:rPr>
            </w:pPr>
          </w:p>
        </w:tc>
      </w:tr>
      <w:tr w14:paraId="4E561D5C">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B53E77">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6C95A35E">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68A5BBC0">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5E9DE71D">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5AAC7147">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79821423">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770A35EB">
            <w:pPr>
              <w:widowControl/>
              <w:jc w:val="center"/>
              <w:rPr>
                <w:color w:val="auto"/>
                <w:kern w:val="0"/>
                <w:sz w:val="22"/>
                <w:szCs w:val="22"/>
                <w:highlight w:val="none"/>
              </w:rPr>
            </w:pPr>
          </w:p>
        </w:tc>
      </w:tr>
      <w:tr w14:paraId="6FBB03B7">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D5412A">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600A889A">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FEE7DAD">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278ABB58">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75E9C827">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7A238712">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16CD8C7D">
            <w:pPr>
              <w:widowControl/>
              <w:jc w:val="center"/>
              <w:rPr>
                <w:color w:val="auto"/>
                <w:kern w:val="0"/>
                <w:sz w:val="22"/>
                <w:szCs w:val="22"/>
                <w:highlight w:val="none"/>
              </w:rPr>
            </w:pPr>
          </w:p>
        </w:tc>
      </w:tr>
      <w:tr w14:paraId="7BD10503">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8E3E42">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1DCAAFDA">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C68FF0C">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2109CE4B">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55A75A17">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4EF73E97">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5032F8EE">
            <w:pPr>
              <w:widowControl/>
              <w:jc w:val="center"/>
              <w:rPr>
                <w:color w:val="auto"/>
                <w:kern w:val="0"/>
                <w:sz w:val="22"/>
                <w:szCs w:val="22"/>
                <w:highlight w:val="none"/>
              </w:rPr>
            </w:pPr>
          </w:p>
        </w:tc>
      </w:tr>
      <w:tr w14:paraId="2A01EAC4">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F6D6C6C">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35A6595A">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13E5548">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37E5D90A">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3B225CC5">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5F3D3E16">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45C4499A">
            <w:pPr>
              <w:widowControl/>
              <w:jc w:val="center"/>
              <w:rPr>
                <w:color w:val="auto"/>
                <w:kern w:val="0"/>
                <w:sz w:val="22"/>
                <w:szCs w:val="22"/>
                <w:highlight w:val="none"/>
              </w:rPr>
            </w:pPr>
          </w:p>
        </w:tc>
      </w:tr>
      <w:tr w14:paraId="1B702A82">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0C93FD">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780802E2">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7A93B06E">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4B8AD34B">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62D48585">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0ED7F1C8">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26DF108F">
            <w:pPr>
              <w:widowControl/>
              <w:jc w:val="center"/>
              <w:rPr>
                <w:color w:val="auto"/>
                <w:kern w:val="0"/>
                <w:sz w:val="22"/>
                <w:szCs w:val="22"/>
                <w:highlight w:val="none"/>
              </w:rPr>
            </w:pPr>
          </w:p>
        </w:tc>
      </w:tr>
      <w:tr w14:paraId="458B5BAF">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9F0945">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2D7FE95D">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592A1DA4">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78E6DFF2">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74BC87CE">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4E1499F5">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60A8468A">
            <w:pPr>
              <w:widowControl/>
              <w:jc w:val="center"/>
              <w:rPr>
                <w:color w:val="auto"/>
                <w:kern w:val="0"/>
                <w:sz w:val="22"/>
                <w:szCs w:val="22"/>
                <w:highlight w:val="none"/>
              </w:rPr>
            </w:pPr>
          </w:p>
        </w:tc>
      </w:tr>
      <w:tr w14:paraId="1D7E9C55">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C2B4C8">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C8C4D96">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5CDE26EA">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2E159212">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3C983B26">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2B99EE77">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5EAC738A">
            <w:pPr>
              <w:widowControl/>
              <w:jc w:val="center"/>
              <w:rPr>
                <w:color w:val="auto"/>
                <w:kern w:val="0"/>
                <w:sz w:val="22"/>
                <w:szCs w:val="22"/>
                <w:highlight w:val="none"/>
              </w:rPr>
            </w:pPr>
          </w:p>
        </w:tc>
      </w:tr>
      <w:tr w14:paraId="28F4FEF3">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4E5E347">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0CC4E6DB">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03D24967">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3FFBDADB">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03D497FD">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2C8B86CA">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74C3EF39">
            <w:pPr>
              <w:widowControl/>
              <w:jc w:val="center"/>
              <w:rPr>
                <w:color w:val="auto"/>
                <w:kern w:val="0"/>
                <w:sz w:val="22"/>
                <w:szCs w:val="22"/>
                <w:highlight w:val="none"/>
              </w:rPr>
            </w:pPr>
          </w:p>
        </w:tc>
      </w:tr>
      <w:tr w14:paraId="489FF456">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648D89">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0483F162">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111D220C">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2F27D076">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4406660F">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6B46482E">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00034EAF">
            <w:pPr>
              <w:widowControl/>
              <w:jc w:val="center"/>
              <w:rPr>
                <w:color w:val="auto"/>
                <w:kern w:val="0"/>
                <w:sz w:val="22"/>
                <w:szCs w:val="22"/>
                <w:highlight w:val="none"/>
              </w:rPr>
            </w:pPr>
          </w:p>
        </w:tc>
      </w:tr>
      <w:tr w14:paraId="44B8528B">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2FD643">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1041905C">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7B1DBF68">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33685794">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6354C51D">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09A09C07">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6789AB13">
            <w:pPr>
              <w:widowControl/>
              <w:jc w:val="center"/>
              <w:rPr>
                <w:color w:val="auto"/>
                <w:kern w:val="0"/>
                <w:sz w:val="22"/>
                <w:szCs w:val="22"/>
                <w:highlight w:val="none"/>
              </w:rPr>
            </w:pPr>
          </w:p>
        </w:tc>
      </w:tr>
      <w:tr w14:paraId="63E0BAA5">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0EFEBB">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817F5BA">
            <w:pPr>
              <w:widowControl/>
              <w:jc w:val="center"/>
              <w:rPr>
                <w:color w:val="auto"/>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73AD77D2">
            <w:pPr>
              <w:widowControl/>
              <w:jc w:val="center"/>
              <w:rPr>
                <w:color w:val="auto"/>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032E3711">
            <w:pPr>
              <w:widowControl/>
              <w:jc w:val="center"/>
              <w:rPr>
                <w:color w:val="auto"/>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74236ECA">
            <w:pPr>
              <w:widowControl/>
              <w:jc w:val="center"/>
              <w:rPr>
                <w:color w:val="auto"/>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74F769DE">
            <w:pPr>
              <w:widowControl/>
              <w:jc w:val="center"/>
              <w:rPr>
                <w:color w:val="auto"/>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6B139E64">
            <w:pPr>
              <w:widowControl/>
              <w:jc w:val="center"/>
              <w:rPr>
                <w:color w:val="auto"/>
                <w:kern w:val="0"/>
                <w:sz w:val="22"/>
                <w:szCs w:val="22"/>
                <w:highlight w:val="none"/>
              </w:rPr>
            </w:pPr>
          </w:p>
        </w:tc>
      </w:tr>
    </w:tbl>
    <w:p w14:paraId="711983BB">
      <w:pPr>
        <w:spacing w:line="440" w:lineRule="exact"/>
        <w:jc w:val="right"/>
        <w:rPr>
          <w:color w:val="auto"/>
          <w:sz w:val="24"/>
          <w:highlight w:val="none"/>
        </w:rPr>
      </w:pPr>
    </w:p>
    <w:p w14:paraId="36F2F477">
      <w:pPr>
        <w:spacing w:line="440" w:lineRule="exact"/>
        <w:ind w:right="480" w:firstLine="4800" w:firstLineChars="2000"/>
        <w:rPr>
          <w:color w:val="auto"/>
          <w:sz w:val="24"/>
          <w:highlight w:val="none"/>
        </w:rPr>
      </w:pPr>
      <w:r>
        <w:rPr>
          <w:color w:val="auto"/>
          <w:sz w:val="24"/>
          <w:highlight w:val="none"/>
        </w:rPr>
        <w:t xml:space="preserve">法定代表人（签字或盖章）： </w:t>
      </w:r>
    </w:p>
    <w:p w14:paraId="14AABDA6">
      <w:pPr>
        <w:spacing w:line="440" w:lineRule="exact"/>
        <w:jc w:val="right"/>
        <w:rPr>
          <w:color w:val="auto"/>
          <w:sz w:val="24"/>
          <w:highlight w:val="none"/>
        </w:rPr>
      </w:pPr>
      <w:r>
        <w:rPr>
          <w:color w:val="auto"/>
          <w:sz w:val="24"/>
          <w:highlight w:val="none"/>
        </w:rPr>
        <w:t xml:space="preserve"> </w:t>
      </w:r>
    </w:p>
    <w:p w14:paraId="3D58F496">
      <w:pPr>
        <w:spacing w:line="440" w:lineRule="exact"/>
        <w:ind w:right="480"/>
        <w:jc w:val="center"/>
        <w:rPr>
          <w:color w:val="auto"/>
          <w:sz w:val="24"/>
          <w:highlight w:val="none"/>
        </w:rPr>
      </w:pPr>
      <w:r>
        <w:rPr>
          <w:color w:val="auto"/>
          <w:sz w:val="24"/>
          <w:highlight w:val="none"/>
        </w:rPr>
        <w:t xml:space="preserve">                                投 标 人（盖章）：  </w:t>
      </w:r>
    </w:p>
    <w:p w14:paraId="6F459A5F">
      <w:pPr>
        <w:spacing w:line="440" w:lineRule="exact"/>
        <w:jc w:val="right"/>
        <w:rPr>
          <w:color w:val="auto"/>
          <w:sz w:val="24"/>
          <w:highlight w:val="none"/>
        </w:rPr>
      </w:pPr>
      <w:r>
        <w:rPr>
          <w:color w:val="auto"/>
          <w:sz w:val="24"/>
          <w:highlight w:val="none"/>
        </w:rPr>
        <w:t xml:space="preserve"> </w:t>
      </w:r>
    </w:p>
    <w:p w14:paraId="64E2FB76">
      <w:pPr>
        <w:spacing w:line="440" w:lineRule="exact"/>
        <w:ind w:firstLine="480"/>
        <w:jc w:val="right"/>
        <w:rPr>
          <w:color w:val="auto"/>
          <w:sz w:val="24"/>
          <w:highlight w:val="none"/>
        </w:rPr>
      </w:pPr>
      <w:r>
        <w:rPr>
          <w:color w:val="auto"/>
          <w:sz w:val="24"/>
          <w:highlight w:val="none"/>
        </w:rPr>
        <w:t>日期：    年   月   日</w:t>
      </w:r>
    </w:p>
    <w:p w14:paraId="0358071B">
      <w:pPr>
        <w:pStyle w:val="10"/>
        <w:rPr>
          <w:rFonts w:hint="eastAsia"/>
          <w:color w:val="auto"/>
          <w:highlight w:val="none"/>
        </w:rPr>
      </w:pPr>
    </w:p>
    <w:p w14:paraId="53ABEBBB">
      <w:pPr>
        <w:pStyle w:val="29"/>
        <w:rPr>
          <w:rFonts w:hint="eastAsia" w:cs="Times New Roman"/>
          <w:color w:val="auto"/>
          <w:szCs w:val="28"/>
          <w:highlight w:val="none"/>
        </w:rPr>
      </w:pPr>
      <w:bookmarkStart w:id="206" w:name="_Toc288556325"/>
      <w:bookmarkStart w:id="207" w:name="_Toc12085"/>
      <w:bookmarkStart w:id="208" w:name="_Toc148964083"/>
      <w:bookmarkStart w:id="209" w:name="_Toc365645478"/>
      <w:bookmarkStart w:id="210" w:name="_Toc370743415"/>
      <w:r>
        <w:rPr>
          <w:rFonts w:cs="Times New Roman"/>
          <w:color w:val="auto"/>
          <w:szCs w:val="28"/>
          <w:highlight w:val="none"/>
        </w:rPr>
        <w:t>四、</w:t>
      </w:r>
      <w:bookmarkEnd w:id="206"/>
      <w:r>
        <w:rPr>
          <w:rFonts w:cs="Times New Roman"/>
          <w:color w:val="auto"/>
          <w:szCs w:val="28"/>
          <w:highlight w:val="none"/>
        </w:rPr>
        <w:t>台州市建设工程投标人资格自查表</w:t>
      </w:r>
      <w:bookmarkEnd w:id="207"/>
      <w:bookmarkEnd w:id="208"/>
      <w:bookmarkEnd w:id="209"/>
      <w:bookmarkEnd w:id="210"/>
    </w:p>
    <w:p w14:paraId="2189B7AC">
      <w:pPr>
        <w:spacing w:line="360" w:lineRule="auto"/>
        <w:jc w:val="center"/>
        <w:rPr>
          <w:color w:val="auto"/>
          <w:sz w:val="24"/>
          <w:highlight w:val="none"/>
        </w:rPr>
      </w:pPr>
      <w:r>
        <w:rPr>
          <w:color w:val="auto"/>
          <w:sz w:val="24"/>
          <w:highlight w:val="none"/>
          <w:u w:val="single"/>
        </w:rPr>
        <w:t xml:space="preserve">                              </w:t>
      </w:r>
      <w:r>
        <w:rPr>
          <w:color w:val="auto"/>
          <w:sz w:val="24"/>
          <w:highlight w:val="none"/>
        </w:rPr>
        <w:t>工程</w:t>
      </w:r>
    </w:p>
    <w:p w14:paraId="405D67F4">
      <w:pPr>
        <w:ind w:leftChars="-95" w:hanging="199" w:hangingChars="66"/>
        <w:jc w:val="center"/>
        <w:rPr>
          <w:rFonts w:hint="eastAsia" w:eastAsia="黑体"/>
          <w:b/>
          <w:color w:val="auto"/>
          <w:sz w:val="30"/>
          <w:szCs w:val="30"/>
          <w:highlight w:val="none"/>
        </w:rPr>
      </w:pPr>
      <w:r>
        <w:rPr>
          <w:rFonts w:eastAsia="黑体"/>
          <w:b/>
          <w:color w:val="auto"/>
          <w:sz w:val="30"/>
          <w:szCs w:val="30"/>
          <w:highlight w:val="none"/>
        </w:rPr>
        <w:t>台州市建设工程投标人资格自查表</w:t>
      </w:r>
    </w:p>
    <w:tbl>
      <w:tblPr>
        <w:tblStyle w:val="17"/>
        <w:tblW w:w="0" w:type="auto"/>
        <w:tblInd w:w="-4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4819"/>
        <w:gridCol w:w="1463"/>
        <w:gridCol w:w="1192"/>
        <w:gridCol w:w="1189"/>
      </w:tblGrid>
      <w:tr w14:paraId="52011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1" w:hRule="atLeast"/>
        </w:trPr>
        <w:tc>
          <w:tcPr>
            <w:tcW w:w="675" w:type="dxa"/>
            <w:noWrap w:val="0"/>
            <w:vAlign w:val="center"/>
          </w:tcPr>
          <w:p w14:paraId="32628BF7">
            <w:pPr>
              <w:spacing w:line="360" w:lineRule="auto"/>
              <w:jc w:val="center"/>
              <w:rPr>
                <w:rFonts w:eastAsia="黑体"/>
                <w:b/>
                <w:color w:val="auto"/>
                <w:szCs w:val="21"/>
                <w:highlight w:val="none"/>
              </w:rPr>
            </w:pPr>
            <w:r>
              <w:rPr>
                <w:rFonts w:eastAsia="黑体"/>
                <w:b/>
                <w:color w:val="auto"/>
                <w:szCs w:val="21"/>
                <w:highlight w:val="none"/>
              </w:rPr>
              <w:t>序号</w:t>
            </w:r>
          </w:p>
        </w:tc>
        <w:tc>
          <w:tcPr>
            <w:tcW w:w="4819" w:type="dxa"/>
            <w:noWrap w:val="0"/>
            <w:vAlign w:val="center"/>
          </w:tcPr>
          <w:p w14:paraId="59C65191">
            <w:pPr>
              <w:spacing w:line="360" w:lineRule="auto"/>
              <w:jc w:val="center"/>
              <w:rPr>
                <w:rFonts w:eastAsia="黑体"/>
                <w:b/>
                <w:color w:val="auto"/>
                <w:szCs w:val="21"/>
                <w:highlight w:val="none"/>
              </w:rPr>
            </w:pPr>
            <w:r>
              <w:rPr>
                <w:rFonts w:eastAsia="黑体"/>
                <w:b/>
                <w:color w:val="auto"/>
                <w:szCs w:val="21"/>
                <w:highlight w:val="none"/>
              </w:rPr>
              <w:t>自查内容</w:t>
            </w:r>
          </w:p>
        </w:tc>
        <w:tc>
          <w:tcPr>
            <w:tcW w:w="1463" w:type="dxa"/>
            <w:noWrap w:val="0"/>
            <w:vAlign w:val="center"/>
          </w:tcPr>
          <w:p w14:paraId="217929DF">
            <w:pPr>
              <w:adjustRightInd w:val="0"/>
              <w:snapToGrid w:val="0"/>
              <w:jc w:val="center"/>
              <w:rPr>
                <w:rFonts w:eastAsia="黑体"/>
                <w:b/>
                <w:color w:val="auto"/>
                <w:szCs w:val="21"/>
                <w:highlight w:val="none"/>
              </w:rPr>
            </w:pPr>
            <w:r>
              <w:rPr>
                <w:rFonts w:eastAsia="黑体"/>
                <w:b/>
                <w:color w:val="auto"/>
                <w:szCs w:val="21"/>
                <w:highlight w:val="none"/>
              </w:rPr>
              <w:t>招标文件</w:t>
            </w:r>
          </w:p>
          <w:p w14:paraId="7BA3DFAA">
            <w:pPr>
              <w:adjustRightInd w:val="0"/>
              <w:snapToGrid w:val="0"/>
              <w:jc w:val="center"/>
              <w:rPr>
                <w:rFonts w:eastAsia="黑体"/>
                <w:b/>
                <w:color w:val="auto"/>
                <w:szCs w:val="21"/>
                <w:highlight w:val="none"/>
              </w:rPr>
            </w:pPr>
            <w:r>
              <w:rPr>
                <w:rFonts w:eastAsia="黑体"/>
                <w:b/>
                <w:color w:val="auto"/>
                <w:szCs w:val="21"/>
                <w:highlight w:val="none"/>
              </w:rPr>
              <w:t>条款号</w:t>
            </w:r>
          </w:p>
        </w:tc>
        <w:tc>
          <w:tcPr>
            <w:tcW w:w="1192" w:type="dxa"/>
            <w:noWrap w:val="0"/>
            <w:vAlign w:val="center"/>
          </w:tcPr>
          <w:p w14:paraId="457CEFA7">
            <w:pPr>
              <w:spacing w:line="360" w:lineRule="auto"/>
              <w:jc w:val="center"/>
              <w:rPr>
                <w:rFonts w:eastAsia="黑体"/>
                <w:b/>
                <w:color w:val="auto"/>
                <w:szCs w:val="21"/>
                <w:highlight w:val="none"/>
              </w:rPr>
            </w:pPr>
            <w:r>
              <w:rPr>
                <w:rFonts w:eastAsia="黑体"/>
                <w:b/>
                <w:color w:val="auto"/>
                <w:szCs w:val="21"/>
                <w:highlight w:val="none"/>
              </w:rPr>
              <w:t>投标要求</w:t>
            </w:r>
          </w:p>
        </w:tc>
        <w:tc>
          <w:tcPr>
            <w:tcW w:w="1189" w:type="dxa"/>
            <w:noWrap w:val="0"/>
            <w:vAlign w:val="center"/>
          </w:tcPr>
          <w:p w14:paraId="7599164D">
            <w:pPr>
              <w:spacing w:line="360" w:lineRule="auto"/>
              <w:jc w:val="center"/>
              <w:rPr>
                <w:rFonts w:eastAsia="黑体"/>
                <w:b/>
                <w:color w:val="auto"/>
                <w:szCs w:val="21"/>
                <w:highlight w:val="none"/>
              </w:rPr>
            </w:pPr>
            <w:r>
              <w:rPr>
                <w:rFonts w:eastAsia="黑体"/>
                <w:b/>
                <w:color w:val="auto"/>
                <w:szCs w:val="21"/>
                <w:highlight w:val="none"/>
              </w:rPr>
              <w:t>自查情况</w:t>
            </w:r>
          </w:p>
        </w:tc>
      </w:tr>
      <w:tr w14:paraId="6FD45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trPr>
        <w:tc>
          <w:tcPr>
            <w:tcW w:w="675" w:type="dxa"/>
            <w:noWrap w:val="0"/>
            <w:vAlign w:val="center"/>
          </w:tcPr>
          <w:p w14:paraId="65CCE518">
            <w:pPr>
              <w:spacing w:line="360" w:lineRule="auto"/>
              <w:jc w:val="center"/>
              <w:rPr>
                <w:color w:val="auto"/>
                <w:sz w:val="21"/>
                <w:szCs w:val="21"/>
                <w:highlight w:val="none"/>
              </w:rPr>
            </w:pPr>
            <w:r>
              <w:rPr>
                <w:color w:val="auto"/>
                <w:sz w:val="21"/>
                <w:szCs w:val="21"/>
                <w:highlight w:val="none"/>
              </w:rPr>
              <w:t>1</w:t>
            </w:r>
          </w:p>
        </w:tc>
        <w:tc>
          <w:tcPr>
            <w:tcW w:w="4819" w:type="dxa"/>
            <w:noWrap w:val="0"/>
            <w:vAlign w:val="center"/>
          </w:tcPr>
          <w:p w14:paraId="25C49035">
            <w:pPr>
              <w:rPr>
                <w:color w:val="auto"/>
                <w:sz w:val="21"/>
                <w:szCs w:val="21"/>
                <w:highlight w:val="none"/>
              </w:rPr>
            </w:pPr>
            <w:r>
              <w:rPr>
                <w:color w:val="auto"/>
                <w:sz w:val="21"/>
                <w:szCs w:val="21"/>
                <w:highlight w:val="none"/>
              </w:rPr>
              <w:t>投标人资质条件是否符合</w:t>
            </w:r>
          </w:p>
        </w:tc>
        <w:tc>
          <w:tcPr>
            <w:tcW w:w="1463" w:type="dxa"/>
            <w:noWrap w:val="0"/>
            <w:vAlign w:val="center"/>
          </w:tcPr>
          <w:p w14:paraId="5CDD3651">
            <w:pPr>
              <w:spacing w:line="360" w:lineRule="auto"/>
              <w:jc w:val="center"/>
              <w:rPr>
                <w:color w:val="auto"/>
                <w:sz w:val="21"/>
                <w:szCs w:val="21"/>
                <w:highlight w:val="none"/>
              </w:rPr>
            </w:pPr>
            <w:r>
              <w:rPr>
                <w:color w:val="auto"/>
                <w:sz w:val="21"/>
                <w:szCs w:val="21"/>
                <w:highlight w:val="none"/>
              </w:rPr>
              <w:t>1.4.1（1）</w:t>
            </w:r>
          </w:p>
        </w:tc>
        <w:tc>
          <w:tcPr>
            <w:tcW w:w="1192" w:type="dxa"/>
            <w:noWrap w:val="0"/>
            <w:vAlign w:val="center"/>
          </w:tcPr>
          <w:p w14:paraId="1644085A">
            <w:pPr>
              <w:spacing w:line="360" w:lineRule="auto"/>
              <w:jc w:val="center"/>
              <w:rPr>
                <w:color w:val="auto"/>
                <w:sz w:val="21"/>
                <w:szCs w:val="21"/>
                <w:highlight w:val="none"/>
              </w:rPr>
            </w:pPr>
            <w:r>
              <w:rPr>
                <w:color w:val="auto"/>
                <w:sz w:val="21"/>
                <w:szCs w:val="21"/>
                <w:highlight w:val="none"/>
              </w:rPr>
              <w:t>是</w:t>
            </w:r>
          </w:p>
        </w:tc>
        <w:tc>
          <w:tcPr>
            <w:tcW w:w="1189" w:type="dxa"/>
            <w:noWrap w:val="0"/>
            <w:vAlign w:val="center"/>
          </w:tcPr>
          <w:p w14:paraId="02807A12">
            <w:pPr>
              <w:spacing w:line="360" w:lineRule="auto"/>
              <w:jc w:val="center"/>
              <w:rPr>
                <w:rFonts w:eastAsia="黑体"/>
                <w:b/>
                <w:color w:val="auto"/>
                <w:szCs w:val="21"/>
                <w:highlight w:val="none"/>
              </w:rPr>
            </w:pPr>
          </w:p>
        </w:tc>
      </w:tr>
      <w:tr w14:paraId="3F8E8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trPr>
        <w:tc>
          <w:tcPr>
            <w:tcW w:w="675" w:type="dxa"/>
            <w:noWrap w:val="0"/>
            <w:vAlign w:val="center"/>
          </w:tcPr>
          <w:p w14:paraId="6F2AC597">
            <w:pPr>
              <w:spacing w:line="360" w:lineRule="auto"/>
              <w:jc w:val="center"/>
              <w:rPr>
                <w:color w:val="auto"/>
                <w:sz w:val="21"/>
                <w:szCs w:val="21"/>
                <w:highlight w:val="none"/>
              </w:rPr>
            </w:pPr>
            <w:r>
              <w:rPr>
                <w:color w:val="auto"/>
                <w:sz w:val="21"/>
                <w:szCs w:val="21"/>
                <w:highlight w:val="none"/>
              </w:rPr>
              <w:t>2</w:t>
            </w:r>
          </w:p>
        </w:tc>
        <w:tc>
          <w:tcPr>
            <w:tcW w:w="4819" w:type="dxa"/>
            <w:noWrap w:val="0"/>
            <w:vAlign w:val="center"/>
          </w:tcPr>
          <w:p w14:paraId="594BDFAD">
            <w:pPr>
              <w:spacing w:line="260" w:lineRule="exact"/>
              <w:rPr>
                <w:color w:val="auto"/>
                <w:sz w:val="21"/>
                <w:szCs w:val="21"/>
                <w:highlight w:val="none"/>
              </w:rPr>
            </w:pPr>
            <w:r>
              <w:rPr>
                <w:color w:val="auto"/>
                <w:sz w:val="21"/>
                <w:szCs w:val="21"/>
                <w:highlight w:val="none"/>
              </w:rPr>
              <w:t>是否为招标人不具有独立法人资格的附属机构（单位）</w:t>
            </w:r>
          </w:p>
        </w:tc>
        <w:tc>
          <w:tcPr>
            <w:tcW w:w="1463" w:type="dxa"/>
            <w:noWrap w:val="0"/>
            <w:vAlign w:val="center"/>
          </w:tcPr>
          <w:p w14:paraId="7046DA10">
            <w:pPr>
              <w:spacing w:line="360" w:lineRule="auto"/>
              <w:jc w:val="center"/>
              <w:rPr>
                <w:color w:val="auto"/>
                <w:sz w:val="21"/>
                <w:szCs w:val="21"/>
                <w:highlight w:val="none"/>
              </w:rPr>
            </w:pPr>
            <w:r>
              <w:rPr>
                <w:color w:val="auto"/>
                <w:sz w:val="21"/>
                <w:szCs w:val="21"/>
                <w:highlight w:val="none"/>
              </w:rPr>
              <w:t>1.4.4（1）</w:t>
            </w:r>
          </w:p>
        </w:tc>
        <w:tc>
          <w:tcPr>
            <w:tcW w:w="1192" w:type="dxa"/>
            <w:noWrap w:val="0"/>
            <w:vAlign w:val="center"/>
          </w:tcPr>
          <w:p w14:paraId="55830834">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0BF74C03">
            <w:pPr>
              <w:spacing w:line="360" w:lineRule="auto"/>
              <w:jc w:val="center"/>
              <w:rPr>
                <w:rFonts w:eastAsia="黑体"/>
                <w:b/>
                <w:color w:val="auto"/>
                <w:szCs w:val="21"/>
                <w:highlight w:val="none"/>
              </w:rPr>
            </w:pPr>
          </w:p>
        </w:tc>
      </w:tr>
      <w:tr w14:paraId="00AD6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trPr>
        <w:tc>
          <w:tcPr>
            <w:tcW w:w="675" w:type="dxa"/>
            <w:noWrap w:val="0"/>
            <w:vAlign w:val="center"/>
          </w:tcPr>
          <w:p w14:paraId="70F9DFE1">
            <w:pPr>
              <w:spacing w:line="360" w:lineRule="auto"/>
              <w:jc w:val="center"/>
              <w:rPr>
                <w:color w:val="auto"/>
                <w:sz w:val="21"/>
                <w:szCs w:val="21"/>
                <w:highlight w:val="none"/>
              </w:rPr>
            </w:pPr>
            <w:r>
              <w:rPr>
                <w:rFonts w:hint="eastAsia"/>
                <w:color w:val="auto"/>
                <w:sz w:val="21"/>
                <w:szCs w:val="21"/>
                <w:highlight w:val="none"/>
              </w:rPr>
              <w:t>3</w:t>
            </w:r>
          </w:p>
        </w:tc>
        <w:tc>
          <w:tcPr>
            <w:tcW w:w="4819" w:type="dxa"/>
            <w:noWrap w:val="0"/>
            <w:vAlign w:val="center"/>
          </w:tcPr>
          <w:p w14:paraId="00DE4B7A">
            <w:pPr>
              <w:spacing w:line="260" w:lineRule="exact"/>
              <w:rPr>
                <w:color w:val="auto"/>
                <w:sz w:val="21"/>
                <w:szCs w:val="21"/>
                <w:highlight w:val="none"/>
              </w:rPr>
            </w:pPr>
            <w:r>
              <w:rPr>
                <w:rFonts w:hint="eastAsia"/>
                <w:color w:val="auto"/>
                <w:sz w:val="21"/>
                <w:szCs w:val="21"/>
                <w:highlight w:val="none"/>
              </w:rPr>
              <w:t>是否为与招标人存在利害关系可能影响招标公正性的法人、其他组织或者个人</w:t>
            </w:r>
          </w:p>
        </w:tc>
        <w:tc>
          <w:tcPr>
            <w:tcW w:w="1463" w:type="dxa"/>
            <w:noWrap w:val="0"/>
            <w:vAlign w:val="center"/>
          </w:tcPr>
          <w:p w14:paraId="2769967E">
            <w:pPr>
              <w:spacing w:line="360" w:lineRule="auto"/>
              <w:jc w:val="center"/>
              <w:rPr>
                <w:color w:val="auto"/>
                <w:sz w:val="21"/>
                <w:szCs w:val="21"/>
                <w:highlight w:val="none"/>
              </w:rPr>
            </w:pPr>
            <w:r>
              <w:rPr>
                <w:rFonts w:hint="eastAsia"/>
                <w:color w:val="auto"/>
                <w:sz w:val="21"/>
                <w:szCs w:val="21"/>
                <w:highlight w:val="none"/>
              </w:rPr>
              <w:t>1.4.4（2）</w:t>
            </w:r>
          </w:p>
        </w:tc>
        <w:tc>
          <w:tcPr>
            <w:tcW w:w="1192" w:type="dxa"/>
            <w:noWrap w:val="0"/>
            <w:vAlign w:val="center"/>
          </w:tcPr>
          <w:p w14:paraId="1250757B">
            <w:pPr>
              <w:spacing w:line="360" w:lineRule="auto"/>
              <w:jc w:val="center"/>
              <w:rPr>
                <w:color w:val="auto"/>
                <w:sz w:val="21"/>
                <w:szCs w:val="21"/>
                <w:highlight w:val="none"/>
              </w:rPr>
            </w:pPr>
            <w:r>
              <w:rPr>
                <w:rFonts w:hint="eastAsia"/>
                <w:color w:val="auto"/>
                <w:sz w:val="21"/>
                <w:szCs w:val="21"/>
                <w:highlight w:val="none"/>
              </w:rPr>
              <w:t>否</w:t>
            </w:r>
          </w:p>
        </w:tc>
        <w:tc>
          <w:tcPr>
            <w:tcW w:w="1189" w:type="dxa"/>
            <w:noWrap w:val="0"/>
            <w:vAlign w:val="center"/>
          </w:tcPr>
          <w:p w14:paraId="0D87BBB9">
            <w:pPr>
              <w:spacing w:line="360" w:lineRule="auto"/>
              <w:jc w:val="center"/>
              <w:rPr>
                <w:rFonts w:eastAsia="黑体"/>
                <w:b/>
                <w:color w:val="auto"/>
                <w:szCs w:val="21"/>
                <w:highlight w:val="none"/>
              </w:rPr>
            </w:pPr>
          </w:p>
        </w:tc>
      </w:tr>
      <w:tr w14:paraId="29655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trPr>
        <w:tc>
          <w:tcPr>
            <w:tcW w:w="675" w:type="dxa"/>
            <w:noWrap w:val="0"/>
            <w:vAlign w:val="center"/>
          </w:tcPr>
          <w:p w14:paraId="480C4DD2">
            <w:pPr>
              <w:spacing w:line="360" w:lineRule="auto"/>
              <w:jc w:val="center"/>
              <w:rPr>
                <w:color w:val="auto"/>
                <w:sz w:val="21"/>
                <w:szCs w:val="21"/>
                <w:highlight w:val="none"/>
              </w:rPr>
            </w:pPr>
            <w:r>
              <w:rPr>
                <w:rFonts w:hint="eastAsia"/>
                <w:color w:val="auto"/>
                <w:sz w:val="21"/>
                <w:szCs w:val="21"/>
                <w:highlight w:val="none"/>
              </w:rPr>
              <w:t>4</w:t>
            </w:r>
          </w:p>
        </w:tc>
        <w:tc>
          <w:tcPr>
            <w:tcW w:w="4819" w:type="dxa"/>
            <w:noWrap w:val="0"/>
            <w:vAlign w:val="center"/>
          </w:tcPr>
          <w:p w14:paraId="180E6F0D">
            <w:pPr>
              <w:spacing w:line="260" w:lineRule="exact"/>
              <w:rPr>
                <w:color w:val="auto"/>
                <w:sz w:val="21"/>
                <w:szCs w:val="21"/>
                <w:highlight w:val="none"/>
              </w:rPr>
            </w:pPr>
            <w:r>
              <w:rPr>
                <w:rFonts w:hint="eastAsia"/>
                <w:color w:val="auto"/>
                <w:sz w:val="21"/>
                <w:szCs w:val="21"/>
                <w:highlight w:val="none"/>
              </w:rPr>
              <w:t>是否不同投标人的单位负责人为同一人或者互相存在控股、管理关系的</w:t>
            </w:r>
          </w:p>
        </w:tc>
        <w:tc>
          <w:tcPr>
            <w:tcW w:w="1463" w:type="dxa"/>
            <w:noWrap w:val="0"/>
            <w:vAlign w:val="center"/>
          </w:tcPr>
          <w:p w14:paraId="1C956BC5">
            <w:pPr>
              <w:spacing w:line="360" w:lineRule="auto"/>
              <w:jc w:val="center"/>
              <w:rPr>
                <w:color w:val="auto"/>
                <w:sz w:val="21"/>
                <w:szCs w:val="21"/>
                <w:highlight w:val="none"/>
              </w:rPr>
            </w:pPr>
            <w:r>
              <w:rPr>
                <w:rFonts w:hint="eastAsia"/>
                <w:color w:val="auto"/>
                <w:sz w:val="21"/>
                <w:szCs w:val="21"/>
                <w:highlight w:val="none"/>
              </w:rPr>
              <w:t>1.4.4（3）</w:t>
            </w:r>
          </w:p>
        </w:tc>
        <w:tc>
          <w:tcPr>
            <w:tcW w:w="1192" w:type="dxa"/>
            <w:noWrap w:val="0"/>
            <w:vAlign w:val="center"/>
          </w:tcPr>
          <w:p w14:paraId="307CDDD5">
            <w:pPr>
              <w:spacing w:line="360" w:lineRule="auto"/>
              <w:jc w:val="center"/>
              <w:rPr>
                <w:color w:val="auto"/>
                <w:sz w:val="21"/>
                <w:szCs w:val="21"/>
                <w:highlight w:val="none"/>
              </w:rPr>
            </w:pPr>
            <w:r>
              <w:rPr>
                <w:rFonts w:hint="eastAsia"/>
                <w:color w:val="auto"/>
                <w:sz w:val="21"/>
                <w:szCs w:val="21"/>
                <w:highlight w:val="none"/>
              </w:rPr>
              <w:t>否</w:t>
            </w:r>
          </w:p>
        </w:tc>
        <w:tc>
          <w:tcPr>
            <w:tcW w:w="1189" w:type="dxa"/>
            <w:noWrap w:val="0"/>
            <w:vAlign w:val="center"/>
          </w:tcPr>
          <w:p w14:paraId="1B50F084">
            <w:pPr>
              <w:spacing w:line="360" w:lineRule="auto"/>
              <w:jc w:val="center"/>
              <w:rPr>
                <w:rFonts w:eastAsia="黑体"/>
                <w:b/>
                <w:color w:val="auto"/>
                <w:szCs w:val="21"/>
                <w:highlight w:val="none"/>
              </w:rPr>
            </w:pPr>
          </w:p>
        </w:tc>
      </w:tr>
      <w:tr w14:paraId="0D6C0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exact"/>
        </w:trPr>
        <w:tc>
          <w:tcPr>
            <w:tcW w:w="675" w:type="dxa"/>
            <w:noWrap w:val="0"/>
            <w:vAlign w:val="center"/>
          </w:tcPr>
          <w:p w14:paraId="35126188">
            <w:pPr>
              <w:spacing w:line="360" w:lineRule="auto"/>
              <w:jc w:val="center"/>
              <w:rPr>
                <w:color w:val="auto"/>
                <w:sz w:val="21"/>
                <w:szCs w:val="21"/>
                <w:highlight w:val="none"/>
              </w:rPr>
            </w:pPr>
            <w:r>
              <w:rPr>
                <w:color w:val="auto"/>
                <w:sz w:val="21"/>
                <w:szCs w:val="21"/>
                <w:highlight w:val="none"/>
              </w:rPr>
              <w:t>5</w:t>
            </w:r>
          </w:p>
        </w:tc>
        <w:tc>
          <w:tcPr>
            <w:tcW w:w="4819" w:type="dxa"/>
            <w:noWrap w:val="0"/>
            <w:vAlign w:val="center"/>
          </w:tcPr>
          <w:p w14:paraId="2D679A18">
            <w:pPr>
              <w:rPr>
                <w:color w:val="auto"/>
                <w:sz w:val="21"/>
                <w:szCs w:val="21"/>
                <w:highlight w:val="none"/>
              </w:rPr>
            </w:pPr>
            <w:r>
              <w:rPr>
                <w:color w:val="auto"/>
                <w:sz w:val="21"/>
                <w:szCs w:val="21"/>
                <w:highlight w:val="none"/>
              </w:rPr>
              <w:t>是否为本</w:t>
            </w:r>
            <w:r>
              <w:rPr>
                <w:rFonts w:hint="eastAsia"/>
                <w:color w:val="auto"/>
                <w:sz w:val="21"/>
                <w:szCs w:val="21"/>
                <w:highlight w:val="none"/>
              </w:rPr>
              <w:t>标段</w:t>
            </w:r>
            <w:r>
              <w:rPr>
                <w:color w:val="auto"/>
                <w:sz w:val="21"/>
                <w:szCs w:val="21"/>
                <w:highlight w:val="none"/>
              </w:rPr>
              <w:t>前期准备提供设计或咨询服务的</w:t>
            </w:r>
          </w:p>
        </w:tc>
        <w:tc>
          <w:tcPr>
            <w:tcW w:w="1463" w:type="dxa"/>
            <w:noWrap w:val="0"/>
            <w:vAlign w:val="center"/>
          </w:tcPr>
          <w:p w14:paraId="2D0F1156">
            <w:pPr>
              <w:spacing w:line="360" w:lineRule="auto"/>
              <w:jc w:val="center"/>
              <w:rPr>
                <w:color w:val="auto"/>
                <w:sz w:val="21"/>
                <w:szCs w:val="21"/>
                <w:highlight w:val="none"/>
              </w:rPr>
            </w:pPr>
            <w:r>
              <w:rPr>
                <w:color w:val="auto"/>
                <w:sz w:val="21"/>
                <w:szCs w:val="21"/>
                <w:highlight w:val="none"/>
              </w:rPr>
              <w:t>1.4.4（4）</w:t>
            </w:r>
          </w:p>
        </w:tc>
        <w:tc>
          <w:tcPr>
            <w:tcW w:w="1192" w:type="dxa"/>
            <w:noWrap w:val="0"/>
            <w:vAlign w:val="center"/>
          </w:tcPr>
          <w:p w14:paraId="784285D5">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441AC6B8">
            <w:pPr>
              <w:spacing w:line="360" w:lineRule="auto"/>
              <w:jc w:val="center"/>
              <w:rPr>
                <w:rFonts w:eastAsia="黑体"/>
                <w:b/>
                <w:color w:val="auto"/>
                <w:szCs w:val="21"/>
                <w:highlight w:val="none"/>
              </w:rPr>
            </w:pPr>
          </w:p>
        </w:tc>
      </w:tr>
      <w:tr w14:paraId="12F25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trPr>
        <w:tc>
          <w:tcPr>
            <w:tcW w:w="675" w:type="dxa"/>
            <w:noWrap w:val="0"/>
            <w:vAlign w:val="center"/>
          </w:tcPr>
          <w:p w14:paraId="7E2C68CF">
            <w:pPr>
              <w:spacing w:line="360" w:lineRule="auto"/>
              <w:jc w:val="center"/>
              <w:rPr>
                <w:color w:val="auto"/>
                <w:sz w:val="21"/>
                <w:szCs w:val="21"/>
                <w:highlight w:val="none"/>
              </w:rPr>
            </w:pPr>
            <w:r>
              <w:rPr>
                <w:color w:val="auto"/>
                <w:sz w:val="21"/>
                <w:szCs w:val="21"/>
                <w:highlight w:val="none"/>
              </w:rPr>
              <w:t>6</w:t>
            </w:r>
          </w:p>
        </w:tc>
        <w:tc>
          <w:tcPr>
            <w:tcW w:w="4819" w:type="dxa"/>
            <w:noWrap w:val="0"/>
            <w:vAlign w:val="center"/>
          </w:tcPr>
          <w:p w14:paraId="2527EC03">
            <w:pPr>
              <w:rPr>
                <w:color w:val="auto"/>
                <w:sz w:val="21"/>
                <w:szCs w:val="21"/>
                <w:highlight w:val="none"/>
              </w:rPr>
            </w:pPr>
            <w:r>
              <w:rPr>
                <w:color w:val="auto"/>
                <w:sz w:val="21"/>
                <w:szCs w:val="21"/>
                <w:highlight w:val="none"/>
              </w:rPr>
              <w:t>是否为本</w:t>
            </w:r>
            <w:r>
              <w:rPr>
                <w:rFonts w:hint="eastAsia"/>
                <w:color w:val="auto"/>
                <w:sz w:val="21"/>
                <w:szCs w:val="21"/>
                <w:highlight w:val="none"/>
              </w:rPr>
              <w:t>标段</w:t>
            </w:r>
            <w:r>
              <w:rPr>
                <w:color w:val="auto"/>
                <w:sz w:val="21"/>
                <w:szCs w:val="21"/>
                <w:highlight w:val="none"/>
              </w:rPr>
              <w:t>的监理人</w:t>
            </w:r>
          </w:p>
        </w:tc>
        <w:tc>
          <w:tcPr>
            <w:tcW w:w="1463" w:type="dxa"/>
            <w:noWrap w:val="0"/>
            <w:vAlign w:val="center"/>
          </w:tcPr>
          <w:p w14:paraId="5509125A">
            <w:pPr>
              <w:spacing w:line="360" w:lineRule="auto"/>
              <w:jc w:val="center"/>
              <w:rPr>
                <w:color w:val="auto"/>
                <w:sz w:val="21"/>
                <w:szCs w:val="21"/>
                <w:highlight w:val="none"/>
              </w:rPr>
            </w:pPr>
            <w:r>
              <w:rPr>
                <w:color w:val="auto"/>
                <w:sz w:val="21"/>
                <w:szCs w:val="21"/>
                <w:highlight w:val="none"/>
              </w:rPr>
              <w:t>1.4.4（5）</w:t>
            </w:r>
          </w:p>
        </w:tc>
        <w:tc>
          <w:tcPr>
            <w:tcW w:w="1192" w:type="dxa"/>
            <w:noWrap w:val="0"/>
            <w:vAlign w:val="center"/>
          </w:tcPr>
          <w:p w14:paraId="2862A6AE">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77A4BEE4">
            <w:pPr>
              <w:spacing w:line="360" w:lineRule="auto"/>
              <w:jc w:val="center"/>
              <w:rPr>
                <w:rFonts w:eastAsia="黑体"/>
                <w:b/>
                <w:color w:val="auto"/>
                <w:szCs w:val="21"/>
                <w:highlight w:val="none"/>
              </w:rPr>
            </w:pPr>
          </w:p>
        </w:tc>
      </w:tr>
      <w:tr w14:paraId="31982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trPr>
        <w:tc>
          <w:tcPr>
            <w:tcW w:w="675" w:type="dxa"/>
            <w:noWrap w:val="0"/>
            <w:vAlign w:val="center"/>
          </w:tcPr>
          <w:p w14:paraId="79FFF964">
            <w:pPr>
              <w:spacing w:line="360" w:lineRule="auto"/>
              <w:jc w:val="center"/>
              <w:rPr>
                <w:color w:val="auto"/>
                <w:sz w:val="21"/>
                <w:szCs w:val="21"/>
                <w:highlight w:val="none"/>
              </w:rPr>
            </w:pPr>
            <w:r>
              <w:rPr>
                <w:color w:val="auto"/>
                <w:sz w:val="21"/>
                <w:szCs w:val="21"/>
                <w:highlight w:val="none"/>
              </w:rPr>
              <w:t>7</w:t>
            </w:r>
          </w:p>
        </w:tc>
        <w:tc>
          <w:tcPr>
            <w:tcW w:w="4819" w:type="dxa"/>
            <w:noWrap w:val="0"/>
            <w:vAlign w:val="center"/>
          </w:tcPr>
          <w:p w14:paraId="4F005D75">
            <w:pPr>
              <w:rPr>
                <w:color w:val="auto"/>
                <w:sz w:val="21"/>
                <w:szCs w:val="21"/>
                <w:highlight w:val="none"/>
              </w:rPr>
            </w:pPr>
            <w:r>
              <w:rPr>
                <w:color w:val="auto"/>
                <w:sz w:val="21"/>
                <w:szCs w:val="21"/>
                <w:highlight w:val="none"/>
              </w:rPr>
              <w:t>是否为本</w:t>
            </w:r>
            <w:r>
              <w:rPr>
                <w:rFonts w:hint="eastAsia"/>
                <w:color w:val="auto"/>
                <w:sz w:val="21"/>
                <w:szCs w:val="21"/>
                <w:highlight w:val="none"/>
              </w:rPr>
              <w:t>标段</w:t>
            </w:r>
            <w:r>
              <w:rPr>
                <w:color w:val="auto"/>
                <w:sz w:val="21"/>
                <w:szCs w:val="21"/>
                <w:highlight w:val="none"/>
              </w:rPr>
              <w:t>的代建人</w:t>
            </w:r>
          </w:p>
        </w:tc>
        <w:tc>
          <w:tcPr>
            <w:tcW w:w="1463" w:type="dxa"/>
            <w:noWrap w:val="0"/>
            <w:vAlign w:val="center"/>
          </w:tcPr>
          <w:p w14:paraId="76E9BCB1">
            <w:pPr>
              <w:spacing w:line="360" w:lineRule="auto"/>
              <w:jc w:val="center"/>
              <w:rPr>
                <w:color w:val="auto"/>
                <w:sz w:val="21"/>
                <w:szCs w:val="21"/>
                <w:highlight w:val="none"/>
              </w:rPr>
            </w:pPr>
            <w:r>
              <w:rPr>
                <w:color w:val="auto"/>
                <w:sz w:val="21"/>
                <w:szCs w:val="21"/>
                <w:highlight w:val="none"/>
              </w:rPr>
              <w:t>1.4.4（6）</w:t>
            </w:r>
          </w:p>
        </w:tc>
        <w:tc>
          <w:tcPr>
            <w:tcW w:w="1192" w:type="dxa"/>
            <w:noWrap w:val="0"/>
            <w:vAlign w:val="center"/>
          </w:tcPr>
          <w:p w14:paraId="3F9A17B2">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0BB99558">
            <w:pPr>
              <w:spacing w:line="360" w:lineRule="auto"/>
              <w:jc w:val="center"/>
              <w:rPr>
                <w:rFonts w:eastAsia="黑体"/>
                <w:b/>
                <w:color w:val="auto"/>
                <w:szCs w:val="21"/>
                <w:highlight w:val="none"/>
              </w:rPr>
            </w:pPr>
          </w:p>
        </w:tc>
      </w:tr>
      <w:tr w14:paraId="6F05D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trPr>
        <w:tc>
          <w:tcPr>
            <w:tcW w:w="675" w:type="dxa"/>
            <w:noWrap w:val="0"/>
            <w:vAlign w:val="center"/>
          </w:tcPr>
          <w:p w14:paraId="7EADF962">
            <w:pPr>
              <w:spacing w:line="360" w:lineRule="auto"/>
              <w:jc w:val="center"/>
              <w:rPr>
                <w:color w:val="auto"/>
                <w:sz w:val="21"/>
                <w:szCs w:val="21"/>
                <w:highlight w:val="none"/>
              </w:rPr>
            </w:pPr>
            <w:r>
              <w:rPr>
                <w:color w:val="auto"/>
                <w:sz w:val="21"/>
                <w:szCs w:val="21"/>
                <w:highlight w:val="none"/>
              </w:rPr>
              <w:t>8</w:t>
            </w:r>
          </w:p>
        </w:tc>
        <w:tc>
          <w:tcPr>
            <w:tcW w:w="4819" w:type="dxa"/>
            <w:noWrap w:val="0"/>
            <w:vAlign w:val="center"/>
          </w:tcPr>
          <w:p w14:paraId="721865EF">
            <w:pPr>
              <w:rPr>
                <w:color w:val="auto"/>
                <w:sz w:val="21"/>
                <w:szCs w:val="21"/>
                <w:highlight w:val="none"/>
              </w:rPr>
            </w:pPr>
            <w:r>
              <w:rPr>
                <w:color w:val="auto"/>
                <w:sz w:val="21"/>
                <w:szCs w:val="21"/>
                <w:highlight w:val="none"/>
              </w:rPr>
              <w:t>是否为本</w:t>
            </w:r>
            <w:r>
              <w:rPr>
                <w:rFonts w:hint="eastAsia"/>
                <w:color w:val="auto"/>
                <w:sz w:val="21"/>
                <w:szCs w:val="21"/>
                <w:highlight w:val="none"/>
              </w:rPr>
              <w:t>标段</w:t>
            </w:r>
            <w:r>
              <w:rPr>
                <w:color w:val="auto"/>
                <w:sz w:val="21"/>
                <w:szCs w:val="21"/>
                <w:highlight w:val="none"/>
              </w:rPr>
              <w:t>提供招标代理服务</w:t>
            </w:r>
          </w:p>
        </w:tc>
        <w:tc>
          <w:tcPr>
            <w:tcW w:w="1463" w:type="dxa"/>
            <w:noWrap w:val="0"/>
            <w:vAlign w:val="center"/>
          </w:tcPr>
          <w:p w14:paraId="1874F14E">
            <w:pPr>
              <w:spacing w:line="360" w:lineRule="auto"/>
              <w:jc w:val="center"/>
              <w:rPr>
                <w:color w:val="auto"/>
                <w:sz w:val="21"/>
                <w:szCs w:val="21"/>
                <w:highlight w:val="none"/>
              </w:rPr>
            </w:pPr>
            <w:r>
              <w:rPr>
                <w:color w:val="auto"/>
                <w:sz w:val="21"/>
                <w:szCs w:val="21"/>
                <w:highlight w:val="none"/>
              </w:rPr>
              <w:t>1.4.4（7）</w:t>
            </w:r>
          </w:p>
        </w:tc>
        <w:tc>
          <w:tcPr>
            <w:tcW w:w="1192" w:type="dxa"/>
            <w:noWrap w:val="0"/>
            <w:vAlign w:val="center"/>
          </w:tcPr>
          <w:p w14:paraId="530AEC7B">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6782EC87">
            <w:pPr>
              <w:spacing w:line="360" w:lineRule="auto"/>
              <w:jc w:val="center"/>
              <w:rPr>
                <w:rFonts w:eastAsia="黑体"/>
                <w:b/>
                <w:color w:val="auto"/>
                <w:szCs w:val="21"/>
                <w:highlight w:val="none"/>
              </w:rPr>
            </w:pPr>
          </w:p>
        </w:tc>
      </w:tr>
      <w:tr w14:paraId="32367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exact"/>
        </w:trPr>
        <w:tc>
          <w:tcPr>
            <w:tcW w:w="675" w:type="dxa"/>
            <w:noWrap w:val="0"/>
            <w:vAlign w:val="center"/>
          </w:tcPr>
          <w:p w14:paraId="435658B8">
            <w:pPr>
              <w:spacing w:line="360" w:lineRule="auto"/>
              <w:jc w:val="center"/>
              <w:rPr>
                <w:color w:val="auto"/>
                <w:sz w:val="21"/>
                <w:szCs w:val="21"/>
                <w:highlight w:val="none"/>
              </w:rPr>
            </w:pPr>
            <w:r>
              <w:rPr>
                <w:color w:val="auto"/>
                <w:sz w:val="21"/>
                <w:szCs w:val="21"/>
                <w:highlight w:val="none"/>
              </w:rPr>
              <w:t>9</w:t>
            </w:r>
          </w:p>
        </w:tc>
        <w:tc>
          <w:tcPr>
            <w:tcW w:w="4819" w:type="dxa"/>
            <w:noWrap w:val="0"/>
            <w:vAlign w:val="center"/>
          </w:tcPr>
          <w:p w14:paraId="0B5CF115">
            <w:pPr>
              <w:spacing w:line="260" w:lineRule="exact"/>
              <w:rPr>
                <w:color w:val="auto"/>
                <w:sz w:val="21"/>
                <w:szCs w:val="21"/>
                <w:highlight w:val="none"/>
              </w:rPr>
            </w:pPr>
            <w:r>
              <w:rPr>
                <w:color w:val="auto"/>
                <w:sz w:val="21"/>
                <w:szCs w:val="21"/>
                <w:highlight w:val="none"/>
              </w:rPr>
              <w:t>是否与本</w:t>
            </w:r>
            <w:r>
              <w:rPr>
                <w:rFonts w:hint="eastAsia"/>
                <w:color w:val="auto"/>
                <w:sz w:val="21"/>
                <w:szCs w:val="21"/>
                <w:highlight w:val="none"/>
              </w:rPr>
              <w:t>标段</w:t>
            </w:r>
            <w:r>
              <w:rPr>
                <w:color w:val="auto"/>
                <w:sz w:val="21"/>
                <w:szCs w:val="21"/>
                <w:highlight w:val="none"/>
              </w:rPr>
              <w:t>的监理人或代建人或招标代理机构同为一个法定代表人</w:t>
            </w:r>
          </w:p>
        </w:tc>
        <w:tc>
          <w:tcPr>
            <w:tcW w:w="1463" w:type="dxa"/>
            <w:noWrap w:val="0"/>
            <w:vAlign w:val="center"/>
          </w:tcPr>
          <w:p w14:paraId="49EE0DDE">
            <w:pPr>
              <w:spacing w:line="360" w:lineRule="auto"/>
              <w:jc w:val="center"/>
              <w:rPr>
                <w:color w:val="auto"/>
                <w:sz w:val="21"/>
                <w:szCs w:val="21"/>
                <w:highlight w:val="none"/>
              </w:rPr>
            </w:pPr>
            <w:r>
              <w:rPr>
                <w:color w:val="auto"/>
                <w:sz w:val="21"/>
                <w:szCs w:val="21"/>
                <w:highlight w:val="none"/>
              </w:rPr>
              <w:t>1.4.4（8）</w:t>
            </w:r>
          </w:p>
        </w:tc>
        <w:tc>
          <w:tcPr>
            <w:tcW w:w="1192" w:type="dxa"/>
            <w:noWrap w:val="0"/>
            <w:vAlign w:val="center"/>
          </w:tcPr>
          <w:p w14:paraId="4EB4B474">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6DB6401F">
            <w:pPr>
              <w:spacing w:line="360" w:lineRule="auto"/>
              <w:jc w:val="center"/>
              <w:rPr>
                <w:rFonts w:eastAsia="黑体"/>
                <w:b/>
                <w:color w:val="auto"/>
                <w:szCs w:val="21"/>
                <w:highlight w:val="none"/>
              </w:rPr>
            </w:pPr>
          </w:p>
        </w:tc>
      </w:tr>
      <w:tr w14:paraId="20E33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exact"/>
        </w:trPr>
        <w:tc>
          <w:tcPr>
            <w:tcW w:w="675" w:type="dxa"/>
            <w:noWrap w:val="0"/>
            <w:vAlign w:val="center"/>
          </w:tcPr>
          <w:p w14:paraId="3CD6DFF7">
            <w:pPr>
              <w:spacing w:line="360" w:lineRule="auto"/>
              <w:jc w:val="center"/>
              <w:rPr>
                <w:color w:val="auto"/>
                <w:sz w:val="21"/>
                <w:szCs w:val="21"/>
                <w:highlight w:val="none"/>
              </w:rPr>
            </w:pPr>
            <w:r>
              <w:rPr>
                <w:color w:val="auto"/>
                <w:sz w:val="21"/>
                <w:szCs w:val="21"/>
                <w:highlight w:val="none"/>
              </w:rPr>
              <w:t>10</w:t>
            </w:r>
          </w:p>
        </w:tc>
        <w:tc>
          <w:tcPr>
            <w:tcW w:w="4819" w:type="dxa"/>
            <w:noWrap w:val="0"/>
            <w:vAlign w:val="center"/>
          </w:tcPr>
          <w:p w14:paraId="73CD2C30">
            <w:pPr>
              <w:spacing w:line="260" w:lineRule="exact"/>
              <w:rPr>
                <w:color w:val="auto"/>
                <w:sz w:val="21"/>
                <w:szCs w:val="21"/>
                <w:highlight w:val="none"/>
              </w:rPr>
            </w:pPr>
            <w:r>
              <w:rPr>
                <w:color w:val="auto"/>
                <w:sz w:val="21"/>
                <w:szCs w:val="21"/>
                <w:highlight w:val="none"/>
              </w:rPr>
              <w:t>是否与本</w:t>
            </w:r>
            <w:r>
              <w:rPr>
                <w:rFonts w:hint="eastAsia"/>
                <w:color w:val="auto"/>
                <w:sz w:val="21"/>
                <w:szCs w:val="21"/>
                <w:highlight w:val="none"/>
              </w:rPr>
              <w:t>标段</w:t>
            </w:r>
            <w:r>
              <w:rPr>
                <w:color w:val="auto"/>
                <w:sz w:val="21"/>
                <w:szCs w:val="21"/>
                <w:highlight w:val="none"/>
              </w:rPr>
              <w:t>的监理人或代建人或招标代理机构相互控股或参股</w:t>
            </w:r>
          </w:p>
        </w:tc>
        <w:tc>
          <w:tcPr>
            <w:tcW w:w="1463" w:type="dxa"/>
            <w:noWrap w:val="0"/>
            <w:vAlign w:val="center"/>
          </w:tcPr>
          <w:p w14:paraId="286BB17A">
            <w:pPr>
              <w:spacing w:line="360" w:lineRule="auto"/>
              <w:jc w:val="center"/>
              <w:rPr>
                <w:color w:val="auto"/>
                <w:sz w:val="21"/>
                <w:szCs w:val="21"/>
                <w:highlight w:val="none"/>
              </w:rPr>
            </w:pPr>
            <w:r>
              <w:rPr>
                <w:color w:val="auto"/>
                <w:sz w:val="21"/>
                <w:szCs w:val="21"/>
                <w:highlight w:val="none"/>
              </w:rPr>
              <w:t>1.4.4（9）</w:t>
            </w:r>
          </w:p>
        </w:tc>
        <w:tc>
          <w:tcPr>
            <w:tcW w:w="1192" w:type="dxa"/>
            <w:noWrap w:val="0"/>
            <w:vAlign w:val="center"/>
          </w:tcPr>
          <w:p w14:paraId="04E70FCD">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23658BD1">
            <w:pPr>
              <w:spacing w:line="360" w:lineRule="auto"/>
              <w:jc w:val="center"/>
              <w:rPr>
                <w:rFonts w:eastAsia="黑体"/>
                <w:b/>
                <w:color w:val="auto"/>
                <w:szCs w:val="21"/>
                <w:highlight w:val="none"/>
              </w:rPr>
            </w:pPr>
          </w:p>
        </w:tc>
      </w:tr>
      <w:tr w14:paraId="18F6D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exact"/>
        </w:trPr>
        <w:tc>
          <w:tcPr>
            <w:tcW w:w="675" w:type="dxa"/>
            <w:noWrap w:val="0"/>
            <w:vAlign w:val="center"/>
          </w:tcPr>
          <w:p w14:paraId="3FD61E71">
            <w:pPr>
              <w:spacing w:line="360" w:lineRule="auto"/>
              <w:jc w:val="center"/>
              <w:rPr>
                <w:color w:val="auto"/>
                <w:sz w:val="21"/>
                <w:szCs w:val="21"/>
                <w:highlight w:val="none"/>
              </w:rPr>
            </w:pPr>
            <w:r>
              <w:rPr>
                <w:color w:val="auto"/>
                <w:sz w:val="21"/>
                <w:szCs w:val="21"/>
                <w:highlight w:val="none"/>
              </w:rPr>
              <w:t>11</w:t>
            </w:r>
          </w:p>
        </w:tc>
        <w:tc>
          <w:tcPr>
            <w:tcW w:w="4819" w:type="dxa"/>
            <w:noWrap w:val="0"/>
            <w:vAlign w:val="center"/>
          </w:tcPr>
          <w:p w14:paraId="301A0B33">
            <w:pPr>
              <w:spacing w:line="260" w:lineRule="exact"/>
              <w:rPr>
                <w:color w:val="auto"/>
                <w:sz w:val="21"/>
                <w:szCs w:val="21"/>
                <w:highlight w:val="none"/>
              </w:rPr>
            </w:pPr>
            <w:r>
              <w:rPr>
                <w:color w:val="auto"/>
                <w:sz w:val="21"/>
                <w:szCs w:val="21"/>
                <w:highlight w:val="none"/>
              </w:rPr>
              <w:t>是否与本</w:t>
            </w:r>
            <w:r>
              <w:rPr>
                <w:rFonts w:hint="eastAsia"/>
                <w:color w:val="auto"/>
                <w:sz w:val="21"/>
                <w:szCs w:val="21"/>
                <w:highlight w:val="none"/>
              </w:rPr>
              <w:t>标段</w:t>
            </w:r>
            <w:r>
              <w:rPr>
                <w:color w:val="auto"/>
                <w:sz w:val="21"/>
                <w:szCs w:val="21"/>
                <w:highlight w:val="none"/>
              </w:rPr>
              <w:t>的监理人或代建人或招标代理机构相互任职或工作</w:t>
            </w:r>
          </w:p>
        </w:tc>
        <w:tc>
          <w:tcPr>
            <w:tcW w:w="1463" w:type="dxa"/>
            <w:noWrap w:val="0"/>
            <w:vAlign w:val="center"/>
          </w:tcPr>
          <w:p w14:paraId="3BA66CF9">
            <w:pPr>
              <w:spacing w:line="360" w:lineRule="auto"/>
              <w:jc w:val="center"/>
              <w:rPr>
                <w:color w:val="auto"/>
                <w:sz w:val="21"/>
                <w:szCs w:val="21"/>
                <w:highlight w:val="none"/>
              </w:rPr>
            </w:pPr>
            <w:r>
              <w:rPr>
                <w:color w:val="auto"/>
                <w:sz w:val="21"/>
                <w:szCs w:val="21"/>
                <w:highlight w:val="none"/>
              </w:rPr>
              <w:t>1.4.4（10）</w:t>
            </w:r>
          </w:p>
        </w:tc>
        <w:tc>
          <w:tcPr>
            <w:tcW w:w="1192" w:type="dxa"/>
            <w:noWrap w:val="0"/>
            <w:vAlign w:val="center"/>
          </w:tcPr>
          <w:p w14:paraId="38B7E6E2">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14AB5A11">
            <w:pPr>
              <w:spacing w:line="360" w:lineRule="auto"/>
              <w:jc w:val="center"/>
              <w:rPr>
                <w:rFonts w:eastAsia="黑体"/>
                <w:b/>
                <w:color w:val="auto"/>
                <w:szCs w:val="21"/>
                <w:highlight w:val="none"/>
              </w:rPr>
            </w:pPr>
          </w:p>
        </w:tc>
      </w:tr>
      <w:tr w14:paraId="641B3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trPr>
        <w:tc>
          <w:tcPr>
            <w:tcW w:w="675" w:type="dxa"/>
            <w:noWrap w:val="0"/>
            <w:vAlign w:val="center"/>
          </w:tcPr>
          <w:p w14:paraId="5E34417C">
            <w:pPr>
              <w:spacing w:line="360" w:lineRule="auto"/>
              <w:jc w:val="center"/>
              <w:rPr>
                <w:color w:val="auto"/>
                <w:sz w:val="21"/>
                <w:szCs w:val="21"/>
                <w:highlight w:val="none"/>
              </w:rPr>
            </w:pPr>
            <w:r>
              <w:rPr>
                <w:color w:val="auto"/>
                <w:sz w:val="21"/>
                <w:szCs w:val="21"/>
                <w:highlight w:val="none"/>
              </w:rPr>
              <w:t>12</w:t>
            </w:r>
          </w:p>
        </w:tc>
        <w:tc>
          <w:tcPr>
            <w:tcW w:w="4819" w:type="dxa"/>
            <w:noWrap w:val="0"/>
            <w:vAlign w:val="center"/>
          </w:tcPr>
          <w:p w14:paraId="7952DBCD">
            <w:pPr>
              <w:spacing w:line="260" w:lineRule="exact"/>
              <w:rPr>
                <w:color w:val="auto"/>
                <w:sz w:val="21"/>
                <w:szCs w:val="21"/>
                <w:highlight w:val="none"/>
              </w:rPr>
            </w:pPr>
            <w:r>
              <w:rPr>
                <w:color w:val="auto"/>
                <w:sz w:val="21"/>
                <w:szCs w:val="21"/>
                <w:highlight w:val="none"/>
              </w:rPr>
              <w:t>是否</w:t>
            </w:r>
            <w:r>
              <w:rPr>
                <w:rFonts w:hint="eastAsia"/>
                <w:color w:val="auto"/>
                <w:sz w:val="21"/>
                <w:szCs w:val="21"/>
                <w:highlight w:val="none"/>
              </w:rPr>
              <w:t>被责令停产停业、暂扣或者吊销许可证、暂扣或者吊销执照</w:t>
            </w:r>
          </w:p>
        </w:tc>
        <w:tc>
          <w:tcPr>
            <w:tcW w:w="1463" w:type="dxa"/>
            <w:noWrap w:val="0"/>
            <w:vAlign w:val="center"/>
          </w:tcPr>
          <w:p w14:paraId="68AC51C6">
            <w:pPr>
              <w:spacing w:line="360" w:lineRule="auto"/>
              <w:jc w:val="center"/>
              <w:rPr>
                <w:color w:val="auto"/>
                <w:sz w:val="21"/>
                <w:szCs w:val="21"/>
                <w:highlight w:val="none"/>
              </w:rPr>
            </w:pPr>
            <w:r>
              <w:rPr>
                <w:color w:val="auto"/>
                <w:sz w:val="21"/>
                <w:szCs w:val="21"/>
                <w:highlight w:val="none"/>
              </w:rPr>
              <w:t>1.4.4（11）</w:t>
            </w:r>
          </w:p>
        </w:tc>
        <w:tc>
          <w:tcPr>
            <w:tcW w:w="1192" w:type="dxa"/>
            <w:noWrap w:val="0"/>
            <w:vAlign w:val="center"/>
          </w:tcPr>
          <w:p w14:paraId="7C733057">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19539F84">
            <w:pPr>
              <w:spacing w:line="360" w:lineRule="auto"/>
              <w:jc w:val="center"/>
              <w:rPr>
                <w:rFonts w:eastAsia="黑体"/>
                <w:b/>
                <w:color w:val="auto"/>
                <w:szCs w:val="21"/>
                <w:highlight w:val="none"/>
              </w:rPr>
            </w:pPr>
          </w:p>
        </w:tc>
      </w:tr>
      <w:tr w14:paraId="7263B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trPr>
        <w:tc>
          <w:tcPr>
            <w:tcW w:w="675" w:type="dxa"/>
            <w:noWrap w:val="0"/>
            <w:vAlign w:val="center"/>
          </w:tcPr>
          <w:p w14:paraId="0A89720A">
            <w:pPr>
              <w:spacing w:line="360" w:lineRule="auto"/>
              <w:jc w:val="center"/>
              <w:rPr>
                <w:color w:val="auto"/>
                <w:sz w:val="21"/>
                <w:szCs w:val="21"/>
                <w:highlight w:val="none"/>
              </w:rPr>
            </w:pPr>
            <w:r>
              <w:rPr>
                <w:color w:val="auto"/>
                <w:sz w:val="21"/>
                <w:szCs w:val="21"/>
                <w:highlight w:val="none"/>
              </w:rPr>
              <w:t>13</w:t>
            </w:r>
          </w:p>
        </w:tc>
        <w:tc>
          <w:tcPr>
            <w:tcW w:w="4819" w:type="dxa"/>
            <w:noWrap w:val="0"/>
            <w:vAlign w:val="center"/>
          </w:tcPr>
          <w:p w14:paraId="65BCDFC6">
            <w:pPr>
              <w:rPr>
                <w:color w:val="auto"/>
                <w:sz w:val="21"/>
                <w:szCs w:val="21"/>
                <w:highlight w:val="none"/>
              </w:rPr>
            </w:pPr>
            <w:r>
              <w:rPr>
                <w:color w:val="auto"/>
                <w:sz w:val="21"/>
                <w:szCs w:val="21"/>
                <w:highlight w:val="none"/>
              </w:rPr>
              <w:t>是否</w:t>
            </w:r>
            <w:r>
              <w:rPr>
                <w:rFonts w:hint="eastAsia"/>
                <w:color w:val="auto"/>
                <w:sz w:val="21"/>
                <w:szCs w:val="21"/>
                <w:highlight w:val="none"/>
              </w:rPr>
              <w:t>进入清算程序，或被宣告破产</w:t>
            </w:r>
          </w:p>
        </w:tc>
        <w:tc>
          <w:tcPr>
            <w:tcW w:w="1463" w:type="dxa"/>
            <w:noWrap w:val="0"/>
            <w:vAlign w:val="center"/>
          </w:tcPr>
          <w:p w14:paraId="54DE87BA">
            <w:pPr>
              <w:spacing w:line="360" w:lineRule="auto"/>
              <w:jc w:val="center"/>
              <w:rPr>
                <w:color w:val="auto"/>
                <w:sz w:val="21"/>
                <w:szCs w:val="21"/>
                <w:highlight w:val="none"/>
              </w:rPr>
            </w:pPr>
            <w:r>
              <w:rPr>
                <w:color w:val="auto"/>
                <w:sz w:val="21"/>
                <w:szCs w:val="21"/>
                <w:highlight w:val="none"/>
              </w:rPr>
              <w:t>1.4.4（12）</w:t>
            </w:r>
          </w:p>
        </w:tc>
        <w:tc>
          <w:tcPr>
            <w:tcW w:w="1192" w:type="dxa"/>
            <w:noWrap w:val="0"/>
            <w:vAlign w:val="center"/>
          </w:tcPr>
          <w:p w14:paraId="05554421">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28048E04">
            <w:pPr>
              <w:spacing w:line="360" w:lineRule="auto"/>
              <w:jc w:val="center"/>
              <w:rPr>
                <w:rFonts w:eastAsia="黑体"/>
                <w:b/>
                <w:color w:val="auto"/>
                <w:szCs w:val="21"/>
                <w:highlight w:val="none"/>
              </w:rPr>
            </w:pPr>
          </w:p>
        </w:tc>
      </w:tr>
      <w:tr w14:paraId="04F76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trPr>
        <w:tc>
          <w:tcPr>
            <w:tcW w:w="675" w:type="dxa"/>
            <w:noWrap w:val="0"/>
            <w:vAlign w:val="center"/>
          </w:tcPr>
          <w:p w14:paraId="17718BC6">
            <w:pPr>
              <w:spacing w:line="360" w:lineRule="auto"/>
              <w:jc w:val="center"/>
              <w:rPr>
                <w:color w:val="auto"/>
                <w:sz w:val="21"/>
                <w:szCs w:val="21"/>
                <w:highlight w:val="none"/>
              </w:rPr>
            </w:pPr>
            <w:r>
              <w:rPr>
                <w:rFonts w:hint="eastAsia"/>
                <w:color w:val="auto"/>
                <w:sz w:val="21"/>
                <w:szCs w:val="21"/>
                <w:highlight w:val="none"/>
              </w:rPr>
              <w:t>1</w:t>
            </w:r>
            <w:r>
              <w:rPr>
                <w:color w:val="auto"/>
                <w:sz w:val="21"/>
                <w:szCs w:val="21"/>
                <w:highlight w:val="none"/>
              </w:rPr>
              <w:t>4</w:t>
            </w:r>
          </w:p>
        </w:tc>
        <w:tc>
          <w:tcPr>
            <w:tcW w:w="4819" w:type="dxa"/>
            <w:noWrap w:val="0"/>
            <w:vAlign w:val="center"/>
          </w:tcPr>
          <w:p w14:paraId="3D9F0203">
            <w:pPr>
              <w:rPr>
                <w:color w:val="auto"/>
                <w:sz w:val="21"/>
                <w:szCs w:val="21"/>
                <w:highlight w:val="none"/>
              </w:rPr>
            </w:pPr>
            <w:r>
              <w:rPr>
                <w:rFonts w:hint="eastAsia"/>
                <w:color w:val="auto"/>
                <w:sz w:val="21"/>
                <w:szCs w:val="21"/>
                <w:highlight w:val="none"/>
              </w:rPr>
              <w:t>是否</w:t>
            </w:r>
            <w:r>
              <w:rPr>
                <w:rFonts w:hint="eastAsia" w:hAnsi="宋体"/>
                <w:color w:val="auto"/>
                <w:sz w:val="21"/>
                <w:szCs w:val="21"/>
                <w:highlight w:val="none"/>
              </w:rPr>
              <w:t>被依法暂停或取消投标资格</w:t>
            </w:r>
          </w:p>
        </w:tc>
        <w:tc>
          <w:tcPr>
            <w:tcW w:w="1463" w:type="dxa"/>
            <w:noWrap w:val="0"/>
            <w:vAlign w:val="center"/>
          </w:tcPr>
          <w:p w14:paraId="696FB050">
            <w:pPr>
              <w:spacing w:line="360" w:lineRule="auto"/>
              <w:jc w:val="center"/>
              <w:rPr>
                <w:color w:val="auto"/>
                <w:sz w:val="21"/>
                <w:szCs w:val="21"/>
                <w:highlight w:val="none"/>
              </w:rPr>
            </w:pPr>
            <w:r>
              <w:rPr>
                <w:rFonts w:hint="eastAsia"/>
                <w:color w:val="auto"/>
                <w:sz w:val="21"/>
                <w:szCs w:val="21"/>
                <w:highlight w:val="none"/>
              </w:rPr>
              <w:t>1.4.4（13）</w:t>
            </w:r>
          </w:p>
        </w:tc>
        <w:tc>
          <w:tcPr>
            <w:tcW w:w="1192" w:type="dxa"/>
            <w:noWrap w:val="0"/>
            <w:vAlign w:val="center"/>
          </w:tcPr>
          <w:p w14:paraId="0EFCE306">
            <w:pPr>
              <w:spacing w:line="360" w:lineRule="auto"/>
              <w:jc w:val="center"/>
              <w:rPr>
                <w:color w:val="auto"/>
                <w:sz w:val="21"/>
                <w:szCs w:val="21"/>
                <w:highlight w:val="none"/>
              </w:rPr>
            </w:pPr>
            <w:r>
              <w:rPr>
                <w:rFonts w:hint="eastAsia"/>
                <w:color w:val="auto"/>
                <w:sz w:val="21"/>
                <w:szCs w:val="21"/>
                <w:highlight w:val="none"/>
              </w:rPr>
              <w:t>否</w:t>
            </w:r>
          </w:p>
        </w:tc>
        <w:tc>
          <w:tcPr>
            <w:tcW w:w="1189" w:type="dxa"/>
            <w:noWrap w:val="0"/>
            <w:vAlign w:val="center"/>
          </w:tcPr>
          <w:p w14:paraId="4C2A184F">
            <w:pPr>
              <w:spacing w:line="360" w:lineRule="auto"/>
              <w:jc w:val="center"/>
              <w:rPr>
                <w:rFonts w:eastAsia="黑体"/>
                <w:b/>
                <w:color w:val="auto"/>
                <w:szCs w:val="21"/>
                <w:highlight w:val="none"/>
              </w:rPr>
            </w:pPr>
          </w:p>
        </w:tc>
      </w:tr>
      <w:tr w14:paraId="185BB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exact"/>
        </w:trPr>
        <w:tc>
          <w:tcPr>
            <w:tcW w:w="675" w:type="dxa"/>
            <w:noWrap w:val="0"/>
            <w:vAlign w:val="center"/>
          </w:tcPr>
          <w:p w14:paraId="13F0D007">
            <w:pPr>
              <w:spacing w:line="360" w:lineRule="auto"/>
              <w:jc w:val="center"/>
              <w:rPr>
                <w:rFonts w:hint="eastAsia"/>
                <w:color w:val="auto"/>
                <w:sz w:val="21"/>
                <w:szCs w:val="21"/>
                <w:highlight w:val="none"/>
              </w:rPr>
            </w:pPr>
            <w:r>
              <w:rPr>
                <w:rFonts w:hint="eastAsia"/>
                <w:color w:val="auto"/>
                <w:sz w:val="21"/>
                <w:szCs w:val="21"/>
                <w:highlight w:val="none"/>
              </w:rPr>
              <w:t>15</w:t>
            </w:r>
          </w:p>
        </w:tc>
        <w:tc>
          <w:tcPr>
            <w:tcW w:w="4819" w:type="dxa"/>
            <w:noWrap w:val="0"/>
            <w:vAlign w:val="center"/>
          </w:tcPr>
          <w:p w14:paraId="3B53B431">
            <w:pPr>
              <w:spacing w:line="260" w:lineRule="exact"/>
              <w:rPr>
                <w:rFonts w:hint="eastAsia"/>
                <w:color w:val="auto"/>
                <w:sz w:val="21"/>
                <w:szCs w:val="21"/>
                <w:highlight w:val="none"/>
              </w:rPr>
            </w:pPr>
            <w:r>
              <w:rPr>
                <w:rFonts w:hint="eastAsia"/>
                <w:color w:val="auto"/>
                <w:sz w:val="21"/>
                <w:szCs w:val="21"/>
                <w:highlight w:val="none"/>
              </w:rPr>
              <w:t>是否存在法律法规或投标人须知前附表规定的其他情形</w:t>
            </w:r>
          </w:p>
        </w:tc>
        <w:tc>
          <w:tcPr>
            <w:tcW w:w="1463" w:type="dxa"/>
            <w:noWrap w:val="0"/>
            <w:vAlign w:val="center"/>
          </w:tcPr>
          <w:p w14:paraId="5932982B">
            <w:pPr>
              <w:spacing w:line="360" w:lineRule="auto"/>
              <w:jc w:val="center"/>
              <w:rPr>
                <w:rFonts w:hint="eastAsia"/>
                <w:color w:val="auto"/>
                <w:sz w:val="21"/>
                <w:szCs w:val="21"/>
                <w:highlight w:val="none"/>
              </w:rPr>
            </w:pPr>
            <w:r>
              <w:rPr>
                <w:rFonts w:hint="eastAsia"/>
                <w:color w:val="auto"/>
                <w:sz w:val="21"/>
                <w:szCs w:val="21"/>
                <w:highlight w:val="none"/>
              </w:rPr>
              <w:t>1.4.4（14）</w:t>
            </w:r>
          </w:p>
        </w:tc>
        <w:tc>
          <w:tcPr>
            <w:tcW w:w="1192" w:type="dxa"/>
            <w:noWrap w:val="0"/>
            <w:vAlign w:val="center"/>
          </w:tcPr>
          <w:p w14:paraId="4A10643B">
            <w:pPr>
              <w:spacing w:line="360" w:lineRule="auto"/>
              <w:jc w:val="center"/>
              <w:rPr>
                <w:rFonts w:hint="eastAsia"/>
                <w:color w:val="auto"/>
                <w:sz w:val="21"/>
                <w:szCs w:val="21"/>
                <w:highlight w:val="none"/>
              </w:rPr>
            </w:pPr>
            <w:r>
              <w:rPr>
                <w:rFonts w:hint="eastAsia"/>
                <w:color w:val="auto"/>
                <w:sz w:val="21"/>
                <w:szCs w:val="21"/>
                <w:highlight w:val="none"/>
              </w:rPr>
              <w:t>否</w:t>
            </w:r>
          </w:p>
        </w:tc>
        <w:tc>
          <w:tcPr>
            <w:tcW w:w="1189" w:type="dxa"/>
            <w:noWrap w:val="0"/>
            <w:vAlign w:val="center"/>
          </w:tcPr>
          <w:p w14:paraId="361F5C2F">
            <w:pPr>
              <w:spacing w:line="360" w:lineRule="auto"/>
              <w:jc w:val="center"/>
              <w:rPr>
                <w:rFonts w:eastAsia="黑体"/>
                <w:b/>
                <w:color w:val="auto"/>
                <w:szCs w:val="21"/>
                <w:highlight w:val="none"/>
              </w:rPr>
            </w:pPr>
          </w:p>
        </w:tc>
      </w:tr>
      <w:tr w14:paraId="1D4AA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exact"/>
        </w:trPr>
        <w:tc>
          <w:tcPr>
            <w:tcW w:w="675" w:type="dxa"/>
            <w:noWrap w:val="0"/>
            <w:vAlign w:val="center"/>
          </w:tcPr>
          <w:p w14:paraId="40A09341">
            <w:pPr>
              <w:spacing w:line="360" w:lineRule="auto"/>
              <w:jc w:val="center"/>
              <w:rPr>
                <w:color w:val="auto"/>
                <w:sz w:val="21"/>
                <w:szCs w:val="21"/>
                <w:highlight w:val="none"/>
              </w:rPr>
            </w:pPr>
            <w:r>
              <w:rPr>
                <w:color w:val="auto"/>
                <w:sz w:val="21"/>
                <w:szCs w:val="21"/>
                <w:highlight w:val="none"/>
              </w:rPr>
              <w:t>16</w:t>
            </w:r>
          </w:p>
        </w:tc>
        <w:tc>
          <w:tcPr>
            <w:tcW w:w="4819" w:type="dxa"/>
            <w:noWrap w:val="0"/>
            <w:vAlign w:val="center"/>
          </w:tcPr>
          <w:p w14:paraId="141D9883">
            <w:pPr>
              <w:spacing w:line="260" w:lineRule="exact"/>
              <w:rPr>
                <w:color w:val="auto"/>
                <w:sz w:val="21"/>
                <w:szCs w:val="21"/>
                <w:highlight w:val="none"/>
              </w:rPr>
            </w:pPr>
            <w:r>
              <w:rPr>
                <w:color w:val="auto"/>
                <w:sz w:val="21"/>
                <w:szCs w:val="21"/>
                <w:highlight w:val="none"/>
              </w:rPr>
              <w:t>是否存在安全生产许可证超出有效期或处于暂扣时限内</w:t>
            </w:r>
          </w:p>
        </w:tc>
        <w:tc>
          <w:tcPr>
            <w:tcW w:w="1463" w:type="dxa"/>
            <w:noWrap w:val="0"/>
            <w:vAlign w:val="center"/>
          </w:tcPr>
          <w:p w14:paraId="282C7047">
            <w:pPr>
              <w:spacing w:line="360" w:lineRule="auto"/>
              <w:jc w:val="center"/>
              <w:rPr>
                <w:color w:val="auto"/>
                <w:sz w:val="21"/>
                <w:szCs w:val="21"/>
                <w:highlight w:val="none"/>
              </w:rPr>
            </w:pPr>
            <w:r>
              <w:rPr>
                <w:color w:val="auto"/>
                <w:sz w:val="21"/>
                <w:szCs w:val="21"/>
                <w:highlight w:val="none"/>
              </w:rPr>
              <w:t>1.4.4（15）</w:t>
            </w:r>
          </w:p>
        </w:tc>
        <w:tc>
          <w:tcPr>
            <w:tcW w:w="1192" w:type="dxa"/>
            <w:noWrap w:val="0"/>
            <w:vAlign w:val="center"/>
          </w:tcPr>
          <w:p w14:paraId="79C0F9E4">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02AFDC13">
            <w:pPr>
              <w:spacing w:line="360" w:lineRule="auto"/>
              <w:jc w:val="center"/>
              <w:rPr>
                <w:rFonts w:eastAsia="黑体"/>
                <w:b/>
                <w:color w:val="auto"/>
                <w:szCs w:val="21"/>
                <w:highlight w:val="none"/>
              </w:rPr>
            </w:pPr>
          </w:p>
        </w:tc>
      </w:tr>
      <w:tr w14:paraId="6AFAC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exact"/>
        </w:trPr>
        <w:tc>
          <w:tcPr>
            <w:tcW w:w="675" w:type="dxa"/>
            <w:noWrap w:val="0"/>
            <w:vAlign w:val="center"/>
          </w:tcPr>
          <w:p w14:paraId="053C6641">
            <w:pPr>
              <w:spacing w:line="360" w:lineRule="auto"/>
              <w:jc w:val="center"/>
              <w:rPr>
                <w:color w:val="auto"/>
                <w:sz w:val="21"/>
                <w:szCs w:val="21"/>
                <w:highlight w:val="none"/>
              </w:rPr>
            </w:pPr>
            <w:r>
              <w:rPr>
                <w:rFonts w:hint="eastAsia"/>
                <w:color w:val="auto"/>
                <w:sz w:val="21"/>
                <w:szCs w:val="21"/>
                <w:highlight w:val="none"/>
              </w:rPr>
              <w:t>17</w:t>
            </w:r>
          </w:p>
        </w:tc>
        <w:tc>
          <w:tcPr>
            <w:tcW w:w="4819" w:type="dxa"/>
            <w:noWrap w:val="0"/>
            <w:vAlign w:val="center"/>
          </w:tcPr>
          <w:p w14:paraId="363109BF">
            <w:pPr>
              <w:spacing w:line="260" w:lineRule="exact"/>
              <w:rPr>
                <w:color w:val="auto"/>
                <w:sz w:val="21"/>
                <w:szCs w:val="21"/>
                <w:highlight w:val="none"/>
              </w:rPr>
            </w:pPr>
            <w:r>
              <w:rPr>
                <w:rFonts w:hint="eastAsia"/>
                <w:color w:val="auto"/>
                <w:sz w:val="21"/>
                <w:szCs w:val="21"/>
                <w:highlight w:val="none"/>
              </w:rPr>
              <w:t>是否存在投标人及相关管理人员安全生产任职资格不符合相关规定</w:t>
            </w:r>
          </w:p>
        </w:tc>
        <w:tc>
          <w:tcPr>
            <w:tcW w:w="1463" w:type="dxa"/>
            <w:noWrap w:val="0"/>
            <w:vAlign w:val="center"/>
          </w:tcPr>
          <w:p w14:paraId="6D9E18F3">
            <w:pPr>
              <w:spacing w:line="360" w:lineRule="auto"/>
              <w:jc w:val="center"/>
              <w:rPr>
                <w:color w:val="auto"/>
                <w:sz w:val="21"/>
                <w:szCs w:val="21"/>
                <w:highlight w:val="none"/>
              </w:rPr>
            </w:pPr>
            <w:r>
              <w:rPr>
                <w:rFonts w:hint="eastAsia"/>
                <w:color w:val="auto"/>
                <w:sz w:val="21"/>
                <w:szCs w:val="21"/>
                <w:highlight w:val="none"/>
              </w:rPr>
              <w:t>1.4.4（16）</w:t>
            </w:r>
          </w:p>
        </w:tc>
        <w:tc>
          <w:tcPr>
            <w:tcW w:w="1192" w:type="dxa"/>
            <w:noWrap w:val="0"/>
            <w:vAlign w:val="center"/>
          </w:tcPr>
          <w:p w14:paraId="385363A2">
            <w:pPr>
              <w:spacing w:line="360" w:lineRule="auto"/>
              <w:jc w:val="center"/>
              <w:rPr>
                <w:color w:val="auto"/>
                <w:sz w:val="21"/>
                <w:szCs w:val="21"/>
                <w:highlight w:val="none"/>
              </w:rPr>
            </w:pPr>
            <w:r>
              <w:rPr>
                <w:rFonts w:hint="eastAsia"/>
                <w:color w:val="auto"/>
                <w:sz w:val="21"/>
                <w:szCs w:val="21"/>
                <w:highlight w:val="none"/>
              </w:rPr>
              <w:t>否</w:t>
            </w:r>
          </w:p>
        </w:tc>
        <w:tc>
          <w:tcPr>
            <w:tcW w:w="1189" w:type="dxa"/>
            <w:noWrap w:val="0"/>
            <w:vAlign w:val="center"/>
          </w:tcPr>
          <w:p w14:paraId="39DBDD4A">
            <w:pPr>
              <w:spacing w:line="360" w:lineRule="auto"/>
              <w:jc w:val="center"/>
              <w:rPr>
                <w:rFonts w:eastAsia="黑体"/>
                <w:b/>
                <w:color w:val="auto"/>
                <w:szCs w:val="21"/>
                <w:highlight w:val="none"/>
              </w:rPr>
            </w:pPr>
          </w:p>
        </w:tc>
      </w:tr>
      <w:tr w14:paraId="7DB85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exact"/>
        </w:trPr>
        <w:tc>
          <w:tcPr>
            <w:tcW w:w="675" w:type="dxa"/>
            <w:noWrap w:val="0"/>
            <w:vAlign w:val="center"/>
          </w:tcPr>
          <w:p w14:paraId="7C555FCE">
            <w:pPr>
              <w:spacing w:line="360" w:lineRule="auto"/>
              <w:jc w:val="center"/>
              <w:rPr>
                <w:color w:val="auto"/>
                <w:sz w:val="21"/>
                <w:szCs w:val="21"/>
                <w:highlight w:val="none"/>
              </w:rPr>
            </w:pPr>
            <w:r>
              <w:rPr>
                <w:color w:val="auto"/>
                <w:sz w:val="21"/>
                <w:szCs w:val="21"/>
                <w:highlight w:val="none"/>
              </w:rPr>
              <w:t>18</w:t>
            </w:r>
          </w:p>
        </w:tc>
        <w:tc>
          <w:tcPr>
            <w:tcW w:w="4819" w:type="dxa"/>
            <w:noWrap w:val="0"/>
            <w:vAlign w:val="center"/>
          </w:tcPr>
          <w:p w14:paraId="114B590D">
            <w:pPr>
              <w:spacing w:line="260" w:lineRule="exact"/>
              <w:rPr>
                <w:color w:val="auto"/>
                <w:sz w:val="21"/>
                <w:szCs w:val="21"/>
                <w:highlight w:val="none"/>
              </w:rPr>
            </w:pPr>
            <w:r>
              <w:rPr>
                <w:color w:val="auto"/>
                <w:sz w:val="21"/>
                <w:szCs w:val="21"/>
                <w:highlight w:val="none"/>
              </w:rPr>
              <w:t>是否存在投标人（包括法定代表人）有行贿犯罪记录的（由投标文件提交截止之日上溯3年，行贿犯罪记录日期以法院判决生效日期为准）</w:t>
            </w:r>
          </w:p>
        </w:tc>
        <w:tc>
          <w:tcPr>
            <w:tcW w:w="1463" w:type="dxa"/>
            <w:noWrap w:val="0"/>
            <w:vAlign w:val="center"/>
          </w:tcPr>
          <w:p w14:paraId="3D1FEEBF">
            <w:pPr>
              <w:spacing w:line="360" w:lineRule="auto"/>
              <w:jc w:val="center"/>
              <w:rPr>
                <w:color w:val="auto"/>
                <w:sz w:val="21"/>
                <w:szCs w:val="21"/>
                <w:highlight w:val="none"/>
              </w:rPr>
            </w:pPr>
            <w:r>
              <w:rPr>
                <w:color w:val="auto"/>
                <w:sz w:val="21"/>
                <w:szCs w:val="21"/>
                <w:highlight w:val="none"/>
              </w:rPr>
              <w:t>1.4.4（17）</w:t>
            </w:r>
          </w:p>
        </w:tc>
        <w:tc>
          <w:tcPr>
            <w:tcW w:w="1192" w:type="dxa"/>
            <w:noWrap w:val="0"/>
            <w:vAlign w:val="center"/>
          </w:tcPr>
          <w:p w14:paraId="0F78524B">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713A06C4">
            <w:pPr>
              <w:spacing w:line="360" w:lineRule="auto"/>
              <w:jc w:val="center"/>
              <w:rPr>
                <w:rFonts w:eastAsia="黑体"/>
                <w:b/>
                <w:color w:val="auto"/>
                <w:szCs w:val="21"/>
                <w:highlight w:val="none"/>
              </w:rPr>
            </w:pPr>
          </w:p>
        </w:tc>
      </w:tr>
      <w:tr w14:paraId="00A90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3" w:hRule="exact"/>
        </w:trPr>
        <w:tc>
          <w:tcPr>
            <w:tcW w:w="675" w:type="dxa"/>
            <w:noWrap w:val="0"/>
            <w:vAlign w:val="center"/>
          </w:tcPr>
          <w:p w14:paraId="44AD65EF">
            <w:pPr>
              <w:spacing w:line="360" w:lineRule="auto"/>
              <w:jc w:val="center"/>
              <w:rPr>
                <w:color w:val="auto"/>
                <w:sz w:val="21"/>
                <w:szCs w:val="21"/>
                <w:highlight w:val="none"/>
              </w:rPr>
            </w:pPr>
            <w:r>
              <w:rPr>
                <w:color w:val="auto"/>
                <w:sz w:val="21"/>
                <w:szCs w:val="21"/>
                <w:highlight w:val="none"/>
              </w:rPr>
              <w:t>19</w:t>
            </w:r>
          </w:p>
        </w:tc>
        <w:tc>
          <w:tcPr>
            <w:tcW w:w="4819" w:type="dxa"/>
            <w:noWrap w:val="0"/>
            <w:vAlign w:val="center"/>
          </w:tcPr>
          <w:p w14:paraId="12AE64DD">
            <w:pPr>
              <w:spacing w:line="260" w:lineRule="exact"/>
              <w:rPr>
                <w:color w:val="auto"/>
                <w:sz w:val="21"/>
                <w:szCs w:val="21"/>
                <w:highlight w:val="none"/>
              </w:rPr>
            </w:pPr>
            <w:r>
              <w:rPr>
                <w:rFonts w:hint="eastAsia"/>
                <w:color w:val="auto"/>
                <w:sz w:val="21"/>
                <w:szCs w:val="21"/>
                <w:highlight w:val="none"/>
              </w:rPr>
              <w:t>是否存在《省外企业进浙承接业务备案证明》超出有效期或未能在“浙江省建筑市场监管公共服务系统”对外发布形成的备案信息中显示的或已注销的（仅指浙江省省外企业）（若为联合体，联合体成员为省外企业均应提供）</w:t>
            </w:r>
          </w:p>
        </w:tc>
        <w:tc>
          <w:tcPr>
            <w:tcW w:w="1463" w:type="dxa"/>
            <w:noWrap w:val="0"/>
            <w:vAlign w:val="center"/>
          </w:tcPr>
          <w:p w14:paraId="62ACAFAA">
            <w:pPr>
              <w:spacing w:line="360" w:lineRule="auto"/>
              <w:jc w:val="center"/>
              <w:rPr>
                <w:color w:val="auto"/>
                <w:sz w:val="21"/>
                <w:szCs w:val="21"/>
                <w:highlight w:val="none"/>
              </w:rPr>
            </w:pPr>
            <w:r>
              <w:rPr>
                <w:color w:val="auto"/>
                <w:sz w:val="21"/>
                <w:szCs w:val="21"/>
                <w:highlight w:val="none"/>
              </w:rPr>
              <w:t>1.4.4（18）</w:t>
            </w:r>
          </w:p>
        </w:tc>
        <w:tc>
          <w:tcPr>
            <w:tcW w:w="1192" w:type="dxa"/>
            <w:noWrap w:val="0"/>
            <w:vAlign w:val="center"/>
          </w:tcPr>
          <w:p w14:paraId="626EB206">
            <w:pPr>
              <w:spacing w:line="360" w:lineRule="auto"/>
              <w:jc w:val="center"/>
              <w:rPr>
                <w:color w:val="auto"/>
                <w:sz w:val="21"/>
                <w:szCs w:val="21"/>
                <w:highlight w:val="none"/>
              </w:rPr>
            </w:pPr>
            <w:r>
              <w:rPr>
                <w:color w:val="auto"/>
                <w:sz w:val="21"/>
                <w:szCs w:val="21"/>
                <w:highlight w:val="none"/>
              </w:rPr>
              <w:t>否</w:t>
            </w:r>
          </w:p>
        </w:tc>
        <w:tc>
          <w:tcPr>
            <w:tcW w:w="1189" w:type="dxa"/>
            <w:noWrap w:val="0"/>
            <w:vAlign w:val="center"/>
          </w:tcPr>
          <w:p w14:paraId="10BBD6B3">
            <w:pPr>
              <w:spacing w:line="360" w:lineRule="auto"/>
              <w:jc w:val="center"/>
              <w:rPr>
                <w:rFonts w:eastAsia="黑体"/>
                <w:b/>
                <w:color w:val="auto"/>
                <w:szCs w:val="21"/>
                <w:highlight w:val="none"/>
              </w:rPr>
            </w:pPr>
          </w:p>
        </w:tc>
      </w:tr>
    </w:tbl>
    <w:p w14:paraId="4BEBF465">
      <w:pPr>
        <w:spacing w:line="440" w:lineRule="exact"/>
        <w:rPr>
          <w:color w:val="auto"/>
          <w:szCs w:val="21"/>
          <w:highlight w:val="none"/>
        </w:rPr>
      </w:pPr>
      <w:r>
        <w:rPr>
          <w:color w:val="auto"/>
          <w:szCs w:val="21"/>
          <w:highlight w:val="none"/>
        </w:rPr>
        <w:t xml:space="preserve">法定代表人（签字或盖章）：            投  标  人（盖章）：       年    月    日 </w:t>
      </w:r>
    </w:p>
    <w:p w14:paraId="275CE53B">
      <w:pPr>
        <w:pStyle w:val="10"/>
        <w:rPr>
          <w:color w:val="auto"/>
          <w:szCs w:val="21"/>
          <w:highlight w:val="none"/>
        </w:rPr>
      </w:pPr>
    </w:p>
    <w:p w14:paraId="7B3BF3C2">
      <w:pPr>
        <w:pStyle w:val="5"/>
        <w:rPr>
          <w:color w:val="auto"/>
          <w:szCs w:val="21"/>
          <w:highlight w:val="none"/>
        </w:rPr>
      </w:pPr>
    </w:p>
    <w:p w14:paraId="620207DD">
      <w:pPr>
        <w:pStyle w:val="10"/>
        <w:rPr>
          <w:color w:val="auto"/>
          <w:highlight w:val="none"/>
        </w:rPr>
      </w:pPr>
    </w:p>
    <w:p w14:paraId="7B40EF38">
      <w:pPr>
        <w:spacing w:line="440" w:lineRule="exact"/>
        <w:rPr>
          <w:color w:val="auto"/>
          <w:sz w:val="24"/>
          <w:highlight w:val="none"/>
          <w:u w:val="single"/>
        </w:rPr>
      </w:pPr>
      <w:r>
        <w:rPr>
          <w:rFonts w:ascii="黑体" w:hAnsi="黑体" w:eastAsia="黑体"/>
          <w:color w:val="auto"/>
          <w:sz w:val="28"/>
          <w:szCs w:val="28"/>
          <w:highlight w:val="none"/>
        </w:rPr>
        <w:t>五、台州市建设工程投标项目负责人资格自查表</w:t>
      </w:r>
    </w:p>
    <w:p w14:paraId="35250770">
      <w:pPr>
        <w:spacing w:line="360" w:lineRule="auto"/>
        <w:jc w:val="center"/>
        <w:rPr>
          <w:color w:val="auto"/>
          <w:sz w:val="24"/>
          <w:highlight w:val="none"/>
        </w:rPr>
      </w:pPr>
      <w:r>
        <w:rPr>
          <w:color w:val="auto"/>
          <w:sz w:val="24"/>
          <w:highlight w:val="none"/>
          <w:u w:val="single"/>
        </w:rPr>
        <w:t xml:space="preserve">                              </w:t>
      </w:r>
      <w:r>
        <w:rPr>
          <w:color w:val="auto"/>
          <w:sz w:val="24"/>
          <w:highlight w:val="none"/>
        </w:rPr>
        <w:t>工程</w:t>
      </w:r>
    </w:p>
    <w:p w14:paraId="78E41A22">
      <w:pPr>
        <w:spacing w:line="440" w:lineRule="exact"/>
        <w:jc w:val="center"/>
        <w:rPr>
          <w:rFonts w:eastAsia="黑体"/>
          <w:b/>
          <w:color w:val="auto"/>
          <w:sz w:val="30"/>
          <w:szCs w:val="30"/>
          <w:highlight w:val="none"/>
        </w:rPr>
      </w:pPr>
      <w:r>
        <w:rPr>
          <w:rFonts w:eastAsia="黑体"/>
          <w:b/>
          <w:color w:val="auto"/>
          <w:sz w:val="30"/>
          <w:szCs w:val="30"/>
          <w:highlight w:val="none"/>
        </w:rPr>
        <w:t>台州市建设工程投标项目负责人资格自查表</w:t>
      </w:r>
    </w:p>
    <w:p w14:paraId="20D41CC7">
      <w:pPr>
        <w:spacing w:line="440" w:lineRule="exact"/>
        <w:jc w:val="center"/>
        <w:rPr>
          <w:rFonts w:eastAsia="黑体"/>
          <w:b/>
          <w:color w:val="auto"/>
          <w:sz w:val="30"/>
          <w:szCs w:val="30"/>
          <w:highlight w:val="none"/>
        </w:rPr>
      </w:pP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4754"/>
        <w:gridCol w:w="1097"/>
        <w:gridCol w:w="1462"/>
        <w:gridCol w:w="707"/>
      </w:tblGrid>
      <w:tr w14:paraId="64126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658" w:type="dxa"/>
            <w:noWrap w:val="0"/>
            <w:vAlign w:val="center"/>
          </w:tcPr>
          <w:p w14:paraId="5D525C02">
            <w:pPr>
              <w:adjustRightInd w:val="0"/>
              <w:snapToGrid w:val="0"/>
              <w:jc w:val="center"/>
              <w:rPr>
                <w:rFonts w:eastAsia="黑体"/>
                <w:b/>
                <w:color w:val="auto"/>
                <w:sz w:val="21"/>
                <w:szCs w:val="21"/>
                <w:highlight w:val="none"/>
              </w:rPr>
            </w:pPr>
            <w:r>
              <w:rPr>
                <w:rFonts w:eastAsia="黑体"/>
                <w:b/>
                <w:color w:val="auto"/>
                <w:sz w:val="21"/>
                <w:szCs w:val="21"/>
                <w:highlight w:val="none"/>
              </w:rPr>
              <w:t>序号</w:t>
            </w:r>
          </w:p>
        </w:tc>
        <w:tc>
          <w:tcPr>
            <w:tcW w:w="4754" w:type="dxa"/>
            <w:noWrap w:val="0"/>
            <w:vAlign w:val="center"/>
          </w:tcPr>
          <w:p w14:paraId="4EEC20D9">
            <w:pPr>
              <w:adjustRightInd w:val="0"/>
              <w:snapToGrid w:val="0"/>
              <w:jc w:val="center"/>
              <w:rPr>
                <w:rFonts w:eastAsia="黑体"/>
                <w:b/>
                <w:color w:val="auto"/>
                <w:sz w:val="21"/>
                <w:szCs w:val="21"/>
                <w:highlight w:val="none"/>
              </w:rPr>
            </w:pPr>
            <w:r>
              <w:rPr>
                <w:rFonts w:eastAsia="黑体"/>
                <w:b/>
                <w:color w:val="auto"/>
                <w:sz w:val="21"/>
                <w:szCs w:val="21"/>
                <w:highlight w:val="none"/>
              </w:rPr>
              <w:t>自查内容</w:t>
            </w:r>
          </w:p>
        </w:tc>
        <w:tc>
          <w:tcPr>
            <w:tcW w:w="1097" w:type="dxa"/>
            <w:noWrap w:val="0"/>
            <w:vAlign w:val="center"/>
          </w:tcPr>
          <w:p w14:paraId="702A5C87">
            <w:pPr>
              <w:adjustRightInd w:val="0"/>
              <w:snapToGrid w:val="0"/>
              <w:jc w:val="center"/>
              <w:rPr>
                <w:rFonts w:eastAsia="黑体"/>
                <w:b/>
                <w:color w:val="auto"/>
                <w:sz w:val="21"/>
                <w:szCs w:val="21"/>
                <w:highlight w:val="none"/>
              </w:rPr>
            </w:pPr>
            <w:r>
              <w:rPr>
                <w:rFonts w:eastAsia="黑体"/>
                <w:b/>
                <w:color w:val="auto"/>
                <w:sz w:val="21"/>
                <w:szCs w:val="21"/>
                <w:highlight w:val="none"/>
              </w:rPr>
              <w:t>招标文件条款号</w:t>
            </w:r>
          </w:p>
        </w:tc>
        <w:tc>
          <w:tcPr>
            <w:tcW w:w="1462" w:type="dxa"/>
            <w:noWrap w:val="0"/>
            <w:vAlign w:val="center"/>
          </w:tcPr>
          <w:p w14:paraId="07528D37">
            <w:pPr>
              <w:adjustRightInd w:val="0"/>
              <w:snapToGrid w:val="0"/>
              <w:jc w:val="center"/>
              <w:rPr>
                <w:rFonts w:eastAsia="黑体"/>
                <w:b/>
                <w:color w:val="auto"/>
                <w:sz w:val="21"/>
                <w:szCs w:val="21"/>
                <w:highlight w:val="none"/>
              </w:rPr>
            </w:pPr>
            <w:r>
              <w:rPr>
                <w:rFonts w:eastAsia="黑体"/>
                <w:b/>
                <w:color w:val="auto"/>
                <w:sz w:val="21"/>
                <w:szCs w:val="21"/>
                <w:highlight w:val="none"/>
              </w:rPr>
              <w:t>投标要求</w:t>
            </w:r>
          </w:p>
        </w:tc>
        <w:tc>
          <w:tcPr>
            <w:tcW w:w="707" w:type="dxa"/>
            <w:noWrap w:val="0"/>
            <w:vAlign w:val="center"/>
          </w:tcPr>
          <w:p w14:paraId="57F02A6B">
            <w:pPr>
              <w:adjustRightInd w:val="0"/>
              <w:snapToGrid w:val="0"/>
              <w:jc w:val="center"/>
              <w:rPr>
                <w:rFonts w:eastAsia="黑体"/>
                <w:b/>
                <w:color w:val="auto"/>
                <w:sz w:val="21"/>
                <w:szCs w:val="21"/>
                <w:highlight w:val="none"/>
              </w:rPr>
            </w:pPr>
            <w:r>
              <w:rPr>
                <w:rFonts w:eastAsia="黑体"/>
                <w:b/>
                <w:color w:val="auto"/>
                <w:sz w:val="21"/>
                <w:szCs w:val="21"/>
                <w:highlight w:val="none"/>
              </w:rPr>
              <w:t>自查情况</w:t>
            </w:r>
          </w:p>
        </w:tc>
      </w:tr>
      <w:tr w14:paraId="20064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exact"/>
        </w:trPr>
        <w:tc>
          <w:tcPr>
            <w:tcW w:w="658" w:type="dxa"/>
            <w:noWrap w:val="0"/>
            <w:vAlign w:val="center"/>
          </w:tcPr>
          <w:p w14:paraId="387AB72A">
            <w:pPr>
              <w:spacing w:line="360" w:lineRule="auto"/>
              <w:jc w:val="center"/>
              <w:rPr>
                <w:color w:val="auto"/>
                <w:sz w:val="21"/>
                <w:szCs w:val="21"/>
                <w:highlight w:val="none"/>
              </w:rPr>
            </w:pPr>
            <w:r>
              <w:rPr>
                <w:color w:val="auto"/>
                <w:sz w:val="21"/>
                <w:szCs w:val="21"/>
                <w:highlight w:val="none"/>
              </w:rPr>
              <w:t>1</w:t>
            </w:r>
          </w:p>
        </w:tc>
        <w:tc>
          <w:tcPr>
            <w:tcW w:w="4754" w:type="dxa"/>
            <w:noWrap w:val="0"/>
            <w:vAlign w:val="center"/>
          </w:tcPr>
          <w:p w14:paraId="3366FAB4">
            <w:pPr>
              <w:spacing w:line="360" w:lineRule="auto"/>
              <w:rPr>
                <w:b/>
                <w:color w:val="auto"/>
                <w:sz w:val="21"/>
                <w:szCs w:val="21"/>
                <w:highlight w:val="none"/>
              </w:rPr>
            </w:pPr>
            <w:r>
              <w:rPr>
                <w:color w:val="auto"/>
                <w:sz w:val="21"/>
                <w:szCs w:val="21"/>
                <w:highlight w:val="none"/>
              </w:rPr>
              <w:t>投标项目负责人建造师专业和等级是否符合</w:t>
            </w:r>
          </w:p>
        </w:tc>
        <w:tc>
          <w:tcPr>
            <w:tcW w:w="1097" w:type="dxa"/>
            <w:noWrap w:val="0"/>
            <w:vAlign w:val="center"/>
          </w:tcPr>
          <w:p w14:paraId="4CBCA959">
            <w:pPr>
              <w:spacing w:line="360" w:lineRule="auto"/>
              <w:jc w:val="center"/>
              <w:rPr>
                <w:color w:val="auto"/>
                <w:sz w:val="21"/>
                <w:szCs w:val="21"/>
                <w:highlight w:val="none"/>
              </w:rPr>
            </w:pPr>
            <w:r>
              <w:rPr>
                <w:color w:val="auto"/>
                <w:sz w:val="21"/>
                <w:szCs w:val="21"/>
                <w:highlight w:val="none"/>
              </w:rPr>
              <w:t>1.4.1（3）</w:t>
            </w:r>
          </w:p>
        </w:tc>
        <w:tc>
          <w:tcPr>
            <w:tcW w:w="1462" w:type="dxa"/>
            <w:noWrap w:val="0"/>
            <w:vAlign w:val="center"/>
          </w:tcPr>
          <w:p w14:paraId="334902A7">
            <w:pPr>
              <w:spacing w:line="360" w:lineRule="auto"/>
              <w:jc w:val="center"/>
              <w:rPr>
                <w:rFonts w:eastAsia="黑体"/>
                <w:color w:val="auto"/>
                <w:sz w:val="21"/>
                <w:szCs w:val="21"/>
                <w:highlight w:val="none"/>
              </w:rPr>
            </w:pPr>
            <w:r>
              <w:rPr>
                <w:rFonts w:eastAsia="黑体"/>
                <w:color w:val="auto"/>
                <w:sz w:val="21"/>
                <w:szCs w:val="21"/>
                <w:highlight w:val="none"/>
              </w:rPr>
              <w:t>是</w:t>
            </w:r>
          </w:p>
        </w:tc>
        <w:tc>
          <w:tcPr>
            <w:tcW w:w="707" w:type="dxa"/>
            <w:noWrap w:val="0"/>
            <w:vAlign w:val="top"/>
          </w:tcPr>
          <w:p w14:paraId="50A0C266">
            <w:pPr>
              <w:spacing w:line="360" w:lineRule="auto"/>
              <w:jc w:val="center"/>
              <w:rPr>
                <w:rFonts w:eastAsia="黑体"/>
                <w:b/>
                <w:color w:val="auto"/>
                <w:sz w:val="21"/>
                <w:szCs w:val="21"/>
                <w:highlight w:val="none"/>
              </w:rPr>
            </w:pPr>
          </w:p>
        </w:tc>
      </w:tr>
      <w:tr w14:paraId="0F1B0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5" w:hRule="exact"/>
        </w:trPr>
        <w:tc>
          <w:tcPr>
            <w:tcW w:w="658" w:type="dxa"/>
            <w:noWrap w:val="0"/>
            <w:vAlign w:val="center"/>
          </w:tcPr>
          <w:p w14:paraId="534A4F07">
            <w:pPr>
              <w:spacing w:line="360" w:lineRule="auto"/>
              <w:jc w:val="center"/>
              <w:rPr>
                <w:b/>
                <w:color w:val="auto"/>
                <w:sz w:val="21"/>
                <w:szCs w:val="21"/>
                <w:highlight w:val="none"/>
              </w:rPr>
            </w:pPr>
            <w:r>
              <w:rPr>
                <w:b/>
                <w:color w:val="auto"/>
                <w:sz w:val="21"/>
                <w:szCs w:val="21"/>
                <w:highlight w:val="none"/>
              </w:rPr>
              <w:t>2</w:t>
            </w:r>
          </w:p>
        </w:tc>
        <w:tc>
          <w:tcPr>
            <w:tcW w:w="4754" w:type="dxa"/>
            <w:noWrap w:val="0"/>
            <w:vAlign w:val="center"/>
          </w:tcPr>
          <w:p w14:paraId="33D4DA28">
            <w:pPr>
              <w:adjustRightInd w:val="0"/>
              <w:snapToGrid w:val="0"/>
              <w:rPr>
                <w:rFonts w:hint="eastAsia"/>
                <w:b/>
                <w:color w:val="auto"/>
                <w:sz w:val="21"/>
                <w:szCs w:val="21"/>
                <w:highlight w:val="none"/>
              </w:rPr>
            </w:pPr>
            <w:r>
              <w:rPr>
                <w:rFonts w:hint="eastAsia"/>
                <w:b/>
                <w:color w:val="auto"/>
                <w:sz w:val="21"/>
                <w:szCs w:val="21"/>
                <w:highlight w:val="none"/>
              </w:rPr>
              <w:t>投标项目负责人在建状态存在下列四种之一情形的：</w:t>
            </w:r>
          </w:p>
          <w:p w14:paraId="5D02EDE4">
            <w:pPr>
              <w:adjustRightInd w:val="0"/>
              <w:snapToGrid w:val="0"/>
              <w:ind w:firstLine="413" w:firstLineChars="196"/>
              <w:rPr>
                <w:rFonts w:hint="eastAsia"/>
                <w:b/>
                <w:color w:val="auto"/>
                <w:sz w:val="21"/>
                <w:szCs w:val="21"/>
                <w:highlight w:val="none"/>
              </w:rPr>
            </w:pPr>
            <w:r>
              <w:rPr>
                <w:rFonts w:hint="eastAsia"/>
                <w:b/>
                <w:color w:val="auto"/>
                <w:sz w:val="21"/>
                <w:szCs w:val="21"/>
                <w:highlight w:val="none"/>
              </w:rPr>
              <w:t>（1）无在建；</w:t>
            </w:r>
          </w:p>
          <w:p w14:paraId="29487ED5">
            <w:pPr>
              <w:adjustRightInd w:val="0"/>
              <w:snapToGrid w:val="0"/>
              <w:ind w:firstLine="413" w:firstLineChars="196"/>
              <w:rPr>
                <w:rFonts w:hint="eastAsia"/>
                <w:b/>
                <w:color w:val="auto"/>
                <w:sz w:val="21"/>
                <w:szCs w:val="21"/>
                <w:highlight w:val="none"/>
              </w:rPr>
            </w:pPr>
            <w:r>
              <w:rPr>
                <w:rFonts w:hint="eastAsia"/>
                <w:b/>
                <w:color w:val="auto"/>
                <w:sz w:val="21"/>
                <w:szCs w:val="21"/>
                <w:highlight w:val="none"/>
              </w:rPr>
              <w:t>（2）原承接的项目与本工程属于同一工程相邻分段发包或分期施工的；（证明格式自拟）</w:t>
            </w:r>
          </w:p>
          <w:p w14:paraId="3CFE41D9">
            <w:pPr>
              <w:adjustRightInd w:val="0"/>
              <w:snapToGrid w:val="0"/>
              <w:ind w:firstLine="413" w:firstLineChars="196"/>
              <w:rPr>
                <w:rFonts w:hint="eastAsia"/>
                <w:b/>
                <w:color w:val="auto"/>
                <w:sz w:val="21"/>
                <w:szCs w:val="21"/>
                <w:highlight w:val="none"/>
              </w:rPr>
            </w:pPr>
            <w:r>
              <w:rPr>
                <w:rFonts w:hint="eastAsia"/>
                <w:b/>
                <w:color w:val="auto"/>
                <w:sz w:val="21"/>
                <w:szCs w:val="21"/>
                <w:highlight w:val="none"/>
              </w:rPr>
              <w:t>（3）因非承包方原因致使工程项目停工超过120天（含），经原建设单位同意的（须提供停工报告和经工程所在地建设（建筑业）行政主管部门盖章的书面停工证明（格式详见附件十一））；</w:t>
            </w:r>
          </w:p>
          <w:p w14:paraId="5CD026DF">
            <w:pPr>
              <w:adjustRightInd w:val="0"/>
              <w:snapToGrid w:val="0"/>
              <w:ind w:firstLine="413" w:firstLineChars="196"/>
              <w:rPr>
                <w:rFonts w:hint="eastAsia"/>
                <w:b/>
                <w:color w:val="auto"/>
                <w:sz w:val="21"/>
                <w:szCs w:val="21"/>
                <w:highlight w:val="none"/>
              </w:rPr>
            </w:pPr>
            <w:r>
              <w:rPr>
                <w:rFonts w:hint="eastAsia"/>
                <w:b/>
                <w:color w:val="auto"/>
                <w:sz w:val="21"/>
                <w:szCs w:val="21"/>
                <w:highlight w:val="none"/>
              </w:rPr>
              <w:t>（4）合同约定的工程已完工，承包方向建设单位提交竣工报告时间已超过120天（含），经原建设单位同意的（须提供竣工报告和工程所在地建设（建筑业）行政主管部门书面证明（格式详见附件十二））。</w:t>
            </w:r>
          </w:p>
          <w:p w14:paraId="430E9AF3">
            <w:pPr>
              <w:adjustRightInd w:val="0"/>
              <w:snapToGrid w:val="0"/>
              <w:rPr>
                <w:rFonts w:hint="eastAsia"/>
                <w:b/>
                <w:color w:val="auto"/>
                <w:sz w:val="21"/>
                <w:szCs w:val="21"/>
                <w:highlight w:val="none"/>
              </w:rPr>
            </w:pPr>
            <w:r>
              <w:rPr>
                <w:rFonts w:hint="eastAsia"/>
                <w:b/>
                <w:color w:val="auto"/>
                <w:sz w:val="21"/>
                <w:szCs w:val="21"/>
                <w:highlight w:val="none"/>
              </w:rPr>
              <w:t>属上述（2）、（3）、（4）情形的，投标人应在投标文件中提交有关书面证明材料（以电子文档形式随资信标上传）。</w:t>
            </w:r>
          </w:p>
        </w:tc>
        <w:tc>
          <w:tcPr>
            <w:tcW w:w="1097" w:type="dxa"/>
            <w:noWrap w:val="0"/>
            <w:vAlign w:val="center"/>
          </w:tcPr>
          <w:p w14:paraId="3C4516C9">
            <w:pPr>
              <w:spacing w:line="360" w:lineRule="auto"/>
              <w:jc w:val="center"/>
              <w:rPr>
                <w:color w:val="auto"/>
                <w:sz w:val="21"/>
                <w:szCs w:val="21"/>
                <w:highlight w:val="none"/>
              </w:rPr>
            </w:pPr>
            <w:r>
              <w:rPr>
                <w:color w:val="auto"/>
                <w:sz w:val="21"/>
                <w:szCs w:val="21"/>
                <w:highlight w:val="none"/>
              </w:rPr>
              <w:t>10.3</w:t>
            </w:r>
          </w:p>
        </w:tc>
        <w:tc>
          <w:tcPr>
            <w:tcW w:w="1462" w:type="dxa"/>
            <w:noWrap w:val="0"/>
            <w:vAlign w:val="center"/>
          </w:tcPr>
          <w:p w14:paraId="7A1CD57B">
            <w:pPr>
              <w:spacing w:line="360" w:lineRule="auto"/>
              <w:rPr>
                <w:color w:val="auto"/>
                <w:sz w:val="21"/>
                <w:szCs w:val="21"/>
                <w:highlight w:val="none"/>
              </w:rPr>
            </w:pPr>
            <w:r>
              <w:rPr>
                <w:b/>
                <w:color w:val="auto"/>
                <w:sz w:val="21"/>
                <w:szCs w:val="21"/>
                <w:highlight w:val="none"/>
              </w:rPr>
              <w:t>应是（1）、（2）、（3）、（4）之一情形。自查应填写属何种情形</w:t>
            </w:r>
          </w:p>
        </w:tc>
        <w:tc>
          <w:tcPr>
            <w:tcW w:w="707" w:type="dxa"/>
            <w:noWrap w:val="0"/>
            <w:vAlign w:val="center"/>
          </w:tcPr>
          <w:p w14:paraId="3D774ACC">
            <w:pPr>
              <w:spacing w:line="360" w:lineRule="auto"/>
              <w:rPr>
                <w:rFonts w:eastAsia="黑体"/>
                <w:b/>
                <w:color w:val="auto"/>
                <w:sz w:val="21"/>
                <w:szCs w:val="21"/>
                <w:highlight w:val="none"/>
              </w:rPr>
            </w:pPr>
            <w:r>
              <w:rPr>
                <w:color w:val="auto"/>
                <w:sz w:val="21"/>
                <w:szCs w:val="21"/>
                <w:highlight w:val="none"/>
              </w:rPr>
              <w:t>属</w:t>
            </w:r>
            <w:r>
              <w:rPr>
                <w:color w:val="auto"/>
                <w:sz w:val="21"/>
                <w:szCs w:val="21"/>
                <w:highlight w:val="none"/>
                <w:u w:val="single"/>
              </w:rPr>
              <w:t xml:space="preserve">   </w:t>
            </w:r>
            <w:r>
              <w:rPr>
                <w:color w:val="auto"/>
                <w:sz w:val="21"/>
                <w:szCs w:val="21"/>
                <w:highlight w:val="none"/>
              </w:rPr>
              <w:t>情形</w:t>
            </w:r>
          </w:p>
        </w:tc>
      </w:tr>
      <w:tr w14:paraId="5A270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2" w:hRule="exact"/>
        </w:trPr>
        <w:tc>
          <w:tcPr>
            <w:tcW w:w="658" w:type="dxa"/>
            <w:noWrap w:val="0"/>
            <w:vAlign w:val="center"/>
          </w:tcPr>
          <w:p w14:paraId="7966BB55">
            <w:pPr>
              <w:spacing w:line="360" w:lineRule="auto"/>
              <w:jc w:val="center"/>
              <w:rPr>
                <w:b/>
                <w:color w:val="auto"/>
                <w:sz w:val="21"/>
                <w:szCs w:val="21"/>
                <w:highlight w:val="none"/>
              </w:rPr>
            </w:pPr>
            <w:r>
              <w:rPr>
                <w:b/>
                <w:color w:val="auto"/>
                <w:sz w:val="21"/>
                <w:szCs w:val="21"/>
                <w:highlight w:val="none"/>
              </w:rPr>
              <w:t>3</w:t>
            </w:r>
          </w:p>
        </w:tc>
        <w:tc>
          <w:tcPr>
            <w:tcW w:w="4754" w:type="dxa"/>
            <w:noWrap w:val="0"/>
            <w:vAlign w:val="center"/>
          </w:tcPr>
          <w:p w14:paraId="2B756134">
            <w:pPr>
              <w:adjustRightInd w:val="0"/>
              <w:snapToGrid w:val="0"/>
              <w:rPr>
                <w:b/>
                <w:color w:val="auto"/>
                <w:sz w:val="21"/>
                <w:szCs w:val="21"/>
                <w:highlight w:val="none"/>
              </w:rPr>
            </w:pPr>
            <w:r>
              <w:rPr>
                <w:b/>
                <w:color w:val="auto"/>
                <w:sz w:val="21"/>
                <w:szCs w:val="21"/>
                <w:highlight w:val="none"/>
              </w:rPr>
              <w:t>项目负责人是否存在同时在两个或者两个以上单位受聘或者执业的情形（仅指项目负责人不得同时是其他单位的公务员或者事业单位在编人员，涉及到其他情形的，投标资格不受影响）</w:t>
            </w:r>
          </w:p>
        </w:tc>
        <w:tc>
          <w:tcPr>
            <w:tcW w:w="1097" w:type="dxa"/>
            <w:noWrap w:val="0"/>
            <w:vAlign w:val="center"/>
          </w:tcPr>
          <w:p w14:paraId="2CACD6A8">
            <w:pPr>
              <w:spacing w:line="360" w:lineRule="auto"/>
              <w:jc w:val="center"/>
              <w:rPr>
                <w:rFonts w:hint="eastAsia"/>
                <w:color w:val="auto"/>
                <w:sz w:val="21"/>
                <w:szCs w:val="21"/>
                <w:highlight w:val="none"/>
              </w:rPr>
            </w:pPr>
            <w:r>
              <w:rPr>
                <w:color w:val="auto"/>
                <w:sz w:val="21"/>
                <w:szCs w:val="21"/>
                <w:highlight w:val="none"/>
              </w:rPr>
              <w:t>1.4.1</w:t>
            </w:r>
            <w:r>
              <w:rPr>
                <w:rFonts w:hint="eastAsia"/>
                <w:color w:val="auto"/>
                <w:sz w:val="21"/>
                <w:szCs w:val="21"/>
                <w:highlight w:val="none"/>
              </w:rPr>
              <w:t>（4）</w:t>
            </w:r>
          </w:p>
        </w:tc>
        <w:tc>
          <w:tcPr>
            <w:tcW w:w="1462" w:type="dxa"/>
            <w:noWrap w:val="0"/>
            <w:vAlign w:val="center"/>
          </w:tcPr>
          <w:p w14:paraId="0EDE92B3">
            <w:pPr>
              <w:spacing w:line="360" w:lineRule="auto"/>
              <w:jc w:val="center"/>
              <w:rPr>
                <w:color w:val="auto"/>
                <w:sz w:val="21"/>
                <w:szCs w:val="21"/>
                <w:highlight w:val="none"/>
              </w:rPr>
            </w:pPr>
            <w:r>
              <w:rPr>
                <w:color w:val="auto"/>
                <w:sz w:val="21"/>
                <w:szCs w:val="21"/>
                <w:highlight w:val="none"/>
              </w:rPr>
              <w:t>否</w:t>
            </w:r>
          </w:p>
        </w:tc>
        <w:tc>
          <w:tcPr>
            <w:tcW w:w="707" w:type="dxa"/>
            <w:noWrap w:val="0"/>
            <w:vAlign w:val="top"/>
          </w:tcPr>
          <w:p w14:paraId="18D1F53E">
            <w:pPr>
              <w:spacing w:line="360" w:lineRule="auto"/>
              <w:rPr>
                <w:rFonts w:eastAsia="黑体"/>
                <w:b/>
                <w:color w:val="auto"/>
                <w:sz w:val="21"/>
                <w:szCs w:val="21"/>
                <w:highlight w:val="none"/>
              </w:rPr>
            </w:pPr>
          </w:p>
        </w:tc>
      </w:tr>
      <w:tr w14:paraId="49AEA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exact"/>
        </w:trPr>
        <w:tc>
          <w:tcPr>
            <w:tcW w:w="658" w:type="dxa"/>
            <w:noWrap w:val="0"/>
            <w:vAlign w:val="center"/>
          </w:tcPr>
          <w:p w14:paraId="070F3620">
            <w:pPr>
              <w:spacing w:line="360" w:lineRule="auto"/>
              <w:jc w:val="center"/>
              <w:rPr>
                <w:color w:val="auto"/>
                <w:sz w:val="21"/>
                <w:szCs w:val="21"/>
                <w:highlight w:val="none"/>
              </w:rPr>
            </w:pPr>
            <w:r>
              <w:rPr>
                <w:color w:val="auto"/>
                <w:sz w:val="21"/>
                <w:szCs w:val="21"/>
                <w:highlight w:val="none"/>
              </w:rPr>
              <w:t>4</w:t>
            </w:r>
          </w:p>
        </w:tc>
        <w:tc>
          <w:tcPr>
            <w:tcW w:w="4754" w:type="dxa"/>
            <w:noWrap w:val="0"/>
            <w:vAlign w:val="center"/>
          </w:tcPr>
          <w:p w14:paraId="71CBE835">
            <w:pPr>
              <w:spacing w:line="360" w:lineRule="auto"/>
              <w:rPr>
                <w:color w:val="auto"/>
                <w:sz w:val="21"/>
                <w:szCs w:val="21"/>
                <w:highlight w:val="none"/>
              </w:rPr>
            </w:pPr>
            <w:r>
              <w:rPr>
                <w:color w:val="auto"/>
                <w:sz w:val="21"/>
                <w:szCs w:val="21"/>
                <w:highlight w:val="none"/>
              </w:rPr>
              <w:t>投标项目负责人是否</w:t>
            </w:r>
            <w:r>
              <w:rPr>
                <w:rFonts w:hint="eastAsia" w:hAnsi="宋体"/>
                <w:color w:val="auto"/>
                <w:sz w:val="21"/>
                <w:szCs w:val="21"/>
                <w:highlight w:val="none"/>
              </w:rPr>
              <w:t>被依法</w:t>
            </w:r>
            <w:r>
              <w:rPr>
                <w:color w:val="auto"/>
                <w:sz w:val="21"/>
                <w:szCs w:val="21"/>
                <w:highlight w:val="none"/>
              </w:rPr>
              <w:t>暂停或取消投标资格</w:t>
            </w:r>
          </w:p>
        </w:tc>
        <w:tc>
          <w:tcPr>
            <w:tcW w:w="1097" w:type="dxa"/>
            <w:noWrap w:val="0"/>
            <w:vAlign w:val="center"/>
          </w:tcPr>
          <w:p w14:paraId="4B908079">
            <w:pPr>
              <w:spacing w:line="360" w:lineRule="auto"/>
              <w:jc w:val="center"/>
              <w:rPr>
                <w:color w:val="auto"/>
                <w:sz w:val="21"/>
                <w:szCs w:val="21"/>
                <w:highlight w:val="none"/>
              </w:rPr>
            </w:pPr>
            <w:r>
              <w:rPr>
                <w:color w:val="auto"/>
                <w:sz w:val="21"/>
                <w:szCs w:val="21"/>
                <w:highlight w:val="none"/>
              </w:rPr>
              <w:t>1.4.3（13）</w:t>
            </w:r>
          </w:p>
        </w:tc>
        <w:tc>
          <w:tcPr>
            <w:tcW w:w="1462" w:type="dxa"/>
            <w:noWrap w:val="0"/>
            <w:vAlign w:val="center"/>
          </w:tcPr>
          <w:p w14:paraId="36A2970B">
            <w:pPr>
              <w:spacing w:line="360" w:lineRule="auto"/>
              <w:jc w:val="center"/>
              <w:rPr>
                <w:color w:val="auto"/>
                <w:sz w:val="21"/>
                <w:szCs w:val="21"/>
                <w:highlight w:val="none"/>
              </w:rPr>
            </w:pPr>
            <w:r>
              <w:rPr>
                <w:color w:val="auto"/>
                <w:sz w:val="21"/>
                <w:szCs w:val="21"/>
                <w:highlight w:val="none"/>
              </w:rPr>
              <w:t>否</w:t>
            </w:r>
          </w:p>
        </w:tc>
        <w:tc>
          <w:tcPr>
            <w:tcW w:w="707" w:type="dxa"/>
            <w:noWrap w:val="0"/>
            <w:vAlign w:val="top"/>
          </w:tcPr>
          <w:p w14:paraId="09ABB0A4">
            <w:pPr>
              <w:spacing w:line="360" w:lineRule="auto"/>
              <w:rPr>
                <w:rFonts w:eastAsia="黑体"/>
                <w:b/>
                <w:color w:val="auto"/>
                <w:sz w:val="21"/>
                <w:szCs w:val="21"/>
                <w:highlight w:val="none"/>
              </w:rPr>
            </w:pPr>
          </w:p>
        </w:tc>
      </w:tr>
      <w:tr w14:paraId="6D364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exact"/>
        </w:trPr>
        <w:tc>
          <w:tcPr>
            <w:tcW w:w="658" w:type="dxa"/>
            <w:noWrap w:val="0"/>
            <w:vAlign w:val="center"/>
          </w:tcPr>
          <w:p w14:paraId="226661B9">
            <w:pPr>
              <w:spacing w:line="360" w:lineRule="auto"/>
              <w:jc w:val="center"/>
              <w:rPr>
                <w:color w:val="auto"/>
                <w:sz w:val="21"/>
                <w:szCs w:val="21"/>
                <w:highlight w:val="none"/>
              </w:rPr>
            </w:pPr>
            <w:r>
              <w:rPr>
                <w:rFonts w:hint="eastAsia"/>
                <w:color w:val="auto"/>
                <w:sz w:val="21"/>
                <w:szCs w:val="21"/>
                <w:highlight w:val="none"/>
              </w:rPr>
              <w:t>5</w:t>
            </w:r>
          </w:p>
        </w:tc>
        <w:tc>
          <w:tcPr>
            <w:tcW w:w="4754" w:type="dxa"/>
            <w:noWrap w:val="0"/>
            <w:vAlign w:val="center"/>
          </w:tcPr>
          <w:p w14:paraId="1AE66FAE">
            <w:pPr>
              <w:adjustRightInd w:val="0"/>
              <w:snapToGrid w:val="0"/>
              <w:rPr>
                <w:color w:val="auto"/>
                <w:sz w:val="21"/>
                <w:szCs w:val="21"/>
                <w:highlight w:val="none"/>
              </w:rPr>
            </w:pPr>
            <w:r>
              <w:rPr>
                <w:color w:val="auto"/>
                <w:sz w:val="21"/>
                <w:szCs w:val="21"/>
                <w:highlight w:val="none"/>
              </w:rPr>
              <w:t>投标项目负责人安全生产任职资格是否符合相关规定</w:t>
            </w:r>
          </w:p>
        </w:tc>
        <w:tc>
          <w:tcPr>
            <w:tcW w:w="1097" w:type="dxa"/>
            <w:noWrap w:val="0"/>
            <w:vAlign w:val="center"/>
          </w:tcPr>
          <w:p w14:paraId="760FBC24">
            <w:pPr>
              <w:spacing w:line="360" w:lineRule="auto"/>
              <w:jc w:val="center"/>
              <w:rPr>
                <w:color w:val="auto"/>
                <w:sz w:val="21"/>
                <w:szCs w:val="21"/>
                <w:highlight w:val="none"/>
              </w:rPr>
            </w:pPr>
            <w:r>
              <w:rPr>
                <w:color w:val="auto"/>
                <w:sz w:val="21"/>
                <w:szCs w:val="21"/>
                <w:highlight w:val="none"/>
              </w:rPr>
              <w:t>1.4.3（16）</w:t>
            </w:r>
          </w:p>
        </w:tc>
        <w:tc>
          <w:tcPr>
            <w:tcW w:w="1462" w:type="dxa"/>
            <w:noWrap w:val="0"/>
            <w:vAlign w:val="center"/>
          </w:tcPr>
          <w:p w14:paraId="40811613">
            <w:pPr>
              <w:spacing w:line="360" w:lineRule="auto"/>
              <w:jc w:val="center"/>
              <w:rPr>
                <w:color w:val="auto"/>
                <w:sz w:val="21"/>
                <w:szCs w:val="21"/>
                <w:highlight w:val="none"/>
              </w:rPr>
            </w:pPr>
            <w:r>
              <w:rPr>
                <w:color w:val="auto"/>
                <w:sz w:val="21"/>
                <w:szCs w:val="21"/>
                <w:highlight w:val="none"/>
              </w:rPr>
              <w:t>是</w:t>
            </w:r>
          </w:p>
        </w:tc>
        <w:tc>
          <w:tcPr>
            <w:tcW w:w="707" w:type="dxa"/>
            <w:noWrap w:val="0"/>
            <w:vAlign w:val="top"/>
          </w:tcPr>
          <w:p w14:paraId="326012F7">
            <w:pPr>
              <w:spacing w:line="360" w:lineRule="auto"/>
              <w:rPr>
                <w:rFonts w:eastAsia="黑体"/>
                <w:b/>
                <w:color w:val="auto"/>
                <w:sz w:val="21"/>
                <w:szCs w:val="21"/>
                <w:highlight w:val="none"/>
              </w:rPr>
            </w:pPr>
          </w:p>
        </w:tc>
      </w:tr>
      <w:tr w14:paraId="23231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exact"/>
        </w:trPr>
        <w:tc>
          <w:tcPr>
            <w:tcW w:w="658" w:type="dxa"/>
            <w:noWrap w:val="0"/>
            <w:vAlign w:val="center"/>
          </w:tcPr>
          <w:p w14:paraId="64D77F27">
            <w:pPr>
              <w:spacing w:line="360" w:lineRule="auto"/>
              <w:jc w:val="center"/>
              <w:rPr>
                <w:color w:val="auto"/>
                <w:sz w:val="21"/>
                <w:szCs w:val="21"/>
                <w:highlight w:val="none"/>
              </w:rPr>
            </w:pPr>
            <w:r>
              <w:rPr>
                <w:color w:val="auto"/>
                <w:sz w:val="21"/>
                <w:szCs w:val="21"/>
                <w:highlight w:val="none"/>
              </w:rPr>
              <w:t>6</w:t>
            </w:r>
          </w:p>
        </w:tc>
        <w:tc>
          <w:tcPr>
            <w:tcW w:w="4754" w:type="dxa"/>
            <w:noWrap w:val="0"/>
            <w:vAlign w:val="center"/>
          </w:tcPr>
          <w:p w14:paraId="54B2C826">
            <w:pPr>
              <w:adjustRightInd w:val="0"/>
              <w:snapToGrid w:val="0"/>
              <w:rPr>
                <w:color w:val="auto"/>
                <w:sz w:val="21"/>
                <w:szCs w:val="21"/>
                <w:highlight w:val="none"/>
              </w:rPr>
            </w:pPr>
            <w:r>
              <w:rPr>
                <w:color w:val="auto"/>
                <w:sz w:val="21"/>
                <w:szCs w:val="21"/>
                <w:highlight w:val="none"/>
              </w:rPr>
              <w:t>投标项目负责人是否有行贿犯罪记录的（由投标文件提交截止之日上溯3年，行贿犯罪记录日期以法院判决生效日期为准）</w:t>
            </w:r>
          </w:p>
        </w:tc>
        <w:tc>
          <w:tcPr>
            <w:tcW w:w="1097" w:type="dxa"/>
            <w:noWrap w:val="0"/>
            <w:vAlign w:val="center"/>
          </w:tcPr>
          <w:p w14:paraId="12543F44">
            <w:pPr>
              <w:spacing w:line="360" w:lineRule="auto"/>
              <w:ind w:left="445" w:hanging="445" w:hangingChars="212"/>
              <w:jc w:val="center"/>
              <w:rPr>
                <w:color w:val="auto"/>
                <w:sz w:val="21"/>
                <w:szCs w:val="21"/>
                <w:highlight w:val="none"/>
              </w:rPr>
            </w:pPr>
            <w:r>
              <w:rPr>
                <w:color w:val="auto"/>
                <w:sz w:val="21"/>
                <w:szCs w:val="21"/>
                <w:highlight w:val="none"/>
              </w:rPr>
              <w:t>1.4.3（17）</w:t>
            </w:r>
          </w:p>
        </w:tc>
        <w:tc>
          <w:tcPr>
            <w:tcW w:w="1462" w:type="dxa"/>
            <w:noWrap w:val="0"/>
            <w:vAlign w:val="center"/>
          </w:tcPr>
          <w:p w14:paraId="78E94C64">
            <w:pPr>
              <w:spacing w:line="360" w:lineRule="auto"/>
              <w:jc w:val="center"/>
              <w:rPr>
                <w:color w:val="auto"/>
                <w:sz w:val="21"/>
                <w:szCs w:val="21"/>
                <w:highlight w:val="none"/>
              </w:rPr>
            </w:pPr>
            <w:r>
              <w:rPr>
                <w:color w:val="auto"/>
                <w:sz w:val="21"/>
                <w:szCs w:val="21"/>
                <w:highlight w:val="none"/>
              </w:rPr>
              <w:t>否</w:t>
            </w:r>
          </w:p>
        </w:tc>
        <w:tc>
          <w:tcPr>
            <w:tcW w:w="707" w:type="dxa"/>
            <w:noWrap w:val="0"/>
            <w:vAlign w:val="top"/>
          </w:tcPr>
          <w:p w14:paraId="5E0E284F">
            <w:pPr>
              <w:spacing w:line="360" w:lineRule="auto"/>
              <w:rPr>
                <w:rFonts w:eastAsia="黑体"/>
                <w:b/>
                <w:color w:val="auto"/>
                <w:sz w:val="21"/>
                <w:szCs w:val="21"/>
                <w:highlight w:val="none"/>
              </w:rPr>
            </w:pPr>
          </w:p>
        </w:tc>
      </w:tr>
    </w:tbl>
    <w:p w14:paraId="5350AFC7">
      <w:pPr>
        <w:adjustRightInd w:val="0"/>
        <w:snapToGrid w:val="0"/>
        <w:spacing w:line="360" w:lineRule="auto"/>
        <w:rPr>
          <w:rFonts w:hint="eastAsia"/>
          <w:b/>
          <w:color w:val="auto"/>
          <w:szCs w:val="21"/>
          <w:highlight w:val="none"/>
        </w:rPr>
      </w:pPr>
      <w:r>
        <w:rPr>
          <w:color w:val="auto"/>
          <w:szCs w:val="21"/>
          <w:highlight w:val="none"/>
        </w:rPr>
        <w:t xml:space="preserve">法定代表人（签字或盖章）：         </w:t>
      </w:r>
      <w:r>
        <w:rPr>
          <w:b/>
          <w:color w:val="auto"/>
          <w:szCs w:val="21"/>
          <w:highlight w:val="none"/>
        </w:rPr>
        <w:t xml:space="preserve"> </w:t>
      </w:r>
    </w:p>
    <w:p w14:paraId="7BDEB309">
      <w:pPr>
        <w:adjustRightInd w:val="0"/>
        <w:snapToGrid w:val="0"/>
        <w:spacing w:line="360" w:lineRule="auto"/>
        <w:ind w:firstLine="415" w:firstLineChars="198"/>
        <w:rPr>
          <w:rFonts w:hint="eastAsia"/>
          <w:color w:val="auto"/>
          <w:szCs w:val="21"/>
          <w:highlight w:val="none"/>
        </w:rPr>
      </w:pPr>
    </w:p>
    <w:p w14:paraId="6C73C428">
      <w:pPr>
        <w:adjustRightInd w:val="0"/>
        <w:snapToGrid w:val="0"/>
        <w:spacing w:line="360" w:lineRule="auto"/>
        <w:ind w:firstLine="415" w:firstLineChars="198"/>
        <w:rPr>
          <w:color w:val="auto"/>
          <w:highlight w:val="none"/>
        </w:rPr>
      </w:pPr>
      <w:r>
        <w:rPr>
          <w:color w:val="auto"/>
          <w:highlight w:val="none"/>
        </w:rPr>
        <w:t xml:space="preserve">投  标  人（盖章）：              </w:t>
      </w:r>
      <w:r>
        <w:rPr>
          <w:rFonts w:hint="eastAsia"/>
          <w:color w:val="auto"/>
          <w:highlight w:val="none"/>
        </w:rPr>
        <w:t xml:space="preserve">                       </w:t>
      </w:r>
      <w:r>
        <w:rPr>
          <w:color w:val="auto"/>
          <w:highlight w:val="none"/>
        </w:rPr>
        <w:t>年    月    日</w:t>
      </w:r>
    </w:p>
    <w:p w14:paraId="02AB60FE">
      <w:pPr>
        <w:pStyle w:val="10"/>
        <w:rPr>
          <w:color w:val="auto"/>
          <w:highlight w:val="none"/>
        </w:rPr>
      </w:pPr>
    </w:p>
    <w:p w14:paraId="7C443B15">
      <w:pPr>
        <w:pStyle w:val="5"/>
        <w:rPr>
          <w:color w:val="auto"/>
          <w:highlight w:val="none"/>
        </w:rPr>
      </w:pPr>
    </w:p>
    <w:p w14:paraId="04B0D5E2">
      <w:pPr>
        <w:pStyle w:val="10"/>
        <w:rPr>
          <w:rFonts w:hint="eastAsia"/>
          <w:color w:val="auto"/>
          <w:highlight w:val="none"/>
        </w:rPr>
      </w:pPr>
    </w:p>
    <w:p w14:paraId="40C894B3">
      <w:pPr>
        <w:pStyle w:val="29"/>
        <w:rPr>
          <w:rFonts w:cs="Times New Roman"/>
          <w:color w:val="auto"/>
          <w:szCs w:val="28"/>
          <w:highlight w:val="none"/>
        </w:rPr>
      </w:pPr>
      <w:bookmarkStart w:id="211" w:name="_Toc148964084"/>
      <w:r>
        <w:rPr>
          <w:rFonts w:hint="eastAsia" w:cs="Times New Roman"/>
          <w:color w:val="auto"/>
          <w:szCs w:val="28"/>
          <w:highlight w:val="none"/>
        </w:rPr>
        <w:t>六、建设工程投标人及项目负责人资信分自查表</w:t>
      </w:r>
      <w:bookmarkEnd w:id="211"/>
    </w:p>
    <w:p w14:paraId="12C28BC8">
      <w:pPr>
        <w:pStyle w:val="8"/>
        <w:kinsoku w:val="0"/>
        <w:overflowPunct w:val="0"/>
        <w:spacing w:before="2"/>
        <w:rPr>
          <w:color w:val="auto"/>
          <w:sz w:val="24"/>
          <w:highlight w:val="none"/>
        </w:rPr>
      </w:pPr>
    </w:p>
    <w:p w14:paraId="110C05DF">
      <w:pPr>
        <w:pStyle w:val="8"/>
        <w:tabs>
          <w:tab w:val="left" w:pos="6050"/>
        </w:tabs>
        <w:kinsoku w:val="0"/>
        <w:overflowPunct w:val="0"/>
        <w:ind w:left="2112"/>
        <w:rPr>
          <w:rFonts w:ascii="微软雅黑" w:eastAsia="微软雅黑" w:cs="微软雅黑"/>
          <w:b/>
          <w:bCs/>
          <w:color w:val="auto"/>
          <w:sz w:val="28"/>
          <w:szCs w:val="28"/>
          <w:highlight w:val="none"/>
        </w:rPr>
      </w:pPr>
      <w:r>
        <w:rPr>
          <w:b/>
          <w:bCs/>
          <w:color w:val="auto"/>
          <w:sz w:val="28"/>
          <w:szCs w:val="28"/>
          <w:highlight w:val="none"/>
          <w:u w:val="single"/>
        </w:rPr>
        <w:t xml:space="preserve"> </w:t>
      </w:r>
      <w:r>
        <w:rPr>
          <w:b/>
          <w:bCs/>
          <w:color w:val="auto"/>
          <w:sz w:val="28"/>
          <w:szCs w:val="28"/>
          <w:highlight w:val="none"/>
          <w:u w:val="single"/>
        </w:rPr>
        <w:tab/>
      </w:r>
      <w:r>
        <w:rPr>
          <w:rFonts w:hint="eastAsia" w:ascii="微软雅黑" w:eastAsia="微软雅黑" w:cs="微软雅黑"/>
          <w:b/>
          <w:bCs/>
          <w:color w:val="auto"/>
          <w:sz w:val="28"/>
          <w:szCs w:val="28"/>
          <w:highlight w:val="none"/>
        </w:rPr>
        <w:t>工程</w:t>
      </w:r>
    </w:p>
    <w:p w14:paraId="27FCBD3D">
      <w:pPr>
        <w:pStyle w:val="8"/>
        <w:kinsoku w:val="0"/>
        <w:overflowPunct w:val="0"/>
        <w:spacing w:before="13"/>
        <w:rPr>
          <w:rFonts w:ascii="微软雅黑" w:eastAsia="微软雅黑" w:cs="微软雅黑"/>
          <w:b/>
          <w:bCs/>
          <w:color w:val="auto"/>
          <w:sz w:val="6"/>
          <w:szCs w:val="6"/>
          <w:highlight w:val="none"/>
        </w:rPr>
      </w:pPr>
    </w:p>
    <w:p w14:paraId="1E14BABD">
      <w:pPr>
        <w:jc w:val="center"/>
        <w:rPr>
          <w:rFonts w:ascii="宋体" w:hAnsi="宋体"/>
          <w:b/>
          <w:color w:val="auto"/>
          <w:sz w:val="30"/>
          <w:szCs w:val="30"/>
          <w:highlight w:val="none"/>
        </w:rPr>
      </w:pPr>
      <w:r>
        <w:rPr>
          <w:rFonts w:hint="eastAsia" w:ascii="宋体" w:hAnsi="宋体"/>
          <w:b/>
          <w:color w:val="auto"/>
          <w:sz w:val="30"/>
          <w:szCs w:val="30"/>
          <w:highlight w:val="none"/>
        </w:rPr>
        <w:t>建设工程投标人及项目负责人资信分自查表</w:t>
      </w:r>
    </w:p>
    <w:p w14:paraId="6E7C17B1">
      <w:pPr>
        <w:ind w:firstLine="560" w:firstLineChars="200"/>
        <w:rPr>
          <w:rFonts w:ascii="宋体" w:hAnsi="宋体"/>
          <w:color w:val="auto"/>
          <w:sz w:val="10"/>
          <w:szCs w:val="10"/>
          <w:highlight w:val="none"/>
        </w:rPr>
      </w:pPr>
      <w:r>
        <w:rPr>
          <w:rFonts w:hint="eastAsia" w:ascii="宋体" w:hAnsi="宋体"/>
          <w:color w:val="auto"/>
          <w:sz w:val="28"/>
          <w:szCs w:val="28"/>
          <w:highlight w:val="none"/>
        </w:rPr>
        <w:t>根据本工程投标截止日前两个月，经台州市建筑业信息管理网网站（http://tzjzy.jsj.zjtz.gov.cn/）省信用评价公示公布系统公布栏发布的评审结果，我公司及项目负责人的信用评价等级以及省信用评价总分如下：</w:t>
      </w:r>
    </w:p>
    <w:p w14:paraId="0F345B8E">
      <w:pPr>
        <w:rPr>
          <w:rFonts w:ascii="宋体" w:hAnsi="宋体"/>
          <w:color w:val="auto"/>
          <w:sz w:val="10"/>
          <w:szCs w:val="10"/>
          <w:highlight w:val="none"/>
        </w:rPr>
      </w:pPr>
    </w:p>
    <w:tbl>
      <w:tblPr>
        <w:tblStyle w:val="17"/>
        <w:tblW w:w="90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6"/>
        <w:gridCol w:w="3729"/>
        <w:gridCol w:w="3243"/>
      </w:tblGrid>
      <w:tr w14:paraId="67944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2106" w:type="dxa"/>
            <w:noWrap w:val="0"/>
            <w:vAlign w:val="center"/>
          </w:tcPr>
          <w:p w14:paraId="37B961E6">
            <w:pPr>
              <w:jc w:val="center"/>
              <w:rPr>
                <w:rFonts w:ascii="宋体" w:hAnsi="宋体"/>
                <w:color w:val="auto"/>
                <w:sz w:val="28"/>
                <w:szCs w:val="28"/>
                <w:highlight w:val="none"/>
              </w:rPr>
            </w:pPr>
          </w:p>
        </w:tc>
        <w:tc>
          <w:tcPr>
            <w:tcW w:w="3729" w:type="dxa"/>
            <w:noWrap w:val="0"/>
            <w:vAlign w:val="center"/>
          </w:tcPr>
          <w:p w14:paraId="62B8772F">
            <w:pPr>
              <w:jc w:val="center"/>
              <w:rPr>
                <w:rFonts w:ascii="宋体" w:hAnsi="宋体"/>
                <w:color w:val="auto"/>
                <w:sz w:val="28"/>
                <w:szCs w:val="28"/>
                <w:highlight w:val="none"/>
              </w:rPr>
            </w:pPr>
            <w:r>
              <w:rPr>
                <w:rFonts w:hint="eastAsia" w:ascii="宋体" w:hAnsi="宋体"/>
                <w:color w:val="auto"/>
                <w:sz w:val="28"/>
                <w:szCs w:val="28"/>
                <w:highlight w:val="none"/>
              </w:rPr>
              <w:t>信用评价等级</w:t>
            </w:r>
          </w:p>
        </w:tc>
        <w:tc>
          <w:tcPr>
            <w:tcW w:w="3243" w:type="dxa"/>
            <w:noWrap w:val="0"/>
            <w:vAlign w:val="center"/>
          </w:tcPr>
          <w:p w14:paraId="108BE410">
            <w:pPr>
              <w:jc w:val="center"/>
              <w:rPr>
                <w:rFonts w:ascii="宋体" w:hAnsi="宋体"/>
                <w:color w:val="auto"/>
                <w:sz w:val="28"/>
                <w:szCs w:val="28"/>
                <w:highlight w:val="none"/>
              </w:rPr>
            </w:pPr>
            <w:r>
              <w:rPr>
                <w:rFonts w:hint="eastAsia" w:ascii="宋体" w:hAnsi="宋体"/>
                <w:color w:val="auto"/>
                <w:sz w:val="28"/>
                <w:szCs w:val="28"/>
                <w:highlight w:val="none"/>
              </w:rPr>
              <w:t>省信用评价总分</w:t>
            </w:r>
          </w:p>
        </w:tc>
      </w:tr>
      <w:tr w14:paraId="319C1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2106" w:type="dxa"/>
            <w:noWrap w:val="0"/>
            <w:vAlign w:val="center"/>
          </w:tcPr>
          <w:p w14:paraId="6A9CBC3A">
            <w:pPr>
              <w:jc w:val="center"/>
              <w:rPr>
                <w:rFonts w:ascii="宋体" w:hAnsi="宋体"/>
                <w:color w:val="auto"/>
                <w:sz w:val="28"/>
                <w:szCs w:val="28"/>
                <w:highlight w:val="none"/>
              </w:rPr>
            </w:pPr>
            <w:r>
              <w:rPr>
                <w:rFonts w:hint="eastAsia" w:ascii="宋体" w:hAnsi="宋体"/>
                <w:color w:val="auto"/>
                <w:sz w:val="28"/>
                <w:szCs w:val="28"/>
                <w:highlight w:val="none"/>
              </w:rPr>
              <w:t>投标人</w:t>
            </w:r>
          </w:p>
        </w:tc>
        <w:tc>
          <w:tcPr>
            <w:tcW w:w="3729" w:type="dxa"/>
            <w:noWrap w:val="0"/>
            <w:vAlign w:val="center"/>
          </w:tcPr>
          <w:p w14:paraId="52C7E976">
            <w:pPr>
              <w:jc w:val="center"/>
              <w:rPr>
                <w:rFonts w:ascii="宋体" w:hAnsi="宋体"/>
                <w:color w:val="auto"/>
                <w:sz w:val="28"/>
                <w:szCs w:val="28"/>
                <w:highlight w:val="none"/>
              </w:rPr>
            </w:pPr>
          </w:p>
        </w:tc>
        <w:tc>
          <w:tcPr>
            <w:tcW w:w="3243" w:type="dxa"/>
            <w:noWrap w:val="0"/>
            <w:vAlign w:val="center"/>
          </w:tcPr>
          <w:p w14:paraId="56688FB1">
            <w:pPr>
              <w:jc w:val="center"/>
              <w:rPr>
                <w:rFonts w:ascii="宋体" w:hAnsi="宋体"/>
                <w:color w:val="auto"/>
                <w:sz w:val="28"/>
                <w:szCs w:val="28"/>
                <w:highlight w:val="none"/>
              </w:rPr>
            </w:pPr>
          </w:p>
        </w:tc>
      </w:tr>
      <w:tr w14:paraId="67ABB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2106" w:type="dxa"/>
            <w:noWrap w:val="0"/>
            <w:vAlign w:val="center"/>
          </w:tcPr>
          <w:p w14:paraId="377E4A8F">
            <w:pPr>
              <w:jc w:val="center"/>
              <w:rPr>
                <w:rFonts w:ascii="宋体" w:hAnsi="宋体"/>
                <w:color w:val="auto"/>
                <w:sz w:val="28"/>
                <w:szCs w:val="28"/>
                <w:highlight w:val="none"/>
              </w:rPr>
            </w:pPr>
            <w:r>
              <w:rPr>
                <w:rFonts w:hint="eastAsia" w:ascii="宋体" w:hAnsi="宋体"/>
                <w:color w:val="auto"/>
                <w:sz w:val="28"/>
                <w:szCs w:val="28"/>
                <w:highlight w:val="none"/>
              </w:rPr>
              <w:t>项目负责人</w:t>
            </w:r>
          </w:p>
        </w:tc>
        <w:tc>
          <w:tcPr>
            <w:tcW w:w="3729" w:type="dxa"/>
            <w:noWrap w:val="0"/>
            <w:vAlign w:val="center"/>
          </w:tcPr>
          <w:p w14:paraId="32C0C823">
            <w:pPr>
              <w:jc w:val="center"/>
              <w:rPr>
                <w:rFonts w:hint="eastAsia" w:ascii="宋体" w:hAnsi="宋体" w:eastAsiaTheme="minorEastAsia"/>
                <w:color w:val="auto"/>
                <w:sz w:val="28"/>
                <w:szCs w:val="28"/>
                <w:highlight w:val="none"/>
                <w:lang w:val="en-US" w:eastAsia="zh-CN"/>
              </w:rPr>
            </w:pPr>
            <w:r>
              <w:rPr>
                <w:rFonts w:hint="eastAsia" w:ascii="宋体" w:hAnsi="宋体"/>
                <w:color w:val="auto"/>
                <w:sz w:val="28"/>
                <w:szCs w:val="28"/>
                <w:highlight w:val="none"/>
                <w:lang w:val="en-US" w:eastAsia="zh-CN"/>
              </w:rPr>
              <w:t>/</w:t>
            </w:r>
          </w:p>
        </w:tc>
        <w:tc>
          <w:tcPr>
            <w:tcW w:w="3243" w:type="dxa"/>
            <w:noWrap w:val="0"/>
            <w:vAlign w:val="center"/>
          </w:tcPr>
          <w:p w14:paraId="0D89B904">
            <w:pPr>
              <w:jc w:val="center"/>
              <w:rPr>
                <w:rFonts w:hint="eastAsia" w:ascii="宋体" w:hAnsi="宋体" w:eastAsiaTheme="minorEastAsia"/>
                <w:color w:val="auto"/>
                <w:sz w:val="28"/>
                <w:szCs w:val="28"/>
                <w:highlight w:val="none"/>
                <w:lang w:val="en-US" w:eastAsia="zh-CN"/>
              </w:rPr>
            </w:pPr>
            <w:r>
              <w:rPr>
                <w:rFonts w:hint="eastAsia" w:ascii="宋体" w:hAnsi="宋体"/>
                <w:color w:val="auto"/>
                <w:sz w:val="28"/>
                <w:szCs w:val="28"/>
                <w:highlight w:val="none"/>
                <w:lang w:val="en-US" w:eastAsia="zh-CN"/>
              </w:rPr>
              <w:t>/</w:t>
            </w:r>
          </w:p>
        </w:tc>
      </w:tr>
    </w:tbl>
    <w:p w14:paraId="64F3EDC0">
      <w:pPr>
        <w:rPr>
          <w:rFonts w:ascii="宋体" w:hAnsi="宋体"/>
          <w:color w:val="auto"/>
          <w:sz w:val="28"/>
          <w:szCs w:val="28"/>
          <w:highlight w:val="none"/>
          <w:u w:val="single"/>
        </w:rPr>
      </w:pPr>
    </w:p>
    <w:tbl>
      <w:tblPr>
        <w:tblStyle w:val="17"/>
        <w:tblpPr w:leftFromText="180" w:rightFromText="180" w:vertAnchor="text" w:horzAnchor="page" w:tblpX="1674" w:tblpY="7"/>
        <w:tblOverlap w:val="never"/>
        <w:tblW w:w="9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40"/>
        <w:gridCol w:w="4540"/>
      </w:tblGrid>
      <w:tr w14:paraId="775D9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4540" w:type="dxa"/>
            <w:noWrap w:val="0"/>
            <w:vAlign w:val="top"/>
          </w:tcPr>
          <w:p w14:paraId="697B2C17">
            <w:pPr>
              <w:rPr>
                <w:rFonts w:ascii="宋体" w:hAnsi="宋体"/>
                <w:color w:val="auto"/>
                <w:sz w:val="28"/>
                <w:szCs w:val="28"/>
                <w:highlight w:val="none"/>
                <w:u w:val="single"/>
              </w:rPr>
            </w:pPr>
          </w:p>
        </w:tc>
        <w:tc>
          <w:tcPr>
            <w:tcW w:w="4540" w:type="dxa"/>
            <w:noWrap w:val="0"/>
            <w:vAlign w:val="top"/>
          </w:tcPr>
          <w:p w14:paraId="15798CE7">
            <w:pPr>
              <w:jc w:val="center"/>
              <w:rPr>
                <w:rFonts w:ascii="宋体" w:hAnsi="宋体"/>
                <w:color w:val="auto"/>
                <w:sz w:val="28"/>
                <w:szCs w:val="28"/>
                <w:highlight w:val="none"/>
              </w:rPr>
            </w:pPr>
            <w:r>
              <w:rPr>
                <w:rFonts w:hint="eastAsia" w:ascii="宋体" w:hAnsi="宋体"/>
                <w:color w:val="auto"/>
                <w:sz w:val="28"/>
                <w:szCs w:val="28"/>
                <w:highlight w:val="none"/>
              </w:rPr>
              <w:t>姓名</w:t>
            </w:r>
          </w:p>
        </w:tc>
      </w:tr>
      <w:tr w14:paraId="7CA6C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trPr>
        <w:tc>
          <w:tcPr>
            <w:tcW w:w="4540" w:type="dxa"/>
            <w:noWrap w:val="0"/>
            <w:vAlign w:val="top"/>
          </w:tcPr>
          <w:p w14:paraId="5DECCE25">
            <w:pPr>
              <w:jc w:val="center"/>
              <w:rPr>
                <w:rFonts w:ascii="宋体" w:hAnsi="宋体"/>
                <w:color w:val="auto"/>
                <w:sz w:val="28"/>
                <w:szCs w:val="28"/>
                <w:highlight w:val="none"/>
              </w:rPr>
            </w:pPr>
            <w:r>
              <w:rPr>
                <w:rFonts w:hint="eastAsia" w:ascii="宋体" w:hAnsi="宋体"/>
                <w:color w:val="auto"/>
                <w:sz w:val="28"/>
                <w:szCs w:val="28"/>
                <w:highlight w:val="none"/>
              </w:rPr>
              <w:t>项目负责人</w:t>
            </w:r>
          </w:p>
        </w:tc>
        <w:tc>
          <w:tcPr>
            <w:tcW w:w="4540" w:type="dxa"/>
            <w:noWrap w:val="0"/>
            <w:vAlign w:val="top"/>
          </w:tcPr>
          <w:p w14:paraId="4F0A8BE2">
            <w:pPr>
              <w:rPr>
                <w:rFonts w:ascii="宋体" w:hAnsi="宋体"/>
                <w:color w:val="auto"/>
                <w:sz w:val="28"/>
                <w:szCs w:val="28"/>
                <w:highlight w:val="none"/>
                <w:u w:val="single"/>
              </w:rPr>
            </w:pPr>
          </w:p>
        </w:tc>
      </w:tr>
    </w:tbl>
    <w:p w14:paraId="21E84F1C">
      <w:pPr>
        <w:rPr>
          <w:rFonts w:ascii="宋体" w:hAnsi="宋体"/>
          <w:color w:val="auto"/>
          <w:sz w:val="28"/>
          <w:szCs w:val="28"/>
          <w:highlight w:val="none"/>
        </w:rPr>
      </w:pPr>
    </w:p>
    <w:p w14:paraId="6B10D4E5">
      <w:pPr>
        <w:pStyle w:val="8"/>
        <w:kinsoku w:val="0"/>
        <w:overflowPunct w:val="0"/>
        <w:rPr>
          <w:color w:val="auto"/>
          <w:sz w:val="20"/>
          <w:szCs w:val="20"/>
          <w:highlight w:val="none"/>
        </w:rPr>
      </w:pPr>
    </w:p>
    <w:p w14:paraId="2F814407">
      <w:pPr>
        <w:pStyle w:val="8"/>
        <w:kinsoku w:val="0"/>
        <w:overflowPunct w:val="0"/>
        <w:rPr>
          <w:color w:val="auto"/>
          <w:sz w:val="20"/>
          <w:szCs w:val="20"/>
          <w:highlight w:val="none"/>
        </w:rPr>
      </w:pPr>
    </w:p>
    <w:p w14:paraId="01271E77">
      <w:pPr>
        <w:adjustRightInd w:val="0"/>
        <w:snapToGrid w:val="0"/>
        <w:spacing w:line="360" w:lineRule="auto"/>
        <w:ind w:firstLine="475" w:firstLineChars="198"/>
        <w:rPr>
          <w:rFonts w:hint="eastAsia"/>
          <w:b/>
          <w:color w:val="auto"/>
          <w:sz w:val="24"/>
          <w:highlight w:val="none"/>
        </w:rPr>
      </w:pPr>
      <w:r>
        <w:rPr>
          <w:color w:val="auto"/>
          <w:sz w:val="24"/>
          <w:highlight w:val="none"/>
        </w:rPr>
        <w:t xml:space="preserve">法定代表人（签字或盖章）：         </w:t>
      </w:r>
      <w:r>
        <w:rPr>
          <w:b/>
          <w:color w:val="auto"/>
          <w:sz w:val="24"/>
          <w:highlight w:val="none"/>
        </w:rPr>
        <w:t xml:space="preserve"> </w:t>
      </w:r>
    </w:p>
    <w:p w14:paraId="2DB26540">
      <w:pPr>
        <w:adjustRightInd w:val="0"/>
        <w:snapToGrid w:val="0"/>
        <w:spacing w:line="360" w:lineRule="auto"/>
        <w:ind w:firstLine="475" w:firstLineChars="198"/>
        <w:rPr>
          <w:rFonts w:hint="eastAsia"/>
          <w:color w:val="auto"/>
          <w:sz w:val="24"/>
          <w:highlight w:val="none"/>
        </w:rPr>
      </w:pPr>
    </w:p>
    <w:p w14:paraId="4DFB3759">
      <w:pPr>
        <w:pStyle w:val="8"/>
        <w:kinsoku w:val="0"/>
        <w:overflowPunct w:val="0"/>
        <w:ind w:firstLine="720" w:firstLineChars="300"/>
        <w:rPr>
          <w:rFonts w:hint="eastAsia"/>
          <w:color w:val="auto"/>
          <w:sz w:val="24"/>
          <w:highlight w:val="none"/>
        </w:rPr>
      </w:pPr>
      <w:r>
        <w:rPr>
          <w:color w:val="auto"/>
          <w:sz w:val="24"/>
          <w:highlight w:val="none"/>
        </w:rPr>
        <w:t xml:space="preserve">投  标  人（盖章）：              </w:t>
      </w:r>
      <w:r>
        <w:rPr>
          <w:rFonts w:hint="eastAsia"/>
          <w:color w:val="auto"/>
          <w:sz w:val="24"/>
          <w:highlight w:val="none"/>
        </w:rPr>
        <w:t xml:space="preserve">               </w:t>
      </w:r>
    </w:p>
    <w:p w14:paraId="2A4062DF">
      <w:pPr>
        <w:pStyle w:val="8"/>
        <w:kinsoku w:val="0"/>
        <w:overflowPunct w:val="0"/>
        <w:ind w:firstLine="720" w:firstLineChars="300"/>
        <w:rPr>
          <w:rFonts w:hint="eastAsia"/>
          <w:color w:val="auto"/>
          <w:sz w:val="24"/>
          <w:highlight w:val="none"/>
        </w:rPr>
      </w:pPr>
    </w:p>
    <w:p w14:paraId="3FD372B6">
      <w:pPr>
        <w:pStyle w:val="8"/>
        <w:kinsoku w:val="0"/>
        <w:overflowPunct w:val="0"/>
        <w:ind w:firstLine="720" w:firstLineChars="300"/>
        <w:rPr>
          <w:color w:val="auto"/>
          <w:sz w:val="24"/>
          <w:highlight w:val="none"/>
        </w:rPr>
      </w:pPr>
      <w:r>
        <w:rPr>
          <w:rFonts w:hint="eastAsia"/>
          <w:color w:val="auto"/>
          <w:sz w:val="24"/>
          <w:highlight w:val="none"/>
        </w:rPr>
        <w:t xml:space="preserve">                                               </w:t>
      </w:r>
      <w:r>
        <w:rPr>
          <w:color w:val="auto"/>
          <w:sz w:val="24"/>
          <w:highlight w:val="none"/>
        </w:rPr>
        <w:t>年    月    日</w:t>
      </w:r>
    </w:p>
    <w:p w14:paraId="30534D8B">
      <w:pPr>
        <w:pStyle w:val="8"/>
        <w:kinsoku w:val="0"/>
        <w:overflowPunct w:val="0"/>
        <w:ind w:firstLine="720" w:firstLineChars="300"/>
        <w:rPr>
          <w:color w:val="auto"/>
          <w:sz w:val="24"/>
          <w:highlight w:val="none"/>
        </w:rPr>
      </w:pPr>
    </w:p>
    <w:p w14:paraId="1A6D8CE8">
      <w:pPr>
        <w:pStyle w:val="8"/>
        <w:kinsoku w:val="0"/>
        <w:overflowPunct w:val="0"/>
        <w:ind w:firstLine="720" w:firstLineChars="300"/>
        <w:rPr>
          <w:color w:val="auto"/>
          <w:sz w:val="24"/>
          <w:highlight w:val="none"/>
        </w:rPr>
      </w:pPr>
    </w:p>
    <w:p w14:paraId="46A88764">
      <w:pPr>
        <w:pStyle w:val="8"/>
        <w:kinsoku w:val="0"/>
        <w:overflowPunct w:val="0"/>
        <w:ind w:firstLine="720" w:firstLineChars="300"/>
        <w:rPr>
          <w:color w:val="auto"/>
          <w:sz w:val="24"/>
          <w:highlight w:val="none"/>
        </w:rPr>
      </w:pPr>
    </w:p>
    <w:p w14:paraId="4FF951FC">
      <w:pPr>
        <w:pStyle w:val="8"/>
        <w:kinsoku w:val="0"/>
        <w:overflowPunct w:val="0"/>
        <w:spacing w:before="9"/>
        <w:rPr>
          <w:color w:val="auto"/>
          <w:sz w:val="26"/>
          <w:szCs w:val="26"/>
          <w:highlight w:val="none"/>
        </w:rPr>
      </w:pPr>
    </w:p>
    <w:p w14:paraId="756BD990">
      <w:pPr>
        <w:adjustRightInd w:val="0"/>
        <w:snapToGrid w:val="0"/>
        <w:spacing w:line="586" w:lineRule="exact"/>
        <w:ind w:right="640" w:firstLine="2940" w:firstLineChars="1400"/>
        <w:jc w:val="center"/>
        <w:rPr>
          <w:rFonts w:hint="eastAsia"/>
          <w:color w:val="auto"/>
          <w:szCs w:val="21"/>
          <w:highlight w:val="none"/>
        </w:rPr>
      </w:pPr>
    </w:p>
    <w:p w14:paraId="217D0C81">
      <w:pPr>
        <w:pStyle w:val="10"/>
        <w:rPr>
          <w:rFonts w:hint="eastAsia"/>
          <w:color w:val="auto"/>
          <w:szCs w:val="21"/>
          <w:highlight w:val="none"/>
        </w:rPr>
      </w:pPr>
    </w:p>
    <w:p w14:paraId="665FDDA5">
      <w:pPr>
        <w:pStyle w:val="5"/>
        <w:rPr>
          <w:rFonts w:hint="eastAsia"/>
          <w:color w:val="auto"/>
          <w:szCs w:val="21"/>
          <w:highlight w:val="none"/>
        </w:rPr>
      </w:pPr>
    </w:p>
    <w:p w14:paraId="33CF9884">
      <w:pPr>
        <w:pStyle w:val="10"/>
        <w:rPr>
          <w:rFonts w:hint="eastAsia"/>
          <w:color w:val="auto"/>
          <w:szCs w:val="21"/>
          <w:highlight w:val="none"/>
        </w:rPr>
      </w:pPr>
    </w:p>
    <w:p w14:paraId="4251352C">
      <w:pPr>
        <w:pStyle w:val="5"/>
        <w:rPr>
          <w:rFonts w:hint="eastAsia"/>
          <w:color w:val="auto"/>
          <w:szCs w:val="21"/>
          <w:highlight w:val="none"/>
        </w:rPr>
      </w:pPr>
    </w:p>
    <w:p w14:paraId="508FE14F">
      <w:pPr>
        <w:pStyle w:val="10"/>
        <w:rPr>
          <w:rFonts w:hint="eastAsia"/>
          <w:color w:val="auto"/>
          <w:szCs w:val="21"/>
          <w:highlight w:val="none"/>
        </w:rPr>
      </w:pPr>
    </w:p>
    <w:p w14:paraId="7A8E85FB">
      <w:pPr>
        <w:pStyle w:val="5"/>
        <w:ind w:left="0" w:leftChars="0" w:firstLine="0" w:firstLineChars="0"/>
        <w:rPr>
          <w:rFonts w:hint="eastAsia"/>
          <w:color w:val="auto"/>
          <w:highlight w:val="none"/>
        </w:rPr>
      </w:pPr>
    </w:p>
    <w:p w14:paraId="7721560E">
      <w:pPr>
        <w:pStyle w:val="29"/>
        <w:rPr>
          <w:rFonts w:cs="Times New Roman"/>
          <w:color w:val="auto"/>
          <w:szCs w:val="28"/>
          <w:highlight w:val="none"/>
        </w:rPr>
      </w:pPr>
      <w:bookmarkStart w:id="212" w:name="_Toc365645477"/>
      <w:bookmarkStart w:id="213" w:name="_Toc370743414"/>
      <w:bookmarkStart w:id="214" w:name="_Toc148964085"/>
      <w:r>
        <w:rPr>
          <w:rFonts w:hint="eastAsia" w:cs="Times New Roman"/>
          <w:color w:val="auto"/>
          <w:szCs w:val="28"/>
          <w:highlight w:val="none"/>
        </w:rPr>
        <w:t>七</w:t>
      </w:r>
      <w:r>
        <w:rPr>
          <w:rFonts w:cs="Times New Roman"/>
          <w:color w:val="auto"/>
          <w:szCs w:val="28"/>
          <w:highlight w:val="none"/>
        </w:rPr>
        <w:t>、台州市建设工程诚信投标承诺书</w:t>
      </w:r>
      <w:bookmarkEnd w:id="212"/>
      <w:bookmarkEnd w:id="213"/>
      <w:bookmarkEnd w:id="214"/>
    </w:p>
    <w:p w14:paraId="4D71546C">
      <w:pPr>
        <w:spacing w:line="440" w:lineRule="exact"/>
        <w:ind w:firstLine="700" w:firstLineChars="250"/>
        <w:jc w:val="center"/>
        <w:rPr>
          <w:rFonts w:eastAsia="黑体"/>
          <w:color w:val="auto"/>
          <w:sz w:val="28"/>
          <w:szCs w:val="28"/>
          <w:highlight w:val="none"/>
        </w:rPr>
      </w:pPr>
    </w:p>
    <w:p w14:paraId="0A8F39FF">
      <w:pPr>
        <w:spacing w:line="360" w:lineRule="auto"/>
        <w:jc w:val="center"/>
        <w:rPr>
          <w:color w:val="auto"/>
          <w:sz w:val="24"/>
          <w:highlight w:val="none"/>
        </w:rPr>
      </w:pPr>
      <w:r>
        <w:rPr>
          <w:rFonts w:eastAsia="黑体"/>
          <w:color w:val="auto"/>
          <w:sz w:val="44"/>
          <w:highlight w:val="none"/>
        </w:rPr>
        <w:t>台州市建设工程诚信投标承诺书</w:t>
      </w:r>
    </w:p>
    <w:p w14:paraId="6572429F">
      <w:pPr>
        <w:adjustRightInd w:val="0"/>
        <w:snapToGrid w:val="0"/>
        <w:spacing w:line="480" w:lineRule="exact"/>
        <w:ind w:firstLine="491" w:firstLineChars="205"/>
        <w:rPr>
          <w:color w:val="auto"/>
          <w:sz w:val="24"/>
          <w:highlight w:val="none"/>
        </w:rPr>
      </w:pPr>
      <w:r>
        <w:rPr>
          <w:color w:val="auto"/>
          <w:sz w:val="24"/>
          <w:highlight w:val="none"/>
        </w:rPr>
        <w:t>本人以企业法定代表人的身份郑重承诺：</w:t>
      </w:r>
    </w:p>
    <w:p w14:paraId="2C0C651D">
      <w:pPr>
        <w:adjustRightInd w:val="0"/>
        <w:snapToGrid w:val="0"/>
        <w:spacing w:line="480" w:lineRule="exact"/>
        <w:ind w:firstLine="513" w:firstLineChars="214"/>
        <w:rPr>
          <w:color w:val="auto"/>
          <w:sz w:val="24"/>
          <w:highlight w:val="none"/>
        </w:rPr>
      </w:pPr>
      <w:r>
        <w:rPr>
          <w:color w:val="auto"/>
          <w:sz w:val="24"/>
          <w:highlight w:val="none"/>
        </w:rPr>
        <w:t>一、将遵循公开、公平、公正和诚实信用的原则参加</w:t>
      </w:r>
      <w:r>
        <w:rPr>
          <w:color w:val="auto"/>
          <w:sz w:val="24"/>
          <w:highlight w:val="none"/>
          <w:u w:val="single"/>
        </w:rPr>
        <w:t xml:space="preserve">                  </w:t>
      </w:r>
      <w:r>
        <w:rPr>
          <w:color w:val="auto"/>
          <w:sz w:val="24"/>
          <w:highlight w:val="none"/>
        </w:rPr>
        <w:t>（工程项目名称）的投标；</w:t>
      </w:r>
    </w:p>
    <w:p w14:paraId="110AF320">
      <w:pPr>
        <w:adjustRightInd w:val="0"/>
        <w:snapToGrid w:val="0"/>
        <w:spacing w:line="480" w:lineRule="exact"/>
        <w:ind w:firstLine="523" w:firstLineChars="218"/>
        <w:rPr>
          <w:color w:val="auto"/>
          <w:sz w:val="24"/>
          <w:highlight w:val="none"/>
        </w:rPr>
      </w:pPr>
      <w:r>
        <w:rPr>
          <w:color w:val="auto"/>
          <w:sz w:val="24"/>
          <w:highlight w:val="none"/>
        </w:rPr>
        <w:t>二、所提供的一切材料都是真实、有效、合法的；</w:t>
      </w:r>
    </w:p>
    <w:p w14:paraId="52F5057D">
      <w:pPr>
        <w:adjustRightInd w:val="0"/>
        <w:snapToGrid w:val="0"/>
        <w:spacing w:line="480" w:lineRule="exact"/>
        <w:ind w:firstLine="535" w:firstLineChars="223"/>
        <w:rPr>
          <w:color w:val="auto"/>
          <w:sz w:val="24"/>
          <w:highlight w:val="none"/>
        </w:rPr>
      </w:pPr>
      <w:r>
        <w:rPr>
          <w:color w:val="auto"/>
          <w:sz w:val="24"/>
          <w:highlight w:val="none"/>
        </w:rPr>
        <w:t>三、本公司的投标资格已按照《台州市建设工程投标人资格自查表》和《台州市建设工程投标项目负责人资格自查表》逐条自查，并如实填写；</w:t>
      </w:r>
    </w:p>
    <w:p w14:paraId="11E68EA3">
      <w:pPr>
        <w:adjustRightInd w:val="0"/>
        <w:snapToGrid w:val="0"/>
        <w:spacing w:line="480" w:lineRule="exact"/>
        <w:ind w:firstLine="480" w:firstLineChars="200"/>
        <w:rPr>
          <w:color w:val="auto"/>
          <w:sz w:val="24"/>
          <w:highlight w:val="none"/>
        </w:rPr>
      </w:pPr>
      <w:r>
        <w:rPr>
          <w:color w:val="auto"/>
          <w:sz w:val="24"/>
          <w:highlight w:val="none"/>
        </w:rPr>
        <w:t>四、不存在串通投标行为（包括不存在招标文件</w:t>
      </w:r>
      <w:r>
        <w:rPr>
          <w:rFonts w:hint="eastAsia"/>
          <w:color w:val="auto"/>
          <w:sz w:val="24"/>
          <w:highlight w:val="none"/>
        </w:rPr>
        <w:t>第三章“评标办法”第3.1.2和第3.1.3项规定的情形</w:t>
      </w:r>
      <w:r>
        <w:rPr>
          <w:color w:val="auto"/>
          <w:sz w:val="24"/>
          <w:highlight w:val="none"/>
        </w:rPr>
        <w:t>）；</w:t>
      </w:r>
    </w:p>
    <w:p w14:paraId="0660E5CA">
      <w:pPr>
        <w:adjustRightInd w:val="0"/>
        <w:snapToGrid w:val="0"/>
        <w:spacing w:line="480" w:lineRule="exact"/>
        <w:ind w:firstLine="513" w:firstLineChars="214"/>
        <w:rPr>
          <w:color w:val="auto"/>
          <w:sz w:val="24"/>
          <w:highlight w:val="none"/>
        </w:rPr>
      </w:pPr>
      <w:r>
        <w:rPr>
          <w:color w:val="auto"/>
          <w:sz w:val="24"/>
          <w:highlight w:val="none"/>
        </w:rPr>
        <w:t>五、不存在他人以本公司名义投标或者不存在以其他方式弄虚作假的行为；</w:t>
      </w:r>
    </w:p>
    <w:p w14:paraId="38B76560">
      <w:pPr>
        <w:adjustRightInd w:val="0"/>
        <w:snapToGrid w:val="0"/>
        <w:spacing w:line="480" w:lineRule="exact"/>
        <w:ind w:firstLine="513" w:firstLineChars="214"/>
        <w:rPr>
          <w:color w:val="auto"/>
          <w:sz w:val="24"/>
          <w:highlight w:val="none"/>
        </w:rPr>
      </w:pPr>
      <w:r>
        <w:rPr>
          <w:color w:val="auto"/>
          <w:sz w:val="24"/>
          <w:highlight w:val="none"/>
        </w:rPr>
        <w:t>六、不存在向招标人或者评标委员会成员行贿以牟取中标的行为。</w:t>
      </w:r>
    </w:p>
    <w:p w14:paraId="549AA94D">
      <w:pPr>
        <w:adjustRightInd w:val="0"/>
        <w:snapToGrid w:val="0"/>
        <w:spacing w:line="480" w:lineRule="exact"/>
        <w:ind w:firstLine="516" w:firstLineChars="214"/>
        <w:rPr>
          <w:rFonts w:hint="eastAsia"/>
          <w:b/>
          <w:color w:val="auto"/>
          <w:sz w:val="24"/>
          <w:highlight w:val="none"/>
        </w:rPr>
      </w:pPr>
      <w:r>
        <w:rPr>
          <w:rFonts w:hint="eastAsia"/>
          <w:b/>
          <w:color w:val="auto"/>
          <w:sz w:val="24"/>
          <w:highlight w:val="none"/>
        </w:rPr>
        <w:t>七</w:t>
      </w:r>
      <w:r>
        <w:rPr>
          <w:b/>
          <w:color w:val="auto"/>
          <w:sz w:val="24"/>
          <w:highlight w:val="none"/>
        </w:rPr>
        <w:t>、</w:t>
      </w:r>
      <w:r>
        <w:rPr>
          <w:rFonts w:hint="eastAsia"/>
          <w:b/>
          <w:color w:val="auto"/>
          <w:sz w:val="24"/>
          <w:highlight w:val="none"/>
        </w:rPr>
        <w:t>承诺我单位在投标期间（招标公告发布之日至中标通知书发出之日），参与投标资质在“浙江省建筑市场监管公共服务系统”上动态核查结果处于“合格”状态，若为“不合格”状态（或者资质“合格”状态的等级低于投标要求的资质等级）同意作否决投标处理或取消中标资格。</w:t>
      </w:r>
    </w:p>
    <w:p w14:paraId="7E6E9CF2">
      <w:pPr>
        <w:adjustRightInd w:val="0"/>
        <w:snapToGrid w:val="0"/>
        <w:spacing w:line="480" w:lineRule="exact"/>
        <w:ind w:firstLine="513" w:firstLineChars="214"/>
        <w:rPr>
          <w:color w:val="auto"/>
          <w:sz w:val="24"/>
          <w:highlight w:val="none"/>
          <w:u w:val="single"/>
        </w:rPr>
      </w:pPr>
      <w:r>
        <w:rPr>
          <w:color w:val="auto"/>
          <w:sz w:val="24"/>
          <w:highlight w:val="none"/>
        </w:rPr>
        <w:t>如招标人需要调查了解的，本公司负责本次投标的主管人员（分管经营的副总）将积极配合。主管人员：</w:t>
      </w:r>
      <w:r>
        <w:rPr>
          <w:color w:val="auto"/>
          <w:sz w:val="24"/>
          <w:highlight w:val="none"/>
          <w:u w:val="single"/>
        </w:rPr>
        <w:t xml:space="preserve">            </w:t>
      </w:r>
      <w:r>
        <w:rPr>
          <w:color w:val="auto"/>
          <w:sz w:val="24"/>
          <w:highlight w:val="none"/>
        </w:rPr>
        <w:t xml:space="preserve">      手机：</w:t>
      </w:r>
      <w:r>
        <w:rPr>
          <w:color w:val="auto"/>
          <w:sz w:val="24"/>
          <w:highlight w:val="none"/>
          <w:u w:val="single"/>
        </w:rPr>
        <w:t xml:space="preserve">                </w:t>
      </w:r>
    </w:p>
    <w:p w14:paraId="55957B58">
      <w:pPr>
        <w:adjustRightInd w:val="0"/>
        <w:snapToGrid w:val="0"/>
        <w:spacing w:line="480" w:lineRule="exact"/>
        <w:ind w:firstLine="482" w:firstLineChars="200"/>
        <w:rPr>
          <w:b/>
          <w:color w:val="auto"/>
          <w:sz w:val="24"/>
          <w:highlight w:val="none"/>
        </w:rPr>
      </w:pPr>
      <w:r>
        <w:rPr>
          <w:b/>
          <w:color w:val="auto"/>
          <w:sz w:val="24"/>
          <w:highlight w:val="none"/>
        </w:rPr>
        <w:t>本公司若有违反本承诺内容的行为，愿意按招标文件规定接受投标担保的处理。如已中标的，自动放弃中标资格；给招标人造成损失的，依法承担赔偿责任。</w:t>
      </w:r>
    </w:p>
    <w:p w14:paraId="1EED55A5">
      <w:pPr>
        <w:adjustRightInd w:val="0"/>
        <w:snapToGrid w:val="0"/>
        <w:spacing w:line="480" w:lineRule="exact"/>
        <w:rPr>
          <w:color w:val="auto"/>
          <w:sz w:val="24"/>
          <w:highlight w:val="none"/>
          <w:u w:val="single"/>
        </w:rPr>
      </w:pPr>
    </w:p>
    <w:p w14:paraId="35267D46">
      <w:pPr>
        <w:adjustRightInd w:val="0"/>
        <w:snapToGrid w:val="0"/>
        <w:spacing w:line="480" w:lineRule="exact"/>
        <w:rPr>
          <w:rFonts w:hint="eastAsia"/>
          <w:color w:val="auto"/>
          <w:sz w:val="24"/>
          <w:highlight w:val="none"/>
          <w:u w:val="single"/>
        </w:rPr>
      </w:pPr>
    </w:p>
    <w:p w14:paraId="2B8D827F">
      <w:pPr>
        <w:adjustRightInd w:val="0"/>
        <w:snapToGrid w:val="0"/>
        <w:spacing w:line="480" w:lineRule="exact"/>
        <w:ind w:firstLine="3360" w:firstLineChars="1400"/>
        <w:rPr>
          <w:color w:val="auto"/>
          <w:sz w:val="24"/>
          <w:highlight w:val="none"/>
        </w:rPr>
      </w:pPr>
      <w:r>
        <w:rPr>
          <w:color w:val="auto"/>
          <w:sz w:val="24"/>
          <w:highlight w:val="none"/>
        </w:rPr>
        <w:t>法定代表人（签字或盖章）：</w:t>
      </w:r>
    </w:p>
    <w:p w14:paraId="058023E3">
      <w:pPr>
        <w:adjustRightInd w:val="0"/>
        <w:snapToGrid w:val="0"/>
        <w:spacing w:line="480" w:lineRule="exact"/>
        <w:ind w:firstLine="3360" w:firstLineChars="1400"/>
        <w:rPr>
          <w:rFonts w:hint="eastAsia"/>
          <w:color w:val="auto"/>
          <w:sz w:val="24"/>
          <w:highlight w:val="none"/>
        </w:rPr>
      </w:pPr>
    </w:p>
    <w:p w14:paraId="6C14BD88">
      <w:pPr>
        <w:adjustRightInd w:val="0"/>
        <w:snapToGrid w:val="0"/>
        <w:spacing w:line="480" w:lineRule="exact"/>
        <w:ind w:firstLine="3360" w:firstLineChars="1400"/>
        <w:rPr>
          <w:color w:val="auto"/>
          <w:sz w:val="24"/>
          <w:highlight w:val="none"/>
        </w:rPr>
      </w:pPr>
      <w:r>
        <w:rPr>
          <w:color w:val="auto"/>
          <w:sz w:val="24"/>
          <w:highlight w:val="none"/>
        </w:rPr>
        <w:t>投  标  人（盖章）：</w:t>
      </w:r>
    </w:p>
    <w:p w14:paraId="288F550E">
      <w:pPr>
        <w:spacing w:line="480" w:lineRule="exact"/>
        <w:jc w:val="right"/>
        <w:rPr>
          <w:color w:val="auto"/>
          <w:sz w:val="24"/>
          <w:highlight w:val="none"/>
        </w:rPr>
      </w:pPr>
      <w:r>
        <w:rPr>
          <w:color w:val="auto"/>
          <w:sz w:val="24"/>
          <w:highlight w:val="none"/>
        </w:rPr>
        <w:t xml:space="preserve">       年    月    日</w:t>
      </w:r>
    </w:p>
    <w:p w14:paraId="44374449">
      <w:pPr>
        <w:pStyle w:val="29"/>
        <w:rPr>
          <w:rFonts w:cs="Times New Roman"/>
          <w:color w:val="auto"/>
          <w:szCs w:val="28"/>
          <w:highlight w:val="none"/>
        </w:rPr>
      </w:pPr>
      <w:r>
        <w:rPr>
          <w:color w:val="auto"/>
          <w:sz w:val="24"/>
          <w:highlight w:val="none"/>
        </w:rPr>
        <w:br w:type="page"/>
      </w:r>
      <w:bookmarkStart w:id="215" w:name="_Toc148964087"/>
      <w:r>
        <w:rPr>
          <w:rFonts w:hint="eastAsia" w:cs="Times New Roman"/>
          <w:color w:val="auto"/>
          <w:szCs w:val="28"/>
          <w:highlight w:val="none"/>
        </w:rPr>
        <w:t>八</w:t>
      </w:r>
      <w:r>
        <w:rPr>
          <w:rFonts w:cs="Times New Roman"/>
          <w:color w:val="auto"/>
          <w:szCs w:val="28"/>
          <w:highlight w:val="none"/>
        </w:rPr>
        <w:t>、法定代表人授权委托书</w:t>
      </w:r>
      <w:bookmarkEnd w:id="215"/>
    </w:p>
    <w:p w14:paraId="72A9B679">
      <w:pPr>
        <w:pStyle w:val="29"/>
        <w:rPr>
          <w:rFonts w:hint="eastAsia" w:cs="Times New Roman"/>
          <w:color w:val="auto"/>
          <w:szCs w:val="28"/>
          <w:highlight w:val="none"/>
        </w:rPr>
      </w:pPr>
    </w:p>
    <w:p w14:paraId="720D02A2">
      <w:pPr>
        <w:adjustRightInd w:val="0"/>
        <w:snapToGrid w:val="0"/>
        <w:spacing w:before="156" w:beforeLines="50" w:line="360" w:lineRule="auto"/>
        <w:jc w:val="center"/>
        <w:rPr>
          <w:rFonts w:eastAsia="黑体"/>
          <w:color w:val="auto"/>
          <w:sz w:val="44"/>
          <w:highlight w:val="none"/>
        </w:rPr>
      </w:pPr>
      <w:r>
        <w:rPr>
          <w:rFonts w:eastAsia="黑体"/>
          <w:color w:val="auto"/>
          <w:sz w:val="44"/>
          <w:highlight w:val="none"/>
        </w:rPr>
        <w:t>法定代表人授权委托书</w:t>
      </w:r>
    </w:p>
    <w:p w14:paraId="1E42DEB7">
      <w:pPr>
        <w:adjustRightInd w:val="0"/>
        <w:snapToGrid w:val="0"/>
        <w:spacing w:before="156" w:beforeLines="50" w:line="360" w:lineRule="auto"/>
        <w:jc w:val="center"/>
        <w:rPr>
          <w:color w:val="auto"/>
          <w:sz w:val="28"/>
          <w:highlight w:val="none"/>
        </w:rPr>
      </w:pPr>
      <w:r>
        <w:rPr>
          <w:color w:val="auto"/>
          <w:sz w:val="28"/>
          <w:highlight w:val="none"/>
        </w:rPr>
        <w:t>（参考样张）</w:t>
      </w:r>
    </w:p>
    <w:p w14:paraId="4CCC99D6">
      <w:pPr>
        <w:snapToGrid w:val="0"/>
        <w:spacing w:before="156" w:beforeLines="50" w:line="40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本授权委托书声明：我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（投标单位名称）的法定代表人，现授权委托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（姓名）在  </w:t>
      </w:r>
      <w:r>
        <w:rPr>
          <w:rFonts w:ascii="宋体" w:hAnsi="宋体" w:cs="宋体"/>
          <w:color w:val="auto"/>
          <w:sz w:val="24"/>
          <w:highlight w:val="none"/>
        </w:rPr>
        <w:t xml:space="preserve"> </w:t>
      </w:r>
      <w:r>
        <w:rPr>
          <w:rFonts w:hint="eastAsia" w:ascii="宋体" w:hAnsi="宋体" w:cs="宋体"/>
          <w:color w:val="auto"/>
          <w:sz w:val="24"/>
          <w:highlight w:val="none"/>
        </w:rPr>
        <w:t xml:space="preserve"> 年 </w:t>
      </w:r>
      <w:r>
        <w:rPr>
          <w:rFonts w:ascii="宋体" w:hAnsi="宋体" w:cs="宋体"/>
          <w:color w:val="auto"/>
          <w:sz w:val="24"/>
          <w:highlight w:val="none"/>
        </w:rPr>
        <w:t xml:space="preserve"> </w:t>
      </w:r>
      <w:r>
        <w:rPr>
          <w:rFonts w:hint="eastAsia" w:ascii="宋体" w:hAnsi="宋体" w:cs="宋体"/>
          <w:color w:val="auto"/>
          <w:sz w:val="24"/>
          <w:highlight w:val="none"/>
        </w:rPr>
        <w:t>月   日至       年    月    日（代理时限）为我公司的代理人，以本公司的名义参加</w:t>
      </w:r>
      <w:r>
        <w:rPr>
          <w:rFonts w:hint="eastAsia" w:ascii="宋体" w:hAnsi="宋体" w:cs="宋体"/>
          <w:color w:val="auto"/>
          <w:sz w:val="24"/>
          <w:highlight w:val="none"/>
          <w:u w:val="single"/>
        </w:rPr>
        <w:t xml:space="preserve">     工程     </w:t>
      </w:r>
      <w:r>
        <w:rPr>
          <w:rFonts w:hint="eastAsia" w:ascii="宋体" w:hAnsi="宋体" w:cs="宋体"/>
          <w:color w:val="auto"/>
          <w:sz w:val="24"/>
          <w:highlight w:val="none"/>
        </w:rPr>
        <w:t>的投标活动。代理人在代理时间内参加投标、开标、询标过程中所签署的一切文件和处理与之相关的一切事务，本人均予以承认</w:t>
      </w:r>
    </w:p>
    <w:p w14:paraId="3CBAE7E7">
      <w:pPr>
        <w:snapToGrid w:val="0"/>
        <w:spacing w:before="156" w:beforeLines="50"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代理人无权转委托，特此委托。</w:t>
      </w:r>
    </w:p>
    <w:p w14:paraId="34AD0929">
      <w:pPr>
        <w:pStyle w:val="15"/>
        <w:spacing w:line="400" w:lineRule="exact"/>
        <w:ind w:left="420"/>
        <w:rPr>
          <w:rFonts w:ascii="宋体" w:hAnsi="宋体" w:cs="宋体"/>
          <w:color w:val="auto"/>
          <w:highlight w:val="none"/>
        </w:rPr>
      </w:pPr>
      <w:r>
        <w:rPr>
          <w:rFonts w:hint="eastAsia" w:ascii="宋体" w:hAnsi="宋体" w:cs="宋体"/>
          <w:color w:val="auto"/>
          <w:highlight w:val="none"/>
        </w:rPr>
        <w:t xml:space="preserve"> 代理人手机号码：</w:t>
      </w:r>
      <w:r>
        <w:rPr>
          <w:rFonts w:hint="eastAsia" w:ascii="宋体" w:hAnsi="宋体" w:cs="宋体"/>
          <w:color w:val="auto"/>
          <w:highlight w:val="none"/>
          <w:u w:val="single"/>
        </w:rPr>
        <w:t xml:space="preserve">              </w:t>
      </w:r>
    </w:p>
    <w:p w14:paraId="55E38607">
      <w:pPr>
        <w:snapToGrid w:val="0"/>
        <w:spacing w:before="156" w:beforeLines="50"/>
        <w:ind w:firstLine="420" w:firstLineChars="200"/>
        <w:rPr>
          <w:color w:val="auto"/>
          <w:sz w:val="28"/>
          <w:highlight w:val="none"/>
        </w:rPr>
      </w:pPr>
      <w:r>
        <w:rPr>
          <w:rFonts w:hint="eastAsia" w:ascii="宋体" w:hAnsi="宋体" w:cs="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650875</wp:posOffset>
                </wp:positionH>
                <wp:positionV relativeFrom="paragraph">
                  <wp:posOffset>71120</wp:posOffset>
                </wp:positionV>
                <wp:extent cx="3251200" cy="3576955"/>
                <wp:effectExtent l="12700" t="12700" r="12700" b="22225"/>
                <wp:wrapNone/>
                <wp:docPr id="1" name="矩形 1"/>
                <wp:cNvGraphicFramePr/>
                <a:graphic xmlns:a="http://schemas.openxmlformats.org/drawingml/2006/main">
                  <a:graphicData uri="http://schemas.microsoft.com/office/word/2010/wordprocessingShape">
                    <wps:wsp>
                      <wps:cNvSpPr/>
                      <wps:spPr>
                        <a:xfrm>
                          <a:off x="1808480" y="6329680"/>
                          <a:ext cx="4781550" cy="4652645"/>
                        </a:xfrm>
                        <a:prstGeom prst="rect">
                          <a:avLst/>
                        </a:prstGeom>
                        <a:noFill/>
                        <a:ln w="25400" cap="flat" cmpd="sng" algn="ctr">
                          <a:solidFill>
                            <a:srgbClr val="00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1.25pt;margin-top:5.6pt;height:281.65pt;width:256pt;z-index:251662336;v-text-anchor:middle;mso-width-relative:page;mso-height-relative:page;" filled="f" stroked="t" coordsize="21600,21600" o:gfxdata="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JZ6mk7XAAAACgEAAA8AAAAAAAAAAQAgAAAAIgAAAGRycy9kb3ducmV2Lnht&#10;bFBLAQIUABQAAAAIAIdO4kCkIO+dbAIAAM8EAAAOAAAAAAAAAAEAIAAAACYBAABkcnMvZTJvRG9j&#10;LnhtbFBLBQYAAAAABgAGAFkBAAAEBgAAAAA=&#10;">
                <v:fill on="f" focussize="0,0"/>
                <v:stroke weight="2pt" color="#000000" joinstyle="round"/>
                <v:imagedata o:title=""/>
                <o:lock v:ext="edit" aspectratio="f"/>
              </v:rect>
            </w:pict>
          </mc:Fallback>
        </mc:AlternateContent>
      </w:r>
      <w:r>
        <w:rPr>
          <w:rFonts w:hint="eastAsia"/>
          <w:color w:val="auto"/>
          <w:sz w:val="28"/>
          <w:highlight w:val="none"/>
        </w:rPr>
        <w:t>附</w:t>
      </w:r>
    </w:p>
    <w:p w14:paraId="5169BA00">
      <w:pPr>
        <w:rPr>
          <w:color w:val="auto"/>
          <w:highlight w:val="none"/>
        </w:rPr>
      </w:pPr>
    </w:p>
    <w:p w14:paraId="1A1DF012">
      <w:pPr>
        <w:snapToGrid w:val="0"/>
        <w:ind w:firstLine="420" w:firstLineChars="200"/>
        <w:rPr>
          <w:color w:val="auto"/>
          <w:highlight w:val="none"/>
        </w:rPr>
      </w:pPr>
    </w:p>
    <w:p w14:paraId="4F873666">
      <w:pPr>
        <w:wordWrap w:val="0"/>
        <w:snapToGrid w:val="0"/>
        <w:ind w:firstLine="640" w:firstLineChars="200"/>
        <w:jc w:val="right"/>
        <w:rPr>
          <w:rFonts w:hint="eastAsia" w:ascii="宋体" w:hAnsi="宋体"/>
          <w:bCs/>
          <w:color w:val="auto"/>
          <w:sz w:val="32"/>
          <w:szCs w:val="32"/>
          <w:highlight w:val="none"/>
        </w:rPr>
      </w:pPr>
    </w:p>
    <w:p w14:paraId="75CAC97E">
      <w:pPr>
        <w:wordWrap w:val="0"/>
        <w:snapToGrid w:val="0"/>
        <w:ind w:firstLine="420" w:firstLineChars="200"/>
        <w:jc w:val="right"/>
        <w:rPr>
          <w:rFonts w:hint="eastAsia" w:ascii="宋体" w:hAnsi="宋体"/>
          <w:bCs/>
          <w:color w:val="auto"/>
          <w:sz w:val="32"/>
          <w:szCs w:val="32"/>
          <w:highlight w:val="none"/>
        </w:rPr>
      </w:pPr>
      <w:r>
        <w:rPr>
          <w:color w:val="auto"/>
          <w:highlight w:val="none"/>
        </w:rPr>
        <mc:AlternateContent>
          <mc:Choice Requires="wps">
            <w:drawing>
              <wp:anchor distT="0" distB="0" distL="114300" distR="114300" simplePos="0" relativeHeight="251664384" behindDoc="0" locked="0" layoutInCell="1" allowOverlap="1">
                <wp:simplePos x="0" y="0"/>
                <wp:positionH relativeFrom="column">
                  <wp:posOffset>1327150</wp:posOffset>
                </wp:positionH>
                <wp:positionV relativeFrom="paragraph">
                  <wp:posOffset>100330</wp:posOffset>
                </wp:positionV>
                <wp:extent cx="2364105" cy="408940"/>
                <wp:effectExtent l="4445" t="4445" r="8890" b="13335"/>
                <wp:wrapNone/>
                <wp:docPr id="2" name="文本框 5"/>
                <wp:cNvGraphicFramePr/>
                <a:graphic xmlns:a="http://schemas.openxmlformats.org/drawingml/2006/main">
                  <a:graphicData uri="http://schemas.microsoft.com/office/word/2010/wordprocessingShape">
                    <wps:wsp>
                      <wps:cNvSpPr txBox="1"/>
                      <wps:spPr>
                        <a:xfrm>
                          <a:off x="2303780" y="6463030"/>
                          <a:ext cx="3476625" cy="324485"/>
                        </a:xfrm>
                        <a:prstGeom prst="rect">
                          <a:avLst/>
                        </a:prstGeom>
                        <a:solidFill>
                          <a:srgbClr val="FFFFFF"/>
                        </a:solidFill>
                        <a:ln w="6350">
                          <a:solidFill>
                            <a:prstClr val="black"/>
                          </a:solidFill>
                        </a:ln>
                        <a:effectLst/>
                      </wps:spPr>
                      <wps:txbx>
                        <w:txbxContent>
                          <w:p w14:paraId="2073A371">
                            <w:pPr>
                              <w:jc w:val="center"/>
                              <w:rPr>
                                <w:rFonts w:hint="eastAsia"/>
                              </w:rPr>
                            </w:pPr>
                            <w:r>
                              <w:rPr>
                                <w:rFonts w:hint="eastAsia"/>
                              </w:rPr>
                              <w:t>代理人身份证正面复印件粘贴处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5" o:spid="_x0000_s1026" o:spt="202" type="#_x0000_t202" style="position:absolute;left:0pt;margin-left:104.5pt;margin-top:7.9pt;height:32.2pt;width:186.15pt;z-index:251664384;mso-width-relative:page;mso-height-relative:page;" fillcolor="#FFFFFF" filled="t" stroked="t" coordsize="21600,21600" o:gfxdata="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AAAAAGRycy9QSwEC&#10;FAAUAAAACACHTuJA849QJ9YAAAAJAQAADwAAAAAAAAABACAAAAAiAAAAZHJzL2Rvd25yZXYueG1s&#10;UEsBAhQAFAAAAAgAh07iQI4fKdtsAgAA0QQAAA4AAAAAAAAAAQAgAAAAJQEAAGRycy9lMm9Eb2Mu&#10;eG1sUEsFBgAAAAAGAAYAWQEAAAMGAAAAAA==&#10;">
                <v:fill on="t" focussize="0,0"/>
                <v:stroke weight="0.5pt" color="#000000" joinstyle="round"/>
                <v:imagedata o:title=""/>
                <o:lock v:ext="edit" aspectratio="f"/>
                <v:textbox>
                  <w:txbxContent>
                    <w:p w14:paraId="2073A371">
                      <w:pPr>
                        <w:jc w:val="center"/>
                        <w:rPr>
                          <w:rFonts w:hint="eastAsia"/>
                        </w:rPr>
                      </w:pPr>
                      <w:r>
                        <w:rPr>
                          <w:rFonts w:hint="eastAsia"/>
                        </w:rPr>
                        <w:t>代理人身份证正面复印件粘贴处</w:t>
                      </w:r>
                    </w:p>
                  </w:txbxContent>
                </v:textbox>
              </v:shape>
            </w:pict>
          </mc:Fallback>
        </mc:AlternateContent>
      </w:r>
    </w:p>
    <w:p w14:paraId="4A057770">
      <w:pPr>
        <w:wordWrap w:val="0"/>
        <w:snapToGrid w:val="0"/>
        <w:ind w:firstLine="640" w:firstLineChars="200"/>
        <w:jc w:val="right"/>
        <w:rPr>
          <w:rFonts w:hint="eastAsia" w:ascii="宋体" w:hAnsi="宋体"/>
          <w:bCs/>
          <w:color w:val="auto"/>
          <w:sz w:val="32"/>
          <w:szCs w:val="32"/>
          <w:highlight w:val="none"/>
        </w:rPr>
      </w:pPr>
    </w:p>
    <w:p w14:paraId="0779A7B9">
      <w:pPr>
        <w:wordWrap w:val="0"/>
        <w:snapToGrid w:val="0"/>
        <w:ind w:firstLine="640" w:firstLineChars="200"/>
        <w:jc w:val="right"/>
        <w:rPr>
          <w:rFonts w:hint="eastAsia" w:ascii="宋体" w:hAnsi="宋体"/>
          <w:bCs/>
          <w:color w:val="auto"/>
          <w:sz w:val="32"/>
          <w:szCs w:val="32"/>
          <w:highlight w:val="none"/>
        </w:rPr>
      </w:pPr>
    </w:p>
    <w:p w14:paraId="5ACE6780">
      <w:pPr>
        <w:wordWrap w:val="0"/>
        <w:snapToGrid w:val="0"/>
        <w:ind w:firstLine="640" w:firstLineChars="200"/>
        <w:jc w:val="right"/>
        <w:rPr>
          <w:rFonts w:hint="eastAsia" w:ascii="宋体" w:hAnsi="宋体"/>
          <w:bCs/>
          <w:color w:val="auto"/>
          <w:sz w:val="32"/>
          <w:szCs w:val="32"/>
          <w:highlight w:val="none"/>
        </w:rPr>
      </w:pPr>
    </w:p>
    <w:p w14:paraId="5B4FB869">
      <w:pPr>
        <w:wordWrap w:val="0"/>
        <w:snapToGrid w:val="0"/>
        <w:ind w:firstLine="420" w:firstLineChars="200"/>
        <w:jc w:val="right"/>
        <w:rPr>
          <w:rFonts w:hint="eastAsia" w:ascii="宋体" w:hAnsi="宋体"/>
          <w:bCs/>
          <w:color w:val="auto"/>
          <w:sz w:val="32"/>
          <w:szCs w:val="32"/>
          <w:highlight w:val="none"/>
        </w:rPr>
      </w:pPr>
      <w:r>
        <w:rPr>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687070</wp:posOffset>
                </wp:positionH>
                <wp:positionV relativeFrom="paragraph">
                  <wp:posOffset>9525</wp:posOffset>
                </wp:positionV>
                <wp:extent cx="3251200" cy="0"/>
                <wp:effectExtent l="0" t="4445" r="0" b="5080"/>
                <wp:wrapNone/>
                <wp:docPr id="3" name="直接连接符 4"/>
                <wp:cNvGraphicFramePr/>
                <a:graphic xmlns:a="http://schemas.openxmlformats.org/drawingml/2006/main">
                  <a:graphicData uri="http://schemas.microsoft.com/office/word/2010/wordprocessingShape">
                    <wps:wsp>
                      <wps:cNvCnPr>
                        <a:stCxn id="1" idx="1"/>
                        <a:endCxn id="1" idx="3"/>
                      </wps:cNvCnPr>
                      <wps:spPr>
                        <a:xfrm>
                          <a:off x="1732280" y="7520305"/>
                          <a:ext cx="4781550" cy="0"/>
                        </a:xfrm>
                        <a:prstGeom prst="line">
                          <a:avLst/>
                        </a:prstGeom>
                        <a:noFill/>
                        <a:ln w="9525" cap="flat" cmpd="sng" algn="ctr">
                          <a:solidFill>
                            <a:srgbClr val="000000"/>
                          </a:solidFill>
                          <a:prstDash val="solid"/>
                        </a:ln>
                        <a:effectLst/>
                      </wps:spPr>
                      <wps:bodyPr rot="0" vert="horz" wrap="square" lIns="91440" tIns="45720" rIns="91440" bIns="45720" anchor="t" anchorCtr="0"/>
                    </wps:wsp>
                  </a:graphicData>
                </a:graphic>
              </wp:anchor>
            </w:drawing>
          </mc:Choice>
          <mc:Fallback>
            <w:pict>
              <v:line id="直接连接符 4" o:spid="_x0000_s1026" o:spt="20" style="position:absolute;left:0pt;margin-left:54.1pt;margin-top:0.75pt;height:0pt;width:256pt;z-index:251663360;mso-width-relative:page;mso-height-relative:page;" filled="f" stroked="t" coordsize="21600,21600" o:gfxdata="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N8j5b9IAAAAHAQAADwAAAAAAAAABACAAAAAiAAAAZHJzL2Rvd25yZXYu&#10;eG1sUEsBAhQAFAAAAAgAh07iQP/upaU6AgAAYwQAAA4AAAAAAAAAAQAgAAAAIQEAAGRycy9lMm9E&#10;b2MueG1sUEsFBgAAAAAGAAYAWQEAAM0FAAAAAA==&#10;">
                <v:fill on="f" focussize="0,0"/>
                <v:stroke color="#000000" joinstyle="round"/>
                <v:imagedata o:title=""/>
                <o:lock v:ext="edit" aspectratio="f"/>
              </v:line>
            </w:pict>
          </mc:Fallback>
        </mc:AlternateContent>
      </w:r>
    </w:p>
    <w:p w14:paraId="13D96477">
      <w:pPr>
        <w:wordWrap w:val="0"/>
        <w:snapToGrid w:val="0"/>
        <w:ind w:firstLine="640" w:firstLineChars="200"/>
        <w:jc w:val="right"/>
        <w:rPr>
          <w:rFonts w:hint="eastAsia" w:ascii="宋体" w:hAnsi="宋体"/>
          <w:bCs/>
          <w:color w:val="auto"/>
          <w:sz w:val="32"/>
          <w:szCs w:val="32"/>
          <w:highlight w:val="none"/>
        </w:rPr>
      </w:pPr>
    </w:p>
    <w:p w14:paraId="1505C6A6">
      <w:pPr>
        <w:wordWrap w:val="0"/>
        <w:snapToGrid w:val="0"/>
        <w:ind w:firstLine="420" w:firstLineChars="200"/>
        <w:jc w:val="right"/>
        <w:rPr>
          <w:rFonts w:hint="eastAsia" w:ascii="宋体" w:hAnsi="宋体"/>
          <w:bCs/>
          <w:color w:val="auto"/>
          <w:sz w:val="32"/>
          <w:szCs w:val="32"/>
          <w:highlight w:val="none"/>
        </w:rPr>
      </w:pPr>
      <w:r>
        <w:rPr>
          <w:color w:val="auto"/>
          <w:highlight w:val="none"/>
        </w:rPr>
        <mc:AlternateContent>
          <mc:Choice Requires="wps">
            <w:drawing>
              <wp:anchor distT="0" distB="0" distL="114300" distR="114300" simplePos="0" relativeHeight="251665408" behindDoc="0" locked="0" layoutInCell="1" allowOverlap="1">
                <wp:simplePos x="0" y="0"/>
                <wp:positionH relativeFrom="column">
                  <wp:posOffset>934720</wp:posOffset>
                </wp:positionH>
                <wp:positionV relativeFrom="paragraph">
                  <wp:posOffset>10160</wp:posOffset>
                </wp:positionV>
                <wp:extent cx="2499360" cy="388620"/>
                <wp:effectExtent l="4445" t="4445" r="10795" b="18415"/>
                <wp:wrapNone/>
                <wp:docPr id="4" name="文本框 6"/>
                <wp:cNvGraphicFramePr/>
                <a:graphic xmlns:a="http://schemas.openxmlformats.org/drawingml/2006/main">
                  <a:graphicData uri="http://schemas.microsoft.com/office/word/2010/wordprocessingShape">
                    <wps:wsp>
                      <wps:cNvSpPr txBox="1"/>
                      <wps:spPr>
                        <a:xfrm>
                          <a:off x="0" y="0"/>
                          <a:ext cx="3476625" cy="324485"/>
                        </a:xfrm>
                        <a:prstGeom prst="rect">
                          <a:avLst/>
                        </a:prstGeom>
                        <a:solidFill>
                          <a:srgbClr val="FFFFFF"/>
                        </a:solidFill>
                        <a:ln w="6350">
                          <a:solidFill>
                            <a:prstClr val="black"/>
                          </a:solidFill>
                        </a:ln>
                        <a:effectLst/>
                      </wps:spPr>
                      <wps:txbx>
                        <w:txbxContent>
                          <w:p w14:paraId="26620413">
                            <w:pPr>
                              <w:jc w:val="center"/>
                              <w:rPr>
                                <w:rFonts w:hint="eastAsia"/>
                              </w:rPr>
                            </w:pPr>
                            <w:r>
                              <w:rPr>
                                <w:rFonts w:hint="eastAsia"/>
                              </w:rPr>
                              <w:t>代理人身份证背面复印件粘贴处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 o:spid="_x0000_s1026" o:spt="202" type="#_x0000_t202" style="position:absolute;left:0pt;margin-left:73.6pt;margin-top:0.8pt;height:30.6pt;width:196.8pt;z-index:251665408;mso-width-relative:page;mso-height-relative:page;" fillcolor="#FFFFFF" filled="t" stroked="t" coordsize="21600,21600" o:gfxdata="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H25&#10;5xfVAAAACAEAAA8AAAAAAAAAAQAgAAAAIgAAAGRycy9kb3ducmV2LnhtbFBLAQIUABQAAAAIAIdO&#10;4kBoU3hnXwIAAMUEAAAOAAAAAAAAAAEAIAAAACQBAABkcnMvZTJvRG9jLnhtbFBLBQYAAAAABgAG&#10;AFkBAAD1BQAAAAA=&#10;">
                <v:fill on="t" focussize="0,0"/>
                <v:stroke weight="0.5pt" color="#000000" joinstyle="round"/>
                <v:imagedata o:title=""/>
                <o:lock v:ext="edit" aspectratio="f"/>
                <v:textbox>
                  <w:txbxContent>
                    <w:p w14:paraId="26620413">
                      <w:pPr>
                        <w:jc w:val="center"/>
                        <w:rPr>
                          <w:rFonts w:hint="eastAsia"/>
                        </w:rPr>
                      </w:pPr>
                      <w:r>
                        <w:rPr>
                          <w:rFonts w:hint="eastAsia"/>
                        </w:rPr>
                        <w:t>代理人身份证背面复印件粘贴处</w:t>
                      </w:r>
                    </w:p>
                  </w:txbxContent>
                </v:textbox>
              </v:shape>
            </w:pict>
          </mc:Fallback>
        </mc:AlternateContent>
      </w:r>
    </w:p>
    <w:p w14:paraId="7AD3ACA8">
      <w:pPr>
        <w:wordWrap w:val="0"/>
        <w:snapToGrid w:val="0"/>
        <w:ind w:firstLine="640" w:firstLineChars="200"/>
        <w:jc w:val="right"/>
        <w:rPr>
          <w:rFonts w:hint="eastAsia" w:ascii="宋体" w:hAnsi="宋体"/>
          <w:bCs/>
          <w:color w:val="auto"/>
          <w:sz w:val="32"/>
          <w:szCs w:val="32"/>
          <w:highlight w:val="none"/>
        </w:rPr>
      </w:pPr>
    </w:p>
    <w:p w14:paraId="2E752335">
      <w:pPr>
        <w:wordWrap w:val="0"/>
        <w:snapToGrid w:val="0"/>
        <w:rPr>
          <w:rFonts w:hint="eastAsia" w:ascii="宋体" w:hAnsi="宋体"/>
          <w:bCs/>
          <w:color w:val="auto"/>
          <w:sz w:val="32"/>
          <w:szCs w:val="32"/>
          <w:highlight w:val="none"/>
        </w:rPr>
      </w:pPr>
    </w:p>
    <w:p w14:paraId="3B73665E">
      <w:pPr>
        <w:wordWrap w:val="0"/>
        <w:snapToGrid w:val="0"/>
        <w:ind w:firstLine="640" w:firstLineChars="200"/>
        <w:jc w:val="right"/>
        <w:rPr>
          <w:rFonts w:hint="eastAsia" w:ascii="宋体" w:hAnsi="宋体"/>
          <w:bCs/>
          <w:color w:val="auto"/>
          <w:sz w:val="32"/>
          <w:szCs w:val="32"/>
          <w:highlight w:val="none"/>
        </w:rPr>
      </w:pPr>
    </w:p>
    <w:p w14:paraId="06A084D8">
      <w:pPr>
        <w:snapToGrid w:val="0"/>
        <w:ind w:right="640"/>
        <w:rPr>
          <w:rFonts w:hint="eastAsia" w:ascii="宋体" w:hAnsi="宋体"/>
          <w:bCs/>
          <w:color w:val="auto"/>
          <w:sz w:val="32"/>
          <w:szCs w:val="32"/>
          <w:highlight w:val="none"/>
        </w:rPr>
      </w:pPr>
    </w:p>
    <w:p w14:paraId="5AEF5DA0">
      <w:pPr>
        <w:wordWrap w:val="0"/>
        <w:snapToGrid w:val="0"/>
        <w:ind w:firstLine="560" w:firstLineChars="200"/>
        <w:jc w:val="right"/>
        <w:rPr>
          <w:rFonts w:hint="eastAsia" w:ascii="宋体" w:hAnsi="宋体"/>
          <w:bCs/>
          <w:color w:val="auto"/>
          <w:sz w:val="28"/>
          <w:szCs w:val="28"/>
          <w:highlight w:val="none"/>
        </w:rPr>
      </w:pPr>
    </w:p>
    <w:p w14:paraId="2C5B3DA9">
      <w:pPr>
        <w:adjustRightInd w:val="0"/>
        <w:snapToGrid w:val="0"/>
        <w:spacing w:line="360" w:lineRule="auto"/>
        <w:rPr>
          <w:color w:val="auto"/>
          <w:sz w:val="24"/>
          <w:highlight w:val="none"/>
        </w:rPr>
      </w:pPr>
      <w:r>
        <w:rPr>
          <w:color w:val="auto"/>
          <w:sz w:val="24"/>
          <w:highlight w:val="none"/>
        </w:rPr>
        <w:t xml:space="preserve">法定代表人（签字或盖章）：              </w:t>
      </w:r>
    </w:p>
    <w:p w14:paraId="6FD729E8">
      <w:pPr>
        <w:adjustRightInd w:val="0"/>
        <w:snapToGrid w:val="0"/>
        <w:spacing w:line="360" w:lineRule="auto"/>
        <w:rPr>
          <w:color w:val="auto"/>
          <w:sz w:val="24"/>
          <w:highlight w:val="none"/>
        </w:rPr>
      </w:pPr>
      <w:r>
        <w:rPr>
          <w:color w:val="auto"/>
          <w:sz w:val="24"/>
          <w:highlight w:val="none"/>
        </w:rPr>
        <w:t>投  标  人（盖章）：                                年    月   日</w:t>
      </w:r>
    </w:p>
    <w:p w14:paraId="1EBF2733">
      <w:pPr>
        <w:pStyle w:val="10"/>
        <w:rPr>
          <w:color w:val="auto"/>
          <w:sz w:val="24"/>
          <w:highlight w:val="none"/>
        </w:rPr>
      </w:pPr>
    </w:p>
    <w:p w14:paraId="76B63DB4">
      <w:pPr>
        <w:pStyle w:val="5"/>
        <w:rPr>
          <w:rFonts w:hint="eastAsia"/>
          <w:color w:val="auto"/>
          <w:highlight w:val="none"/>
        </w:rPr>
      </w:pPr>
    </w:p>
    <w:p w14:paraId="296DCC1C">
      <w:pPr>
        <w:pStyle w:val="29"/>
        <w:rPr>
          <w:rFonts w:cs="Times New Roman"/>
          <w:color w:val="auto"/>
          <w:szCs w:val="28"/>
          <w:highlight w:val="none"/>
        </w:rPr>
      </w:pPr>
      <w:r>
        <w:rPr>
          <w:rFonts w:hint="eastAsia" w:cs="Times New Roman"/>
          <w:color w:val="auto"/>
          <w:szCs w:val="28"/>
          <w:highlight w:val="none"/>
        </w:rPr>
        <w:t>九</w:t>
      </w:r>
      <w:r>
        <w:rPr>
          <w:rFonts w:cs="Times New Roman"/>
          <w:color w:val="auto"/>
          <w:szCs w:val="28"/>
          <w:highlight w:val="none"/>
        </w:rPr>
        <w:t>、台州市建设工程安全生产任职资格承诺书</w:t>
      </w:r>
    </w:p>
    <w:p w14:paraId="4F3E3782">
      <w:pPr>
        <w:adjustRightInd w:val="0"/>
        <w:snapToGrid w:val="0"/>
        <w:spacing w:before="156" w:beforeLines="50" w:line="360" w:lineRule="auto"/>
        <w:rPr>
          <w:b/>
          <w:color w:val="auto"/>
          <w:sz w:val="28"/>
          <w:szCs w:val="28"/>
          <w:highlight w:val="none"/>
        </w:rPr>
      </w:pPr>
    </w:p>
    <w:p w14:paraId="50A82DAF">
      <w:pPr>
        <w:adjustRightInd w:val="0"/>
        <w:snapToGrid w:val="0"/>
        <w:spacing w:before="156" w:beforeLines="50" w:line="360" w:lineRule="auto"/>
        <w:rPr>
          <w:b/>
          <w:color w:val="auto"/>
          <w:sz w:val="28"/>
          <w:szCs w:val="28"/>
          <w:highlight w:val="none"/>
        </w:rPr>
      </w:pPr>
    </w:p>
    <w:p w14:paraId="4FD94BC6">
      <w:pPr>
        <w:adjustRightInd w:val="0"/>
        <w:snapToGrid w:val="0"/>
        <w:ind w:firstLine="1738" w:firstLineChars="541"/>
        <w:rPr>
          <w:b/>
          <w:color w:val="auto"/>
          <w:sz w:val="32"/>
          <w:szCs w:val="32"/>
          <w:highlight w:val="none"/>
        </w:rPr>
      </w:pPr>
      <w:r>
        <w:rPr>
          <w:b/>
          <w:color w:val="auto"/>
          <w:sz w:val="32"/>
          <w:szCs w:val="32"/>
          <w:highlight w:val="none"/>
        </w:rPr>
        <w:t xml:space="preserve"> </w:t>
      </w:r>
      <w:r>
        <w:rPr>
          <w:b/>
          <w:color w:val="auto"/>
          <w:sz w:val="32"/>
          <w:szCs w:val="32"/>
          <w:highlight w:val="none"/>
          <w:u w:val="single"/>
        </w:rPr>
        <w:t xml:space="preserve">                            </w:t>
      </w:r>
      <w:r>
        <w:rPr>
          <w:b/>
          <w:color w:val="auto"/>
          <w:sz w:val="32"/>
          <w:szCs w:val="32"/>
          <w:highlight w:val="none"/>
        </w:rPr>
        <w:t>工程</w:t>
      </w:r>
    </w:p>
    <w:p w14:paraId="2BBED7FB">
      <w:pPr>
        <w:adjustRightInd w:val="0"/>
        <w:snapToGrid w:val="0"/>
        <w:ind w:firstLine="1738" w:firstLineChars="541"/>
        <w:rPr>
          <w:b/>
          <w:color w:val="auto"/>
          <w:sz w:val="32"/>
          <w:szCs w:val="32"/>
          <w:highlight w:val="none"/>
        </w:rPr>
      </w:pPr>
    </w:p>
    <w:p w14:paraId="3D43D6A8">
      <w:pPr>
        <w:adjustRightInd w:val="0"/>
        <w:snapToGrid w:val="0"/>
        <w:jc w:val="center"/>
        <w:rPr>
          <w:b/>
          <w:color w:val="auto"/>
          <w:sz w:val="32"/>
          <w:szCs w:val="32"/>
          <w:highlight w:val="none"/>
        </w:rPr>
      </w:pPr>
      <w:r>
        <w:rPr>
          <w:b/>
          <w:color w:val="auto"/>
          <w:sz w:val="32"/>
          <w:szCs w:val="32"/>
          <w:highlight w:val="none"/>
        </w:rPr>
        <w:t>台州市建设工程安全生产任职资格承诺书</w:t>
      </w:r>
    </w:p>
    <w:p w14:paraId="6989C75C">
      <w:pPr>
        <w:adjustRightInd w:val="0"/>
        <w:snapToGrid w:val="0"/>
        <w:jc w:val="center"/>
        <w:rPr>
          <w:b/>
          <w:color w:val="auto"/>
          <w:sz w:val="32"/>
          <w:szCs w:val="32"/>
          <w:highlight w:val="none"/>
        </w:rPr>
      </w:pPr>
    </w:p>
    <w:p w14:paraId="5EFEF3EB">
      <w:pPr>
        <w:rPr>
          <w:color w:val="auto"/>
          <w:sz w:val="30"/>
          <w:szCs w:val="30"/>
          <w:highlight w:val="none"/>
        </w:rPr>
      </w:pPr>
      <w:r>
        <w:rPr>
          <w:color w:val="auto"/>
          <w:highlight w:val="none"/>
        </w:rPr>
        <w:t xml:space="preserve">  </w:t>
      </w:r>
      <w:r>
        <w:rPr>
          <w:color w:val="auto"/>
          <w:sz w:val="30"/>
          <w:szCs w:val="30"/>
          <w:highlight w:val="none"/>
        </w:rPr>
        <w:t xml:space="preserve">   本人以企业法定代表人的身份郑重承诺：</w:t>
      </w:r>
    </w:p>
    <w:p w14:paraId="26CDB20D">
      <w:pPr>
        <w:adjustRightInd w:val="0"/>
        <w:snapToGrid w:val="0"/>
        <w:spacing w:before="156" w:beforeLines="50" w:line="360" w:lineRule="auto"/>
        <w:ind w:firstLine="600" w:firstLineChars="200"/>
        <w:rPr>
          <w:color w:val="auto"/>
          <w:sz w:val="30"/>
          <w:szCs w:val="30"/>
          <w:highlight w:val="none"/>
        </w:rPr>
      </w:pPr>
      <w:r>
        <w:rPr>
          <w:color w:val="auto"/>
          <w:sz w:val="30"/>
          <w:szCs w:val="30"/>
          <w:highlight w:val="none"/>
        </w:rPr>
        <w:t>本公司安全生产条件及相关管理人员（包括A类人员、拟派的项目负责人和施工现场专职安全生产管理人员）安全生产任职资格符合相关规定。</w:t>
      </w:r>
    </w:p>
    <w:p w14:paraId="025276CF">
      <w:pPr>
        <w:adjustRightInd w:val="0"/>
        <w:snapToGrid w:val="0"/>
        <w:spacing w:before="156" w:beforeLines="50" w:line="360" w:lineRule="auto"/>
        <w:ind w:firstLine="600" w:firstLineChars="200"/>
        <w:rPr>
          <w:color w:val="auto"/>
          <w:sz w:val="30"/>
          <w:szCs w:val="30"/>
          <w:highlight w:val="none"/>
        </w:rPr>
      </w:pPr>
    </w:p>
    <w:p w14:paraId="1399A481">
      <w:pPr>
        <w:adjustRightInd w:val="0"/>
        <w:snapToGrid w:val="0"/>
        <w:spacing w:before="156" w:beforeLines="50" w:line="360" w:lineRule="auto"/>
        <w:ind w:firstLine="600" w:firstLineChars="200"/>
        <w:rPr>
          <w:color w:val="auto"/>
          <w:sz w:val="30"/>
          <w:szCs w:val="30"/>
          <w:highlight w:val="none"/>
        </w:rPr>
      </w:pPr>
    </w:p>
    <w:p w14:paraId="0682A09D">
      <w:pPr>
        <w:adjustRightInd w:val="0"/>
        <w:snapToGrid w:val="0"/>
        <w:spacing w:before="156" w:beforeLines="50" w:line="360" w:lineRule="auto"/>
        <w:ind w:firstLine="600" w:firstLineChars="200"/>
        <w:rPr>
          <w:color w:val="auto"/>
          <w:sz w:val="30"/>
          <w:szCs w:val="30"/>
          <w:highlight w:val="none"/>
        </w:rPr>
      </w:pPr>
    </w:p>
    <w:p w14:paraId="53E7C405">
      <w:pPr>
        <w:adjustRightInd w:val="0"/>
        <w:snapToGrid w:val="0"/>
        <w:spacing w:before="156" w:beforeLines="50" w:line="360" w:lineRule="auto"/>
        <w:ind w:firstLine="600" w:firstLineChars="200"/>
        <w:rPr>
          <w:color w:val="auto"/>
          <w:sz w:val="30"/>
          <w:szCs w:val="30"/>
          <w:highlight w:val="none"/>
        </w:rPr>
      </w:pPr>
    </w:p>
    <w:p w14:paraId="4B070DB6">
      <w:pPr>
        <w:adjustRightInd w:val="0"/>
        <w:snapToGrid w:val="0"/>
        <w:spacing w:line="360" w:lineRule="auto"/>
        <w:ind w:firstLine="2880" w:firstLineChars="1200"/>
        <w:rPr>
          <w:color w:val="auto"/>
          <w:sz w:val="24"/>
          <w:highlight w:val="none"/>
        </w:rPr>
      </w:pPr>
      <w:r>
        <w:rPr>
          <w:color w:val="auto"/>
          <w:sz w:val="24"/>
          <w:highlight w:val="none"/>
        </w:rPr>
        <w:t xml:space="preserve">法定代表人（签字或盖章）：                </w:t>
      </w:r>
    </w:p>
    <w:p w14:paraId="460FAB9C">
      <w:pPr>
        <w:adjustRightInd w:val="0"/>
        <w:snapToGrid w:val="0"/>
        <w:spacing w:line="586" w:lineRule="exact"/>
        <w:ind w:right="640" w:firstLine="3000" w:firstLineChars="1250"/>
        <w:rPr>
          <w:rFonts w:hint="eastAsia"/>
          <w:color w:val="auto"/>
          <w:sz w:val="24"/>
          <w:highlight w:val="none"/>
        </w:rPr>
      </w:pPr>
    </w:p>
    <w:p w14:paraId="548E20A7">
      <w:pPr>
        <w:adjustRightInd w:val="0"/>
        <w:snapToGrid w:val="0"/>
        <w:spacing w:line="586" w:lineRule="exact"/>
        <w:ind w:right="640" w:firstLine="3000" w:firstLineChars="1250"/>
        <w:rPr>
          <w:color w:val="auto"/>
          <w:sz w:val="24"/>
          <w:highlight w:val="none"/>
        </w:rPr>
      </w:pPr>
      <w:r>
        <w:rPr>
          <w:color w:val="auto"/>
          <w:sz w:val="24"/>
          <w:highlight w:val="none"/>
        </w:rPr>
        <w:t>投  标  人（盖章）：         年    月   日</w:t>
      </w:r>
    </w:p>
    <w:p w14:paraId="704389CF">
      <w:pPr>
        <w:rPr>
          <w:rFonts w:hint="eastAsia"/>
          <w:color w:val="auto"/>
          <w:sz w:val="24"/>
          <w:highlight w:val="none"/>
        </w:rPr>
      </w:pPr>
    </w:p>
    <w:p w14:paraId="5569DD4A">
      <w:pPr>
        <w:rPr>
          <w:rFonts w:hint="eastAsia"/>
          <w:color w:val="auto"/>
          <w:sz w:val="24"/>
          <w:highlight w:val="none"/>
        </w:rPr>
      </w:pPr>
    </w:p>
    <w:p w14:paraId="10E3E5A4">
      <w:pPr>
        <w:rPr>
          <w:rFonts w:hint="eastAsia"/>
          <w:color w:val="auto"/>
          <w:sz w:val="24"/>
          <w:highlight w:val="none"/>
        </w:rPr>
      </w:pPr>
    </w:p>
    <w:p w14:paraId="418F84B8">
      <w:pPr>
        <w:rPr>
          <w:rFonts w:hint="eastAsia"/>
          <w:color w:val="auto"/>
          <w:sz w:val="24"/>
          <w:highlight w:val="none"/>
        </w:rPr>
      </w:pPr>
    </w:p>
    <w:p w14:paraId="6298FB31">
      <w:pPr>
        <w:rPr>
          <w:rFonts w:hint="eastAsia"/>
          <w:color w:val="auto"/>
          <w:sz w:val="24"/>
          <w:highlight w:val="none"/>
        </w:rPr>
      </w:pPr>
    </w:p>
    <w:p w14:paraId="3105D26C">
      <w:pPr>
        <w:rPr>
          <w:rFonts w:hint="eastAsia"/>
          <w:color w:val="auto"/>
          <w:sz w:val="24"/>
          <w:highlight w:val="none"/>
        </w:rPr>
      </w:pPr>
    </w:p>
    <w:p w14:paraId="19B0E708">
      <w:pPr>
        <w:rPr>
          <w:rFonts w:hint="eastAsia"/>
          <w:color w:val="auto"/>
          <w:sz w:val="24"/>
          <w:highlight w:val="none"/>
        </w:rPr>
      </w:pPr>
    </w:p>
    <w:p w14:paraId="2D4873C4">
      <w:pPr>
        <w:pStyle w:val="10"/>
        <w:rPr>
          <w:rFonts w:hint="eastAsia"/>
          <w:color w:val="auto"/>
          <w:sz w:val="24"/>
          <w:highlight w:val="none"/>
        </w:rPr>
      </w:pPr>
    </w:p>
    <w:p w14:paraId="0CB38A56">
      <w:pPr>
        <w:pStyle w:val="5"/>
        <w:rPr>
          <w:rFonts w:hint="eastAsia"/>
          <w:color w:val="auto"/>
          <w:sz w:val="24"/>
          <w:highlight w:val="none"/>
        </w:rPr>
      </w:pPr>
    </w:p>
    <w:p w14:paraId="2482DE2C">
      <w:pPr>
        <w:pStyle w:val="10"/>
        <w:rPr>
          <w:rFonts w:hint="eastAsia"/>
          <w:color w:val="auto"/>
          <w:sz w:val="24"/>
          <w:highlight w:val="none"/>
        </w:rPr>
      </w:pPr>
    </w:p>
    <w:p w14:paraId="48198873">
      <w:pPr>
        <w:pStyle w:val="5"/>
        <w:rPr>
          <w:rFonts w:hint="eastAsia"/>
          <w:color w:val="auto"/>
          <w:highlight w:val="none"/>
        </w:rPr>
      </w:pPr>
    </w:p>
    <w:p w14:paraId="612C6F2B">
      <w:pPr>
        <w:rPr>
          <w:color w:val="auto"/>
          <w:sz w:val="24"/>
          <w:highlight w:val="none"/>
        </w:rPr>
      </w:pPr>
    </w:p>
    <w:p w14:paraId="4533A361">
      <w:pPr>
        <w:rPr>
          <w:rFonts w:hint="eastAsia"/>
          <w:color w:val="auto"/>
          <w:sz w:val="24"/>
          <w:highlight w:val="none"/>
        </w:rPr>
      </w:pPr>
    </w:p>
    <w:p w14:paraId="75CAC4DE">
      <w:pPr>
        <w:widowControl/>
        <w:spacing w:line="360" w:lineRule="auto"/>
        <w:rPr>
          <w:rFonts w:ascii="黑体" w:hAnsi="黑体" w:eastAsia="黑体" w:cs="黑体"/>
          <w:b/>
          <w:color w:val="auto"/>
          <w:sz w:val="28"/>
          <w:szCs w:val="28"/>
          <w:highlight w:val="none"/>
        </w:rPr>
      </w:pPr>
    </w:p>
    <w:p w14:paraId="127572DE">
      <w:pPr>
        <w:widowControl/>
        <w:spacing w:line="360" w:lineRule="auto"/>
        <w:rPr>
          <w:rFonts w:hint="eastAsia"/>
          <w:color w:val="auto"/>
          <w:highlight w:val="none"/>
        </w:rPr>
      </w:pPr>
      <w:r>
        <w:rPr>
          <w:rFonts w:hint="eastAsia" w:ascii="黑体" w:hAnsi="黑体" w:eastAsia="黑体" w:cs="黑体"/>
          <w:b/>
          <w:color w:val="auto"/>
          <w:sz w:val="28"/>
          <w:szCs w:val="28"/>
          <w:highlight w:val="none"/>
        </w:rPr>
        <w:t>十、停工证明</w:t>
      </w:r>
    </w:p>
    <w:p w14:paraId="28664074">
      <w:pPr>
        <w:rPr>
          <w:rFonts w:hint="eastAsia"/>
          <w:color w:val="auto"/>
          <w:highlight w:val="none"/>
        </w:rPr>
      </w:pPr>
    </w:p>
    <w:p w14:paraId="187C5A49">
      <w:pPr>
        <w:snapToGrid w:val="0"/>
        <w:spacing w:line="360" w:lineRule="auto"/>
        <w:ind w:firstLine="3659" w:firstLineChars="1139"/>
        <w:rPr>
          <w:rFonts w:hint="eastAsia" w:ascii="宋体" w:hAnsi="宋体"/>
          <w:b/>
          <w:color w:val="auto"/>
          <w:sz w:val="32"/>
          <w:szCs w:val="32"/>
          <w:highlight w:val="none"/>
        </w:rPr>
      </w:pPr>
      <w:r>
        <w:rPr>
          <w:rFonts w:hint="eastAsia" w:ascii="宋体" w:hAnsi="宋体"/>
          <w:b/>
          <w:color w:val="auto"/>
          <w:sz w:val="32"/>
          <w:szCs w:val="32"/>
          <w:highlight w:val="none"/>
        </w:rPr>
        <w:t>停工证明</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2"/>
      </w:tblGrid>
      <w:tr w14:paraId="64B81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5" w:hRule="atLeast"/>
        </w:trPr>
        <w:tc>
          <w:tcPr>
            <w:tcW w:w="8802" w:type="dxa"/>
            <w:noWrap w:val="0"/>
            <w:vAlign w:val="top"/>
          </w:tcPr>
          <w:p w14:paraId="6EEAF72D">
            <w:pPr>
              <w:spacing w:line="360" w:lineRule="auto"/>
              <w:ind w:firstLine="560" w:firstLineChars="200"/>
              <w:jc w:val="right"/>
              <w:rPr>
                <w:rFonts w:hint="eastAsia"/>
                <w:color w:val="auto"/>
                <w:sz w:val="28"/>
                <w:szCs w:val="28"/>
                <w:highlight w:val="none"/>
              </w:rPr>
            </w:pPr>
            <w:r>
              <w:rPr>
                <w:rFonts w:hint="eastAsia"/>
                <w:color w:val="auto"/>
                <w:sz w:val="28"/>
                <w:szCs w:val="28"/>
                <w:highlight w:val="none"/>
              </w:rPr>
              <w:t>____________(原建设单位）：</w:t>
            </w:r>
          </w:p>
          <w:p w14:paraId="257395B1">
            <w:pPr>
              <w:spacing w:line="360" w:lineRule="auto"/>
              <w:ind w:firstLine="560" w:firstLineChars="200"/>
              <w:rPr>
                <w:rFonts w:hint="eastAsia"/>
                <w:color w:val="auto"/>
                <w:sz w:val="28"/>
                <w:szCs w:val="28"/>
                <w:highlight w:val="none"/>
              </w:rPr>
            </w:pPr>
            <w:r>
              <w:rPr>
                <w:rFonts w:hint="eastAsia"/>
                <w:color w:val="auto"/>
                <w:sz w:val="28"/>
                <w:szCs w:val="28"/>
                <w:highlight w:val="none"/>
              </w:rPr>
              <w:t>我公司承接的贵单位____________(原工程项目名称），于___年___月___日取得施工许可证，并于___年___月___日开工。但因非我承包人原因自___年___月___日至今，已连续停工超过120天。特申请同意我公司项目负责人__________（项目负责人名字）承接其他项目。</w:t>
            </w:r>
          </w:p>
          <w:p w14:paraId="00C44031">
            <w:pPr>
              <w:spacing w:line="360" w:lineRule="auto"/>
              <w:ind w:firstLine="560" w:firstLineChars="200"/>
              <w:rPr>
                <w:rFonts w:hint="eastAsia"/>
                <w:color w:val="auto"/>
                <w:sz w:val="28"/>
                <w:szCs w:val="28"/>
                <w:highlight w:val="none"/>
              </w:rPr>
            </w:pPr>
            <w:r>
              <w:rPr>
                <w:rFonts w:hint="eastAsia"/>
                <w:color w:val="auto"/>
                <w:sz w:val="28"/>
                <w:szCs w:val="28"/>
                <w:highlight w:val="none"/>
              </w:rPr>
              <w:t>特此报告。</w:t>
            </w:r>
          </w:p>
          <w:p w14:paraId="0DE56CB5">
            <w:pPr>
              <w:spacing w:line="360" w:lineRule="auto"/>
              <w:ind w:firstLine="560" w:firstLineChars="200"/>
              <w:jc w:val="right"/>
              <w:rPr>
                <w:rFonts w:hint="eastAsia"/>
                <w:color w:val="auto"/>
                <w:sz w:val="28"/>
                <w:szCs w:val="28"/>
                <w:highlight w:val="none"/>
              </w:rPr>
            </w:pPr>
            <w:r>
              <w:rPr>
                <w:rFonts w:hint="eastAsia"/>
                <w:color w:val="auto"/>
                <w:sz w:val="28"/>
                <w:szCs w:val="28"/>
                <w:highlight w:val="none"/>
              </w:rPr>
              <w:t>承包人（盖章）</w:t>
            </w:r>
          </w:p>
          <w:p w14:paraId="5CC12365">
            <w:pPr>
              <w:spacing w:line="360" w:lineRule="auto"/>
              <w:ind w:firstLine="560" w:firstLineChars="200"/>
              <w:jc w:val="right"/>
              <w:rPr>
                <w:rFonts w:hint="eastAsia"/>
                <w:color w:val="auto"/>
                <w:highlight w:val="none"/>
              </w:rPr>
            </w:pPr>
            <w:r>
              <w:rPr>
                <w:rFonts w:hint="eastAsia"/>
                <w:color w:val="auto"/>
                <w:sz w:val="28"/>
                <w:szCs w:val="28"/>
                <w:highlight w:val="none"/>
              </w:rPr>
              <w:t>___年___月___日</w:t>
            </w:r>
          </w:p>
        </w:tc>
      </w:tr>
      <w:tr w14:paraId="4A7C3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8" w:hRule="atLeast"/>
        </w:trPr>
        <w:tc>
          <w:tcPr>
            <w:tcW w:w="8802" w:type="dxa"/>
            <w:noWrap w:val="0"/>
            <w:vAlign w:val="top"/>
          </w:tcPr>
          <w:p w14:paraId="62E9E792">
            <w:pPr>
              <w:spacing w:line="360" w:lineRule="auto"/>
              <w:rPr>
                <w:rFonts w:hint="eastAsia"/>
                <w:color w:val="auto"/>
                <w:sz w:val="28"/>
                <w:szCs w:val="28"/>
                <w:highlight w:val="none"/>
              </w:rPr>
            </w:pPr>
            <w:r>
              <w:rPr>
                <w:rFonts w:hint="eastAsia"/>
                <w:color w:val="auto"/>
                <w:sz w:val="28"/>
                <w:szCs w:val="28"/>
                <w:highlight w:val="none"/>
              </w:rPr>
              <w:t>原建设单位意见：</w:t>
            </w:r>
          </w:p>
          <w:p w14:paraId="55E188BF">
            <w:pPr>
              <w:spacing w:line="360" w:lineRule="auto"/>
              <w:rPr>
                <w:rFonts w:hint="eastAsia"/>
                <w:color w:val="auto"/>
                <w:sz w:val="28"/>
                <w:szCs w:val="28"/>
                <w:highlight w:val="none"/>
              </w:rPr>
            </w:pPr>
          </w:p>
          <w:p w14:paraId="26DBBC38">
            <w:pPr>
              <w:spacing w:line="360" w:lineRule="auto"/>
              <w:jc w:val="right"/>
              <w:rPr>
                <w:rFonts w:hint="eastAsia"/>
                <w:color w:val="auto"/>
                <w:sz w:val="28"/>
                <w:szCs w:val="28"/>
                <w:highlight w:val="none"/>
              </w:rPr>
            </w:pPr>
            <w:r>
              <w:rPr>
                <w:rFonts w:hint="eastAsia"/>
                <w:color w:val="auto"/>
                <w:sz w:val="28"/>
                <w:szCs w:val="28"/>
                <w:highlight w:val="none"/>
              </w:rPr>
              <w:t>原建设单位（盖章）：</w:t>
            </w:r>
          </w:p>
          <w:p w14:paraId="478F5B40">
            <w:pPr>
              <w:spacing w:line="360" w:lineRule="auto"/>
              <w:jc w:val="right"/>
              <w:rPr>
                <w:rFonts w:hint="eastAsia"/>
                <w:color w:val="auto"/>
                <w:sz w:val="28"/>
                <w:szCs w:val="28"/>
                <w:highlight w:val="none"/>
              </w:rPr>
            </w:pPr>
            <w:r>
              <w:rPr>
                <w:rFonts w:hint="eastAsia"/>
                <w:color w:val="auto"/>
                <w:sz w:val="28"/>
                <w:szCs w:val="28"/>
                <w:highlight w:val="none"/>
              </w:rPr>
              <w:t>___年___月___日</w:t>
            </w:r>
          </w:p>
          <w:p w14:paraId="333A0335">
            <w:pPr>
              <w:spacing w:line="360" w:lineRule="auto"/>
              <w:rPr>
                <w:rFonts w:hint="eastAsia"/>
                <w:color w:val="auto"/>
                <w:highlight w:val="none"/>
              </w:rPr>
            </w:pPr>
          </w:p>
        </w:tc>
      </w:tr>
      <w:tr w14:paraId="06994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2" w:type="dxa"/>
            <w:noWrap w:val="0"/>
            <w:vAlign w:val="top"/>
          </w:tcPr>
          <w:p w14:paraId="0C6581D0">
            <w:pPr>
              <w:spacing w:line="360" w:lineRule="auto"/>
              <w:rPr>
                <w:rFonts w:hint="eastAsia"/>
                <w:color w:val="auto"/>
                <w:sz w:val="28"/>
                <w:szCs w:val="28"/>
                <w:highlight w:val="none"/>
              </w:rPr>
            </w:pPr>
            <w:r>
              <w:rPr>
                <w:rFonts w:hint="eastAsia"/>
                <w:color w:val="auto"/>
                <w:sz w:val="28"/>
                <w:szCs w:val="28"/>
                <w:highlight w:val="none"/>
              </w:rPr>
              <w:t>行政主管部门证明：</w:t>
            </w:r>
          </w:p>
          <w:p w14:paraId="5C608544">
            <w:pPr>
              <w:spacing w:line="360" w:lineRule="auto"/>
              <w:ind w:firstLine="560" w:firstLineChars="200"/>
              <w:rPr>
                <w:rFonts w:hint="eastAsia"/>
                <w:color w:val="auto"/>
                <w:sz w:val="28"/>
                <w:szCs w:val="28"/>
                <w:highlight w:val="none"/>
              </w:rPr>
            </w:pPr>
            <w:r>
              <w:rPr>
                <w:rFonts w:hint="eastAsia"/>
                <w:color w:val="auto"/>
                <w:sz w:val="28"/>
                <w:szCs w:val="28"/>
                <w:highlight w:val="none"/>
              </w:rPr>
              <w:t>自___年___月___日开始停工，至今已超过120天。情况属实。</w:t>
            </w:r>
          </w:p>
          <w:p w14:paraId="40E87DA4">
            <w:pPr>
              <w:spacing w:line="360" w:lineRule="auto"/>
              <w:jc w:val="right"/>
              <w:rPr>
                <w:rFonts w:hint="eastAsia"/>
                <w:color w:val="auto"/>
                <w:sz w:val="28"/>
                <w:szCs w:val="28"/>
                <w:highlight w:val="none"/>
              </w:rPr>
            </w:pPr>
          </w:p>
          <w:p w14:paraId="1F29EB4F">
            <w:pPr>
              <w:spacing w:line="360" w:lineRule="auto"/>
              <w:jc w:val="right"/>
              <w:rPr>
                <w:rFonts w:hint="eastAsia"/>
                <w:color w:val="auto"/>
                <w:sz w:val="28"/>
                <w:szCs w:val="28"/>
                <w:highlight w:val="none"/>
              </w:rPr>
            </w:pPr>
            <w:r>
              <w:rPr>
                <w:rFonts w:hint="eastAsia"/>
                <w:color w:val="auto"/>
                <w:sz w:val="28"/>
                <w:szCs w:val="28"/>
                <w:highlight w:val="none"/>
              </w:rPr>
              <w:t>行政主管部门（盖章）：</w:t>
            </w:r>
          </w:p>
          <w:p w14:paraId="03405319">
            <w:pPr>
              <w:spacing w:line="360" w:lineRule="auto"/>
              <w:jc w:val="right"/>
              <w:rPr>
                <w:rFonts w:hint="eastAsia"/>
                <w:color w:val="auto"/>
                <w:highlight w:val="none"/>
              </w:rPr>
            </w:pPr>
            <w:r>
              <w:rPr>
                <w:rFonts w:hint="eastAsia"/>
                <w:color w:val="auto"/>
                <w:sz w:val="28"/>
                <w:szCs w:val="28"/>
                <w:highlight w:val="none"/>
              </w:rPr>
              <w:t>___年___月___日</w:t>
            </w:r>
          </w:p>
        </w:tc>
      </w:tr>
    </w:tbl>
    <w:p w14:paraId="7D8B9EBE">
      <w:pPr>
        <w:spacing w:line="360" w:lineRule="auto"/>
        <w:rPr>
          <w:rFonts w:hint="eastAsia"/>
          <w:color w:val="auto"/>
          <w:szCs w:val="21"/>
          <w:highlight w:val="none"/>
        </w:rPr>
      </w:pPr>
      <w:r>
        <w:rPr>
          <w:rFonts w:hint="eastAsia"/>
          <w:color w:val="auto"/>
          <w:szCs w:val="21"/>
          <w:highlight w:val="none"/>
        </w:rPr>
        <w:t>注：在承接新项目时原承接的项目仍处于连续停工状态。若原承接项目已复工的本《证明》不得使用。</w:t>
      </w:r>
    </w:p>
    <w:p w14:paraId="73EEF2D1">
      <w:pPr>
        <w:pStyle w:val="10"/>
        <w:rPr>
          <w:rFonts w:hint="eastAsia"/>
          <w:color w:val="auto"/>
          <w:szCs w:val="21"/>
          <w:highlight w:val="none"/>
        </w:rPr>
      </w:pPr>
    </w:p>
    <w:p w14:paraId="2E488890">
      <w:pPr>
        <w:pStyle w:val="5"/>
        <w:rPr>
          <w:rFonts w:hint="eastAsia"/>
          <w:color w:val="auto"/>
          <w:szCs w:val="21"/>
          <w:highlight w:val="none"/>
        </w:rPr>
      </w:pPr>
    </w:p>
    <w:p w14:paraId="758101A3">
      <w:pPr>
        <w:pStyle w:val="10"/>
        <w:rPr>
          <w:rFonts w:hint="eastAsia"/>
          <w:color w:val="auto"/>
          <w:highlight w:val="none"/>
        </w:rPr>
      </w:pPr>
    </w:p>
    <w:p w14:paraId="37C13EE5">
      <w:pPr>
        <w:spacing w:line="360" w:lineRule="auto"/>
        <w:rPr>
          <w:rFonts w:hint="eastAsia"/>
          <w:color w:val="auto"/>
          <w:szCs w:val="21"/>
          <w:highlight w:val="none"/>
        </w:rPr>
      </w:pPr>
    </w:p>
    <w:p w14:paraId="31AAEC2F">
      <w:pPr>
        <w:spacing w:line="360" w:lineRule="auto"/>
        <w:rPr>
          <w:rFonts w:hint="eastAsia"/>
          <w:color w:val="auto"/>
          <w:szCs w:val="21"/>
          <w:highlight w:val="none"/>
        </w:rPr>
      </w:pPr>
    </w:p>
    <w:p w14:paraId="600B6BA9">
      <w:pPr>
        <w:spacing w:line="360" w:lineRule="auto"/>
        <w:rPr>
          <w:rFonts w:hint="eastAsia" w:ascii="黑体" w:hAnsi="黑体" w:eastAsia="黑体" w:cs="黑体"/>
          <w:color w:val="auto"/>
          <w:highlight w:val="none"/>
        </w:rPr>
      </w:pPr>
      <w:r>
        <w:rPr>
          <w:rFonts w:hint="eastAsia" w:ascii="黑体" w:hAnsi="黑体" w:eastAsia="黑体" w:cs="黑体"/>
          <w:b/>
          <w:color w:val="auto"/>
          <w:sz w:val="28"/>
          <w:szCs w:val="28"/>
          <w:highlight w:val="none"/>
        </w:rPr>
        <w:t>十一、未验收证明</w:t>
      </w:r>
    </w:p>
    <w:p w14:paraId="4474BB3E">
      <w:pPr>
        <w:keepNext/>
        <w:keepLines/>
        <w:spacing w:line="360" w:lineRule="auto"/>
        <w:ind w:firstLine="3534" w:firstLineChars="1100"/>
        <w:rPr>
          <w:rFonts w:hint="eastAsia"/>
          <w:b/>
          <w:bCs/>
          <w:color w:val="auto"/>
          <w:sz w:val="32"/>
          <w:szCs w:val="32"/>
          <w:highlight w:val="none"/>
        </w:rPr>
      </w:pPr>
      <w:r>
        <w:rPr>
          <w:rFonts w:hint="eastAsia"/>
          <w:b/>
          <w:bCs/>
          <w:color w:val="auto"/>
          <w:sz w:val="32"/>
          <w:szCs w:val="32"/>
          <w:highlight w:val="none"/>
        </w:rPr>
        <w:t>未验收证明</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7"/>
      </w:tblGrid>
      <w:tr w14:paraId="14907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4" w:hRule="atLeast"/>
          <w:jc w:val="center"/>
        </w:trPr>
        <w:tc>
          <w:tcPr>
            <w:tcW w:w="8897" w:type="dxa"/>
            <w:noWrap w:val="0"/>
            <w:vAlign w:val="top"/>
          </w:tcPr>
          <w:p w14:paraId="1FF1BD96">
            <w:pPr>
              <w:spacing w:line="360" w:lineRule="auto"/>
              <w:rPr>
                <w:rFonts w:hint="eastAsia"/>
                <w:color w:val="auto"/>
                <w:sz w:val="28"/>
                <w:szCs w:val="28"/>
                <w:highlight w:val="none"/>
              </w:rPr>
            </w:pPr>
            <w:r>
              <w:rPr>
                <w:rFonts w:hint="eastAsia"/>
                <w:color w:val="auto"/>
                <w:sz w:val="28"/>
                <w:szCs w:val="28"/>
                <w:highlight w:val="none"/>
              </w:rPr>
              <w:t>____________（原建设单位）：</w:t>
            </w:r>
          </w:p>
          <w:p w14:paraId="0A567B02">
            <w:pPr>
              <w:spacing w:line="360" w:lineRule="auto"/>
              <w:ind w:firstLine="560" w:firstLineChars="200"/>
              <w:rPr>
                <w:rFonts w:hint="eastAsia"/>
                <w:color w:val="auto"/>
                <w:sz w:val="28"/>
                <w:szCs w:val="28"/>
                <w:highlight w:val="none"/>
              </w:rPr>
            </w:pPr>
            <w:r>
              <w:rPr>
                <w:rFonts w:hint="eastAsia"/>
                <w:color w:val="auto"/>
                <w:sz w:val="28"/>
                <w:szCs w:val="28"/>
                <w:highlight w:val="none"/>
              </w:rPr>
              <w:t>我公司承接的____________（原工程项目名称）于___年___月___日竣工，并于___年___月___日向贵单位提交竣工报告。但非我承包人原因至今已超过120天未进行该项目的竣工验收。特申请同意我公司项目负责人__________（项目负责人名字）承接其他项目。</w:t>
            </w:r>
          </w:p>
          <w:p w14:paraId="0B5F69EA">
            <w:pPr>
              <w:spacing w:line="360" w:lineRule="auto"/>
              <w:ind w:firstLine="560" w:firstLineChars="200"/>
              <w:rPr>
                <w:rFonts w:hint="eastAsia"/>
                <w:color w:val="auto"/>
                <w:sz w:val="28"/>
                <w:szCs w:val="28"/>
                <w:highlight w:val="none"/>
              </w:rPr>
            </w:pPr>
            <w:r>
              <w:rPr>
                <w:rFonts w:hint="eastAsia"/>
                <w:color w:val="auto"/>
                <w:sz w:val="28"/>
                <w:szCs w:val="28"/>
                <w:highlight w:val="none"/>
              </w:rPr>
              <w:t>特此报告。</w:t>
            </w:r>
          </w:p>
          <w:p w14:paraId="565145C6">
            <w:pPr>
              <w:spacing w:line="360" w:lineRule="auto"/>
              <w:ind w:firstLine="560" w:firstLineChars="200"/>
              <w:jc w:val="right"/>
              <w:rPr>
                <w:rFonts w:hint="eastAsia"/>
                <w:color w:val="auto"/>
                <w:sz w:val="28"/>
                <w:szCs w:val="28"/>
                <w:highlight w:val="none"/>
              </w:rPr>
            </w:pPr>
            <w:r>
              <w:rPr>
                <w:rFonts w:hint="eastAsia"/>
                <w:color w:val="auto"/>
                <w:sz w:val="28"/>
                <w:szCs w:val="28"/>
                <w:highlight w:val="none"/>
              </w:rPr>
              <w:t>承包人（盖章）</w:t>
            </w:r>
          </w:p>
          <w:p w14:paraId="2894CEC6">
            <w:pPr>
              <w:spacing w:line="360" w:lineRule="auto"/>
              <w:ind w:firstLine="560" w:firstLineChars="200"/>
              <w:jc w:val="right"/>
              <w:rPr>
                <w:rFonts w:hint="eastAsia"/>
                <w:color w:val="auto"/>
                <w:highlight w:val="none"/>
              </w:rPr>
            </w:pPr>
            <w:r>
              <w:rPr>
                <w:rFonts w:hint="eastAsia"/>
                <w:color w:val="auto"/>
                <w:sz w:val="28"/>
                <w:szCs w:val="28"/>
                <w:highlight w:val="none"/>
              </w:rPr>
              <w:t>___年___月___日</w:t>
            </w:r>
          </w:p>
        </w:tc>
      </w:tr>
      <w:tr w14:paraId="193C5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0" w:hRule="atLeast"/>
          <w:jc w:val="center"/>
        </w:trPr>
        <w:tc>
          <w:tcPr>
            <w:tcW w:w="8897" w:type="dxa"/>
            <w:noWrap w:val="0"/>
            <w:vAlign w:val="top"/>
          </w:tcPr>
          <w:p w14:paraId="3E784AA5">
            <w:pPr>
              <w:spacing w:line="360" w:lineRule="auto"/>
              <w:rPr>
                <w:rFonts w:hint="eastAsia"/>
                <w:color w:val="auto"/>
                <w:sz w:val="28"/>
                <w:szCs w:val="28"/>
                <w:highlight w:val="none"/>
              </w:rPr>
            </w:pPr>
            <w:r>
              <w:rPr>
                <w:rFonts w:hint="eastAsia"/>
                <w:color w:val="auto"/>
                <w:sz w:val="28"/>
                <w:szCs w:val="28"/>
                <w:highlight w:val="none"/>
              </w:rPr>
              <w:t>原建设单位意见：</w:t>
            </w:r>
          </w:p>
          <w:p w14:paraId="64B8F8D2">
            <w:pPr>
              <w:spacing w:line="360" w:lineRule="auto"/>
              <w:rPr>
                <w:rFonts w:hint="eastAsia"/>
                <w:color w:val="auto"/>
                <w:sz w:val="28"/>
                <w:szCs w:val="28"/>
                <w:highlight w:val="none"/>
              </w:rPr>
            </w:pPr>
          </w:p>
          <w:p w14:paraId="4E376AC7">
            <w:pPr>
              <w:spacing w:line="360" w:lineRule="auto"/>
              <w:jc w:val="right"/>
              <w:rPr>
                <w:rFonts w:hint="eastAsia"/>
                <w:color w:val="auto"/>
                <w:sz w:val="28"/>
                <w:szCs w:val="28"/>
                <w:highlight w:val="none"/>
              </w:rPr>
            </w:pPr>
            <w:r>
              <w:rPr>
                <w:rFonts w:hint="eastAsia"/>
                <w:color w:val="auto"/>
                <w:sz w:val="28"/>
                <w:szCs w:val="28"/>
                <w:highlight w:val="none"/>
              </w:rPr>
              <w:t>原建设单位（盖章）：</w:t>
            </w:r>
          </w:p>
          <w:p w14:paraId="1B6C4395">
            <w:pPr>
              <w:spacing w:line="360" w:lineRule="auto"/>
              <w:jc w:val="right"/>
              <w:rPr>
                <w:rFonts w:hint="eastAsia"/>
                <w:color w:val="auto"/>
                <w:highlight w:val="none"/>
              </w:rPr>
            </w:pPr>
            <w:r>
              <w:rPr>
                <w:rFonts w:hint="eastAsia"/>
                <w:color w:val="auto"/>
                <w:sz w:val="28"/>
                <w:szCs w:val="28"/>
                <w:highlight w:val="none"/>
              </w:rPr>
              <w:t>___年___月___日</w:t>
            </w:r>
          </w:p>
        </w:tc>
      </w:tr>
      <w:tr w14:paraId="0A20A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7" w:type="dxa"/>
            <w:noWrap w:val="0"/>
            <w:vAlign w:val="top"/>
          </w:tcPr>
          <w:p w14:paraId="5672CE43">
            <w:pPr>
              <w:spacing w:line="360" w:lineRule="auto"/>
              <w:rPr>
                <w:rFonts w:hint="eastAsia"/>
                <w:color w:val="auto"/>
                <w:sz w:val="28"/>
                <w:szCs w:val="28"/>
                <w:highlight w:val="none"/>
              </w:rPr>
            </w:pPr>
            <w:r>
              <w:rPr>
                <w:rFonts w:hint="eastAsia"/>
                <w:color w:val="auto"/>
                <w:sz w:val="28"/>
                <w:szCs w:val="28"/>
                <w:highlight w:val="none"/>
              </w:rPr>
              <w:t>行政主管部门证明：</w:t>
            </w:r>
          </w:p>
          <w:p w14:paraId="2009D263">
            <w:pPr>
              <w:spacing w:line="360" w:lineRule="auto"/>
              <w:ind w:firstLine="560" w:firstLineChars="200"/>
              <w:rPr>
                <w:rFonts w:hint="eastAsia"/>
                <w:color w:val="auto"/>
                <w:sz w:val="28"/>
                <w:szCs w:val="28"/>
                <w:highlight w:val="none"/>
              </w:rPr>
            </w:pPr>
            <w:r>
              <w:rPr>
                <w:rFonts w:hint="eastAsia"/>
                <w:color w:val="auto"/>
                <w:sz w:val="28"/>
                <w:szCs w:val="28"/>
                <w:highlight w:val="none"/>
              </w:rPr>
              <w:t>承包人向原建设单位提交了竣工报告至今已超过120天。情况属实。</w:t>
            </w:r>
          </w:p>
          <w:p w14:paraId="7F4DE392">
            <w:pPr>
              <w:spacing w:line="360" w:lineRule="auto"/>
              <w:jc w:val="right"/>
              <w:rPr>
                <w:rFonts w:hint="eastAsia"/>
                <w:color w:val="auto"/>
                <w:sz w:val="28"/>
                <w:szCs w:val="28"/>
                <w:highlight w:val="none"/>
              </w:rPr>
            </w:pPr>
            <w:r>
              <w:rPr>
                <w:rFonts w:hint="eastAsia"/>
                <w:color w:val="auto"/>
                <w:sz w:val="28"/>
                <w:szCs w:val="28"/>
                <w:highlight w:val="none"/>
              </w:rPr>
              <w:t>行政主管部门（盖章）：</w:t>
            </w:r>
          </w:p>
          <w:p w14:paraId="131FFEFB">
            <w:pPr>
              <w:spacing w:line="360" w:lineRule="auto"/>
              <w:jc w:val="right"/>
              <w:rPr>
                <w:rFonts w:hint="eastAsia"/>
                <w:color w:val="auto"/>
                <w:highlight w:val="none"/>
              </w:rPr>
            </w:pPr>
            <w:r>
              <w:rPr>
                <w:rFonts w:hint="eastAsia"/>
                <w:color w:val="auto"/>
                <w:sz w:val="28"/>
                <w:szCs w:val="28"/>
                <w:highlight w:val="none"/>
              </w:rPr>
              <w:t>___年___月___日</w:t>
            </w:r>
          </w:p>
        </w:tc>
      </w:tr>
    </w:tbl>
    <w:p w14:paraId="3A5E8CA4">
      <w:pPr>
        <w:spacing w:line="360" w:lineRule="auto"/>
        <w:rPr>
          <w:color w:val="auto"/>
          <w:highlight w:val="none"/>
        </w:rPr>
      </w:pPr>
      <w:r>
        <w:rPr>
          <w:rFonts w:hint="eastAsia"/>
          <w:color w:val="auto"/>
          <w:highlight w:val="none"/>
        </w:rPr>
        <w:t>注：在承接新项目时原承接的项目已经竣工验收的，本《证明》不得使用。</w:t>
      </w:r>
    </w:p>
    <w:p w14:paraId="173B902D">
      <w:pPr>
        <w:spacing w:line="360" w:lineRule="auto"/>
        <w:rPr>
          <w:rFonts w:hint="eastAsia"/>
          <w:color w:val="auto"/>
          <w:highlight w:val="none"/>
        </w:rPr>
      </w:pPr>
    </w:p>
    <w:p w14:paraId="08261B6F">
      <w:pPr>
        <w:spacing w:line="360" w:lineRule="auto"/>
        <w:rPr>
          <w:color w:val="auto"/>
          <w:highlight w:val="none"/>
        </w:rPr>
      </w:pPr>
    </w:p>
    <w:p w14:paraId="41BBA4F1">
      <w:pPr>
        <w:pStyle w:val="29"/>
        <w:rPr>
          <w:rFonts w:cs="Times New Roman"/>
          <w:color w:val="auto"/>
          <w:szCs w:val="28"/>
          <w:highlight w:val="none"/>
        </w:rPr>
      </w:pPr>
      <w:r>
        <w:rPr>
          <w:rFonts w:hint="eastAsia" w:cs="Times New Roman"/>
          <w:color w:val="auto"/>
          <w:szCs w:val="28"/>
          <w:highlight w:val="none"/>
        </w:rPr>
        <w:t>十二</w:t>
      </w:r>
      <w:r>
        <w:rPr>
          <w:rFonts w:cs="Times New Roman"/>
          <w:color w:val="auto"/>
          <w:szCs w:val="28"/>
          <w:highlight w:val="none"/>
        </w:rPr>
        <w:t>、</w:t>
      </w:r>
      <w:r>
        <w:rPr>
          <w:rFonts w:hint="eastAsia" w:cs="Times New Roman"/>
          <w:color w:val="auto"/>
          <w:szCs w:val="28"/>
          <w:highlight w:val="none"/>
        </w:rPr>
        <w:t>法定代表人身份证明</w:t>
      </w:r>
    </w:p>
    <w:p w14:paraId="040B7705">
      <w:pPr>
        <w:pStyle w:val="29"/>
        <w:rPr>
          <w:rFonts w:hint="eastAsia" w:cs="Times New Roman"/>
          <w:color w:val="auto"/>
          <w:szCs w:val="28"/>
          <w:highlight w:val="none"/>
        </w:rPr>
      </w:pPr>
    </w:p>
    <w:p w14:paraId="7B5DF0E5">
      <w:pPr>
        <w:snapToGrid w:val="0"/>
        <w:spacing w:line="360" w:lineRule="auto"/>
        <w:jc w:val="center"/>
        <w:rPr>
          <w:rFonts w:hint="eastAsia" w:ascii="方正小标宋简体" w:hAnsi="方正小标宋简体"/>
          <w:color w:val="auto"/>
          <w:sz w:val="44"/>
          <w:szCs w:val="44"/>
          <w:highlight w:val="none"/>
        </w:rPr>
      </w:pPr>
      <w:bookmarkStart w:id="216" w:name="_Toc20791_WPSOffice_Level1"/>
      <w:r>
        <w:rPr>
          <w:rFonts w:hint="eastAsia" w:ascii="宋体" w:hAnsi="宋体"/>
          <w:b/>
          <w:color w:val="auto"/>
          <w:sz w:val="32"/>
          <w:szCs w:val="32"/>
          <w:highlight w:val="none"/>
        </w:rPr>
        <w:t>法定代表人身份证明</w:t>
      </w:r>
      <w:bookmarkEnd w:id="216"/>
    </w:p>
    <w:p w14:paraId="263795A7">
      <w:pPr>
        <w:spacing w:line="480" w:lineRule="auto"/>
        <w:ind w:firstLine="420" w:firstLineChars="200"/>
        <w:rPr>
          <w:color w:val="auto"/>
          <w:highlight w:val="none"/>
          <w:u w:val="single"/>
        </w:rPr>
      </w:pPr>
      <w:r>
        <w:rPr>
          <w:rFonts w:hint="eastAsia"/>
          <w:color w:val="auto"/>
          <w:highlight w:val="none"/>
        </w:rPr>
        <w:t>单位名称：</w:t>
      </w:r>
      <w:r>
        <w:rPr>
          <w:color w:val="auto"/>
          <w:highlight w:val="none"/>
          <w:u w:val="single"/>
        </w:rPr>
        <w:t xml:space="preserve">                                     </w:t>
      </w:r>
    </w:p>
    <w:p w14:paraId="4250BF90">
      <w:pPr>
        <w:spacing w:line="480" w:lineRule="auto"/>
        <w:ind w:firstLine="420" w:firstLineChars="200"/>
        <w:rPr>
          <w:color w:val="auto"/>
          <w:highlight w:val="none"/>
          <w:u w:val="single"/>
        </w:rPr>
      </w:pPr>
      <w:r>
        <w:rPr>
          <w:rFonts w:hint="eastAsia"/>
          <w:color w:val="auto"/>
          <w:highlight w:val="none"/>
        </w:rPr>
        <w:t>地</w:t>
      </w:r>
      <w:r>
        <w:rPr>
          <w:color w:val="auto"/>
          <w:highlight w:val="none"/>
        </w:rPr>
        <w:t xml:space="preserve">    </w:t>
      </w:r>
      <w:r>
        <w:rPr>
          <w:rFonts w:hint="eastAsia"/>
          <w:color w:val="auto"/>
          <w:highlight w:val="none"/>
        </w:rPr>
        <w:t>址：</w:t>
      </w:r>
      <w:r>
        <w:rPr>
          <w:color w:val="auto"/>
          <w:highlight w:val="none"/>
          <w:u w:val="single"/>
        </w:rPr>
        <w:t xml:space="preserve">                                     </w:t>
      </w:r>
    </w:p>
    <w:p w14:paraId="56F70CD8">
      <w:pPr>
        <w:spacing w:line="480" w:lineRule="auto"/>
        <w:ind w:firstLine="420" w:firstLineChars="200"/>
        <w:rPr>
          <w:rFonts w:ascii="宋体" w:hAnsi="宋体" w:cs="宋体"/>
          <w:color w:val="auto"/>
          <w:highlight w:val="none"/>
        </w:rPr>
      </w:pPr>
      <w:r>
        <w:rPr>
          <w:rFonts w:hint="eastAsia"/>
          <w:color w:val="auto"/>
          <w:highlight w:val="none"/>
        </w:rPr>
        <w:t>姓名：</w:t>
      </w:r>
      <w:r>
        <w:rPr>
          <w:color w:val="auto"/>
          <w:highlight w:val="none"/>
          <w:u w:val="single"/>
        </w:rPr>
        <w:t xml:space="preserve">          </w:t>
      </w:r>
      <w:r>
        <w:rPr>
          <w:rFonts w:hint="eastAsia"/>
          <w:color w:val="auto"/>
          <w:highlight w:val="none"/>
        </w:rPr>
        <w:t>性别：</w:t>
      </w:r>
      <w:r>
        <w:rPr>
          <w:color w:val="auto"/>
          <w:highlight w:val="none"/>
          <w:u w:val="single"/>
        </w:rPr>
        <w:t xml:space="preserve">      </w:t>
      </w:r>
      <w:r>
        <w:rPr>
          <w:rFonts w:hint="eastAsia"/>
          <w:color w:val="auto"/>
          <w:highlight w:val="none"/>
        </w:rPr>
        <w:t>年龄：</w:t>
      </w:r>
      <w:r>
        <w:rPr>
          <w:color w:val="auto"/>
          <w:highlight w:val="none"/>
          <w:u w:val="single"/>
        </w:rPr>
        <w:t xml:space="preserve">      </w:t>
      </w:r>
      <w:r>
        <w:rPr>
          <w:rFonts w:hint="eastAsia"/>
          <w:color w:val="auto"/>
          <w:highlight w:val="none"/>
        </w:rPr>
        <w:t>职务：</w:t>
      </w:r>
      <w:r>
        <w:rPr>
          <w:color w:val="auto"/>
          <w:highlight w:val="none"/>
          <w:u w:val="single"/>
        </w:rPr>
        <w:t xml:space="preserve">       </w:t>
      </w:r>
      <w:r>
        <w:rPr>
          <w:rFonts w:hint="eastAsia"/>
          <w:color w:val="auto"/>
          <w:highlight w:val="none"/>
        </w:rPr>
        <w:t>系</w:t>
      </w:r>
      <w:r>
        <w:rPr>
          <w:color w:val="auto"/>
          <w:highlight w:val="none"/>
          <w:u w:val="single"/>
        </w:rPr>
        <w:t xml:space="preserve">            </w:t>
      </w:r>
      <w:r>
        <w:rPr>
          <w:rFonts w:hint="eastAsia"/>
          <w:color w:val="auto"/>
          <w:highlight w:val="none"/>
        </w:rPr>
        <w:t>的法定代表人。</w:t>
      </w:r>
    </w:p>
    <w:p w14:paraId="3577F008">
      <w:pPr>
        <w:tabs>
          <w:tab w:val="left" w:pos="482"/>
          <w:tab w:val="left" w:pos="2183"/>
          <w:tab w:val="left" w:pos="3884"/>
          <w:tab w:val="left" w:pos="5585"/>
        </w:tabs>
        <w:spacing w:line="500" w:lineRule="exact"/>
        <w:ind w:firstLine="316" w:firstLineChars="150"/>
        <w:rPr>
          <w:rFonts w:ascii="宋体" w:hAnsi="宋体" w:cs="宋体"/>
          <w:b/>
          <w:color w:val="auto"/>
          <w:highlight w:val="none"/>
        </w:rPr>
      </w:pPr>
      <w:r>
        <w:rPr>
          <w:rFonts w:hint="eastAsia" w:ascii="宋体" w:hAnsi="宋体" w:cs="宋体"/>
          <w:b/>
          <w:color w:val="auto"/>
          <w:highlight w:val="none"/>
        </w:rPr>
        <w:t>法定代表人手机</w:t>
      </w:r>
      <w:r>
        <w:rPr>
          <w:rFonts w:ascii="宋体" w:hAnsi="宋体" w:cs="宋体"/>
          <w:b/>
          <w:color w:val="auto"/>
          <w:highlight w:val="none"/>
        </w:rPr>
        <w:t>号码</w:t>
      </w:r>
      <w:r>
        <w:rPr>
          <w:rFonts w:hint="eastAsia" w:ascii="宋体" w:hAnsi="宋体" w:cs="宋体"/>
          <w:b/>
          <w:color w:val="auto"/>
          <w:highlight w:val="none"/>
        </w:rPr>
        <w:t>：</w:t>
      </w:r>
      <w:r>
        <w:rPr>
          <w:rFonts w:hint="eastAsia" w:ascii="宋体" w:hAnsi="宋体" w:cs="宋体"/>
          <w:b/>
          <w:color w:val="auto"/>
          <w:highlight w:val="none"/>
          <w:u w:val="single"/>
        </w:rPr>
        <w:t xml:space="preserve">        </w:t>
      </w:r>
      <w:r>
        <w:rPr>
          <w:rFonts w:ascii="宋体" w:hAnsi="宋体" w:cs="宋体"/>
          <w:b/>
          <w:color w:val="auto"/>
          <w:highlight w:val="none"/>
          <w:u w:val="single"/>
        </w:rPr>
        <w:t xml:space="preserve">     </w:t>
      </w:r>
      <w:r>
        <w:rPr>
          <w:rFonts w:hint="eastAsia" w:ascii="宋体" w:hAnsi="宋体" w:cs="宋体"/>
          <w:b/>
          <w:color w:val="auto"/>
          <w:highlight w:val="none"/>
          <w:u w:val="single"/>
        </w:rPr>
        <w:t xml:space="preserve">      </w:t>
      </w:r>
    </w:p>
    <w:p w14:paraId="5A31B783">
      <w:pPr>
        <w:tabs>
          <w:tab w:val="left" w:pos="482"/>
          <w:tab w:val="left" w:pos="2183"/>
          <w:tab w:val="left" w:pos="3884"/>
          <w:tab w:val="left" w:pos="5585"/>
        </w:tabs>
        <w:spacing w:line="500" w:lineRule="exact"/>
        <w:ind w:firstLine="210" w:firstLineChars="100"/>
        <w:rPr>
          <w:rFonts w:ascii="宋体" w:hAnsi="宋体" w:cs="宋体"/>
          <w:color w:val="auto"/>
          <w:highlight w:val="none"/>
        </w:rPr>
      </w:pPr>
      <w:r>
        <w:rPr>
          <w:rFonts w:hint="eastAsia" w:ascii="宋体" w:hAnsi="宋体" w:cs="宋体"/>
          <w:color w:val="auto"/>
          <w:highlight w:val="none"/>
        </w:rPr>
        <w:t>附</w:t>
      </w:r>
    </w:p>
    <w:tbl>
      <w:tblPr>
        <w:tblStyle w:val="17"/>
        <w:tblW w:w="0" w:type="auto"/>
        <w:tblInd w:w="11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2"/>
      </w:tblGrid>
      <w:tr w14:paraId="7F204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2" w:hRule="atLeast"/>
        </w:trPr>
        <w:tc>
          <w:tcPr>
            <w:tcW w:w="6662" w:type="dxa"/>
            <w:noWrap w:val="0"/>
            <w:vAlign w:val="center"/>
          </w:tcPr>
          <w:p w14:paraId="051E808F">
            <w:pPr>
              <w:tabs>
                <w:tab w:val="left" w:leader="middleDot" w:pos="8400"/>
              </w:tabs>
              <w:spacing w:line="360" w:lineRule="auto"/>
              <w:jc w:val="center"/>
              <w:rPr>
                <w:rFonts w:ascii="宋体" w:hAnsi="宋体"/>
                <w:color w:val="auto"/>
                <w:highlight w:val="none"/>
              </w:rPr>
            </w:pPr>
            <w:r>
              <w:rPr>
                <w:rFonts w:hint="eastAsia" w:ascii="宋体" w:hAnsi="宋体"/>
                <w:color w:val="auto"/>
                <w:highlight w:val="none"/>
              </w:rPr>
              <w:t>法定代表人身份证正面复印件粘贴处</w:t>
            </w:r>
          </w:p>
        </w:tc>
      </w:tr>
      <w:tr w14:paraId="1B045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trPr>
        <w:tc>
          <w:tcPr>
            <w:tcW w:w="6662" w:type="dxa"/>
            <w:noWrap w:val="0"/>
            <w:vAlign w:val="center"/>
          </w:tcPr>
          <w:p w14:paraId="17D6F4C8">
            <w:pPr>
              <w:tabs>
                <w:tab w:val="left" w:leader="middleDot" w:pos="8400"/>
              </w:tabs>
              <w:spacing w:line="360" w:lineRule="auto"/>
              <w:jc w:val="center"/>
              <w:rPr>
                <w:rFonts w:ascii="宋体" w:hAnsi="宋体"/>
                <w:color w:val="auto"/>
                <w:highlight w:val="none"/>
              </w:rPr>
            </w:pPr>
            <w:r>
              <w:rPr>
                <w:rFonts w:hint="eastAsia" w:ascii="宋体" w:hAnsi="宋体"/>
                <w:color w:val="auto"/>
                <w:highlight w:val="none"/>
              </w:rPr>
              <w:t>法定代表人身份证背面复印件粘贴处</w:t>
            </w:r>
          </w:p>
        </w:tc>
      </w:tr>
    </w:tbl>
    <w:p w14:paraId="45670BFD">
      <w:pPr>
        <w:spacing w:line="480" w:lineRule="auto"/>
        <w:rPr>
          <w:color w:val="auto"/>
          <w:highlight w:val="none"/>
        </w:rPr>
      </w:pPr>
      <w:r>
        <w:rPr>
          <w:rFonts w:hint="eastAsia"/>
          <w:color w:val="auto"/>
          <w:highlight w:val="none"/>
        </w:rPr>
        <w:t>特此证明。</w:t>
      </w:r>
    </w:p>
    <w:p w14:paraId="07701F11">
      <w:pPr>
        <w:spacing w:line="480" w:lineRule="auto"/>
        <w:ind w:firstLine="3990" w:firstLineChars="1900"/>
        <w:rPr>
          <w:color w:val="auto"/>
          <w:highlight w:val="none"/>
        </w:rPr>
      </w:pPr>
    </w:p>
    <w:p w14:paraId="5E89ACE5">
      <w:pPr>
        <w:spacing w:line="480" w:lineRule="auto"/>
        <w:ind w:firstLine="3990" w:firstLineChars="1900"/>
        <w:rPr>
          <w:color w:val="auto"/>
          <w:highlight w:val="none"/>
          <w:u w:val="single"/>
        </w:rPr>
      </w:pPr>
      <w:r>
        <w:rPr>
          <w:rFonts w:hint="eastAsia"/>
          <w:color w:val="auto"/>
          <w:highlight w:val="none"/>
        </w:rPr>
        <w:t>投标人：</w:t>
      </w:r>
      <w:r>
        <w:rPr>
          <w:color w:val="auto"/>
          <w:highlight w:val="none"/>
          <w:u w:val="single"/>
        </w:rPr>
        <w:t xml:space="preserve">           </w:t>
      </w:r>
      <w:r>
        <w:rPr>
          <w:rFonts w:hint="eastAsia"/>
          <w:color w:val="auto"/>
          <w:highlight w:val="none"/>
          <w:u w:val="single"/>
        </w:rPr>
        <w:t>（单位盖章）</w:t>
      </w:r>
      <w:r>
        <w:rPr>
          <w:color w:val="auto"/>
          <w:highlight w:val="none"/>
          <w:u w:val="single"/>
        </w:rPr>
        <w:t xml:space="preserve">       </w:t>
      </w:r>
    </w:p>
    <w:p w14:paraId="06BE5B5D">
      <w:pPr>
        <w:spacing w:line="480" w:lineRule="auto"/>
        <w:ind w:firstLine="3990" w:firstLineChars="1900"/>
        <w:rPr>
          <w:color w:val="auto"/>
          <w:highlight w:val="none"/>
        </w:rPr>
      </w:pPr>
      <w:r>
        <w:rPr>
          <w:rFonts w:hint="eastAsia"/>
          <w:color w:val="auto"/>
          <w:highlight w:val="none"/>
        </w:rPr>
        <w:t>日</w:t>
      </w:r>
      <w:r>
        <w:rPr>
          <w:color w:val="auto"/>
          <w:highlight w:val="none"/>
        </w:rPr>
        <w:t xml:space="preserve">  </w:t>
      </w:r>
      <w:r>
        <w:rPr>
          <w:rFonts w:hint="eastAsia"/>
          <w:color w:val="auto"/>
          <w:highlight w:val="none"/>
        </w:rPr>
        <w:t>期：</w:t>
      </w:r>
      <w:r>
        <w:rPr>
          <w:color w:val="auto"/>
          <w:highlight w:val="none"/>
          <w:u w:val="single"/>
        </w:rPr>
        <w:t xml:space="preserve">       </w:t>
      </w:r>
      <w:r>
        <w:rPr>
          <w:rFonts w:hint="eastAsia"/>
          <w:color w:val="auto"/>
          <w:highlight w:val="none"/>
        </w:rPr>
        <w:t>年</w:t>
      </w:r>
      <w:r>
        <w:rPr>
          <w:color w:val="auto"/>
          <w:highlight w:val="none"/>
          <w:u w:val="single"/>
        </w:rPr>
        <w:t xml:space="preserve">       </w:t>
      </w:r>
      <w:r>
        <w:rPr>
          <w:rFonts w:hint="eastAsia"/>
          <w:color w:val="auto"/>
          <w:highlight w:val="none"/>
        </w:rPr>
        <w:t>月</w:t>
      </w:r>
      <w:r>
        <w:rPr>
          <w:color w:val="auto"/>
          <w:highlight w:val="none"/>
          <w:u w:val="single"/>
        </w:rPr>
        <w:t xml:space="preserve">        </w:t>
      </w:r>
      <w:r>
        <w:rPr>
          <w:rFonts w:hint="eastAsia"/>
          <w:color w:val="auto"/>
          <w:highlight w:val="none"/>
        </w:rPr>
        <w:t>日</w:t>
      </w:r>
    </w:p>
    <w:p w14:paraId="2BBAFC02">
      <w:pPr>
        <w:spacing w:line="480" w:lineRule="auto"/>
        <w:ind w:firstLine="3990" w:firstLineChars="1900"/>
        <w:rPr>
          <w:color w:val="auto"/>
          <w:highlight w:val="none"/>
        </w:rPr>
      </w:pPr>
    </w:p>
    <w:p w14:paraId="668D9320">
      <w:pPr>
        <w:pStyle w:val="10"/>
        <w:rPr>
          <w:color w:val="auto"/>
          <w:highlight w:val="none"/>
        </w:rPr>
      </w:pPr>
    </w:p>
    <w:p w14:paraId="12BFD0C6">
      <w:pPr>
        <w:pStyle w:val="5"/>
        <w:rPr>
          <w:color w:val="auto"/>
          <w:highlight w:val="none"/>
        </w:rPr>
      </w:pPr>
    </w:p>
    <w:p w14:paraId="3C0ED704">
      <w:pPr>
        <w:pStyle w:val="10"/>
        <w:rPr>
          <w:color w:val="auto"/>
          <w:highlight w:val="none"/>
        </w:rPr>
      </w:pPr>
    </w:p>
    <w:p w14:paraId="6F19FA4E">
      <w:pPr>
        <w:pStyle w:val="5"/>
        <w:rPr>
          <w:color w:val="auto"/>
          <w:highlight w:val="none"/>
        </w:rPr>
      </w:pPr>
    </w:p>
    <w:p w14:paraId="728B8BF1">
      <w:pPr>
        <w:pStyle w:val="10"/>
        <w:rPr>
          <w:color w:val="auto"/>
          <w:highlight w:val="none"/>
        </w:rPr>
      </w:pPr>
    </w:p>
    <w:p w14:paraId="5D26F085">
      <w:pPr>
        <w:pStyle w:val="8"/>
        <w:spacing w:line="360" w:lineRule="auto"/>
        <w:ind w:left="522"/>
        <w:rPr>
          <w:b/>
          <w:color w:val="auto"/>
          <w:position w:val="-4"/>
          <w:highlight w:val="none"/>
        </w:rPr>
      </w:pPr>
    </w:p>
    <w:p w14:paraId="4F55CD4A">
      <w:pPr>
        <w:pStyle w:val="29"/>
        <w:rPr>
          <w:color w:val="auto"/>
          <w:highlight w:val="none"/>
        </w:rPr>
      </w:pPr>
      <w:r>
        <w:rPr>
          <w:rFonts w:hint="eastAsia" w:cs="Times New Roman"/>
          <w:color w:val="auto"/>
          <w:szCs w:val="28"/>
          <w:highlight w:val="none"/>
        </w:rPr>
        <w:t>附录1. 递交工程保函时出具的证明文件（线下）</w:t>
      </w:r>
    </w:p>
    <w:p w14:paraId="020E3F44">
      <w:pPr>
        <w:pStyle w:val="3"/>
        <w:rPr>
          <w:rFonts w:ascii="黑体" w:hAnsi="黑体" w:cs="宋体"/>
          <w:b w:val="0"/>
          <w:color w:val="auto"/>
          <w:sz w:val="28"/>
          <w:szCs w:val="28"/>
          <w:highlight w:val="none"/>
        </w:rPr>
      </w:pPr>
    </w:p>
    <w:p w14:paraId="069ED85A">
      <w:pPr>
        <w:pStyle w:val="5"/>
        <w:rPr>
          <w:color w:val="auto"/>
          <w:highlight w:val="none"/>
        </w:rPr>
      </w:pPr>
    </w:p>
    <w:p w14:paraId="6120A65F">
      <w:pPr>
        <w:spacing w:line="460" w:lineRule="exact"/>
        <w:jc w:val="center"/>
        <w:rPr>
          <w:rFonts w:ascii="宋体" w:hAnsi="宋体"/>
          <w:color w:val="auto"/>
          <w:sz w:val="36"/>
          <w:highlight w:val="none"/>
        </w:rPr>
      </w:pPr>
      <w:r>
        <w:rPr>
          <w:rFonts w:ascii="宋体" w:hAnsi="宋体"/>
          <w:b/>
          <w:color w:val="auto"/>
          <w:sz w:val="36"/>
          <w:highlight w:val="none"/>
        </w:rPr>
        <w:t>法定代表人身份证明</w:t>
      </w:r>
    </w:p>
    <w:p w14:paraId="55CC7137">
      <w:pPr>
        <w:snapToGrid w:val="0"/>
        <w:spacing w:line="360" w:lineRule="auto"/>
        <w:ind w:firstLine="480"/>
        <w:rPr>
          <w:rFonts w:ascii="宋体" w:hAnsi="宋体"/>
          <w:b/>
          <w:color w:val="auto"/>
          <w:szCs w:val="21"/>
          <w:highlight w:val="none"/>
        </w:rPr>
      </w:pPr>
    </w:p>
    <w:p w14:paraId="1593A6A1">
      <w:pPr>
        <w:snapToGrid w:val="0"/>
        <w:spacing w:line="360" w:lineRule="auto"/>
        <w:ind w:firstLine="480"/>
        <w:rPr>
          <w:rFonts w:ascii="宋体" w:hAnsi="宋体"/>
          <w:color w:val="auto"/>
          <w:highlight w:val="none"/>
        </w:rPr>
      </w:pPr>
      <w:r>
        <w:rPr>
          <w:rFonts w:ascii="宋体" w:hAnsi="宋体"/>
          <w:color w:val="auto"/>
          <w:highlight w:val="none"/>
        </w:rPr>
        <w:t>投标人名称：</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518C0851">
      <w:pPr>
        <w:snapToGrid w:val="0"/>
        <w:spacing w:line="360" w:lineRule="auto"/>
        <w:ind w:firstLine="480"/>
        <w:rPr>
          <w:rFonts w:ascii="宋体" w:hAnsi="宋体"/>
          <w:color w:val="auto"/>
          <w:highlight w:val="none"/>
          <w:u w:val="single"/>
        </w:rPr>
      </w:pPr>
      <w:r>
        <w:rPr>
          <w:rFonts w:ascii="宋体" w:hAnsi="宋体"/>
          <w:color w:val="auto"/>
          <w:highlight w:val="none"/>
        </w:rPr>
        <w:t>单位性质：</w:t>
      </w:r>
      <w:r>
        <w:rPr>
          <w:rFonts w:hint="eastAsia" w:ascii="宋体" w:hAnsi="宋体"/>
          <w:color w:val="auto"/>
          <w:highlight w:val="none"/>
          <w:u w:val="single"/>
        </w:rPr>
        <w:t xml:space="preserve">                                          </w:t>
      </w:r>
    </w:p>
    <w:p w14:paraId="195362E7">
      <w:pPr>
        <w:snapToGrid w:val="0"/>
        <w:spacing w:line="360" w:lineRule="auto"/>
        <w:ind w:firstLine="480"/>
        <w:rPr>
          <w:rFonts w:ascii="宋体" w:hAnsi="宋体"/>
          <w:color w:val="auto"/>
          <w:highlight w:val="none"/>
        </w:rPr>
      </w:pPr>
      <w:r>
        <w:rPr>
          <w:rFonts w:ascii="宋体" w:hAnsi="宋体"/>
          <w:color w:val="auto"/>
          <w:highlight w:val="none"/>
        </w:rPr>
        <w:t>地址：</w:t>
      </w:r>
      <w:r>
        <w:rPr>
          <w:rFonts w:hint="eastAsia" w:ascii="宋体" w:hAnsi="宋体"/>
          <w:color w:val="auto"/>
          <w:highlight w:val="none"/>
          <w:u w:val="single"/>
        </w:rPr>
        <w:t xml:space="preserve">                                              </w:t>
      </w:r>
    </w:p>
    <w:p w14:paraId="0B4F7327">
      <w:pPr>
        <w:snapToGrid w:val="0"/>
        <w:spacing w:line="360" w:lineRule="auto"/>
        <w:ind w:firstLine="480"/>
        <w:rPr>
          <w:rFonts w:ascii="宋体" w:hAnsi="宋体"/>
          <w:color w:val="auto"/>
          <w:highlight w:val="none"/>
        </w:rPr>
      </w:pPr>
      <w:r>
        <w:rPr>
          <w:rFonts w:ascii="宋体" w:hAnsi="宋体"/>
          <w:color w:val="auto"/>
          <w:highlight w:val="none"/>
        </w:rPr>
        <w:t>成立时间：</w:t>
      </w:r>
      <w:r>
        <w:rPr>
          <w:rFonts w:hint="eastAsia" w:ascii="宋体" w:hAnsi="宋体"/>
          <w:color w:val="auto"/>
          <w:highlight w:val="none"/>
          <w:u w:val="single"/>
        </w:rPr>
        <w:t xml:space="preserve">      </w:t>
      </w:r>
      <w:r>
        <w:rPr>
          <w:rFonts w:ascii="宋体" w:hAnsi="宋体"/>
          <w:color w:val="auto"/>
          <w:highlight w:val="none"/>
        </w:rPr>
        <w:t>年</w:t>
      </w:r>
      <w:r>
        <w:rPr>
          <w:rFonts w:hint="eastAsia" w:ascii="宋体" w:hAnsi="宋体"/>
          <w:color w:val="auto"/>
          <w:highlight w:val="none"/>
          <w:u w:val="single"/>
        </w:rPr>
        <w:t xml:space="preserve">   </w:t>
      </w:r>
      <w:r>
        <w:rPr>
          <w:rFonts w:ascii="宋体" w:hAnsi="宋体"/>
          <w:color w:val="auto"/>
          <w:highlight w:val="none"/>
        </w:rPr>
        <w:t>月</w:t>
      </w:r>
      <w:r>
        <w:rPr>
          <w:rFonts w:hint="eastAsia" w:ascii="宋体" w:hAnsi="宋体"/>
          <w:color w:val="auto"/>
          <w:highlight w:val="none"/>
          <w:u w:val="single"/>
        </w:rPr>
        <w:t xml:space="preserve">   </w:t>
      </w:r>
      <w:r>
        <w:rPr>
          <w:rFonts w:ascii="宋体" w:hAnsi="宋体"/>
          <w:color w:val="auto"/>
          <w:highlight w:val="none"/>
        </w:rPr>
        <w:t>日</w:t>
      </w:r>
    </w:p>
    <w:p w14:paraId="440FDD2D">
      <w:pPr>
        <w:snapToGrid w:val="0"/>
        <w:spacing w:line="360" w:lineRule="auto"/>
        <w:ind w:firstLine="480"/>
        <w:rPr>
          <w:rFonts w:ascii="宋体" w:hAnsi="宋体"/>
          <w:color w:val="auto"/>
          <w:highlight w:val="none"/>
        </w:rPr>
      </w:pPr>
      <w:r>
        <w:rPr>
          <w:rFonts w:ascii="宋体" w:hAnsi="宋体"/>
          <w:color w:val="auto"/>
          <w:highlight w:val="none"/>
        </w:rPr>
        <w:t>经营期限：</w:t>
      </w:r>
      <w:r>
        <w:rPr>
          <w:rFonts w:hint="eastAsia" w:ascii="宋体" w:hAnsi="宋体"/>
          <w:color w:val="auto"/>
          <w:highlight w:val="none"/>
          <w:u w:val="single"/>
        </w:rPr>
        <w:t xml:space="preserve">                                         </w:t>
      </w:r>
    </w:p>
    <w:p w14:paraId="58E70430">
      <w:pPr>
        <w:snapToGrid w:val="0"/>
        <w:spacing w:line="360" w:lineRule="auto"/>
        <w:ind w:firstLine="480"/>
        <w:rPr>
          <w:rFonts w:ascii="宋体" w:hAnsi="宋体"/>
          <w:color w:val="auto"/>
          <w:highlight w:val="none"/>
          <w:u w:val="single"/>
        </w:rPr>
      </w:pPr>
      <w:r>
        <w:rPr>
          <w:rFonts w:ascii="宋体" w:hAnsi="宋体"/>
          <w:color w:val="auto"/>
          <w:highlight w:val="none"/>
        </w:rPr>
        <w:t>姓名：</w:t>
      </w:r>
      <w:r>
        <w:rPr>
          <w:rFonts w:hint="eastAsia" w:ascii="宋体" w:hAnsi="宋体"/>
          <w:color w:val="auto"/>
          <w:highlight w:val="none"/>
          <w:u w:val="single"/>
        </w:rPr>
        <w:t xml:space="preserve">             </w:t>
      </w:r>
      <w:r>
        <w:rPr>
          <w:rFonts w:ascii="宋体" w:hAnsi="宋体"/>
          <w:color w:val="auto"/>
          <w:highlight w:val="none"/>
        </w:rPr>
        <w:t>性别：</w:t>
      </w:r>
      <w:r>
        <w:rPr>
          <w:rFonts w:hint="eastAsia" w:ascii="宋体" w:hAnsi="宋体"/>
          <w:color w:val="auto"/>
          <w:highlight w:val="none"/>
          <w:u w:val="single"/>
        </w:rPr>
        <w:t xml:space="preserve">        </w:t>
      </w:r>
      <w:r>
        <w:rPr>
          <w:rFonts w:ascii="宋体" w:hAnsi="宋体"/>
          <w:color w:val="auto"/>
          <w:highlight w:val="none"/>
        </w:rPr>
        <w:t>年龄：</w:t>
      </w:r>
      <w:r>
        <w:rPr>
          <w:rFonts w:hint="eastAsia" w:ascii="宋体" w:hAnsi="宋体"/>
          <w:color w:val="auto"/>
          <w:highlight w:val="none"/>
          <w:u w:val="single"/>
        </w:rPr>
        <w:t xml:space="preserve">               </w:t>
      </w:r>
      <w:r>
        <w:rPr>
          <w:rFonts w:ascii="宋体" w:hAnsi="宋体"/>
          <w:color w:val="auto"/>
          <w:highlight w:val="none"/>
        </w:rPr>
        <w:t>身份证号码</w:t>
      </w:r>
      <w:r>
        <w:rPr>
          <w:rFonts w:hint="eastAsia" w:ascii="宋体" w:hAnsi="宋体"/>
          <w:color w:val="auto"/>
          <w:highlight w:val="none"/>
        </w:rPr>
        <w:t>：</w:t>
      </w:r>
      <w:r>
        <w:rPr>
          <w:rFonts w:hint="eastAsia" w:ascii="宋体" w:hAnsi="宋体"/>
          <w:color w:val="auto"/>
          <w:highlight w:val="none"/>
          <w:u w:val="single"/>
        </w:rPr>
        <w:t xml:space="preserve">             </w:t>
      </w:r>
    </w:p>
    <w:p w14:paraId="7D5444C7">
      <w:pPr>
        <w:snapToGrid w:val="0"/>
        <w:spacing w:line="360" w:lineRule="auto"/>
        <w:ind w:firstLine="420" w:firstLineChars="200"/>
        <w:rPr>
          <w:rFonts w:ascii="宋体" w:hAnsi="宋体"/>
          <w:color w:val="auto"/>
          <w:highlight w:val="none"/>
        </w:rPr>
      </w:pPr>
      <w:r>
        <w:rPr>
          <w:rFonts w:hint="eastAsia" w:ascii="宋体" w:hAnsi="宋体"/>
          <w:color w:val="auto"/>
          <w:highlight w:val="none"/>
        </w:rPr>
        <w:t>联系电话：</w:t>
      </w:r>
      <w:r>
        <w:rPr>
          <w:rFonts w:hint="eastAsia" w:ascii="宋体" w:hAnsi="宋体"/>
          <w:color w:val="auto"/>
          <w:highlight w:val="none"/>
          <w:u w:val="single"/>
        </w:rPr>
        <w:t xml:space="preserve">         </w:t>
      </w:r>
      <w:r>
        <w:rPr>
          <w:rFonts w:ascii="宋体" w:hAnsi="宋体"/>
          <w:color w:val="auto"/>
          <w:highlight w:val="none"/>
        </w:rPr>
        <w:t>职务：</w:t>
      </w:r>
      <w:r>
        <w:rPr>
          <w:rFonts w:hint="eastAsia" w:ascii="宋体" w:hAnsi="宋体"/>
          <w:color w:val="auto"/>
          <w:highlight w:val="none"/>
          <w:u w:val="single"/>
        </w:rPr>
        <w:t xml:space="preserve"> </w:t>
      </w:r>
      <w:r>
        <w:rPr>
          <w:rFonts w:ascii="宋体" w:hAnsi="宋体"/>
          <w:color w:val="auto"/>
          <w:highlight w:val="none"/>
          <w:u w:val="single"/>
        </w:rPr>
        <w:t xml:space="preserve">       </w:t>
      </w:r>
      <w:r>
        <w:rPr>
          <w:rFonts w:ascii="宋体" w:hAnsi="宋体"/>
          <w:color w:val="auto"/>
          <w:highlight w:val="none"/>
        </w:rPr>
        <w:t>系</w:t>
      </w:r>
      <w:r>
        <w:rPr>
          <w:rFonts w:hint="eastAsia" w:ascii="宋体" w:hAnsi="宋体"/>
          <w:color w:val="auto"/>
          <w:highlight w:val="none"/>
          <w:u w:val="single"/>
        </w:rPr>
        <w:t xml:space="preserve">                  </w:t>
      </w:r>
      <w:r>
        <w:rPr>
          <w:rFonts w:ascii="宋体" w:hAnsi="宋体"/>
          <w:color w:val="auto"/>
          <w:highlight w:val="none"/>
        </w:rPr>
        <w:t>（投标人名称）的法定代表人。</w:t>
      </w:r>
    </w:p>
    <w:p w14:paraId="18EADB40">
      <w:pPr>
        <w:spacing w:line="360" w:lineRule="auto"/>
        <w:rPr>
          <w:rFonts w:ascii="宋体" w:hAnsi="宋体"/>
          <w:color w:val="auto"/>
          <w:szCs w:val="21"/>
          <w:highlight w:val="none"/>
        </w:rPr>
      </w:pPr>
    </w:p>
    <w:p w14:paraId="61FD2367">
      <w:pPr>
        <w:spacing w:line="360" w:lineRule="auto"/>
        <w:rPr>
          <w:rFonts w:ascii="宋体" w:hAnsi="宋体"/>
          <w:color w:val="auto"/>
          <w:szCs w:val="21"/>
          <w:highlight w:val="none"/>
        </w:rPr>
      </w:pPr>
    </w:p>
    <w:p w14:paraId="61AFFF13">
      <w:pPr>
        <w:spacing w:line="360" w:lineRule="auto"/>
        <w:rPr>
          <w:rFonts w:ascii="宋体" w:hAnsi="宋体"/>
          <w:color w:val="auto"/>
          <w:szCs w:val="21"/>
          <w:highlight w:val="none"/>
        </w:rPr>
      </w:pPr>
      <w:r>
        <w:rPr>
          <w:rFonts w:hint="eastAsia" w:ascii="宋体" w:hAnsi="宋体"/>
          <w:color w:val="auto"/>
          <w:szCs w:val="21"/>
          <w:highlight w:val="none"/>
        </w:rPr>
        <w:t xml:space="preserve">    </w:t>
      </w:r>
      <w:r>
        <w:rPr>
          <w:rFonts w:ascii="宋体" w:hAnsi="宋体"/>
          <w:color w:val="auto"/>
          <w:szCs w:val="21"/>
          <w:highlight w:val="none"/>
        </w:rPr>
        <w:t>特此证明。</w:t>
      </w:r>
    </w:p>
    <w:p w14:paraId="677E3571">
      <w:pPr>
        <w:spacing w:line="360" w:lineRule="auto"/>
        <w:rPr>
          <w:rFonts w:ascii="宋体" w:hAnsi="宋体"/>
          <w:color w:val="auto"/>
          <w:szCs w:val="21"/>
          <w:highlight w:val="none"/>
        </w:rPr>
      </w:pPr>
    </w:p>
    <w:p w14:paraId="16923D95">
      <w:pPr>
        <w:spacing w:line="360" w:lineRule="auto"/>
        <w:rPr>
          <w:rFonts w:ascii="宋体" w:hAnsi="宋体"/>
          <w:color w:val="auto"/>
          <w:szCs w:val="21"/>
          <w:highlight w:val="none"/>
        </w:rPr>
      </w:pPr>
    </w:p>
    <w:p w14:paraId="4FD5659E">
      <w:pPr>
        <w:spacing w:line="500" w:lineRule="exact"/>
        <w:ind w:firstLine="3840"/>
        <w:rPr>
          <w:rFonts w:ascii="宋体" w:hAnsi="宋体"/>
          <w:color w:val="auto"/>
          <w:highlight w:val="none"/>
        </w:rPr>
      </w:pPr>
    </w:p>
    <w:p w14:paraId="56ED59C2">
      <w:pPr>
        <w:spacing w:line="500" w:lineRule="exact"/>
        <w:ind w:firstLine="3840"/>
        <w:rPr>
          <w:rFonts w:ascii="宋体" w:hAnsi="宋体"/>
          <w:color w:val="auto"/>
          <w:highlight w:val="none"/>
        </w:rPr>
      </w:pPr>
      <w:r>
        <w:rPr>
          <w:rFonts w:ascii="宋体" w:hAnsi="宋体"/>
          <w:color w:val="auto"/>
          <w:highlight w:val="none"/>
        </w:rPr>
        <w:t>投 标 人（</w:t>
      </w:r>
      <w:r>
        <w:rPr>
          <w:rFonts w:ascii="宋体" w:hAnsi="宋体"/>
          <w:color w:val="auto"/>
          <w:szCs w:val="21"/>
          <w:highlight w:val="none"/>
        </w:rPr>
        <w:t>盖单位公章）</w:t>
      </w:r>
      <w:r>
        <w:rPr>
          <w:rFonts w:ascii="宋体" w:hAnsi="宋体"/>
          <w:color w:val="auto"/>
          <w:highlight w:val="none"/>
        </w:rPr>
        <w:t>：</w:t>
      </w:r>
    </w:p>
    <w:p w14:paraId="6C45E29B">
      <w:pPr>
        <w:spacing w:line="360" w:lineRule="auto"/>
        <w:ind w:firstLine="5160"/>
        <w:rPr>
          <w:rFonts w:ascii="宋体" w:hAnsi="宋体"/>
          <w:color w:val="auto"/>
          <w:highlight w:val="none"/>
        </w:rPr>
      </w:pPr>
    </w:p>
    <w:p w14:paraId="5A514401">
      <w:pPr>
        <w:spacing w:line="360" w:lineRule="auto"/>
        <w:jc w:val="right"/>
        <w:rPr>
          <w:rFonts w:ascii="宋体" w:hAnsi="宋体"/>
          <w:color w:val="auto"/>
          <w:highlight w:val="none"/>
        </w:rPr>
      </w:pPr>
      <w:r>
        <w:rPr>
          <w:rFonts w:ascii="宋体" w:hAnsi="宋体"/>
          <w:color w:val="auto"/>
          <w:szCs w:val="21"/>
          <w:highlight w:val="none"/>
        </w:rPr>
        <w:t>日期：</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r>
        <w:rPr>
          <w:rFonts w:ascii="宋体" w:hAnsi="宋体"/>
          <w:color w:val="auto"/>
          <w:szCs w:val="21"/>
          <w:highlight w:val="none"/>
        </w:rPr>
        <w:t>年</w:t>
      </w:r>
      <w:r>
        <w:rPr>
          <w:rFonts w:hint="eastAsia" w:ascii="宋体" w:hAnsi="宋体"/>
          <w:color w:val="auto"/>
          <w:szCs w:val="21"/>
          <w:highlight w:val="none"/>
          <w:u w:val="single"/>
        </w:rPr>
        <w:t xml:space="preserve">      </w:t>
      </w:r>
      <w:r>
        <w:rPr>
          <w:rFonts w:ascii="宋体" w:hAnsi="宋体"/>
          <w:color w:val="auto"/>
          <w:szCs w:val="21"/>
          <w:highlight w:val="none"/>
        </w:rPr>
        <w:t>月</w:t>
      </w:r>
      <w:r>
        <w:rPr>
          <w:rFonts w:hint="eastAsia" w:ascii="宋体" w:hAnsi="宋体"/>
          <w:color w:val="auto"/>
          <w:szCs w:val="21"/>
          <w:highlight w:val="none"/>
          <w:u w:val="single"/>
        </w:rPr>
        <w:t xml:space="preserve">    </w:t>
      </w:r>
      <w:r>
        <w:rPr>
          <w:rFonts w:ascii="宋体" w:hAnsi="宋体"/>
          <w:color w:val="auto"/>
          <w:szCs w:val="21"/>
          <w:highlight w:val="none"/>
        </w:rPr>
        <w:t>日</w:t>
      </w:r>
    </w:p>
    <w:p w14:paraId="14AC0B67">
      <w:pPr>
        <w:rPr>
          <w:rFonts w:ascii="宋体" w:hAnsi="宋体"/>
          <w:color w:val="auto"/>
          <w:szCs w:val="21"/>
          <w:highlight w:val="none"/>
        </w:rPr>
      </w:pPr>
    </w:p>
    <w:p w14:paraId="49C5AA6D">
      <w:pPr>
        <w:spacing w:line="460" w:lineRule="exact"/>
        <w:rPr>
          <w:rFonts w:ascii="宋体" w:hAnsi="宋体"/>
          <w:b/>
          <w:color w:val="auto"/>
          <w:highlight w:val="none"/>
        </w:rPr>
      </w:pPr>
    </w:p>
    <w:p w14:paraId="0C258906">
      <w:pPr>
        <w:spacing w:line="460" w:lineRule="exact"/>
        <w:rPr>
          <w:rFonts w:ascii="宋体" w:hAnsi="宋体"/>
          <w:b/>
          <w:color w:val="auto"/>
          <w:highlight w:val="none"/>
        </w:rPr>
      </w:pPr>
    </w:p>
    <w:p w14:paraId="18FDE217">
      <w:pPr>
        <w:spacing w:line="460" w:lineRule="exact"/>
        <w:rPr>
          <w:rFonts w:ascii="宋体" w:hAnsi="宋体"/>
          <w:b/>
          <w:color w:val="auto"/>
          <w:szCs w:val="21"/>
          <w:highlight w:val="none"/>
        </w:rPr>
      </w:pPr>
      <w:r>
        <w:rPr>
          <w:rFonts w:hint="eastAsia" w:ascii="宋体" w:hAnsi="宋体"/>
          <w:b/>
          <w:bCs/>
          <w:color w:val="auto"/>
          <w:szCs w:val="21"/>
          <w:highlight w:val="none"/>
        </w:rPr>
        <w:t>注：仅用于递交工程保函时出具，须采用线下盖章。</w:t>
      </w:r>
    </w:p>
    <w:p w14:paraId="36C41A82">
      <w:pPr>
        <w:spacing w:line="460" w:lineRule="exact"/>
        <w:rPr>
          <w:rFonts w:ascii="宋体" w:hAnsi="宋体"/>
          <w:b/>
          <w:color w:val="auto"/>
          <w:highlight w:val="none"/>
        </w:rPr>
      </w:pPr>
    </w:p>
    <w:p w14:paraId="6856DAD0">
      <w:pPr>
        <w:spacing w:line="460" w:lineRule="exact"/>
        <w:rPr>
          <w:rFonts w:ascii="宋体" w:hAnsi="宋体"/>
          <w:b/>
          <w:color w:val="auto"/>
          <w:highlight w:val="none"/>
        </w:rPr>
      </w:pPr>
    </w:p>
    <w:p w14:paraId="6DF02AD9">
      <w:pPr>
        <w:spacing w:line="460" w:lineRule="exact"/>
        <w:rPr>
          <w:rFonts w:ascii="宋体" w:hAnsi="宋体"/>
          <w:color w:val="auto"/>
          <w:highlight w:val="none"/>
        </w:rPr>
      </w:pPr>
      <w:r>
        <w:rPr>
          <w:rFonts w:ascii="宋体" w:hAnsi="宋体"/>
          <w:b/>
          <w:color w:val="auto"/>
          <w:highlight w:val="none"/>
        </w:rPr>
        <w:br w:type="page"/>
      </w:r>
      <w:r>
        <w:rPr>
          <w:rFonts w:ascii="宋体" w:hAnsi="宋体"/>
          <w:color w:val="auto"/>
          <w:highlight w:val="none"/>
        </w:rPr>
        <w:t xml:space="preserve"> </w:t>
      </w:r>
    </w:p>
    <w:p w14:paraId="7048E788">
      <w:pPr>
        <w:spacing w:line="460" w:lineRule="exact"/>
        <w:jc w:val="center"/>
        <w:rPr>
          <w:rFonts w:ascii="宋体" w:hAnsi="宋体"/>
          <w:b/>
          <w:color w:val="auto"/>
          <w:sz w:val="36"/>
          <w:highlight w:val="none"/>
        </w:rPr>
      </w:pPr>
      <w:r>
        <w:rPr>
          <w:rFonts w:ascii="宋体" w:hAnsi="宋体"/>
          <w:b/>
          <w:color w:val="auto"/>
          <w:sz w:val="36"/>
          <w:highlight w:val="none"/>
        </w:rPr>
        <w:t>授权委托书</w:t>
      </w:r>
    </w:p>
    <w:p w14:paraId="385285DC">
      <w:pPr>
        <w:snapToGrid w:val="0"/>
        <w:spacing w:line="360" w:lineRule="auto"/>
        <w:ind w:firstLine="480"/>
        <w:rPr>
          <w:rFonts w:ascii="宋体" w:hAnsi="宋体"/>
          <w:b/>
          <w:color w:val="auto"/>
          <w:szCs w:val="21"/>
          <w:highlight w:val="none"/>
        </w:rPr>
      </w:pPr>
    </w:p>
    <w:p w14:paraId="103D5EA4">
      <w:pPr>
        <w:snapToGrid w:val="0"/>
        <w:spacing w:line="360" w:lineRule="auto"/>
        <w:ind w:firstLine="480"/>
        <w:rPr>
          <w:rFonts w:ascii="宋体" w:hAnsi="宋体"/>
          <w:color w:val="auto"/>
          <w:highlight w:val="none"/>
        </w:rPr>
      </w:pPr>
      <w:r>
        <w:rPr>
          <w:rFonts w:ascii="宋体" w:hAnsi="宋体"/>
          <w:color w:val="auto"/>
          <w:szCs w:val="21"/>
          <w:highlight w:val="none"/>
        </w:rPr>
        <w:t>本人</w:t>
      </w:r>
      <w:r>
        <w:rPr>
          <w:rFonts w:hint="eastAsia" w:ascii="宋体" w:hAnsi="宋体"/>
          <w:color w:val="auto"/>
          <w:szCs w:val="21"/>
          <w:highlight w:val="none"/>
          <w:u w:val="single"/>
        </w:rPr>
        <w:t xml:space="preserve">       </w:t>
      </w:r>
      <w:r>
        <w:rPr>
          <w:rFonts w:ascii="宋体" w:hAnsi="宋体"/>
          <w:color w:val="auto"/>
          <w:szCs w:val="21"/>
          <w:highlight w:val="none"/>
          <w:u w:val="single"/>
        </w:rPr>
        <w:t>（姓名）</w:t>
      </w:r>
      <w:r>
        <w:rPr>
          <w:rFonts w:ascii="宋体" w:hAnsi="宋体"/>
          <w:color w:val="auto"/>
          <w:szCs w:val="21"/>
          <w:highlight w:val="none"/>
        </w:rPr>
        <w:t>系</w:t>
      </w:r>
      <w:r>
        <w:rPr>
          <w:rFonts w:hint="eastAsia" w:ascii="宋体" w:hAnsi="宋体"/>
          <w:color w:val="auto"/>
          <w:szCs w:val="21"/>
          <w:highlight w:val="none"/>
          <w:u w:val="single"/>
        </w:rPr>
        <w:t xml:space="preserve">       </w:t>
      </w:r>
      <w:r>
        <w:rPr>
          <w:rFonts w:ascii="宋体" w:hAnsi="宋体"/>
          <w:color w:val="auto"/>
          <w:szCs w:val="21"/>
          <w:highlight w:val="none"/>
          <w:u w:val="single"/>
        </w:rPr>
        <w:t>（投标人名称）</w:t>
      </w:r>
      <w:r>
        <w:rPr>
          <w:rFonts w:ascii="宋体" w:hAnsi="宋体"/>
          <w:color w:val="auto"/>
          <w:szCs w:val="21"/>
          <w:highlight w:val="none"/>
        </w:rPr>
        <w:t>的法定代表人，现委托</w:t>
      </w:r>
      <w:r>
        <w:rPr>
          <w:rFonts w:hint="eastAsia" w:ascii="宋体" w:hAnsi="宋体"/>
          <w:color w:val="auto"/>
          <w:szCs w:val="21"/>
          <w:highlight w:val="none"/>
          <w:u w:val="single"/>
        </w:rPr>
        <w:t xml:space="preserve">       </w:t>
      </w:r>
      <w:r>
        <w:rPr>
          <w:rFonts w:ascii="宋体" w:hAnsi="宋体"/>
          <w:color w:val="auto"/>
          <w:szCs w:val="21"/>
          <w:highlight w:val="none"/>
          <w:u w:val="single"/>
        </w:rPr>
        <w:t>（姓名）</w:t>
      </w:r>
      <w:r>
        <w:rPr>
          <w:rFonts w:ascii="宋体" w:hAnsi="宋体"/>
          <w:color w:val="auto"/>
          <w:szCs w:val="21"/>
          <w:highlight w:val="none"/>
        </w:rPr>
        <w:t>为我方代理人。代理人根据授权，在投标有效期满前以我方名义签署、澄清、说明、补正、递交</w:t>
      </w:r>
      <w:r>
        <w:rPr>
          <w:rFonts w:ascii="宋体" w:hAnsi="宋体"/>
          <w:color w:val="auto"/>
          <w:highlight w:val="none"/>
        </w:rPr>
        <w:t>、撤回、修改</w:t>
      </w:r>
      <w:r>
        <w:rPr>
          <w:rFonts w:hint="eastAsia" w:ascii="宋体" w:hAnsi="宋体"/>
          <w:color w:val="auto"/>
          <w:highlight w:val="none"/>
          <w:u w:val="single"/>
        </w:rPr>
        <w:t xml:space="preserve">             </w:t>
      </w:r>
      <w:r>
        <w:rPr>
          <w:rFonts w:ascii="宋体" w:hAnsi="宋体"/>
          <w:color w:val="auto"/>
          <w:highlight w:val="none"/>
        </w:rPr>
        <w:t>（项目名称）投标</w:t>
      </w:r>
      <w:r>
        <w:rPr>
          <w:rFonts w:ascii="宋体" w:hAnsi="宋体"/>
          <w:color w:val="auto"/>
          <w:szCs w:val="21"/>
          <w:highlight w:val="none"/>
        </w:rPr>
        <w:t>文件、</w:t>
      </w:r>
      <w:r>
        <w:rPr>
          <w:rFonts w:hint="eastAsia" w:ascii="宋体" w:hAnsi="宋体"/>
          <w:color w:val="auto"/>
          <w:szCs w:val="21"/>
          <w:highlight w:val="none"/>
        </w:rPr>
        <w:t>递交投标保证金保函等相关资料、</w:t>
      </w:r>
      <w:r>
        <w:rPr>
          <w:rFonts w:ascii="宋体" w:hAnsi="宋体"/>
          <w:color w:val="auto"/>
          <w:szCs w:val="21"/>
          <w:highlight w:val="none"/>
        </w:rPr>
        <w:t>出席开标会议、签订合同和处理有关事宜，其法律后果由我方承担。</w:t>
      </w:r>
    </w:p>
    <w:p w14:paraId="26885177">
      <w:pPr>
        <w:snapToGrid w:val="0"/>
        <w:spacing w:line="360" w:lineRule="auto"/>
        <w:ind w:firstLine="480"/>
        <w:rPr>
          <w:rFonts w:ascii="宋体" w:hAnsi="宋体"/>
          <w:color w:val="auto"/>
          <w:highlight w:val="none"/>
        </w:rPr>
      </w:pPr>
      <w:r>
        <w:rPr>
          <w:rFonts w:ascii="宋体" w:hAnsi="宋体"/>
          <w:color w:val="auto"/>
          <w:szCs w:val="21"/>
          <w:highlight w:val="none"/>
        </w:rPr>
        <w:t>代理人无转委托权。</w:t>
      </w:r>
    </w:p>
    <w:p w14:paraId="3C0564FF">
      <w:pPr>
        <w:snapToGrid w:val="0"/>
        <w:spacing w:line="360" w:lineRule="auto"/>
        <w:ind w:firstLine="480"/>
        <w:rPr>
          <w:rFonts w:ascii="宋体" w:hAnsi="宋体"/>
          <w:color w:val="auto"/>
          <w:highlight w:val="none"/>
        </w:rPr>
      </w:pPr>
      <w:r>
        <w:rPr>
          <w:rFonts w:ascii="宋体" w:hAnsi="宋体"/>
          <w:color w:val="auto"/>
          <w:szCs w:val="21"/>
          <w:highlight w:val="none"/>
        </w:rPr>
        <w:t>附：</w:t>
      </w:r>
      <w:r>
        <w:rPr>
          <w:rFonts w:hint="eastAsia" w:ascii="宋体" w:hAnsi="宋体"/>
          <w:color w:val="auto"/>
          <w:szCs w:val="21"/>
          <w:highlight w:val="none"/>
        </w:rPr>
        <w:t>法定代表人</w:t>
      </w:r>
      <w:r>
        <w:rPr>
          <w:rFonts w:ascii="宋体" w:hAnsi="宋体"/>
          <w:color w:val="auto"/>
          <w:szCs w:val="21"/>
          <w:highlight w:val="none"/>
        </w:rPr>
        <w:t>身份证明</w:t>
      </w:r>
    </w:p>
    <w:p w14:paraId="07C4AE6C">
      <w:pPr>
        <w:snapToGrid w:val="0"/>
        <w:spacing w:line="360" w:lineRule="auto"/>
        <w:ind w:firstLine="480"/>
        <w:rPr>
          <w:rFonts w:ascii="宋体" w:hAnsi="宋体"/>
          <w:color w:val="auto"/>
          <w:szCs w:val="21"/>
          <w:highlight w:val="none"/>
        </w:rPr>
      </w:pPr>
    </w:p>
    <w:p w14:paraId="375E1C9E">
      <w:pPr>
        <w:snapToGrid w:val="0"/>
        <w:spacing w:line="360" w:lineRule="auto"/>
        <w:ind w:firstLine="3360" w:firstLineChars="1600"/>
        <w:rPr>
          <w:rFonts w:ascii="宋体" w:hAnsi="宋体"/>
          <w:color w:val="auto"/>
          <w:highlight w:val="none"/>
        </w:rPr>
      </w:pPr>
      <w:r>
        <w:rPr>
          <w:rFonts w:ascii="宋体" w:hAnsi="宋体"/>
          <w:color w:val="auto"/>
          <w:szCs w:val="21"/>
          <w:highlight w:val="none"/>
        </w:rPr>
        <w:t>投标人：</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rPr>
        <w:t>（盖单位</w:t>
      </w:r>
      <w:r>
        <w:rPr>
          <w:rFonts w:ascii="宋体" w:hAnsi="宋体"/>
          <w:color w:val="auto"/>
          <w:highlight w:val="none"/>
        </w:rPr>
        <w:t>公</w:t>
      </w:r>
      <w:r>
        <w:rPr>
          <w:rFonts w:ascii="宋体" w:hAnsi="宋体"/>
          <w:color w:val="auto"/>
          <w:szCs w:val="21"/>
          <w:highlight w:val="none"/>
        </w:rPr>
        <w:t>章）</w:t>
      </w:r>
    </w:p>
    <w:p w14:paraId="777BF593">
      <w:pPr>
        <w:snapToGrid w:val="0"/>
        <w:spacing w:line="360" w:lineRule="auto"/>
        <w:ind w:firstLine="3360"/>
        <w:rPr>
          <w:rFonts w:ascii="宋体" w:hAnsi="宋体"/>
          <w:color w:val="auto"/>
          <w:highlight w:val="none"/>
        </w:rPr>
      </w:pPr>
      <w:r>
        <w:rPr>
          <w:rFonts w:ascii="宋体" w:hAnsi="宋体"/>
          <w:color w:val="auto"/>
          <w:szCs w:val="21"/>
          <w:highlight w:val="none"/>
        </w:rPr>
        <w:t>法定代表人：</w:t>
      </w:r>
      <w:r>
        <w:rPr>
          <w:rFonts w:hint="eastAsia" w:ascii="宋体" w:hAnsi="宋体"/>
          <w:color w:val="auto"/>
          <w:szCs w:val="21"/>
          <w:highlight w:val="none"/>
          <w:u w:val="single"/>
        </w:rPr>
        <w:t xml:space="preserve">               （签字）</w:t>
      </w:r>
      <w:r>
        <w:rPr>
          <w:rFonts w:hint="eastAsia" w:ascii="宋体" w:hAnsi="宋体"/>
          <w:color w:val="auto"/>
          <w:szCs w:val="21"/>
          <w:highlight w:val="none"/>
        </w:rPr>
        <w:t xml:space="preserve"> </w:t>
      </w:r>
    </w:p>
    <w:p w14:paraId="46963398">
      <w:pPr>
        <w:snapToGrid w:val="0"/>
        <w:spacing w:line="360" w:lineRule="auto"/>
        <w:ind w:firstLine="3360"/>
        <w:rPr>
          <w:rFonts w:ascii="宋体" w:hAnsi="宋体"/>
          <w:color w:val="auto"/>
          <w:highlight w:val="none"/>
        </w:rPr>
      </w:pPr>
      <w:r>
        <w:rPr>
          <w:rFonts w:ascii="宋体" w:hAnsi="宋体"/>
          <w:color w:val="auto"/>
          <w:szCs w:val="21"/>
          <w:highlight w:val="none"/>
        </w:rPr>
        <w:t>身份证号码：</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14:paraId="01645515">
      <w:pPr>
        <w:snapToGrid w:val="0"/>
        <w:spacing w:line="360" w:lineRule="auto"/>
        <w:ind w:firstLine="3360"/>
        <w:rPr>
          <w:rFonts w:ascii="宋体" w:hAnsi="宋体"/>
          <w:color w:val="auto"/>
          <w:highlight w:val="none"/>
        </w:rPr>
      </w:pPr>
      <w:r>
        <w:rPr>
          <w:rFonts w:ascii="宋体" w:hAnsi="宋体"/>
          <w:color w:val="auto"/>
          <w:szCs w:val="21"/>
          <w:highlight w:val="none"/>
        </w:rPr>
        <w:t>委托代理人：</w:t>
      </w:r>
      <w:r>
        <w:rPr>
          <w:rFonts w:hint="eastAsia" w:ascii="宋体" w:hAnsi="宋体"/>
          <w:color w:val="auto"/>
          <w:szCs w:val="21"/>
          <w:highlight w:val="none"/>
          <w:u w:val="single"/>
        </w:rPr>
        <w:t xml:space="preserve">               （签字）</w:t>
      </w:r>
      <w:r>
        <w:rPr>
          <w:rFonts w:hint="eastAsia" w:ascii="宋体" w:hAnsi="宋体"/>
          <w:color w:val="auto"/>
          <w:szCs w:val="21"/>
          <w:highlight w:val="none"/>
        </w:rPr>
        <w:t xml:space="preserve"> </w:t>
      </w:r>
    </w:p>
    <w:p w14:paraId="6F8EF3FA">
      <w:pPr>
        <w:snapToGrid w:val="0"/>
        <w:spacing w:line="360" w:lineRule="auto"/>
        <w:ind w:firstLine="3360"/>
        <w:rPr>
          <w:rFonts w:ascii="宋体" w:hAnsi="宋体"/>
          <w:color w:val="auto"/>
          <w:szCs w:val="21"/>
          <w:highlight w:val="none"/>
        </w:rPr>
      </w:pPr>
      <w:r>
        <w:rPr>
          <w:rFonts w:ascii="宋体" w:hAnsi="宋体"/>
          <w:color w:val="auto"/>
          <w:szCs w:val="21"/>
          <w:highlight w:val="none"/>
        </w:rPr>
        <w:t>身份证号码：</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14:paraId="6D4AC7B2">
      <w:pPr>
        <w:pStyle w:val="36"/>
        <w:ind w:firstLine="2520" w:firstLineChars="1200"/>
        <w:rPr>
          <w:color w:val="auto"/>
          <w:highlight w:val="none"/>
        </w:rPr>
      </w:pPr>
      <w:r>
        <w:rPr>
          <w:rFonts w:hint="eastAsia" w:ascii="宋体" w:hAnsi="宋体"/>
          <w:color w:val="auto"/>
          <w:szCs w:val="21"/>
          <w:highlight w:val="none"/>
        </w:rPr>
        <w:t>联系电话：</w:t>
      </w:r>
      <w:r>
        <w:rPr>
          <w:rFonts w:hint="eastAsia" w:ascii="宋体" w:hAnsi="宋体"/>
          <w:color w:val="auto"/>
          <w:highlight w:val="none"/>
          <w:u w:val="single"/>
        </w:rPr>
        <w:t xml:space="preserve">                       </w:t>
      </w:r>
    </w:p>
    <w:p w14:paraId="54742776">
      <w:pPr>
        <w:snapToGrid w:val="0"/>
        <w:spacing w:line="360" w:lineRule="auto"/>
        <w:ind w:firstLine="5040"/>
        <w:rPr>
          <w:rFonts w:ascii="宋体" w:hAnsi="宋体"/>
          <w:color w:val="auto"/>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r>
        <w:rPr>
          <w:rFonts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r>
        <w:rPr>
          <w:rFonts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r>
        <w:rPr>
          <w:rFonts w:ascii="宋体" w:hAnsi="宋体"/>
          <w:color w:val="auto"/>
          <w:szCs w:val="21"/>
          <w:highlight w:val="none"/>
        </w:rPr>
        <w:t>日</w:t>
      </w:r>
    </w:p>
    <w:p w14:paraId="6A219CE3">
      <w:pPr>
        <w:snapToGrid w:val="0"/>
        <w:spacing w:line="360" w:lineRule="auto"/>
        <w:ind w:firstLine="210"/>
        <w:rPr>
          <w:rFonts w:ascii="宋体" w:hAnsi="宋体"/>
          <w:color w:val="auto"/>
          <w:highlight w:val="none"/>
        </w:rPr>
      </w:pPr>
    </w:p>
    <w:p w14:paraId="170DD391">
      <w:pPr>
        <w:snapToGrid w:val="0"/>
        <w:spacing w:line="360" w:lineRule="auto"/>
        <w:ind w:firstLine="210"/>
        <w:rPr>
          <w:rFonts w:ascii="宋体" w:hAnsi="宋体"/>
          <w:color w:val="auto"/>
          <w:highlight w:val="none"/>
        </w:rPr>
      </w:pPr>
    </w:p>
    <w:p w14:paraId="33C9A949">
      <w:pPr>
        <w:snapToGrid w:val="0"/>
        <w:spacing w:line="360" w:lineRule="auto"/>
        <w:ind w:firstLine="210"/>
        <w:rPr>
          <w:rFonts w:ascii="宋体" w:hAnsi="宋体"/>
          <w:color w:val="auto"/>
          <w:highlight w:val="none"/>
        </w:rPr>
      </w:pPr>
    </w:p>
    <w:p w14:paraId="06483FCA">
      <w:pPr>
        <w:snapToGrid w:val="0"/>
        <w:spacing w:line="360" w:lineRule="auto"/>
        <w:ind w:firstLine="210"/>
        <w:rPr>
          <w:rFonts w:ascii="宋体" w:hAnsi="宋体"/>
          <w:color w:val="auto"/>
          <w:highlight w:val="none"/>
        </w:rPr>
      </w:pPr>
    </w:p>
    <w:p w14:paraId="6B7A7870">
      <w:pPr>
        <w:snapToGrid w:val="0"/>
        <w:spacing w:line="360" w:lineRule="auto"/>
        <w:ind w:firstLine="210"/>
        <w:rPr>
          <w:rFonts w:ascii="宋体" w:hAnsi="宋体"/>
          <w:color w:val="auto"/>
          <w:highlight w:val="none"/>
        </w:rPr>
      </w:pPr>
    </w:p>
    <w:p w14:paraId="5D927C4B">
      <w:pPr>
        <w:pStyle w:val="36"/>
        <w:spacing w:line="360" w:lineRule="auto"/>
        <w:ind w:left="522" w:firstLine="210"/>
        <w:rPr>
          <w:rFonts w:ascii="宋体" w:hAnsi="宋体"/>
          <w:color w:val="auto"/>
          <w:sz w:val="21"/>
          <w:szCs w:val="21"/>
          <w:highlight w:val="none"/>
        </w:rPr>
      </w:pPr>
      <w:r>
        <w:rPr>
          <w:rFonts w:ascii="宋体" w:hAnsi="宋体"/>
          <w:color w:val="auto"/>
          <w:sz w:val="21"/>
          <w:szCs w:val="21"/>
          <w:highlight w:val="none"/>
        </w:rPr>
        <w:t>注：1.法定代表人和委托代理人均应在本授权委托书上签字，不得使用印章、签名章或其他电子制版签名。</w:t>
      </w:r>
    </w:p>
    <w:p w14:paraId="756FC9D1">
      <w:pPr>
        <w:spacing w:before="51" w:line="345" w:lineRule="auto"/>
        <w:ind w:left="141" w:hanging="14"/>
        <w:rPr>
          <w:rFonts w:ascii="宋体" w:hAnsi="宋体" w:eastAsia="宋体" w:cs="宋体"/>
          <w:color w:val="auto"/>
          <w:sz w:val="24"/>
          <w:szCs w:val="24"/>
          <w:highlight w:val="none"/>
          <w:lang w:eastAsia="zh-CN"/>
        </w:rPr>
      </w:pPr>
      <w:r>
        <w:rPr>
          <w:rFonts w:hint="eastAsia" w:ascii="宋体" w:hAnsi="宋体"/>
          <w:color w:val="auto"/>
          <w:sz w:val="21"/>
          <w:szCs w:val="21"/>
          <w:highlight w:val="none"/>
        </w:rPr>
        <w:t>2. 仅用于递交工程保函时出具，须采用线下盖章。</w:t>
      </w:r>
    </w:p>
    <w:sectPr>
      <w:footerReference r:id="rId9" w:type="default"/>
      <w:pgSz w:w="11907" w:h="16840"/>
      <w:pgMar w:top="1431" w:right="1550" w:bottom="1096" w:left="1529" w:header="0" w:footer="933" w:gutter="0"/>
      <w:pgNumType w:fmt="decimal"/>
      <w:cols w:space="720" w:num="1"/>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等线">
    <w:altName w:val="微软雅黑"/>
    <w:panose1 w:val="02010600030101010101"/>
    <w:charset w:val="86"/>
    <w:family w:val="roman"/>
    <w:pitch w:val="default"/>
    <w:sig w:usb0="00000000" w:usb1="00000000" w:usb2="00000016" w:usb3="00000000" w:csb0="0004000F" w:csb1="00000000"/>
  </w:font>
  <w:font w:name="微软雅黑">
    <w:panose1 w:val="020B0503020204020204"/>
    <w:charset w:val="86"/>
    <w:family w:val="roman"/>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方正小标宋简体">
    <w:altName w:val="仿宋_GB2312"/>
    <w:panose1 w:val="02000000000000000000"/>
    <w:charset w:val="86"/>
    <w:family w:val="script"/>
    <w:pitch w:val="default"/>
    <w:sig w:usb0="00000000" w:usb1="00000000" w:usb2="00000000" w:usb3="00000000" w:csb0="0004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7BD834">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933CB4">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08LtQsAgAAV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Twu1CwCAABVBAAADgAAAAAAAAABACAAAAAfAQAAZHJzL2Uyb0RvYy54bWxQSwUGAAAAAAYA&#10;BgBZAQAAvQUAAAAA&#10;">
              <v:fill on="f" focussize="0,0"/>
              <v:stroke on="f" weight="0.5pt"/>
              <v:imagedata o:title=""/>
              <o:lock v:ext="edit" aspectratio="f"/>
              <v:textbox inset="0mm,0mm,0mm,0mm" style="mso-fit-shape-to-text:t;">
                <w:txbxContent>
                  <w:p w14:paraId="47933CB4">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D8DD42">
    <w:pPr>
      <w:spacing w:line="184" w:lineRule="auto"/>
      <w:ind w:left="4332"/>
      <w:rPr>
        <w:rFonts w:ascii="Times New Roman" w:hAnsi="Times New Roman" w:eastAsia="Times New Roman" w:cs="Times New Roman"/>
        <w:sz w:val="20"/>
        <w:szCs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0B7E1D">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hujtQrAgAAVQ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DYbo7UKwIAAFUEAAAOAAAAAAAAAAEAIAAAAB8BAABkcnMvZTJvRG9jLnhtbFBLBQYAAAAABgAG&#10;AFkBAAC8BQAAAAA=&#10;">
              <v:fill on="f" focussize="0,0"/>
              <v:stroke on="f" weight="0.5pt"/>
              <v:imagedata o:title=""/>
              <o:lock v:ext="edit" aspectratio="f"/>
              <v:textbox inset="0mm,0mm,0mm,0mm" style="mso-fit-shape-to-text:t;">
                <w:txbxContent>
                  <w:p w14:paraId="3D0B7E1D">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9BF4F">
    <w:pPr>
      <w:spacing w:line="184" w:lineRule="auto"/>
      <w:ind w:left="4342"/>
      <w:rPr>
        <w:rFonts w:ascii="Times New Roman" w:hAnsi="Times New Roman" w:eastAsia="Times New Roman" w:cs="Times New Roman"/>
        <w:sz w:val="20"/>
        <w:szCs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2DCEA3">
                          <w:pPr>
                            <w:pStyle w:val="13"/>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6A2DCEA3">
                    <w:pPr>
                      <w:pStyle w:val="13"/>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4A9AD">
    <w:pPr>
      <w:spacing w:line="184" w:lineRule="auto"/>
      <w:ind w:left="4333"/>
      <w:rPr>
        <w:rFonts w:ascii="Times New Roman" w:hAnsi="Times New Roman" w:eastAsia="Times New Roman" w:cs="Times New Roman"/>
        <w:sz w:val="20"/>
        <w:szCs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BAEAEE">
                          <w:pPr>
                            <w:pStyle w:val="13"/>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26BAEAEE">
                    <w:pPr>
                      <w:pStyle w:val="13"/>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70771">
    <w:pPr>
      <w:spacing w:line="240" w:lineRule="auto"/>
      <w:ind w:left="0"/>
      <w:rPr>
        <w:rFonts w:ascii="Times New Roman" w:hAnsi="Times New Roman" w:eastAsia="Times New Roman" w:cs="Times New Roman"/>
        <w:sz w:val="20"/>
        <w:szCs w:val="20"/>
      </w:rPr>
    </w:pPr>
    <w:r>
      <w:rPr>
        <w:sz w:val="20"/>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424C2D">
                          <w:pPr>
                            <w:pStyle w:val="13"/>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m63mM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Jut5jKwIAAFcEAAAOAAAAAAAAAAEAIAAAAB8BAABkcnMvZTJvRG9jLnhtbFBLBQYAAAAABgAG&#10;AFkBAAC8BQAAAAA=&#10;">
              <v:fill on="f" focussize="0,0"/>
              <v:stroke on="f" weight="0.5pt"/>
              <v:imagedata o:title=""/>
              <o:lock v:ext="edit" aspectratio="f"/>
              <v:textbox inset="0mm,0mm,0mm,0mm" style="mso-fit-shape-to-text:t;">
                <w:txbxContent>
                  <w:p w14:paraId="1F424C2D">
                    <w:pPr>
                      <w:pStyle w:val="1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E86B8A">
    <w:pPr>
      <w:spacing w:line="184" w:lineRule="auto"/>
      <w:ind w:left="4259"/>
      <w:rPr>
        <w:rFonts w:ascii="Times New Roman" w:hAnsi="Times New Roman" w:eastAsia="Times New Roman" w:cs="Times New Roman"/>
        <w:sz w:val="20"/>
        <w:szCs w:val="20"/>
      </w:rPr>
    </w:pPr>
    <w:r>
      <w:rPr>
        <w:sz w:val="20"/>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20A588">
                          <w:pPr>
                            <w:pStyle w:val="13"/>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1"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Qg4J4s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CDgniwCAABXBAAADgAAAAAAAAABACAAAAAfAQAAZHJzL2Uyb0RvYy54bWxQSwUGAAAAAAYA&#10;BgBZAQAAvQUAAAAA&#10;">
              <v:fill on="f" focussize="0,0"/>
              <v:stroke on="f" weight="0.5pt"/>
              <v:imagedata o:title=""/>
              <o:lock v:ext="edit" aspectratio="f"/>
              <v:textbox inset="0mm,0mm,0mm,0mm" style="mso-fit-shape-to-text:t;">
                <w:txbxContent>
                  <w:p w14:paraId="3220A588">
                    <w:pPr>
                      <w:pStyle w:val="13"/>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C2DCC">
    <w:pPr>
      <w:spacing w:line="176" w:lineRule="auto"/>
      <w:ind w:left="430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8F5B3F">
                          <w:pPr>
                            <w:pStyle w:val="13"/>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3"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AS7Rh4tAgAAVwQAAA4AAAAAAAAAAQAgAAAAHwEAAGRycy9lMm9Eb2MueG1sUEsFBgAAAAAG&#10;AAYAWQEAAL4FAAAAAA==&#10;">
              <v:fill on="f" focussize="0,0"/>
              <v:stroke on="f" weight="0.5pt"/>
              <v:imagedata o:title=""/>
              <o:lock v:ext="edit" aspectratio="f"/>
              <v:textbox inset="0mm,0mm,0mm,0mm" style="mso-fit-shape-to-text:t;">
                <w:txbxContent>
                  <w:p w14:paraId="118F5B3F">
                    <w:pPr>
                      <w:pStyle w:val="13"/>
                    </w:pPr>
                    <w:r>
                      <w:fldChar w:fldCharType="begin"/>
                    </w:r>
                    <w:r>
                      <w:instrText xml:space="preserve"> PAGE  \* MERGEFORMAT </w:instrText>
                    </w:r>
                    <w:r>
                      <w:fldChar w:fldCharType="separate"/>
                    </w:r>
                    <w:r>
                      <w:t>69</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E0897A"/>
    <w:multiLevelType w:val="singleLevel"/>
    <w:tmpl w:val="99E0897A"/>
    <w:lvl w:ilvl="0" w:tentative="0">
      <w:start w:val="1"/>
      <w:numFmt w:val="decimal"/>
      <w:lvlText w:val="%1)"/>
      <w:lvlJc w:val="left"/>
      <w:pPr>
        <w:ind w:left="425" w:hanging="425"/>
      </w:pPr>
      <w:rPr>
        <w:rFonts w:hint="default"/>
      </w:rPr>
    </w:lvl>
  </w:abstractNum>
  <w:abstractNum w:abstractNumId="1">
    <w:nsid w:val="F2CB379B"/>
    <w:multiLevelType w:val="singleLevel"/>
    <w:tmpl w:val="F2CB379B"/>
    <w:lvl w:ilvl="0" w:tentative="0">
      <w:start w:val="2"/>
      <w:numFmt w:val="decimal"/>
      <w:suff w:val="nothing"/>
      <w:lvlText w:val="（%1）"/>
      <w:lvlJc w:val="left"/>
    </w:lvl>
  </w:abstractNum>
  <w:abstractNum w:abstractNumId="2">
    <w:nsid w:val="0AC8A8B7"/>
    <w:multiLevelType w:val="singleLevel"/>
    <w:tmpl w:val="0AC8A8B7"/>
    <w:lvl w:ilvl="0" w:tentative="0">
      <w:start w:val="1"/>
      <w:numFmt w:val="decimal"/>
      <w:lvlText w:val="(%1)"/>
      <w:lvlJc w:val="left"/>
      <w:pPr>
        <w:ind w:left="425" w:hanging="425"/>
      </w:pPr>
      <w:rPr>
        <w:rFonts w:hint="default"/>
      </w:rPr>
    </w:lvl>
  </w:abstractNum>
  <w:abstractNum w:abstractNumId="3">
    <w:nsid w:val="2C4EC7D9"/>
    <w:multiLevelType w:val="singleLevel"/>
    <w:tmpl w:val="2C4EC7D9"/>
    <w:lvl w:ilvl="0" w:tentative="0">
      <w:start w:val="1"/>
      <w:numFmt w:val="decimal"/>
      <w:lvlText w:val="%1."/>
      <w:lvlJc w:val="left"/>
      <w:pPr>
        <w:tabs>
          <w:tab w:val="left" w:pos="312"/>
        </w:tabs>
      </w:pPr>
    </w:lvl>
  </w:abstractNum>
  <w:abstractNum w:abstractNumId="4">
    <w:nsid w:val="2CB969BE"/>
    <w:multiLevelType w:val="multilevel"/>
    <w:tmpl w:val="2CB969BE"/>
    <w:lvl w:ilvl="0" w:tentative="0">
      <w:start w:val="1"/>
      <w:numFmt w:val="decimal"/>
      <w:suff w:val="nothing"/>
      <w:lvlText w:val="%1、"/>
      <w:lvlJc w:val="left"/>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381D6AF1"/>
    <w:multiLevelType w:val="multilevel"/>
    <w:tmpl w:val="381D6AF1"/>
    <w:lvl w:ilvl="0" w:tentative="0">
      <w:start w:val="1"/>
      <w:numFmt w:val="decimalEnclosedCircle"/>
      <w:pStyle w:val="37"/>
      <w:lvlText w:val="%1"/>
      <w:lvlJc w:val="left"/>
      <w:pPr>
        <w:ind w:left="1290" w:hanging="360"/>
      </w:pPr>
      <w:rPr>
        <w:rFonts w:hint="default"/>
      </w:rPr>
    </w:lvl>
    <w:lvl w:ilvl="1" w:tentative="0">
      <w:start w:val="1"/>
      <w:numFmt w:val="lowerLetter"/>
      <w:lvlText w:val="%2)"/>
      <w:lvlJc w:val="left"/>
      <w:pPr>
        <w:ind w:left="1770" w:hanging="420"/>
      </w:pPr>
    </w:lvl>
    <w:lvl w:ilvl="2" w:tentative="0">
      <w:start w:val="1"/>
      <w:numFmt w:val="lowerRoman"/>
      <w:lvlText w:val="%3."/>
      <w:lvlJc w:val="right"/>
      <w:pPr>
        <w:ind w:left="2190" w:hanging="420"/>
      </w:pPr>
    </w:lvl>
    <w:lvl w:ilvl="3" w:tentative="0">
      <w:start w:val="1"/>
      <w:numFmt w:val="decimal"/>
      <w:lvlText w:val="%4."/>
      <w:lvlJc w:val="left"/>
      <w:pPr>
        <w:ind w:left="2610" w:hanging="420"/>
      </w:pPr>
    </w:lvl>
    <w:lvl w:ilvl="4" w:tentative="0">
      <w:start w:val="1"/>
      <w:numFmt w:val="lowerLetter"/>
      <w:lvlText w:val="%5)"/>
      <w:lvlJc w:val="left"/>
      <w:pPr>
        <w:ind w:left="3030" w:hanging="420"/>
      </w:pPr>
    </w:lvl>
    <w:lvl w:ilvl="5" w:tentative="0">
      <w:start w:val="1"/>
      <w:numFmt w:val="lowerRoman"/>
      <w:lvlText w:val="%6."/>
      <w:lvlJc w:val="right"/>
      <w:pPr>
        <w:ind w:left="3450" w:hanging="420"/>
      </w:pPr>
    </w:lvl>
    <w:lvl w:ilvl="6" w:tentative="0">
      <w:start w:val="1"/>
      <w:numFmt w:val="decimal"/>
      <w:lvlText w:val="%7."/>
      <w:lvlJc w:val="left"/>
      <w:pPr>
        <w:ind w:left="3870" w:hanging="420"/>
      </w:pPr>
    </w:lvl>
    <w:lvl w:ilvl="7" w:tentative="0">
      <w:start w:val="1"/>
      <w:numFmt w:val="lowerLetter"/>
      <w:lvlText w:val="%8)"/>
      <w:lvlJc w:val="left"/>
      <w:pPr>
        <w:ind w:left="4290" w:hanging="420"/>
      </w:pPr>
    </w:lvl>
    <w:lvl w:ilvl="8" w:tentative="0">
      <w:start w:val="1"/>
      <w:numFmt w:val="lowerRoman"/>
      <w:lvlText w:val="%9."/>
      <w:lvlJc w:val="right"/>
      <w:pPr>
        <w:ind w:left="4710" w:hanging="420"/>
      </w:pPr>
    </w:lvl>
  </w:abstractNum>
  <w:abstractNum w:abstractNumId="6">
    <w:nsid w:val="3CDBF947"/>
    <w:multiLevelType w:val="singleLevel"/>
    <w:tmpl w:val="3CDBF947"/>
    <w:lvl w:ilvl="0" w:tentative="0">
      <w:start w:val="2"/>
      <w:numFmt w:val="decimal"/>
      <w:suff w:val="nothing"/>
      <w:lvlText w:val="（%1）"/>
      <w:lvlJc w:val="left"/>
    </w:lvl>
  </w:abstractNum>
  <w:abstractNum w:abstractNumId="7">
    <w:nsid w:val="4D8159FC"/>
    <w:multiLevelType w:val="singleLevel"/>
    <w:tmpl w:val="4D8159FC"/>
    <w:lvl w:ilvl="0" w:tentative="0">
      <w:start w:val="1"/>
      <w:numFmt w:val="decimal"/>
      <w:lvlText w:val="%1."/>
      <w:lvlJc w:val="left"/>
      <w:pPr>
        <w:tabs>
          <w:tab w:val="left" w:pos="312"/>
        </w:tabs>
      </w:pPr>
    </w:lvl>
  </w:abstractNum>
  <w:abstractNum w:abstractNumId="8">
    <w:nsid w:val="5448E49E"/>
    <w:multiLevelType w:val="singleLevel"/>
    <w:tmpl w:val="5448E49E"/>
    <w:lvl w:ilvl="0" w:tentative="0">
      <w:start w:val="1"/>
      <w:numFmt w:val="decimal"/>
      <w:lvlText w:val="%1."/>
      <w:lvlJc w:val="left"/>
      <w:pPr>
        <w:tabs>
          <w:tab w:val="left" w:pos="312"/>
        </w:tabs>
      </w:pPr>
    </w:lvl>
  </w:abstractNum>
  <w:abstractNum w:abstractNumId="9">
    <w:nsid w:val="5D9ACF37"/>
    <w:multiLevelType w:val="singleLevel"/>
    <w:tmpl w:val="5D9ACF37"/>
    <w:lvl w:ilvl="0" w:tentative="0">
      <w:start w:val="1"/>
      <w:numFmt w:val="decimal"/>
      <w:suff w:val="nothing"/>
      <w:lvlText w:val="%1．"/>
      <w:lvlJc w:val="left"/>
      <w:pPr>
        <w:ind w:left="0" w:firstLine="400"/>
      </w:pPr>
      <w:rPr>
        <w:rFonts w:hint="default"/>
      </w:rPr>
    </w:lvl>
  </w:abstractNum>
  <w:num w:numId="1">
    <w:abstractNumId w:val="5"/>
  </w:num>
  <w:num w:numId="2">
    <w:abstractNumId w:val="9"/>
  </w:num>
  <w:num w:numId="3">
    <w:abstractNumId w:val="2"/>
  </w:num>
  <w:num w:numId="4">
    <w:abstractNumId w:val="0"/>
  </w:num>
  <w:num w:numId="5">
    <w:abstractNumId w:val="3"/>
  </w:num>
  <w:num w:numId="6">
    <w:abstractNumId w:val="7"/>
  </w:num>
  <w:num w:numId="7">
    <w:abstractNumId w:val="8"/>
  </w:num>
  <w:num w:numId="8">
    <w:abstractNumId w:val="6"/>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isplayHorizontalDrawingGridEvery w:val="1"/>
  <w:displayVerticalDrawingGridEvery w:val="1"/>
  <w:noPunctuationKerning w:val="1"/>
  <w:characterSpacingControl w:val="doNotCompress"/>
  <w:hdrShapeDefaults>
    <o:shapelayout v:ext="edit">
      <o:idmap v:ext="edit" data="2"/>
    </o:shapelayout>
  </w:hdrShapeDefaults>
  <w:compat>
    <w:spaceForUL/>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048E"/>
    <w:rsid w:val="00013DD8"/>
    <w:rsid w:val="001B1755"/>
    <w:rsid w:val="001D408F"/>
    <w:rsid w:val="002548C9"/>
    <w:rsid w:val="00423C6D"/>
    <w:rsid w:val="00456D75"/>
    <w:rsid w:val="006D4A21"/>
    <w:rsid w:val="0085048E"/>
    <w:rsid w:val="008C50DD"/>
    <w:rsid w:val="013637D1"/>
    <w:rsid w:val="01842D38"/>
    <w:rsid w:val="01BB0194"/>
    <w:rsid w:val="0342780C"/>
    <w:rsid w:val="03B11A9D"/>
    <w:rsid w:val="03EB0CDD"/>
    <w:rsid w:val="05504736"/>
    <w:rsid w:val="06006D63"/>
    <w:rsid w:val="06562220"/>
    <w:rsid w:val="0665409B"/>
    <w:rsid w:val="06A1553C"/>
    <w:rsid w:val="06DE7CAE"/>
    <w:rsid w:val="07400B46"/>
    <w:rsid w:val="07487DBA"/>
    <w:rsid w:val="07702E6D"/>
    <w:rsid w:val="085061A1"/>
    <w:rsid w:val="08905040"/>
    <w:rsid w:val="08D85501"/>
    <w:rsid w:val="095C5D9F"/>
    <w:rsid w:val="098E3A7F"/>
    <w:rsid w:val="0A234AB7"/>
    <w:rsid w:val="0A590531"/>
    <w:rsid w:val="0A7F7F97"/>
    <w:rsid w:val="0B397091"/>
    <w:rsid w:val="0B6158EF"/>
    <w:rsid w:val="0C00660B"/>
    <w:rsid w:val="0C060A13"/>
    <w:rsid w:val="0CB3217A"/>
    <w:rsid w:val="0D7C0F42"/>
    <w:rsid w:val="0E2B5D40"/>
    <w:rsid w:val="0E3E3CC5"/>
    <w:rsid w:val="0EAC0C2F"/>
    <w:rsid w:val="0F5B4403"/>
    <w:rsid w:val="0F76123D"/>
    <w:rsid w:val="0F786D63"/>
    <w:rsid w:val="0F8E47D8"/>
    <w:rsid w:val="101822F4"/>
    <w:rsid w:val="10287F0C"/>
    <w:rsid w:val="10967933"/>
    <w:rsid w:val="10DE52EC"/>
    <w:rsid w:val="11F11579"/>
    <w:rsid w:val="120E02AD"/>
    <w:rsid w:val="12555A81"/>
    <w:rsid w:val="12C56763"/>
    <w:rsid w:val="12F2507E"/>
    <w:rsid w:val="12FC7CAB"/>
    <w:rsid w:val="13334A85"/>
    <w:rsid w:val="13FC4407"/>
    <w:rsid w:val="143771ED"/>
    <w:rsid w:val="14643D5A"/>
    <w:rsid w:val="14A84F9F"/>
    <w:rsid w:val="15393438"/>
    <w:rsid w:val="154B38A7"/>
    <w:rsid w:val="160475A2"/>
    <w:rsid w:val="16777F5D"/>
    <w:rsid w:val="171750B3"/>
    <w:rsid w:val="175D340E"/>
    <w:rsid w:val="17804E5F"/>
    <w:rsid w:val="1833416F"/>
    <w:rsid w:val="18365A0D"/>
    <w:rsid w:val="184B7F82"/>
    <w:rsid w:val="18BA4890"/>
    <w:rsid w:val="19AD1CFF"/>
    <w:rsid w:val="1A08264E"/>
    <w:rsid w:val="1A4A4CE5"/>
    <w:rsid w:val="1A5403CD"/>
    <w:rsid w:val="1AC36A41"/>
    <w:rsid w:val="1AC97E15"/>
    <w:rsid w:val="1AD278A0"/>
    <w:rsid w:val="1C536B8E"/>
    <w:rsid w:val="1C7F7983"/>
    <w:rsid w:val="1D0205B4"/>
    <w:rsid w:val="1D3F7112"/>
    <w:rsid w:val="1D6B7F07"/>
    <w:rsid w:val="1D9B4C90"/>
    <w:rsid w:val="1DF6675D"/>
    <w:rsid w:val="1EFB52BB"/>
    <w:rsid w:val="1F1D16D5"/>
    <w:rsid w:val="1F462BF8"/>
    <w:rsid w:val="1F6542F4"/>
    <w:rsid w:val="1FC63F0C"/>
    <w:rsid w:val="203C2688"/>
    <w:rsid w:val="20425C15"/>
    <w:rsid w:val="20827A42"/>
    <w:rsid w:val="212570CC"/>
    <w:rsid w:val="214851A7"/>
    <w:rsid w:val="22145301"/>
    <w:rsid w:val="225F372C"/>
    <w:rsid w:val="22723AE6"/>
    <w:rsid w:val="231369CD"/>
    <w:rsid w:val="232E2103"/>
    <w:rsid w:val="238E494F"/>
    <w:rsid w:val="23B90450"/>
    <w:rsid w:val="23EB448F"/>
    <w:rsid w:val="24030E99"/>
    <w:rsid w:val="24961D0D"/>
    <w:rsid w:val="24D12D46"/>
    <w:rsid w:val="25011468"/>
    <w:rsid w:val="253C3E23"/>
    <w:rsid w:val="2584600A"/>
    <w:rsid w:val="25CE36DC"/>
    <w:rsid w:val="266C6CB7"/>
    <w:rsid w:val="280D03AF"/>
    <w:rsid w:val="28243AD4"/>
    <w:rsid w:val="282F4FA1"/>
    <w:rsid w:val="29D15596"/>
    <w:rsid w:val="2A0F7F3C"/>
    <w:rsid w:val="2A241B69"/>
    <w:rsid w:val="2A377AEF"/>
    <w:rsid w:val="2A88636A"/>
    <w:rsid w:val="2AB50F6F"/>
    <w:rsid w:val="2B606BD1"/>
    <w:rsid w:val="2C24507B"/>
    <w:rsid w:val="2C7D37B3"/>
    <w:rsid w:val="2C960832"/>
    <w:rsid w:val="2CA60F5C"/>
    <w:rsid w:val="2CAA74D3"/>
    <w:rsid w:val="2D597D7C"/>
    <w:rsid w:val="2E151A0F"/>
    <w:rsid w:val="2E7035CF"/>
    <w:rsid w:val="2EF835C5"/>
    <w:rsid w:val="2F302D5E"/>
    <w:rsid w:val="2FC86CAD"/>
    <w:rsid w:val="300541EB"/>
    <w:rsid w:val="304D3C0D"/>
    <w:rsid w:val="30AF10BB"/>
    <w:rsid w:val="30C6100C"/>
    <w:rsid w:val="30E23E89"/>
    <w:rsid w:val="312406A1"/>
    <w:rsid w:val="3148766A"/>
    <w:rsid w:val="316B4188"/>
    <w:rsid w:val="31F462C5"/>
    <w:rsid w:val="320A7897"/>
    <w:rsid w:val="326107D8"/>
    <w:rsid w:val="326170B4"/>
    <w:rsid w:val="33413EDE"/>
    <w:rsid w:val="339B7340"/>
    <w:rsid w:val="341D5FA7"/>
    <w:rsid w:val="343C2591"/>
    <w:rsid w:val="349A333E"/>
    <w:rsid w:val="35213875"/>
    <w:rsid w:val="35380BBF"/>
    <w:rsid w:val="355E084C"/>
    <w:rsid w:val="35700359"/>
    <w:rsid w:val="36B129D7"/>
    <w:rsid w:val="36F111D3"/>
    <w:rsid w:val="377A726D"/>
    <w:rsid w:val="37B07887"/>
    <w:rsid w:val="37C16C4A"/>
    <w:rsid w:val="37EB1F18"/>
    <w:rsid w:val="38B03902"/>
    <w:rsid w:val="38BA083D"/>
    <w:rsid w:val="39AE76A2"/>
    <w:rsid w:val="3A946897"/>
    <w:rsid w:val="3AA20FB4"/>
    <w:rsid w:val="3C3519B4"/>
    <w:rsid w:val="3C4E6795"/>
    <w:rsid w:val="3C502C92"/>
    <w:rsid w:val="3C636420"/>
    <w:rsid w:val="3D6C58AA"/>
    <w:rsid w:val="3D982B42"/>
    <w:rsid w:val="3FAD4B87"/>
    <w:rsid w:val="404A2C20"/>
    <w:rsid w:val="40854C21"/>
    <w:rsid w:val="40C003E6"/>
    <w:rsid w:val="40C355D0"/>
    <w:rsid w:val="410D73A4"/>
    <w:rsid w:val="4182744A"/>
    <w:rsid w:val="41C0096A"/>
    <w:rsid w:val="4274107E"/>
    <w:rsid w:val="428646E7"/>
    <w:rsid w:val="430B16C1"/>
    <w:rsid w:val="439B0C97"/>
    <w:rsid w:val="43A01E09"/>
    <w:rsid w:val="44562E10"/>
    <w:rsid w:val="44A877A0"/>
    <w:rsid w:val="44E421C9"/>
    <w:rsid w:val="44FF7003"/>
    <w:rsid w:val="455C4456"/>
    <w:rsid w:val="457A3038"/>
    <w:rsid w:val="45CE5353"/>
    <w:rsid w:val="462753A7"/>
    <w:rsid w:val="466E6421"/>
    <w:rsid w:val="468629BF"/>
    <w:rsid w:val="46FC7C9E"/>
    <w:rsid w:val="475278DD"/>
    <w:rsid w:val="475609B3"/>
    <w:rsid w:val="477871EB"/>
    <w:rsid w:val="479C6D8B"/>
    <w:rsid w:val="47ED5839"/>
    <w:rsid w:val="47F941DE"/>
    <w:rsid w:val="48A203D1"/>
    <w:rsid w:val="48B534CF"/>
    <w:rsid w:val="48C068E4"/>
    <w:rsid w:val="48E72288"/>
    <w:rsid w:val="494970A4"/>
    <w:rsid w:val="49830203"/>
    <w:rsid w:val="4A0951CC"/>
    <w:rsid w:val="4A431740"/>
    <w:rsid w:val="4A6873F9"/>
    <w:rsid w:val="4B3B3A74"/>
    <w:rsid w:val="4BCF5981"/>
    <w:rsid w:val="4BD53550"/>
    <w:rsid w:val="4BEB208F"/>
    <w:rsid w:val="4CC21042"/>
    <w:rsid w:val="4D4507B1"/>
    <w:rsid w:val="4D477799"/>
    <w:rsid w:val="4DBE3EFF"/>
    <w:rsid w:val="4E0F475B"/>
    <w:rsid w:val="4E2A50F1"/>
    <w:rsid w:val="4E4837C9"/>
    <w:rsid w:val="4E5824CB"/>
    <w:rsid w:val="4E957CE6"/>
    <w:rsid w:val="4EB26DB1"/>
    <w:rsid w:val="4FC73036"/>
    <w:rsid w:val="502A587C"/>
    <w:rsid w:val="50D43A3A"/>
    <w:rsid w:val="51231301"/>
    <w:rsid w:val="518741CF"/>
    <w:rsid w:val="51B222F3"/>
    <w:rsid w:val="51BD0087"/>
    <w:rsid w:val="520D0FB1"/>
    <w:rsid w:val="521D3526"/>
    <w:rsid w:val="52304CA0"/>
    <w:rsid w:val="52306A4E"/>
    <w:rsid w:val="5245699D"/>
    <w:rsid w:val="52862B12"/>
    <w:rsid w:val="534C5B09"/>
    <w:rsid w:val="536203AC"/>
    <w:rsid w:val="536E5A80"/>
    <w:rsid w:val="537B76FD"/>
    <w:rsid w:val="54617393"/>
    <w:rsid w:val="554A7DEE"/>
    <w:rsid w:val="55DA67EE"/>
    <w:rsid w:val="562C38FC"/>
    <w:rsid w:val="56CD0D0F"/>
    <w:rsid w:val="56F34C36"/>
    <w:rsid w:val="57ED0501"/>
    <w:rsid w:val="581979D5"/>
    <w:rsid w:val="581A4428"/>
    <w:rsid w:val="581C190F"/>
    <w:rsid w:val="582E3A30"/>
    <w:rsid w:val="5851771E"/>
    <w:rsid w:val="58D77C23"/>
    <w:rsid w:val="58D952F9"/>
    <w:rsid w:val="58E467E4"/>
    <w:rsid w:val="58F44C79"/>
    <w:rsid w:val="59017396"/>
    <w:rsid w:val="591F0400"/>
    <w:rsid w:val="5A56101C"/>
    <w:rsid w:val="5ACB37B8"/>
    <w:rsid w:val="5AE92129"/>
    <w:rsid w:val="5BAF7068"/>
    <w:rsid w:val="5BF417B1"/>
    <w:rsid w:val="5C1B11E0"/>
    <w:rsid w:val="5C653798"/>
    <w:rsid w:val="5CB80DEC"/>
    <w:rsid w:val="5CD72533"/>
    <w:rsid w:val="5CF8460C"/>
    <w:rsid w:val="5D700646"/>
    <w:rsid w:val="5E875C48"/>
    <w:rsid w:val="5F5875E4"/>
    <w:rsid w:val="5F920D48"/>
    <w:rsid w:val="600B3DEA"/>
    <w:rsid w:val="60285208"/>
    <w:rsid w:val="6030410E"/>
    <w:rsid w:val="603805A5"/>
    <w:rsid w:val="6196329D"/>
    <w:rsid w:val="61C15914"/>
    <w:rsid w:val="62586D96"/>
    <w:rsid w:val="628019CF"/>
    <w:rsid w:val="62CD2097"/>
    <w:rsid w:val="62D61664"/>
    <w:rsid w:val="63336012"/>
    <w:rsid w:val="63400ABB"/>
    <w:rsid w:val="635F4752"/>
    <w:rsid w:val="64625146"/>
    <w:rsid w:val="646F1879"/>
    <w:rsid w:val="64803865"/>
    <w:rsid w:val="64915A72"/>
    <w:rsid w:val="650205DF"/>
    <w:rsid w:val="65330A0D"/>
    <w:rsid w:val="662B0987"/>
    <w:rsid w:val="66AA4148"/>
    <w:rsid w:val="676C6322"/>
    <w:rsid w:val="67AE693B"/>
    <w:rsid w:val="68F6059A"/>
    <w:rsid w:val="69665AFA"/>
    <w:rsid w:val="69A26117"/>
    <w:rsid w:val="69A32664"/>
    <w:rsid w:val="69CB42FE"/>
    <w:rsid w:val="6A7170A5"/>
    <w:rsid w:val="6AE306AA"/>
    <w:rsid w:val="6B6C069F"/>
    <w:rsid w:val="6B861377"/>
    <w:rsid w:val="6B9F3E88"/>
    <w:rsid w:val="6BD85D34"/>
    <w:rsid w:val="6BFA3EFD"/>
    <w:rsid w:val="6C580C23"/>
    <w:rsid w:val="6CDF6C9B"/>
    <w:rsid w:val="6CEB5F3B"/>
    <w:rsid w:val="6DED6646"/>
    <w:rsid w:val="6E7647D3"/>
    <w:rsid w:val="6EC1122B"/>
    <w:rsid w:val="6F34735B"/>
    <w:rsid w:val="6F973D20"/>
    <w:rsid w:val="6FCA2456"/>
    <w:rsid w:val="703D085C"/>
    <w:rsid w:val="70422316"/>
    <w:rsid w:val="709E4A5F"/>
    <w:rsid w:val="70A628A5"/>
    <w:rsid w:val="71DE2C80"/>
    <w:rsid w:val="73133E0B"/>
    <w:rsid w:val="733049F4"/>
    <w:rsid w:val="73C179F6"/>
    <w:rsid w:val="742D309E"/>
    <w:rsid w:val="74373814"/>
    <w:rsid w:val="75071439"/>
    <w:rsid w:val="75094CE7"/>
    <w:rsid w:val="75706FDE"/>
    <w:rsid w:val="76A97E3B"/>
    <w:rsid w:val="76F22D21"/>
    <w:rsid w:val="772207AC"/>
    <w:rsid w:val="79A06916"/>
    <w:rsid w:val="79A25BD4"/>
    <w:rsid w:val="79B122B3"/>
    <w:rsid w:val="79D55FA9"/>
    <w:rsid w:val="7ACA53E2"/>
    <w:rsid w:val="7B8C31E4"/>
    <w:rsid w:val="7C47549D"/>
    <w:rsid w:val="7CA26617"/>
    <w:rsid w:val="7CA825F9"/>
    <w:rsid w:val="7D2E5116"/>
    <w:rsid w:val="7D9D2119"/>
    <w:rsid w:val="7E5356EF"/>
    <w:rsid w:val="7EAA7A04"/>
    <w:rsid w:val="7EC83CDF"/>
    <w:rsid w:val="7ED72300"/>
    <w:rsid w:val="7F6045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uiPriority="99" w:name="heading 3"/>
    <w:lsdException w:qFormat="1" w:unhideWhenUsed="0" w:uiPriority="0" w:semiHidden="0" w:name="heading 4"/>
    <w:lsdException w:uiPriority="99" w:name="heading 5"/>
    <w:lsdException w:uiPriority="99" w:name="heading 6"/>
    <w:lsdException w:uiPriority="99" w:name="heading 7"/>
    <w:lsdException w:uiPriority="99" w:name="heading 8"/>
    <w:lsdException w:uiPriority="9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99" w:name="toc 2"/>
    <w:lsdException w:uiPriority="99" w:name="toc 3"/>
    <w:lsdException w:uiPriority="99" w:name="toc 4"/>
    <w:lsdException w:uiPriority="99" w:name="toc 5"/>
    <w:lsdException w:qFormat="1" w:unhideWhenUsed="0" w:uiPriority="0" w:semiHidden="0" w:name="toc 6"/>
    <w:lsdException w:uiPriority="99" w:name="toc 7"/>
    <w:lsdException w:uiPriority="99" w:name="toc 8"/>
    <w:lsdException w:uiPriority="99" w:name="toc 9"/>
    <w:lsdException w:qFormat="1" w:unhideWhenUsed="0" w:uiPriority="0" w:semiHidden="0" w:name="Normal Indent"/>
    <w:lsdException w:uiPriority="99" w:name="footnote text"/>
    <w:lsdException w:qFormat="1" w:uiPriority="99" w:name="annotation text"/>
    <w:lsdException w:qFormat="1" w:uiPriority="99" w:name="header"/>
    <w:lsdException w:qFormat="1" w:uiPriority="99" w:name="footer"/>
    <w:lsdException w:uiPriority="99" w:name="index heading"/>
    <w:lsdException w:uiPriority="99"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unhideWhenUsed="0" w:uiPriority="99" w:semiHidden="0" w:name="Title"/>
    <w:lsdException w:uiPriority="99" w:name="Closing"/>
    <w:lsdException w:uiPriority="99" w:name="Signature"/>
    <w:lsdException w:qFormat="1" w:uiPriority="1" w:name="Default Paragraph Font"/>
    <w:lsdException w:qFormat="1" w:unhideWhenUsed="0" w:uiPriority="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unhideWhenUsed="0" w:uiPriority="99"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qFormat="1" w:unhideWhenUsed="0" w:uiPriority="99" w:semiHidden="0"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unhideWhenUsed="0" w:uiPriority="99" w:semiHidden="0" w:name="Strong"/>
    <w:lsdException w:unhideWhenUsed="0" w:uiPriority="99"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pPr>
    <w:rPr>
      <w:rFonts w:ascii="Arial" w:hAnsi="Arial" w:cs="Arial" w:eastAsiaTheme="minorEastAsia"/>
      <w:color w:val="000000"/>
      <w:sz w:val="21"/>
      <w:szCs w:val="21"/>
      <w:lang w:val="en-US" w:eastAsia="en-US" w:bidi="ar-SA"/>
    </w:rPr>
  </w:style>
  <w:style w:type="paragraph" w:styleId="2">
    <w:name w:val="heading 1"/>
    <w:basedOn w:val="1"/>
    <w:link w:val="34"/>
    <w:qFormat/>
    <w:uiPriority w:val="0"/>
    <w:pPr>
      <w:spacing w:line="360" w:lineRule="auto"/>
      <w:ind w:left="3"/>
      <w:jc w:val="center"/>
      <w:outlineLvl w:val="0"/>
    </w:pPr>
    <w:rPr>
      <w:rFonts w:ascii="Times New Roman" w:hAnsi="Times New Roman" w:eastAsia="黑体"/>
      <w:bCs/>
      <w:kern w:val="44"/>
      <w:sz w:val="44"/>
      <w:szCs w:val="44"/>
    </w:rPr>
  </w:style>
  <w:style w:type="paragraph" w:styleId="3">
    <w:name w:val="heading 2"/>
    <w:basedOn w:val="1"/>
    <w:next w:val="1"/>
    <w:link w:val="35"/>
    <w:qFormat/>
    <w:uiPriority w:val="0"/>
    <w:pPr>
      <w:ind w:left="3"/>
      <w:outlineLvl w:val="1"/>
    </w:pPr>
    <w:rPr>
      <w:rFonts w:ascii="Cambria" w:hAnsi="Cambria"/>
      <w:b/>
      <w:bCs/>
      <w:sz w:val="32"/>
      <w:szCs w:val="32"/>
    </w:rPr>
  </w:style>
  <w:style w:type="paragraph" w:styleId="4">
    <w:name w:val="heading 4"/>
    <w:basedOn w:val="1"/>
    <w:qFormat/>
    <w:uiPriority w:val="0"/>
    <w:pPr>
      <w:keepNext/>
      <w:keepLines/>
      <w:spacing w:before="280" w:after="290" w:line="376" w:lineRule="auto"/>
      <w:outlineLvl w:val="3"/>
    </w:pPr>
    <w:rPr>
      <w:rFonts w:ascii="Arial" w:hAnsi="Arial" w:eastAsia="黑体"/>
      <w:b/>
      <w:bCs/>
      <w:sz w:val="28"/>
      <w:szCs w:val="28"/>
    </w:rPr>
  </w:style>
  <w:style w:type="character" w:default="1" w:styleId="18">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firstLineChars="200"/>
    </w:pPr>
    <w:rPr>
      <w:rFonts w:ascii="Times New Roman" w:hAnsi="Times New Roman"/>
    </w:rPr>
  </w:style>
  <w:style w:type="paragraph" w:styleId="6">
    <w:name w:val="annotation text"/>
    <w:basedOn w:val="1"/>
    <w:semiHidden/>
    <w:unhideWhenUsed/>
    <w:qFormat/>
    <w:uiPriority w:val="99"/>
    <w:pPr>
      <w:jc w:val="left"/>
    </w:pPr>
  </w:style>
  <w:style w:type="paragraph" w:styleId="7">
    <w:name w:val="Body Text 3"/>
    <w:basedOn w:val="1"/>
    <w:qFormat/>
    <w:uiPriority w:val="99"/>
    <w:pPr>
      <w:spacing w:after="120"/>
    </w:pPr>
    <w:rPr>
      <w:rFonts w:ascii="Times New Roman" w:hAnsi="Times New Roman"/>
      <w:sz w:val="16"/>
      <w:szCs w:val="16"/>
    </w:rPr>
  </w:style>
  <w:style w:type="paragraph" w:styleId="8">
    <w:name w:val="Body Text"/>
    <w:basedOn w:val="1"/>
    <w:next w:val="9"/>
    <w:semiHidden/>
    <w:qFormat/>
    <w:uiPriority w:val="0"/>
    <w:rPr>
      <w:rFonts w:eastAsia="Arial"/>
    </w:rPr>
  </w:style>
  <w:style w:type="paragraph" w:styleId="9">
    <w:name w:val="Body Text First Indent"/>
    <w:basedOn w:val="8"/>
    <w:qFormat/>
    <w:uiPriority w:val="0"/>
    <w:pPr>
      <w:tabs>
        <w:tab w:val="left" w:pos="9360"/>
      </w:tabs>
      <w:adjustRightInd/>
      <w:ind w:firstLine="420" w:firstLineChars="100"/>
    </w:pPr>
    <w:rPr>
      <w:sz w:val="21"/>
    </w:rPr>
  </w:style>
  <w:style w:type="paragraph" w:styleId="10">
    <w:name w:val="Body Text Indent"/>
    <w:basedOn w:val="1"/>
    <w:next w:val="5"/>
    <w:qFormat/>
    <w:uiPriority w:val="0"/>
    <w:pPr>
      <w:spacing w:after="120"/>
      <w:ind w:left="420" w:leftChars="200"/>
    </w:pPr>
  </w:style>
  <w:style w:type="paragraph" w:styleId="11">
    <w:name w:val="Plain Text"/>
    <w:basedOn w:val="1"/>
    <w:qFormat/>
    <w:uiPriority w:val="0"/>
    <w:pPr>
      <w:autoSpaceDE/>
      <w:autoSpaceDN/>
      <w:adjustRightInd/>
      <w:jc w:val="both"/>
    </w:pPr>
    <w:rPr>
      <w:rFonts w:ascii="宋体" w:hAnsi="Courier New"/>
      <w:sz w:val="20"/>
      <w:szCs w:val="20"/>
    </w:rPr>
  </w:style>
  <w:style w:type="paragraph" w:styleId="12">
    <w:name w:val="Balloon Text"/>
    <w:basedOn w:val="1"/>
    <w:link w:val="26"/>
    <w:semiHidden/>
    <w:unhideWhenUsed/>
    <w:qFormat/>
    <w:uiPriority w:val="99"/>
    <w:rPr>
      <w:sz w:val="18"/>
      <w:szCs w:val="18"/>
    </w:rPr>
  </w:style>
  <w:style w:type="paragraph" w:styleId="13">
    <w:name w:val="footer"/>
    <w:basedOn w:val="1"/>
    <w:link w:val="25"/>
    <w:semiHidden/>
    <w:unhideWhenUsed/>
    <w:qFormat/>
    <w:uiPriority w:val="99"/>
    <w:pPr>
      <w:tabs>
        <w:tab w:val="center" w:pos="4153"/>
        <w:tab w:val="right" w:pos="8306"/>
      </w:tabs>
    </w:pPr>
    <w:rPr>
      <w:sz w:val="18"/>
      <w:szCs w:val="18"/>
    </w:rPr>
  </w:style>
  <w:style w:type="paragraph" w:styleId="14">
    <w:name w:val="header"/>
    <w:basedOn w:val="1"/>
    <w:link w:val="24"/>
    <w:semiHidden/>
    <w:unhideWhenUsed/>
    <w:qFormat/>
    <w:uiPriority w:val="99"/>
    <w:pPr>
      <w:pBdr>
        <w:bottom w:val="single" w:color="auto" w:sz="6" w:space="1"/>
      </w:pBdr>
      <w:tabs>
        <w:tab w:val="center" w:pos="4153"/>
        <w:tab w:val="right" w:pos="8306"/>
      </w:tabs>
      <w:jc w:val="center"/>
    </w:pPr>
    <w:rPr>
      <w:sz w:val="18"/>
      <w:szCs w:val="18"/>
    </w:rPr>
  </w:style>
  <w:style w:type="paragraph" w:styleId="15">
    <w:name w:val="toc 1"/>
    <w:basedOn w:val="1"/>
    <w:next w:val="1"/>
    <w:unhideWhenUsed/>
    <w:qFormat/>
    <w:uiPriority w:val="39"/>
    <w:pPr>
      <w:widowControl/>
      <w:autoSpaceDE/>
      <w:autoSpaceDN/>
      <w:adjustRightInd/>
      <w:spacing w:after="100" w:line="259" w:lineRule="auto"/>
    </w:pPr>
    <w:rPr>
      <w:rFonts w:ascii="等线" w:hAnsi="等线" w:eastAsia="等线"/>
      <w:sz w:val="22"/>
      <w:szCs w:val="22"/>
    </w:rPr>
  </w:style>
  <w:style w:type="paragraph" w:styleId="16">
    <w:name w:val="toc 6"/>
    <w:basedOn w:val="1"/>
    <w:next w:val="1"/>
    <w:qFormat/>
    <w:uiPriority w:val="0"/>
    <w:pPr>
      <w:autoSpaceDE/>
      <w:autoSpaceDN/>
      <w:adjustRightInd/>
      <w:ind w:left="2100" w:leftChars="1000"/>
      <w:jc w:val="both"/>
    </w:pPr>
    <w:rPr>
      <w:kern w:val="2"/>
      <w:sz w:val="21"/>
      <w:szCs w:val="22"/>
    </w:rPr>
  </w:style>
  <w:style w:type="character" w:styleId="19">
    <w:name w:val="page number"/>
    <w:basedOn w:val="18"/>
    <w:qFormat/>
    <w:uiPriority w:val="0"/>
  </w:style>
  <w:style w:type="character" w:styleId="20">
    <w:name w:val="Hyperlink"/>
    <w:qFormat/>
    <w:uiPriority w:val="99"/>
    <w:rPr>
      <w:color w:val="0000FF"/>
      <w:u w:val="single"/>
    </w:rPr>
  </w:style>
  <w:style w:type="paragraph" w:customStyle="1" w:styleId="21">
    <w:name w:val="[Normal]"/>
    <w:unhideWhenUsed/>
    <w:qFormat/>
    <w:uiPriority w:val="0"/>
    <w:rPr>
      <w:rFonts w:hint="eastAsia" w:ascii="宋体" w:hAnsi="宋体" w:eastAsia="宋体" w:cs="Times New Roman"/>
      <w:sz w:val="24"/>
      <w:lang w:val="zh-CN" w:eastAsia="zh-CN" w:bidi="ar-SA"/>
    </w:rPr>
  </w:style>
  <w:style w:type="table" w:customStyle="1" w:styleId="22">
    <w:name w:val="Table Normal"/>
    <w:semiHidden/>
    <w:unhideWhenUsed/>
    <w:qFormat/>
    <w:uiPriority w:val="0"/>
    <w:tblPr>
      <w:tblCellMar>
        <w:top w:w="0" w:type="dxa"/>
        <w:left w:w="0" w:type="dxa"/>
        <w:bottom w:w="0" w:type="dxa"/>
        <w:right w:w="0" w:type="dxa"/>
      </w:tblCellMar>
    </w:tblPr>
  </w:style>
  <w:style w:type="paragraph" w:customStyle="1" w:styleId="23">
    <w:name w:val="Table Text"/>
    <w:basedOn w:val="1"/>
    <w:semiHidden/>
    <w:qFormat/>
    <w:uiPriority w:val="0"/>
    <w:rPr>
      <w:rFonts w:ascii="宋体" w:hAnsi="宋体" w:eastAsia="宋体" w:cs="宋体"/>
      <w:sz w:val="20"/>
      <w:szCs w:val="20"/>
    </w:rPr>
  </w:style>
  <w:style w:type="character" w:customStyle="1" w:styleId="24">
    <w:name w:val="页眉 Char"/>
    <w:basedOn w:val="18"/>
    <w:link w:val="14"/>
    <w:semiHidden/>
    <w:qFormat/>
    <w:uiPriority w:val="99"/>
    <w:rPr>
      <w:sz w:val="18"/>
      <w:szCs w:val="18"/>
    </w:rPr>
  </w:style>
  <w:style w:type="character" w:customStyle="1" w:styleId="25">
    <w:name w:val="页脚 Char"/>
    <w:basedOn w:val="18"/>
    <w:link w:val="13"/>
    <w:semiHidden/>
    <w:qFormat/>
    <w:uiPriority w:val="99"/>
    <w:rPr>
      <w:sz w:val="18"/>
      <w:szCs w:val="18"/>
    </w:rPr>
  </w:style>
  <w:style w:type="character" w:customStyle="1" w:styleId="26">
    <w:name w:val="批注框文本 Char"/>
    <w:basedOn w:val="18"/>
    <w:link w:val="12"/>
    <w:semiHidden/>
    <w:qFormat/>
    <w:uiPriority w:val="99"/>
    <w:rPr>
      <w:sz w:val="18"/>
      <w:szCs w:val="18"/>
    </w:rPr>
  </w:style>
  <w:style w:type="paragraph" w:customStyle="1" w:styleId="27">
    <w:name w:val="Table Paragraph"/>
    <w:basedOn w:val="1"/>
    <w:qFormat/>
    <w:uiPriority w:val="1"/>
  </w:style>
  <w:style w:type="paragraph" w:customStyle="1" w:styleId="28">
    <w:name w:val="List Paragraph"/>
    <w:basedOn w:val="1"/>
    <w:qFormat/>
    <w:uiPriority w:val="0"/>
  </w:style>
  <w:style w:type="paragraph" w:customStyle="1" w:styleId="29">
    <w:name w:val="样式 标题 2 + Times New Roman 四号 非加粗 段前: 5 磅 段后: 0 磅 行距: 固定值 20..."/>
    <w:basedOn w:val="3"/>
    <w:qFormat/>
    <w:uiPriority w:val="0"/>
    <w:pPr>
      <w:keepNext/>
      <w:keepLines/>
      <w:autoSpaceDE/>
      <w:autoSpaceDN/>
      <w:adjustRightInd/>
      <w:spacing w:before="100" w:line="400" w:lineRule="exact"/>
      <w:ind w:left="0"/>
      <w:jc w:val="both"/>
    </w:pPr>
    <w:rPr>
      <w:rFonts w:ascii="Times New Roman" w:eastAsia="黑体"/>
      <w:sz w:val="28"/>
      <w:szCs w:val="20"/>
    </w:rPr>
  </w:style>
  <w:style w:type="paragraph" w:customStyle="1" w:styleId="30">
    <w:name w:val="样式 正文文本"/>
    <w:basedOn w:val="1"/>
    <w:qFormat/>
    <w:uiPriority w:val="0"/>
    <w:pPr>
      <w:autoSpaceDE/>
      <w:autoSpaceDN/>
      <w:snapToGrid w:val="0"/>
      <w:spacing w:line="400" w:lineRule="exact"/>
      <w:jc w:val="both"/>
    </w:pPr>
    <w:rPr>
      <w:rFonts w:ascii="Arial" w:hAnsi="Arial"/>
      <w:color w:val="000000"/>
      <w:kern w:val="2"/>
      <w:sz w:val="21"/>
      <w:szCs w:val="20"/>
    </w:rPr>
  </w:style>
  <w:style w:type="paragraph" w:customStyle="1" w:styleId="31">
    <w:name w:val="正文_2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2">
    <w:name w:val="Char Char Char Char Char Char Char Char Char Char Char Char Char Char Char Char Char Char Char Char Char Char Char Char Char Char Char Char Char Char Char"/>
    <w:basedOn w:val="1"/>
    <w:qFormat/>
    <w:uiPriority w:val="0"/>
    <w:pPr>
      <w:spacing w:line="360" w:lineRule="auto"/>
      <w:ind w:firstLine="200" w:firstLineChars="200"/>
    </w:pPr>
    <w:rPr>
      <w:rFonts w:eastAsia="楷体_GB2312"/>
      <w:sz w:val="28"/>
      <w:szCs w:val="20"/>
    </w:rPr>
  </w:style>
  <w:style w:type="paragraph" w:customStyle="1" w:styleId="33">
    <w:name w:val="样式 样式1 + 首行缩进:  2 字符"/>
    <w:basedOn w:val="1"/>
    <w:qFormat/>
    <w:uiPriority w:val="0"/>
    <w:pPr>
      <w:spacing w:line="360" w:lineRule="exact"/>
      <w:ind w:firstLine="420" w:firstLineChars="200"/>
    </w:pPr>
    <w:rPr>
      <w:rFonts w:ascii="Arial" w:hAnsi="Arial" w:cs="宋体"/>
      <w:szCs w:val="20"/>
    </w:rPr>
  </w:style>
  <w:style w:type="character" w:customStyle="1" w:styleId="34">
    <w:name w:val="标题 1 Char"/>
    <w:link w:val="2"/>
    <w:qFormat/>
    <w:uiPriority w:val="0"/>
    <w:rPr>
      <w:rFonts w:ascii="Times New Roman" w:hAnsi="Times New Roman" w:eastAsia="黑体"/>
      <w:bCs/>
      <w:kern w:val="44"/>
      <w:sz w:val="44"/>
      <w:szCs w:val="44"/>
    </w:rPr>
  </w:style>
  <w:style w:type="character" w:customStyle="1" w:styleId="35">
    <w:name w:val="标题 2 Char"/>
    <w:link w:val="3"/>
    <w:qFormat/>
    <w:uiPriority w:val="0"/>
    <w:rPr>
      <w:rFonts w:ascii="Cambria" w:hAnsi="Cambria"/>
      <w:b/>
      <w:bCs/>
      <w:sz w:val="32"/>
      <w:szCs w:val="32"/>
    </w:rPr>
  </w:style>
  <w:style w:type="paragraph" w:customStyle="1" w:styleId="36">
    <w:name w:val="正文文本首行缩进"/>
    <w:basedOn w:val="8"/>
    <w:qFormat/>
    <w:uiPriority w:val="0"/>
    <w:pPr>
      <w:ind w:firstLine="420" w:firstLineChars="100"/>
    </w:pPr>
  </w:style>
  <w:style w:type="paragraph" w:customStyle="1" w:styleId="37">
    <w:name w:val="样式3"/>
    <w:basedOn w:val="1"/>
    <w:qFormat/>
    <w:uiPriority w:val="0"/>
    <w:pPr>
      <w:numPr>
        <w:ilvl w:val="0"/>
        <w:numId w:val="1"/>
      </w:numPr>
      <w:spacing w:line="360" w:lineRule="auto"/>
    </w:pPr>
    <w:rPr>
      <w:rFonts w:ascii="宋体" w:hAnsi="Times New Roman"/>
      <w:sz w:val="24"/>
      <w:szCs w:val="24"/>
    </w:rPr>
  </w:style>
  <w:style w:type="paragraph" w:customStyle="1" w:styleId="38">
    <w:name w:val="普通(网站)11"/>
    <w:basedOn w:val="1"/>
    <w:qFormat/>
    <w:uiPriority w:val="0"/>
    <w:pPr>
      <w:widowControl/>
      <w:spacing w:before="100" w:beforeAutospacing="1" w:after="100" w:afterAutospacing="1"/>
      <w:jc w:val="left"/>
    </w:pPr>
    <w:rPr>
      <w:rFonts w:ascii="宋体" w:hAnsi="宋体"/>
      <w:color w:val="000000"/>
      <w:kern w:val="0"/>
      <w:sz w:val="24"/>
    </w:rPr>
  </w:style>
  <w:style w:type="character" w:customStyle="1" w:styleId="39">
    <w:name w:val="要点1"/>
    <w:qFormat/>
    <w:uiPriority w:val="0"/>
    <w:rPr>
      <w:b/>
      <w:bCs/>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118</Pages>
  <Words>2768</Words>
  <Characters>3012</Characters>
  <Lines>597</Lines>
  <Paragraphs>168</Paragraphs>
  <TotalTime>8</TotalTime>
  <ScaleCrop>false</ScaleCrop>
  <LinksUpToDate>false</LinksUpToDate>
  <CharactersWithSpaces>3133</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2024-08-15T17:00:00Z</dcterms:created>
  <dc:creator>袁静</dc:creator>
  <cp:lastModifiedBy>野菊花</cp:lastModifiedBy>
  <cp:lastPrinted>2025-06-16T07:27:29Z</cp:lastPrinted>
  <dcterms:modified xsi:type="dcterms:W3CDTF">2025-06-16T08:04:21Z</dcterms:modified>
  <dc:title>中华人民共和国</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2024-11-13T09:03:38Z</vt:filetime>
  </property>
  <property fmtid="{D5CDD505-2E9C-101B-9397-08002B2CF9AE}" pid="4" name="KSOProductBuildVer">
    <vt:lpwstr>2052-12.1.0.21541</vt:lpwstr>
  </property>
  <property fmtid="{D5CDD505-2E9C-101B-9397-08002B2CF9AE}" pid="5" name="ICV">
    <vt:lpwstr>1F10CE1B91084CC19A5633E568C4B8B2_13</vt:lpwstr>
  </property>
  <property fmtid="{D5CDD505-2E9C-101B-9397-08002B2CF9AE}" pid="6" name="KSOTemplateDocerSaveRecord">
    <vt:lpwstr>eyJoZGlkIjoiNGU4ZTE1NGMzZmIyY2E3MjkyY2JiNjE4MDczMmJkNWUiLCJ1c2VySWQiOiI4OTY3MTI4OTgifQ==</vt:lpwstr>
  </property>
</Properties>
</file>