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BEFD94">
      <w:pPr>
        <w:pStyle w:val="8"/>
        <w:spacing w:line="271" w:lineRule="auto"/>
        <w:rPr>
          <w:rFonts w:hint="default"/>
          <w:color w:val="auto"/>
          <w:lang w:val="en-US" w:eastAsia="zh-CN"/>
        </w:rPr>
      </w:pPr>
    </w:p>
    <w:p w14:paraId="2663F8B3">
      <w:pPr>
        <w:pStyle w:val="8"/>
        <w:spacing w:line="272" w:lineRule="auto"/>
        <w:rPr>
          <w:color w:val="auto"/>
          <w:lang w:eastAsia="zh-CN"/>
        </w:rPr>
      </w:pPr>
    </w:p>
    <w:p w14:paraId="5CF49D01">
      <w:pPr>
        <w:pStyle w:val="8"/>
        <w:spacing w:line="272" w:lineRule="auto"/>
        <w:rPr>
          <w:color w:val="auto"/>
          <w:lang w:eastAsia="zh-CN"/>
        </w:rPr>
      </w:pPr>
    </w:p>
    <w:p w14:paraId="6D0AB278">
      <w:pPr>
        <w:pStyle w:val="9"/>
        <w:ind w:left="0" w:firstLine="0" w:firstLineChars="0"/>
        <w:jc w:val="center"/>
        <w:rPr>
          <w:rFonts w:hint="eastAsia" w:asciiTheme="minorEastAsia" w:hAnsiTheme="minorEastAsia" w:eastAsiaTheme="minorEastAsia"/>
          <w:color w:val="auto"/>
          <w:sz w:val="52"/>
          <w:szCs w:val="52"/>
          <w:lang w:eastAsia="zh-CN"/>
        </w:rPr>
      </w:pPr>
      <w:r>
        <w:rPr>
          <w:rFonts w:hint="eastAsia" w:asciiTheme="minorEastAsia" w:hAnsiTheme="minorEastAsia" w:eastAsiaTheme="minorEastAsia"/>
          <w:color w:val="auto"/>
          <w:sz w:val="52"/>
          <w:szCs w:val="52"/>
          <w:lang w:eastAsia="zh-CN"/>
        </w:rPr>
        <w:t>三门县失能失智敬老院项目</w:t>
      </w:r>
    </w:p>
    <w:p w14:paraId="3441D67B">
      <w:pPr>
        <w:pStyle w:val="8"/>
        <w:spacing w:line="323" w:lineRule="auto"/>
        <w:rPr>
          <w:color w:val="auto"/>
          <w:lang w:eastAsia="zh-CN"/>
        </w:rPr>
      </w:pPr>
    </w:p>
    <w:p w14:paraId="316794DE">
      <w:pPr>
        <w:pStyle w:val="8"/>
        <w:spacing w:line="323" w:lineRule="auto"/>
        <w:rPr>
          <w:color w:val="auto"/>
          <w:lang w:eastAsia="zh-CN"/>
        </w:rPr>
      </w:pPr>
    </w:p>
    <w:p w14:paraId="15B0B069">
      <w:pPr>
        <w:spacing w:before="91" w:line="219" w:lineRule="auto"/>
        <w:ind w:left="1129"/>
        <w:rPr>
          <w:rFonts w:ascii="宋体" w:hAnsi="宋体" w:eastAsia="宋体" w:cs="宋体"/>
          <w:color w:val="auto"/>
          <w:sz w:val="28"/>
          <w:szCs w:val="28"/>
          <w:lang w:eastAsia="zh-CN"/>
        </w:rPr>
      </w:pPr>
      <w:r>
        <w:rPr>
          <w:rFonts w:ascii="宋体" w:hAnsi="宋体" w:eastAsia="宋体" w:cs="宋体"/>
          <w:color w:val="auto"/>
          <w:spacing w:val="-3"/>
          <w:sz w:val="28"/>
          <w:szCs w:val="28"/>
          <w:lang w:eastAsia="zh-CN"/>
        </w:rPr>
        <w:t>（招标编号</w:t>
      </w:r>
      <w:r>
        <w:rPr>
          <w:rFonts w:ascii="Times New Roman" w:hAnsi="Times New Roman" w:eastAsia="Times New Roman" w:cs="Times New Roman"/>
          <w:color w:val="auto"/>
          <w:spacing w:val="-3"/>
          <w:sz w:val="28"/>
          <w:szCs w:val="28"/>
          <w:lang w:eastAsia="zh-CN"/>
        </w:rPr>
        <w:t>/</w:t>
      </w:r>
      <w:r>
        <w:rPr>
          <w:rFonts w:ascii="宋体" w:hAnsi="宋体" w:eastAsia="宋体" w:cs="宋体"/>
          <w:color w:val="auto"/>
          <w:spacing w:val="-3"/>
          <w:sz w:val="28"/>
          <w:szCs w:val="28"/>
          <w:lang w:eastAsia="zh-CN"/>
        </w:rPr>
        <w:t>备案登记号</w:t>
      </w:r>
      <w:r>
        <w:rPr>
          <w:rFonts w:ascii="宋体" w:hAnsi="宋体" w:eastAsia="宋体" w:cs="宋体"/>
          <w:color w:val="auto"/>
          <w:spacing w:val="-1"/>
          <w:sz w:val="28"/>
          <w:szCs w:val="28"/>
          <w:lang w:eastAsia="zh-CN"/>
        </w:rPr>
        <w:t>：</w:t>
      </w:r>
      <w:r>
        <w:rPr>
          <w:rFonts w:hint="eastAsia" w:eastAsia="宋体"/>
          <w:color w:val="auto"/>
          <w:spacing w:val="-1"/>
          <w:sz w:val="28"/>
          <w:szCs w:val="28"/>
          <w:lang w:eastAsia="zh-CN"/>
        </w:rPr>
        <w:t>三招建备2025-</w:t>
      </w:r>
      <w:r>
        <w:rPr>
          <w:rFonts w:hint="eastAsia" w:eastAsia="宋体"/>
          <w:color w:val="auto"/>
          <w:spacing w:val="-1"/>
          <w:sz w:val="28"/>
          <w:szCs w:val="28"/>
          <w:lang w:val="en-US" w:eastAsia="zh-CN"/>
        </w:rPr>
        <w:t>060</w:t>
      </w:r>
      <w:r>
        <w:rPr>
          <w:rFonts w:hint="eastAsia" w:eastAsia="宋体"/>
          <w:color w:val="auto"/>
          <w:spacing w:val="-1"/>
          <w:sz w:val="28"/>
          <w:szCs w:val="28"/>
          <w:lang w:eastAsia="zh-CN"/>
        </w:rPr>
        <w:t>号</w:t>
      </w:r>
      <w:r>
        <w:rPr>
          <w:rFonts w:ascii="宋体" w:hAnsi="宋体" w:eastAsia="宋体" w:cs="宋体"/>
          <w:color w:val="auto"/>
          <w:spacing w:val="-1"/>
          <w:sz w:val="28"/>
          <w:szCs w:val="28"/>
          <w:lang w:eastAsia="zh-CN"/>
        </w:rPr>
        <w:t>）</w:t>
      </w:r>
    </w:p>
    <w:p w14:paraId="04BA6259">
      <w:pPr>
        <w:pStyle w:val="8"/>
        <w:rPr>
          <w:color w:val="auto"/>
          <w:lang w:eastAsia="zh-CN"/>
        </w:rPr>
      </w:pPr>
    </w:p>
    <w:p w14:paraId="25431116">
      <w:pPr>
        <w:pStyle w:val="8"/>
        <w:rPr>
          <w:color w:val="auto"/>
          <w:lang w:eastAsia="zh-CN"/>
        </w:rPr>
      </w:pPr>
    </w:p>
    <w:p w14:paraId="0B6FCA97">
      <w:pPr>
        <w:pStyle w:val="8"/>
        <w:rPr>
          <w:color w:val="auto"/>
          <w:lang w:eastAsia="zh-CN"/>
        </w:rPr>
      </w:pPr>
    </w:p>
    <w:p w14:paraId="7C04FC43">
      <w:pPr>
        <w:pStyle w:val="8"/>
        <w:rPr>
          <w:color w:val="auto"/>
          <w:lang w:eastAsia="zh-CN"/>
        </w:rPr>
      </w:pPr>
    </w:p>
    <w:p w14:paraId="02A26BAF">
      <w:pPr>
        <w:pStyle w:val="8"/>
        <w:rPr>
          <w:color w:val="auto"/>
          <w:lang w:eastAsia="zh-CN"/>
        </w:rPr>
      </w:pPr>
    </w:p>
    <w:p w14:paraId="3958E7FF">
      <w:pPr>
        <w:pStyle w:val="8"/>
        <w:rPr>
          <w:color w:val="auto"/>
          <w:lang w:eastAsia="zh-CN"/>
        </w:rPr>
      </w:pPr>
    </w:p>
    <w:p w14:paraId="6777B2C5">
      <w:pPr>
        <w:pStyle w:val="8"/>
        <w:rPr>
          <w:color w:val="auto"/>
          <w:lang w:eastAsia="zh-CN"/>
        </w:rPr>
      </w:pPr>
    </w:p>
    <w:p w14:paraId="5F150D2D">
      <w:pPr>
        <w:pStyle w:val="8"/>
        <w:spacing w:line="241" w:lineRule="auto"/>
        <w:rPr>
          <w:color w:val="auto"/>
          <w:lang w:eastAsia="zh-CN"/>
        </w:rPr>
      </w:pPr>
    </w:p>
    <w:p w14:paraId="295F8DA9">
      <w:pPr>
        <w:spacing w:before="139" w:line="222" w:lineRule="auto"/>
        <w:ind w:left="3306"/>
        <w:rPr>
          <w:rFonts w:ascii="宋体" w:hAnsi="宋体" w:eastAsia="宋体" w:cs="宋体"/>
          <w:color w:val="auto"/>
          <w:sz w:val="43"/>
          <w:szCs w:val="43"/>
          <w:lang w:eastAsia="zh-CN"/>
        </w:rPr>
      </w:pPr>
      <w:r>
        <w:rPr>
          <w:rFonts w:ascii="宋体" w:hAnsi="宋体" w:eastAsia="宋体" w:cs="宋体"/>
          <w:color w:val="auto"/>
          <w:spacing w:val="5"/>
          <w:sz w:val="43"/>
          <w:szCs w:val="43"/>
          <w:lang w:eastAsia="zh-CN"/>
        </w:rPr>
        <w:t>招标文件</w:t>
      </w:r>
    </w:p>
    <w:p w14:paraId="5B8342B3">
      <w:pPr>
        <w:pStyle w:val="8"/>
        <w:spacing w:line="241" w:lineRule="auto"/>
        <w:rPr>
          <w:color w:val="auto"/>
          <w:lang w:eastAsia="zh-CN"/>
        </w:rPr>
      </w:pPr>
    </w:p>
    <w:p w14:paraId="37AE56BC">
      <w:pPr>
        <w:tabs>
          <w:tab w:val="left" w:pos="8127"/>
        </w:tabs>
        <w:spacing w:before="139" w:line="223" w:lineRule="auto"/>
        <w:ind w:left="1774"/>
        <w:rPr>
          <w:rFonts w:ascii="宋体" w:hAnsi="宋体" w:eastAsia="宋体" w:cs="宋体"/>
          <w:color w:val="auto"/>
          <w:sz w:val="43"/>
          <w:szCs w:val="43"/>
          <w:lang w:eastAsia="zh-CN"/>
        </w:rPr>
      </w:pPr>
      <w:r>
        <w:rPr>
          <w:rFonts w:ascii="宋体" w:hAnsi="宋体" w:eastAsia="宋体" w:cs="宋体"/>
          <w:color w:val="auto"/>
          <w:spacing w:val="6"/>
          <w:sz w:val="43"/>
          <w:szCs w:val="43"/>
          <w:lang w:eastAsia="zh-CN"/>
        </w:rPr>
        <w:t>(</w:t>
      </w:r>
      <w:r>
        <w:rPr>
          <w:rFonts w:hint="eastAsia" w:ascii="宋体" w:hAnsi="宋体" w:eastAsia="宋体" w:cs="宋体"/>
          <w:color w:val="auto"/>
          <w:spacing w:val="6"/>
          <w:sz w:val="43"/>
          <w:szCs w:val="43"/>
          <w:lang w:eastAsia="zh-CN"/>
        </w:rPr>
        <w:t>☑</w:t>
      </w:r>
      <w:r>
        <w:rPr>
          <w:rFonts w:ascii="宋体" w:hAnsi="宋体" w:eastAsia="宋体" w:cs="宋体"/>
          <w:color w:val="auto"/>
          <w:spacing w:val="6"/>
          <w:sz w:val="43"/>
          <w:szCs w:val="43"/>
          <w:lang w:eastAsia="zh-CN"/>
        </w:rPr>
        <w:t>公开招标□邀请招标）</w:t>
      </w:r>
      <w:r>
        <w:rPr>
          <w:rFonts w:hint="eastAsia" w:ascii="宋体" w:hAnsi="宋体" w:eastAsia="宋体" w:cs="宋体"/>
          <w:color w:val="auto"/>
          <w:spacing w:val="6"/>
          <w:sz w:val="43"/>
          <w:szCs w:val="43"/>
          <w:lang w:eastAsia="zh-CN"/>
        </w:rPr>
        <w:tab/>
      </w:r>
    </w:p>
    <w:p w14:paraId="6090D96F">
      <w:pPr>
        <w:pStyle w:val="8"/>
        <w:spacing w:line="252" w:lineRule="auto"/>
        <w:rPr>
          <w:color w:val="auto"/>
          <w:lang w:eastAsia="zh-CN"/>
        </w:rPr>
      </w:pPr>
    </w:p>
    <w:p w14:paraId="024F334E">
      <w:pPr>
        <w:pStyle w:val="8"/>
        <w:spacing w:line="252" w:lineRule="auto"/>
        <w:rPr>
          <w:color w:val="auto"/>
          <w:lang w:eastAsia="zh-CN"/>
        </w:rPr>
      </w:pPr>
    </w:p>
    <w:p w14:paraId="236B6A7A">
      <w:pPr>
        <w:pStyle w:val="8"/>
        <w:spacing w:line="252" w:lineRule="auto"/>
        <w:rPr>
          <w:color w:val="auto"/>
          <w:lang w:eastAsia="zh-CN"/>
        </w:rPr>
      </w:pPr>
    </w:p>
    <w:p w14:paraId="0AF833CE">
      <w:pPr>
        <w:pStyle w:val="8"/>
        <w:spacing w:line="252" w:lineRule="auto"/>
        <w:rPr>
          <w:color w:val="auto"/>
          <w:lang w:eastAsia="zh-CN"/>
        </w:rPr>
      </w:pPr>
    </w:p>
    <w:p w14:paraId="4626D2C6">
      <w:pPr>
        <w:pStyle w:val="8"/>
        <w:spacing w:line="252" w:lineRule="auto"/>
        <w:rPr>
          <w:color w:val="auto"/>
          <w:lang w:eastAsia="zh-CN"/>
        </w:rPr>
      </w:pPr>
    </w:p>
    <w:p w14:paraId="630F178B">
      <w:pPr>
        <w:pStyle w:val="8"/>
        <w:spacing w:line="252" w:lineRule="auto"/>
        <w:rPr>
          <w:color w:val="auto"/>
          <w:lang w:eastAsia="zh-CN"/>
        </w:rPr>
      </w:pPr>
    </w:p>
    <w:p w14:paraId="7420A8C4">
      <w:pPr>
        <w:pStyle w:val="8"/>
        <w:spacing w:line="252" w:lineRule="auto"/>
        <w:rPr>
          <w:color w:val="auto"/>
          <w:lang w:eastAsia="zh-CN"/>
        </w:rPr>
      </w:pPr>
    </w:p>
    <w:p w14:paraId="4E9E91F5">
      <w:pPr>
        <w:pStyle w:val="8"/>
        <w:spacing w:line="253" w:lineRule="auto"/>
        <w:rPr>
          <w:color w:val="auto"/>
          <w:lang w:eastAsia="zh-CN"/>
        </w:rPr>
      </w:pPr>
    </w:p>
    <w:p w14:paraId="3A166B15">
      <w:pPr>
        <w:pStyle w:val="8"/>
        <w:spacing w:line="253" w:lineRule="auto"/>
        <w:rPr>
          <w:color w:val="auto"/>
          <w:lang w:eastAsia="zh-CN"/>
        </w:rPr>
      </w:pPr>
    </w:p>
    <w:p w14:paraId="03208710">
      <w:pPr>
        <w:pStyle w:val="8"/>
        <w:spacing w:line="253" w:lineRule="auto"/>
        <w:rPr>
          <w:color w:val="auto"/>
          <w:lang w:eastAsia="zh-CN"/>
        </w:rPr>
      </w:pPr>
    </w:p>
    <w:p w14:paraId="755A7665">
      <w:pPr>
        <w:pStyle w:val="8"/>
        <w:spacing w:line="253" w:lineRule="auto"/>
        <w:rPr>
          <w:color w:val="auto"/>
          <w:lang w:eastAsia="zh-CN"/>
        </w:rPr>
      </w:pPr>
    </w:p>
    <w:p w14:paraId="22D3CE59">
      <w:pPr>
        <w:pStyle w:val="8"/>
        <w:spacing w:line="253" w:lineRule="auto"/>
        <w:rPr>
          <w:color w:val="auto"/>
          <w:lang w:eastAsia="zh-CN"/>
        </w:rPr>
      </w:pPr>
    </w:p>
    <w:p w14:paraId="5FC307DE">
      <w:pPr>
        <w:pStyle w:val="8"/>
        <w:spacing w:line="253" w:lineRule="auto"/>
        <w:rPr>
          <w:color w:val="auto"/>
          <w:lang w:eastAsia="zh-CN"/>
        </w:rPr>
      </w:pPr>
    </w:p>
    <w:p w14:paraId="688DF23F">
      <w:pPr>
        <w:pStyle w:val="8"/>
        <w:spacing w:line="253" w:lineRule="auto"/>
        <w:rPr>
          <w:color w:val="auto"/>
          <w:lang w:eastAsia="zh-CN"/>
        </w:rPr>
      </w:pPr>
    </w:p>
    <w:p w14:paraId="30FDE0D1">
      <w:pPr>
        <w:pStyle w:val="8"/>
        <w:spacing w:line="253" w:lineRule="auto"/>
        <w:rPr>
          <w:color w:val="auto"/>
          <w:lang w:eastAsia="zh-CN"/>
        </w:rPr>
      </w:pPr>
    </w:p>
    <w:p w14:paraId="2B18604A">
      <w:pPr>
        <w:pStyle w:val="8"/>
        <w:keepNext w:val="0"/>
        <w:keepLines w:val="0"/>
        <w:pageBreakBefore w:val="0"/>
        <w:widowControl/>
        <w:kinsoku w:val="0"/>
        <w:wordWrap/>
        <w:overflowPunct/>
        <w:topLinePunct w:val="0"/>
        <w:autoSpaceDE w:val="0"/>
        <w:autoSpaceDN w:val="0"/>
        <w:bidi w:val="0"/>
        <w:adjustRightInd w:val="0"/>
        <w:snapToGrid w:val="0"/>
        <w:spacing w:line="360" w:lineRule="auto"/>
        <w:ind w:firstLine="1920" w:firstLineChars="600"/>
        <w:textAlignment w:val="auto"/>
        <w:rPr>
          <w:rFonts w:hint="eastAsia" w:ascii="宋体" w:hAnsi="宋体" w:eastAsia="宋体" w:cs="宋体"/>
          <w:color w:val="auto"/>
          <w:sz w:val="32"/>
          <w:szCs w:val="32"/>
          <w:lang w:eastAsia="zh-CN"/>
        </w:rPr>
      </w:pPr>
      <w:r>
        <w:rPr>
          <w:rFonts w:hint="eastAsia" w:ascii="宋体" w:hAnsi="宋体" w:eastAsia="宋体" w:cs="宋体"/>
          <w:color w:val="auto"/>
          <w:sz w:val="32"/>
          <w:szCs w:val="32"/>
          <w:lang w:eastAsia="zh-CN"/>
        </w:rPr>
        <w:t>招</w:t>
      </w:r>
      <w:r>
        <w:rPr>
          <w:rFonts w:hint="eastAsia" w:ascii="宋体" w:hAnsi="宋体" w:eastAsia="宋体" w:cs="宋体"/>
          <w:color w:val="auto"/>
          <w:sz w:val="32"/>
          <w:szCs w:val="32"/>
          <w:lang w:val="en-US" w:eastAsia="zh-CN"/>
        </w:rPr>
        <w:t xml:space="preserve">   </w:t>
      </w:r>
      <w:r>
        <w:rPr>
          <w:rFonts w:hint="eastAsia" w:ascii="宋体" w:hAnsi="宋体" w:eastAsia="宋体" w:cs="宋体"/>
          <w:color w:val="auto"/>
          <w:sz w:val="32"/>
          <w:szCs w:val="32"/>
          <w:lang w:eastAsia="zh-CN"/>
        </w:rPr>
        <w:t>标</w:t>
      </w:r>
      <w:r>
        <w:rPr>
          <w:rFonts w:hint="eastAsia" w:ascii="宋体" w:hAnsi="宋体" w:eastAsia="宋体" w:cs="宋体"/>
          <w:color w:val="auto"/>
          <w:sz w:val="32"/>
          <w:szCs w:val="32"/>
          <w:lang w:val="en-US" w:eastAsia="zh-CN"/>
        </w:rPr>
        <w:t xml:space="preserve">   </w:t>
      </w:r>
      <w:r>
        <w:rPr>
          <w:rFonts w:hint="eastAsia" w:ascii="宋体" w:hAnsi="宋体" w:eastAsia="宋体" w:cs="宋体"/>
          <w:color w:val="auto"/>
          <w:sz w:val="32"/>
          <w:szCs w:val="32"/>
          <w:lang w:eastAsia="zh-CN"/>
        </w:rPr>
        <w:t>人：三门县民政局</w:t>
      </w:r>
    </w:p>
    <w:p w14:paraId="69EFA543">
      <w:pPr>
        <w:pStyle w:val="8"/>
        <w:keepNext w:val="0"/>
        <w:keepLines w:val="0"/>
        <w:pageBreakBefore w:val="0"/>
        <w:widowControl/>
        <w:kinsoku w:val="0"/>
        <w:wordWrap/>
        <w:overflowPunct/>
        <w:topLinePunct w:val="0"/>
        <w:autoSpaceDE w:val="0"/>
        <w:autoSpaceDN w:val="0"/>
        <w:bidi w:val="0"/>
        <w:adjustRightInd w:val="0"/>
        <w:snapToGrid w:val="0"/>
        <w:spacing w:line="360" w:lineRule="auto"/>
        <w:ind w:firstLine="1920" w:firstLineChars="600"/>
        <w:textAlignment w:val="auto"/>
        <w:rPr>
          <w:rFonts w:hint="eastAsia" w:ascii="宋体" w:hAnsi="宋体" w:eastAsia="宋体" w:cs="宋体"/>
          <w:color w:val="auto"/>
          <w:sz w:val="32"/>
          <w:szCs w:val="32"/>
          <w:lang w:eastAsia="zh-CN"/>
        </w:rPr>
      </w:pPr>
      <w:r>
        <w:rPr>
          <w:rFonts w:hint="eastAsia" w:ascii="宋体" w:hAnsi="宋体" w:eastAsia="宋体" w:cs="宋体"/>
          <w:color w:val="auto"/>
          <w:sz w:val="32"/>
          <w:szCs w:val="32"/>
          <w:lang w:eastAsia="zh-CN"/>
        </w:rPr>
        <w:t>代</w:t>
      </w:r>
      <w:r>
        <w:rPr>
          <w:rFonts w:hint="eastAsia" w:ascii="宋体" w:hAnsi="宋体" w:eastAsia="宋体" w:cs="宋体"/>
          <w:color w:val="auto"/>
          <w:sz w:val="32"/>
          <w:szCs w:val="32"/>
          <w:lang w:val="en-US" w:eastAsia="zh-CN"/>
        </w:rPr>
        <w:t xml:space="preserve"> </w:t>
      </w:r>
      <w:r>
        <w:rPr>
          <w:rFonts w:hint="eastAsia" w:ascii="宋体" w:hAnsi="宋体" w:eastAsia="宋体" w:cs="宋体"/>
          <w:color w:val="auto"/>
          <w:sz w:val="32"/>
          <w:szCs w:val="32"/>
          <w:lang w:eastAsia="zh-CN"/>
        </w:rPr>
        <w:t>建</w:t>
      </w:r>
      <w:r>
        <w:rPr>
          <w:rFonts w:hint="eastAsia" w:ascii="宋体" w:hAnsi="宋体" w:eastAsia="宋体" w:cs="宋体"/>
          <w:color w:val="auto"/>
          <w:sz w:val="32"/>
          <w:szCs w:val="32"/>
          <w:lang w:val="en-US" w:eastAsia="zh-CN"/>
        </w:rPr>
        <w:t xml:space="preserve"> </w:t>
      </w:r>
      <w:r>
        <w:rPr>
          <w:rFonts w:hint="eastAsia" w:ascii="宋体" w:hAnsi="宋体" w:eastAsia="宋体" w:cs="宋体"/>
          <w:color w:val="auto"/>
          <w:sz w:val="32"/>
          <w:szCs w:val="32"/>
          <w:lang w:eastAsia="zh-CN"/>
        </w:rPr>
        <w:t>单</w:t>
      </w:r>
      <w:r>
        <w:rPr>
          <w:rFonts w:hint="eastAsia" w:ascii="宋体" w:hAnsi="宋体" w:eastAsia="宋体" w:cs="宋体"/>
          <w:color w:val="auto"/>
          <w:sz w:val="32"/>
          <w:szCs w:val="32"/>
          <w:lang w:val="en-US" w:eastAsia="zh-CN"/>
        </w:rPr>
        <w:t xml:space="preserve"> </w:t>
      </w:r>
      <w:r>
        <w:rPr>
          <w:rFonts w:hint="eastAsia" w:ascii="宋体" w:hAnsi="宋体" w:eastAsia="宋体" w:cs="宋体"/>
          <w:color w:val="auto"/>
          <w:sz w:val="32"/>
          <w:szCs w:val="32"/>
          <w:lang w:eastAsia="zh-CN"/>
        </w:rPr>
        <w:t>位</w:t>
      </w:r>
      <w:r>
        <w:rPr>
          <w:rFonts w:hint="eastAsia" w:ascii="宋体" w:hAnsi="宋体" w:eastAsia="宋体" w:cs="宋体"/>
          <w:color w:val="auto"/>
          <w:sz w:val="32"/>
          <w:szCs w:val="32"/>
          <w:lang w:val="en-US" w:eastAsia="zh-CN"/>
        </w:rPr>
        <w:t xml:space="preserve"> </w:t>
      </w:r>
      <w:r>
        <w:rPr>
          <w:rFonts w:hint="eastAsia" w:ascii="宋体" w:hAnsi="宋体" w:eastAsia="宋体" w:cs="宋体"/>
          <w:color w:val="auto"/>
          <w:sz w:val="32"/>
          <w:szCs w:val="32"/>
          <w:lang w:eastAsia="zh-CN"/>
        </w:rPr>
        <w:t>：三门县基础设施投资有限责任公司</w:t>
      </w:r>
    </w:p>
    <w:p w14:paraId="4CE48C5B">
      <w:pPr>
        <w:pStyle w:val="8"/>
        <w:keepNext w:val="0"/>
        <w:keepLines w:val="0"/>
        <w:pageBreakBefore w:val="0"/>
        <w:widowControl/>
        <w:kinsoku w:val="0"/>
        <w:wordWrap/>
        <w:overflowPunct/>
        <w:topLinePunct w:val="0"/>
        <w:autoSpaceDE w:val="0"/>
        <w:autoSpaceDN w:val="0"/>
        <w:bidi w:val="0"/>
        <w:adjustRightInd w:val="0"/>
        <w:snapToGrid w:val="0"/>
        <w:spacing w:line="360" w:lineRule="auto"/>
        <w:ind w:firstLine="1920" w:firstLineChars="600"/>
        <w:textAlignment w:val="auto"/>
        <w:rPr>
          <w:rFonts w:hint="eastAsia" w:ascii="宋体" w:hAnsi="宋体" w:eastAsia="宋体" w:cs="宋体"/>
          <w:color w:val="auto"/>
          <w:sz w:val="32"/>
          <w:szCs w:val="32"/>
          <w:lang w:eastAsia="zh-CN"/>
        </w:rPr>
      </w:pPr>
      <w:r>
        <w:rPr>
          <w:rFonts w:hint="eastAsia" w:ascii="宋体" w:hAnsi="宋体" w:eastAsia="宋体" w:cs="宋体"/>
          <w:color w:val="auto"/>
          <w:sz w:val="32"/>
          <w:szCs w:val="32"/>
          <w:lang w:eastAsia="zh-CN"/>
        </w:rPr>
        <w:t>招标代理机构：欧邦工程管理集团有限公司</w:t>
      </w:r>
    </w:p>
    <w:p w14:paraId="5219D0D4">
      <w:pPr>
        <w:pStyle w:val="8"/>
        <w:keepNext w:val="0"/>
        <w:keepLines w:val="0"/>
        <w:pageBreakBefore w:val="0"/>
        <w:widowControl/>
        <w:kinsoku w:val="0"/>
        <w:wordWrap/>
        <w:overflowPunct/>
        <w:topLinePunct w:val="0"/>
        <w:autoSpaceDE w:val="0"/>
        <w:autoSpaceDN w:val="0"/>
        <w:bidi w:val="0"/>
        <w:adjustRightInd w:val="0"/>
        <w:snapToGrid w:val="0"/>
        <w:spacing w:line="360" w:lineRule="auto"/>
        <w:ind w:firstLine="1920" w:firstLineChars="600"/>
        <w:textAlignment w:val="auto"/>
        <w:rPr>
          <w:rFonts w:hint="eastAsia" w:ascii="宋体" w:hAnsi="宋体" w:eastAsia="宋体" w:cs="宋体"/>
          <w:color w:val="auto"/>
          <w:sz w:val="32"/>
          <w:szCs w:val="32"/>
          <w:lang w:eastAsia="zh-CN"/>
        </w:rPr>
      </w:pPr>
      <w:r>
        <w:rPr>
          <w:rFonts w:hint="eastAsia" w:ascii="宋体" w:hAnsi="宋体" w:eastAsia="宋体" w:cs="宋体"/>
          <w:color w:val="auto"/>
          <w:sz w:val="32"/>
          <w:szCs w:val="32"/>
          <w:lang w:eastAsia="zh-CN"/>
        </w:rPr>
        <w:t>行业主管部门：三门县住房和城乡建设局</w:t>
      </w:r>
    </w:p>
    <w:p w14:paraId="2E8197AB">
      <w:pPr>
        <w:pStyle w:val="8"/>
        <w:tabs>
          <w:tab w:val="left" w:pos="3611"/>
          <w:tab w:val="left" w:pos="4626"/>
          <w:tab w:val="left" w:pos="5642"/>
        </w:tabs>
        <w:kinsoku w:val="0"/>
        <w:spacing w:before="14" w:line="360" w:lineRule="auto"/>
        <w:ind w:left="2877" w:right="175" w:firstLine="301" w:firstLineChars="100"/>
        <w:rPr>
          <w:rFonts w:hint="default"/>
          <w:color w:val="auto"/>
          <w:sz w:val="28"/>
          <w:szCs w:val="28"/>
          <w:lang w:val="en-US"/>
        </w:rPr>
        <w:sectPr>
          <w:footerReference r:id="rId3" w:type="default"/>
          <w:pgSz w:w="11906" w:h="16838"/>
          <w:pgMar w:top="1446" w:right="1434" w:bottom="1298" w:left="1434" w:header="720" w:footer="720" w:gutter="0"/>
          <w:pgNumType w:fmt="decimal"/>
          <w:cols w:space="0" w:num="1"/>
          <w:docGrid w:linePitch="0" w:charSpace="0"/>
        </w:sectPr>
      </w:pPr>
      <w:r>
        <w:rPr>
          <w:rFonts w:hint="eastAsia" w:ascii="宋体" w:hAnsi="宋体" w:eastAsia="宋体"/>
          <w:b/>
          <w:bCs/>
          <w:color w:val="auto"/>
          <w:sz w:val="30"/>
          <w:szCs w:val="30"/>
          <w:lang w:eastAsia="zh-CN"/>
        </w:rPr>
        <w:t>二〇二</w:t>
      </w:r>
      <w:r>
        <w:rPr>
          <w:rFonts w:hint="eastAsia" w:ascii="宋体" w:hAnsi="宋体" w:eastAsia="宋体"/>
          <w:b/>
          <w:bCs/>
          <w:color w:val="auto"/>
          <w:sz w:val="30"/>
          <w:szCs w:val="30"/>
          <w:lang w:val="en-US" w:eastAsia="zh-CN"/>
        </w:rPr>
        <w:t>五</w:t>
      </w:r>
      <w:r>
        <w:rPr>
          <w:rFonts w:hint="eastAsia" w:ascii="宋体" w:hAnsi="宋体"/>
          <w:b/>
          <w:bCs/>
          <w:color w:val="auto"/>
          <w:sz w:val="30"/>
          <w:szCs w:val="30"/>
        </w:rPr>
        <w:t>年</w:t>
      </w:r>
      <w:r>
        <w:rPr>
          <w:rFonts w:hint="eastAsia" w:ascii="宋体" w:hAnsi="宋体" w:eastAsia="宋体"/>
          <w:b/>
          <w:bCs/>
          <w:color w:val="auto"/>
          <w:sz w:val="30"/>
          <w:szCs w:val="30"/>
          <w:lang w:eastAsia="zh-CN"/>
        </w:rPr>
        <w:t>五</w:t>
      </w:r>
      <w:r>
        <w:rPr>
          <w:rFonts w:hint="eastAsia" w:ascii="宋体" w:hAnsi="宋体"/>
          <w:b/>
          <w:bCs/>
          <w:color w:val="auto"/>
          <w:sz w:val="30"/>
          <w:szCs w:val="30"/>
          <w:lang w:val="en-US" w:eastAsia="zh-CN"/>
        </w:rPr>
        <w:t>月</w:t>
      </w:r>
    </w:p>
    <w:p w14:paraId="73A83CE5">
      <w:pPr>
        <w:spacing w:line="640" w:lineRule="exact"/>
        <w:jc w:val="center"/>
        <w:rPr>
          <w:rFonts w:hint="eastAsia" w:ascii="宋体" w:hAnsi="宋体" w:cs="宋体"/>
          <w:bCs/>
          <w:color w:val="000000"/>
          <w:sz w:val="44"/>
          <w:szCs w:val="20"/>
        </w:rPr>
      </w:pPr>
    </w:p>
    <w:p w14:paraId="0366BD38">
      <w:pPr>
        <w:spacing w:line="640" w:lineRule="exact"/>
        <w:jc w:val="center"/>
        <w:rPr>
          <w:rFonts w:ascii="宋体" w:hAnsi="宋体" w:cs="宋体"/>
          <w:color w:val="000000"/>
          <w:sz w:val="32"/>
          <w:szCs w:val="32"/>
        </w:rPr>
      </w:pPr>
      <w:r>
        <w:rPr>
          <w:rFonts w:hint="eastAsia" w:ascii="宋体" w:hAnsi="宋体" w:cs="宋体"/>
          <w:bCs/>
          <w:color w:val="000000"/>
          <w:sz w:val="44"/>
          <w:szCs w:val="20"/>
        </w:rPr>
        <w:t>三   门   县</w:t>
      </w:r>
    </w:p>
    <w:p w14:paraId="132ED835">
      <w:pPr>
        <w:spacing w:line="1100" w:lineRule="exact"/>
        <w:jc w:val="center"/>
        <w:rPr>
          <w:rFonts w:ascii="宋体" w:hAnsi="宋体" w:cs="宋体"/>
          <w:bCs/>
          <w:color w:val="000000"/>
          <w:spacing w:val="120"/>
          <w:sz w:val="44"/>
          <w:szCs w:val="20"/>
        </w:rPr>
      </w:pPr>
      <w:r>
        <w:rPr>
          <w:rFonts w:hint="eastAsia" w:ascii="宋体" w:hAnsi="宋体" w:cs="宋体"/>
          <w:bCs/>
          <w:color w:val="000000"/>
          <w:spacing w:val="120"/>
          <w:sz w:val="44"/>
          <w:szCs w:val="20"/>
        </w:rPr>
        <w:t>建设工程招标文件</w:t>
      </w:r>
    </w:p>
    <w:p w14:paraId="5D07CFBF">
      <w:pPr>
        <w:spacing w:beforeLines="100" w:line="440" w:lineRule="exact"/>
        <w:jc w:val="center"/>
        <w:rPr>
          <w:rFonts w:hint="eastAsia" w:ascii="宋体" w:hAnsi="宋体" w:cs="宋体" w:eastAsiaTheme="minorEastAsia"/>
          <w:bCs/>
          <w:color w:val="auto"/>
          <w:sz w:val="32"/>
          <w:szCs w:val="20"/>
          <w:lang w:eastAsia="zh-CN"/>
        </w:rPr>
      </w:pPr>
      <w:r>
        <w:rPr>
          <w:rFonts w:hint="eastAsia" w:ascii="宋体" w:hAnsi="宋体" w:cs="宋体"/>
          <w:bCs/>
          <w:color w:val="000000"/>
          <w:sz w:val="32"/>
          <w:szCs w:val="20"/>
        </w:rPr>
        <w:t>备案登记号：</w:t>
      </w:r>
      <w:r>
        <w:rPr>
          <w:rFonts w:hint="eastAsia" w:ascii="宋体" w:hAnsi="宋体" w:cs="宋体"/>
          <w:bCs/>
          <w:color w:val="auto"/>
          <w:sz w:val="32"/>
          <w:szCs w:val="20"/>
          <w:lang w:eastAsia="zh-CN"/>
        </w:rPr>
        <w:t>三招建备2025-</w:t>
      </w:r>
      <w:r>
        <w:rPr>
          <w:rFonts w:hint="eastAsia" w:ascii="宋体" w:hAnsi="宋体" w:cs="宋体"/>
          <w:bCs/>
          <w:color w:val="auto"/>
          <w:sz w:val="32"/>
          <w:szCs w:val="20"/>
          <w:lang w:val="en-US" w:eastAsia="zh-CN"/>
        </w:rPr>
        <w:t>060</w:t>
      </w:r>
      <w:r>
        <w:rPr>
          <w:rFonts w:hint="eastAsia" w:ascii="宋体" w:hAnsi="宋体" w:cs="宋体"/>
          <w:bCs/>
          <w:color w:val="auto"/>
          <w:sz w:val="32"/>
          <w:szCs w:val="20"/>
          <w:lang w:eastAsia="zh-CN"/>
        </w:rPr>
        <w:t>号</w:t>
      </w:r>
    </w:p>
    <w:p w14:paraId="4DB434F9">
      <w:pPr>
        <w:spacing w:line="640" w:lineRule="exact"/>
        <w:ind w:left="210" w:firstLine="564" w:firstLineChars="269"/>
        <w:rPr>
          <w:rFonts w:ascii="宋体" w:hAnsi="宋体" w:cs="宋体"/>
          <w:bCs/>
          <w:color w:val="000000"/>
        </w:rPr>
      </w:pPr>
    </w:p>
    <w:p w14:paraId="2E3F96C1">
      <w:pPr>
        <w:pStyle w:val="8"/>
        <w:keepNext w:val="0"/>
        <w:keepLines w:val="0"/>
        <w:pageBreakBefore w:val="0"/>
        <w:widowControl/>
        <w:kinsoku w:val="0"/>
        <w:wordWrap/>
        <w:overflowPunct/>
        <w:topLinePunct w:val="0"/>
        <w:autoSpaceDE w:val="0"/>
        <w:autoSpaceDN w:val="0"/>
        <w:bidi w:val="0"/>
        <w:adjustRightInd w:val="0"/>
        <w:snapToGrid w:val="0"/>
        <w:spacing w:line="360" w:lineRule="auto"/>
        <w:ind w:firstLine="960" w:firstLineChars="300"/>
        <w:textAlignment w:val="auto"/>
        <w:rPr>
          <w:rFonts w:hint="eastAsia" w:ascii="宋体" w:hAnsi="宋体" w:cs="宋体"/>
          <w:bCs/>
          <w:color w:val="000000"/>
          <w:sz w:val="32"/>
          <w:szCs w:val="20"/>
          <w:lang w:eastAsia="zh-CN"/>
        </w:rPr>
      </w:pPr>
      <w:r>
        <w:rPr>
          <w:rFonts w:hint="eastAsia" w:ascii="宋体" w:hAnsi="宋体" w:cs="宋体"/>
          <w:bCs/>
          <w:color w:val="000000"/>
          <w:sz w:val="32"/>
          <w:szCs w:val="20"/>
        </w:rPr>
        <w:t>项目名称：</w:t>
      </w:r>
      <w:r>
        <w:rPr>
          <w:rFonts w:hint="eastAsia" w:ascii="宋体" w:hAnsi="宋体" w:cs="宋体"/>
          <w:bCs/>
          <w:color w:val="000000"/>
          <w:sz w:val="32"/>
          <w:szCs w:val="20"/>
          <w:lang w:eastAsia="zh-CN"/>
        </w:rPr>
        <w:t>三门县失能失智敬老院项目</w:t>
      </w:r>
    </w:p>
    <w:p w14:paraId="73A5F6B6">
      <w:pPr>
        <w:spacing w:line="640" w:lineRule="exact"/>
        <w:rPr>
          <w:rFonts w:ascii="宋体" w:hAnsi="宋体" w:cs="宋体"/>
          <w:bCs/>
          <w:color w:val="000000"/>
          <w:sz w:val="32"/>
          <w:szCs w:val="20"/>
        </w:rPr>
      </w:pPr>
    </w:p>
    <w:p w14:paraId="3E325DC6">
      <w:pPr>
        <w:pStyle w:val="8"/>
        <w:keepNext w:val="0"/>
        <w:keepLines w:val="0"/>
        <w:pageBreakBefore w:val="0"/>
        <w:widowControl/>
        <w:kinsoku w:val="0"/>
        <w:wordWrap/>
        <w:overflowPunct/>
        <w:topLinePunct w:val="0"/>
        <w:autoSpaceDE w:val="0"/>
        <w:autoSpaceDN w:val="0"/>
        <w:bidi w:val="0"/>
        <w:adjustRightInd w:val="0"/>
        <w:snapToGrid w:val="0"/>
        <w:spacing w:line="360" w:lineRule="auto"/>
        <w:ind w:firstLine="960" w:firstLineChars="300"/>
        <w:textAlignment w:val="auto"/>
        <w:rPr>
          <w:rFonts w:hint="eastAsia" w:ascii="宋体" w:hAnsi="宋体" w:eastAsia="宋体" w:cs="宋体"/>
          <w:color w:val="auto"/>
          <w:sz w:val="32"/>
          <w:szCs w:val="32"/>
          <w:lang w:eastAsia="zh-CN"/>
        </w:rPr>
      </w:pPr>
      <w:r>
        <w:rPr>
          <w:rFonts w:hint="eastAsia" w:ascii="宋体" w:hAnsi="宋体" w:cs="宋体"/>
          <w:bCs/>
          <w:color w:val="000000"/>
          <w:sz w:val="32"/>
          <w:szCs w:val="20"/>
        </w:rPr>
        <w:t>招 标 人：</w:t>
      </w:r>
      <w:r>
        <w:rPr>
          <w:rFonts w:hint="eastAsia" w:ascii="宋体" w:hAnsi="宋体" w:eastAsia="宋体" w:cs="宋体"/>
          <w:color w:val="auto"/>
          <w:sz w:val="32"/>
          <w:szCs w:val="32"/>
          <w:lang w:eastAsia="zh-CN"/>
        </w:rPr>
        <w:t>三门县民政局</w:t>
      </w:r>
    </w:p>
    <w:p w14:paraId="4FB3208D">
      <w:pPr>
        <w:spacing w:line="640" w:lineRule="exact"/>
        <w:ind w:firstLine="960" w:firstLineChars="300"/>
        <w:rPr>
          <w:rFonts w:hint="eastAsia" w:ascii="宋体" w:hAnsi="宋体" w:cs="宋体"/>
          <w:bCs/>
          <w:color w:val="000000"/>
          <w:sz w:val="32"/>
          <w:szCs w:val="20"/>
          <w:lang w:eastAsia="zh-CN"/>
        </w:rPr>
      </w:pPr>
      <w:r>
        <w:rPr>
          <w:rFonts w:hint="eastAsia" w:ascii="宋体" w:hAnsi="宋体" w:cs="宋体"/>
          <w:bCs/>
          <w:color w:val="000000"/>
          <w:sz w:val="32"/>
          <w:szCs w:val="20"/>
          <w:lang w:eastAsia="zh-CN"/>
        </w:rPr>
        <w:t>代建单位：</w:t>
      </w:r>
      <w:r>
        <w:rPr>
          <w:rFonts w:hint="eastAsia" w:ascii="宋体" w:hAnsi="宋体" w:cs="宋体"/>
          <w:bCs/>
          <w:color w:val="000000"/>
          <w:sz w:val="32"/>
          <w:szCs w:val="20"/>
        </w:rPr>
        <w:t>三门县基础设施投资有限责任公司</w:t>
      </w:r>
    </w:p>
    <w:p w14:paraId="52BA3145">
      <w:pPr>
        <w:pStyle w:val="9"/>
        <w:rPr>
          <w:rFonts w:hint="eastAsia" w:eastAsia="宋体"/>
          <w:lang w:eastAsia="zh-CN"/>
        </w:rPr>
      </w:pPr>
    </w:p>
    <w:p w14:paraId="0E068332">
      <w:pPr>
        <w:spacing w:line="640" w:lineRule="exact"/>
        <w:ind w:left="210" w:firstLine="860" w:firstLineChars="269"/>
        <w:rPr>
          <w:rFonts w:hint="eastAsia" w:ascii="宋体" w:hAnsi="宋体" w:eastAsia="宋体" w:cs="宋体"/>
          <w:bCs/>
          <w:color w:val="000000"/>
          <w:sz w:val="32"/>
          <w:szCs w:val="20"/>
          <w:lang w:eastAsia="zh-CN"/>
        </w:rPr>
      </w:pPr>
      <w:r>
        <w:rPr>
          <w:rFonts w:hint="eastAsia" w:ascii="宋体" w:hAnsi="宋体" w:cs="宋体"/>
          <w:bCs/>
          <w:color w:val="000000"/>
          <w:sz w:val="32"/>
          <w:szCs w:val="20"/>
        </w:rPr>
        <w:t>联 系 人：</w:t>
      </w:r>
      <w:r>
        <w:rPr>
          <w:rFonts w:hint="eastAsia" w:ascii="宋体" w:hAnsi="宋体" w:cs="宋体"/>
          <w:bCs/>
          <w:color w:val="000000"/>
          <w:sz w:val="32"/>
          <w:szCs w:val="20"/>
          <w:lang w:eastAsia="zh-CN"/>
        </w:rPr>
        <w:t>赖尚将</w:t>
      </w:r>
    </w:p>
    <w:p w14:paraId="53F799E1">
      <w:pPr>
        <w:spacing w:line="640" w:lineRule="exact"/>
        <w:ind w:left="210" w:firstLine="860" w:firstLineChars="269"/>
        <w:rPr>
          <w:rFonts w:hint="eastAsia" w:ascii="宋体" w:hAnsi="宋体" w:eastAsia="宋体" w:cs="宋体"/>
          <w:bCs/>
          <w:color w:val="000000"/>
          <w:sz w:val="32"/>
          <w:szCs w:val="20"/>
          <w:lang w:eastAsia="zh-CN"/>
        </w:rPr>
      </w:pPr>
      <w:r>
        <w:rPr>
          <w:rFonts w:hint="eastAsia" w:ascii="宋体" w:hAnsi="宋体" w:cs="宋体"/>
          <w:bCs/>
          <w:color w:val="000000"/>
          <w:sz w:val="32"/>
          <w:szCs w:val="20"/>
        </w:rPr>
        <w:t>联系电话：</w:t>
      </w:r>
      <w:r>
        <w:rPr>
          <w:rFonts w:hint="eastAsia" w:ascii="宋体" w:hAnsi="宋体" w:cs="宋体"/>
          <w:bCs/>
          <w:color w:val="000000"/>
          <w:sz w:val="32"/>
          <w:szCs w:val="20"/>
          <w:lang w:eastAsia="zh-CN"/>
        </w:rPr>
        <w:t>15990672565</w:t>
      </w:r>
    </w:p>
    <w:p w14:paraId="38A9B0F1">
      <w:pPr>
        <w:spacing w:line="640" w:lineRule="exact"/>
        <w:ind w:left="210" w:firstLine="860" w:firstLineChars="269"/>
        <w:rPr>
          <w:rFonts w:ascii="宋体" w:hAnsi="宋体" w:cs="宋体"/>
          <w:bCs/>
          <w:color w:val="000000"/>
          <w:sz w:val="32"/>
          <w:szCs w:val="20"/>
        </w:rPr>
      </w:pPr>
    </w:p>
    <w:p w14:paraId="57E761F0">
      <w:pPr>
        <w:pStyle w:val="21"/>
      </w:pPr>
    </w:p>
    <w:p w14:paraId="00CD707C">
      <w:pPr>
        <w:spacing w:line="640" w:lineRule="exact"/>
        <w:ind w:left="210" w:firstLine="860" w:firstLineChars="269"/>
        <w:rPr>
          <w:rFonts w:ascii="宋体" w:hAnsi="宋体" w:cs="宋体"/>
          <w:bCs/>
          <w:color w:val="000000"/>
          <w:sz w:val="32"/>
          <w:szCs w:val="20"/>
        </w:rPr>
      </w:pPr>
      <w:r>
        <w:rPr>
          <w:rFonts w:hint="eastAsia" w:ascii="宋体" w:hAnsi="宋体" w:cs="宋体"/>
          <w:bCs/>
          <w:color w:val="000000"/>
          <w:sz w:val="32"/>
          <w:szCs w:val="20"/>
        </w:rPr>
        <w:t>招标代理：</w:t>
      </w:r>
      <w:r>
        <w:rPr>
          <w:rFonts w:hint="eastAsia" w:ascii="宋体" w:hAnsi="宋体" w:cs="宋体"/>
          <w:bCs/>
          <w:color w:val="000000"/>
          <w:sz w:val="32"/>
          <w:szCs w:val="20"/>
          <w:lang w:eastAsia="zh-CN"/>
        </w:rPr>
        <w:t>欧邦工程管理集团有限公司</w:t>
      </w:r>
      <w:r>
        <w:rPr>
          <w:rFonts w:hint="eastAsia" w:ascii="宋体" w:hAnsi="宋体" w:cs="宋体"/>
          <w:bCs/>
          <w:color w:val="000000"/>
          <w:sz w:val="32"/>
          <w:szCs w:val="20"/>
        </w:rPr>
        <w:t>（盖章）</w:t>
      </w:r>
    </w:p>
    <w:p w14:paraId="1426127F">
      <w:pPr>
        <w:spacing w:line="640" w:lineRule="exact"/>
        <w:ind w:left="210" w:firstLine="860" w:firstLineChars="269"/>
        <w:rPr>
          <w:rFonts w:hint="eastAsia" w:ascii="宋体" w:hAnsi="宋体" w:eastAsia="宋体" w:cs="宋体"/>
          <w:bCs/>
          <w:color w:val="000000"/>
          <w:sz w:val="32"/>
          <w:szCs w:val="20"/>
          <w:lang w:eastAsia="zh-CN"/>
        </w:rPr>
      </w:pPr>
      <w:r>
        <w:rPr>
          <w:rFonts w:hint="eastAsia" w:ascii="宋体" w:hAnsi="宋体" w:cs="宋体"/>
          <w:bCs/>
          <w:color w:val="000000"/>
          <w:sz w:val="32"/>
          <w:szCs w:val="20"/>
        </w:rPr>
        <w:t>联 系 人：</w:t>
      </w:r>
      <w:r>
        <w:rPr>
          <w:rFonts w:hint="eastAsia" w:ascii="宋体" w:hAnsi="宋体" w:cs="宋体"/>
          <w:bCs/>
          <w:color w:val="000000"/>
          <w:sz w:val="32"/>
          <w:szCs w:val="20"/>
          <w:lang w:eastAsia="zh-CN"/>
        </w:rPr>
        <w:t>倪勇</w:t>
      </w:r>
    </w:p>
    <w:p w14:paraId="7F35828C">
      <w:pPr>
        <w:spacing w:line="640" w:lineRule="exact"/>
        <w:ind w:left="210" w:firstLine="860" w:firstLineChars="269"/>
        <w:rPr>
          <w:rFonts w:hint="eastAsia" w:ascii="宋体" w:hAnsi="宋体" w:eastAsia="宋体" w:cs="宋体"/>
          <w:bCs/>
          <w:color w:val="000000"/>
          <w:sz w:val="32"/>
          <w:szCs w:val="20"/>
          <w:lang w:eastAsia="zh-CN"/>
        </w:rPr>
      </w:pPr>
      <w:r>
        <w:rPr>
          <w:rFonts w:hint="eastAsia" w:ascii="宋体" w:hAnsi="宋体" w:cs="宋体"/>
          <w:bCs/>
          <w:color w:val="000000"/>
          <w:sz w:val="32"/>
          <w:szCs w:val="20"/>
        </w:rPr>
        <w:t>联系电话：</w:t>
      </w:r>
      <w:r>
        <w:rPr>
          <w:rFonts w:hint="eastAsia" w:ascii="宋体" w:hAnsi="宋体" w:cs="宋体"/>
          <w:bCs/>
          <w:color w:val="000000"/>
          <w:sz w:val="32"/>
          <w:szCs w:val="20"/>
          <w:lang w:eastAsia="zh-CN"/>
        </w:rPr>
        <w:t>0576-83321522</w:t>
      </w:r>
    </w:p>
    <w:p w14:paraId="7B2A56C1">
      <w:pPr>
        <w:pStyle w:val="16"/>
      </w:pPr>
    </w:p>
    <w:p w14:paraId="32F0B7DA"/>
    <w:p w14:paraId="5DC646D0">
      <w:pPr>
        <w:pStyle w:val="11"/>
      </w:pPr>
    </w:p>
    <w:p w14:paraId="384A77CC">
      <w:pPr>
        <w:spacing w:line="640" w:lineRule="exact"/>
        <w:ind w:left="210" w:firstLine="860" w:firstLineChars="269"/>
        <w:rPr>
          <w:rFonts w:ascii="宋体" w:hAnsi="宋体" w:cs="宋体"/>
          <w:bCs/>
          <w:color w:val="000000"/>
        </w:rPr>
      </w:pPr>
      <w:r>
        <w:rPr>
          <w:rFonts w:hint="eastAsia" w:ascii="宋体" w:hAnsi="宋体" w:cs="宋体"/>
          <w:bCs/>
          <w:color w:val="000000"/>
          <w:sz w:val="32"/>
          <w:szCs w:val="20"/>
        </w:rPr>
        <w:t>行业主管部门：三门县住房和城乡建设局（盖章）</w:t>
      </w:r>
    </w:p>
    <w:p w14:paraId="0FF493C3">
      <w:pPr>
        <w:spacing w:line="640" w:lineRule="exact"/>
        <w:rPr>
          <w:rFonts w:ascii="宋体" w:hAnsi="宋体" w:cs="宋体"/>
          <w:bCs/>
          <w:color w:val="000000"/>
        </w:rPr>
      </w:pPr>
    </w:p>
    <w:p w14:paraId="272746BF">
      <w:pPr>
        <w:pStyle w:val="8"/>
        <w:spacing w:line="286" w:lineRule="auto"/>
        <w:jc w:val="center"/>
        <w:rPr>
          <w:color w:val="auto"/>
          <w:lang w:eastAsia="zh-CN"/>
        </w:rPr>
      </w:pPr>
      <w:r>
        <w:rPr>
          <w:rFonts w:hint="eastAsia" w:eastAsia="宋体"/>
          <w:sz w:val="28"/>
          <w:szCs w:val="28"/>
          <w:lang w:eastAsia="zh-CN"/>
        </w:rPr>
        <w:t>二〇二</w:t>
      </w:r>
      <w:r>
        <w:rPr>
          <w:rFonts w:hint="eastAsia" w:eastAsia="宋体"/>
          <w:sz w:val="28"/>
          <w:szCs w:val="28"/>
          <w:lang w:val="en-US" w:eastAsia="zh-CN"/>
        </w:rPr>
        <w:t>五年五</w:t>
      </w:r>
      <w:r>
        <w:rPr>
          <w:rFonts w:hint="eastAsia"/>
          <w:sz w:val="28"/>
          <w:szCs w:val="28"/>
        </w:rPr>
        <w:t>月</w:t>
      </w:r>
    </w:p>
    <w:p w14:paraId="336D1129">
      <w:pPr>
        <w:pStyle w:val="8"/>
        <w:spacing w:line="287" w:lineRule="auto"/>
        <w:rPr>
          <w:color w:val="auto"/>
          <w:lang w:eastAsia="zh-CN"/>
        </w:rPr>
      </w:pPr>
    </w:p>
    <w:p w14:paraId="1EF0BFBA">
      <w:pPr>
        <w:pStyle w:val="8"/>
        <w:spacing w:line="287" w:lineRule="auto"/>
        <w:rPr>
          <w:color w:val="auto"/>
          <w:lang w:eastAsia="zh-CN"/>
        </w:rPr>
      </w:pPr>
    </w:p>
    <w:p w14:paraId="36A06D08">
      <w:pPr>
        <w:rPr>
          <w:rFonts w:ascii="宋体" w:hAnsi="宋体" w:eastAsia="宋体" w:cs="宋体"/>
          <w:b/>
          <w:bCs/>
          <w:color w:val="auto"/>
          <w:spacing w:val="-37"/>
          <w:sz w:val="43"/>
          <w:szCs w:val="43"/>
          <w:lang w:eastAsia="zh-CN"/>
        </w:rPr>
      </w:pPr>
      <w:r>
        <w:rPr>
          <w:rFonts w:ascii="宋体" w:hAnsi="宋体" w:eastAsia="宋体" w:cs="宋体"/>
          <w:b/>
          <w:bCs/>
          <w:color w:val="auto"/>
          <w:spacing w:val="-37"/>
          <w:sz w:val="43"/>
          <w:szCs w:val="43"/>
          <w:lang w:eastAsia="zh-CN"/>
        </w:rPr>
        <w:br w:type="page"/>
      </w:r>
    </w:p>
    <w:p w14:paraId="0B4F8D83">
      <w:pPr>
        <w:spacing w:before="140" w:line="216" w:lineRule="auto"/>
        <w:ind w:left="3933"/>
        <w:outlineLvl w:val="0"/>
        <w:rPr>
          <w:rFonts w:ascii="宋体" w:hAnsi="宋体" w:eastAsia="宋体" w:cs="宋体"/>
          <w:color w:val="auto"/>
          <w:sz w:val="43"/>
          <w:szCs w:val="43"/>
          <w:lang w:eastAsia="zh-CN"/>
        </w:rPr>
      </w:pPr>
      <w:r>
        <w:rPr>
          <w:rFonts w:ascii="宋体" w:hAnsi="宋体" w:eastAsia="宋体" w:cs="宋体"/>
          <w:b/>
          <w:bCs/>
          <w:color w:val="auto"/>
          <w:spacing w:val="-37"/>
          <w:sz w:val="43"/>
          <w:szCs w:val="43"/>
          <w:lang w:eastAsia="zh-CN"/>
        </w:rPr>
        <w:t>目录</w:t>
      </w:r>
    </w:p>
    <w:p w14:paraId="038E1836">
      <w:pPr>
        <w:pStyle w:val="8"/>
        <w:spacing w:line="258" w:lineRule="auto"/>
        <w:rPr>
          <w:color w:val="auto"/>
          <w:lang w:eastAsia="zh-CN"/>
        </w:rPr>
      </w:pPr>
    </w:p>
    <w:p w14:paraId="2974BF77">
      <w:pPr>
        <w:pStyle w:val="8"/>
        <w:spacing w:line="258" w:lineRule="auto"/>
        <w:rPr>
          <w:color w:val="auto"/>
          <w:lang w:eastAsia="zh-CN"/>
        </w:rPr>
      </w:pPr>
    </w:p>
    <w:p w14:paraId="5A3E068D">
      <w:pPr>
        <w:pStyle w:val="8"/>
        <w:spacing w:line="258" w:lineRule="auto"/>
        <w:rPr>
          <w:color w:val="auto"/>
          <w:lang w:eastAsia="zh-CN"/>
        </w:rPr>
      </w:pPr>
    </w:p>
    <w:sdt>
      <w:sdtPr>
        <w:rPr>
          <w:rFonts w:ascii="宋体" w:hAnsi="宋体" w:eastAsia="宋体" w:cs="宋体"/>
          <w:color w:val="auto"/>
          <w:sz w:val="24"/>
          <w:szCs w:val="24"/>
        </w:rPr>
        <w:id w:val="174652672"/>
        <w:docPartObj>
          <w:docPartGallery w:val="Table of Contents"/>
          <w:docPartUnique/>
        </w:docPartObj>
      </w:sdtPr>
      <w:sdtEndPr>
        <w:rPr>
          <w:rFonts w:ascii="Times New Roman" w:hAnsi="Times New Roman" w:eastAsia="Times New Roman" w:cs="Times New Roman"/>
          <w:color w:val="auto"/>
          <w:sz w:val="24"/>
          <w:szCs w:val="24"/>
        </w:rPr>
      </w:sdtEndPr>
      <w:sdtContent>
        <w:p w14:paraId="35C82387">
          <w:pPr>
            <w:tabs>
              <w:tab w:val="right" w:leader="dot" w:pos="8822"/>
            </w:tabs>
            <w:spacing w:before="78" w:line="184" w:lineRule="auto"/>
            <w:rPr>
              <w:rFonts w:ascii="Times New Roman" w:hAnsi="Times New Roman" w:eastAsia="Times New Roman" w:cs="Times New Roman"/>
              <w:color w:val="auto"/>
              <w:sz w:val="24"/>
              <w:szCs w:val="24"/>
              <w:lang w:eastAsia="zh-CN"/>
            </w:rPr>
          </w:pPr>
          <w:bookmarkStart w:id="0" w:name="bookmark1"/>
          <w:bookmarkEnd w:id="0"/>
          <w:r>
            <w:rPr>
              <w:color w:val="auto"/>
            </w:rPr>
            <w:fldChar w:fldCharType="begin"/>
          </w:r>
          <w:r>
            <w:rPr>
              <w:color w:val="auto"/>
            </w:rPr>
            <w:instrText xml:space="preserve"> HYPERLINK \l "bookmark2" </w:instrText>
          </w:r>
          <w:r>
            <w:rPr>
              <w:color w:val="auto"/>
            </w:rPr>
            <w:fldChar w:fldCharType="separate"/>
          </w:r>
          <w:r>
            <w:rPr>
              <w:rFonts w:ascii="宋体" w:hAnsi="宋体" w:eastAsia="宋体" w:cs="宋体"/>
              <w:color w:val="auto"/>
              <w:spacing w:val="-3"/>
              <w:sz w:val="24"/>
              <w:szCs w:val="24"/>
              <w:lang w:eastAsia="zh-CN"/>
            </w:rPr>
            <w:t>第一章招标公告</w:t>
          </w:r>
          <w:r>
            <w:rPr>
              <w:rFonts w:ascii="宋体" w:hAnsi="宋体" w:eastAsia="宋体" w:cs="宋体"/>
              <w:color w:val="auto"/>
              <w:sz w:val="24"/>
              <w:szCs w:val="24"/>
              <w:lang w:eastAsia="zh-CN"/>
            </w:rPr>
            <w:tab/>
          </w:r>
          <w:r>
            <w:rPr>
              <w:rFonts w:ascii="Times New Roman" w:hAnsi="Times New Roman" w:eastAsia="Times New Roman" w:cs="Times New Roman"/>
              <w:i/>
              <w:iCs/>
              <w:color w:val="auto"/>
              <w:spacing w:val="-9"/>
              <w:sz w:val="24"/>
              <w:szCs w:val="24"/>
              <w:lang w:eastAsia="zh-CN"/>
            </w:rPr>
            <w:t>1</w:t>
          </w:r>
          <w:r>
            <w:rPr>
              <w:rFonts w:ascii="Times New Roman" w:hAnsi="Times New Roman" w:eastAsia="Times New Roman" w:cs="Times New Roman"/>
              <w:i/>
              <w:iCs/>
              <w:color w:val="auto"/>
              <w:spacing w:val="-7"/>
              <w:sz w:val="24"/>
              <w:szCs w:val="24"/>
              <w:lang w:eastAsia="zh-CN"/>
            </w:rPr>
            <w:t>4</w:t>
          </w:r>
          <w:r>
            <w:rPr>
              <w:rFonts w:ascii="Times New Roman" w:hAnsi="Times New Roman" w:eastAsia="Times New Roman" w:cs="Times New Roman"/>
              <w:i/>
              <w:iCs/>
              <w:color w:val="auto"/>
              <w:spacing w:val="-7"/>
              <w:sz w:val="24"/>
              <w:szCs w:val="24"/>
              <w:lang w:eastAsia="zh-CN"/>
            </w:rPr>
            <w:fldChar w:fldCharType="end"/>
          </w:r>
        </w:p>
        <w:p w14:paraId="3961BFA0">
          <w:pPr>
            <w:tabs>
              <w:tab w:val="right" w:leader="dot" w:pos="8822"/>
            </w:tabs>
            <w:spacing w:before="212" w:line="218" w:lineRule="auto"/>
            <w:rPr>
              <w:rFonts w:ascii="Times New Roman" w:hAnsi="Times New Roman" w:eastAsia="Times New Roman" w:cs="Times New Roman"/>
              <w:color w:val="auto"/>
              <w:sz w:val="24"/>
              <w:szCs w:val="24"/>
              <w:lang w:eastAsia="zh-CN"/>
            </w:rPr>
          </w:pPr>
          <w:r>
            <w:rPr>
              <w:color w:val="auto"/>
            </w:rPr>
            <w:fldChar w:fldCharType="begin"/>
          </w:r>
          <w:r>
            <w:rPr>
              <w:color w:val="auto"/>
            </w:rPr>
            <w:instrText xml:space="preserve"> HYPERLINK \l "bookmark4" </w:instrText>
          </w:r>
          <w:r>
            <w:rPr>
              <w:color w:val="auto"/>
            </w:rPr>
            <w:fldChar w:fldCharType="separate"/>
          </w:r>
          <w:r>
            <w:rPr>
              <w:rFonts w:ascii="宋体" w:hAnsi="宋体" w:eastAsia="宋体" w:cs="宋体"/>
              <w:color w:val="auto"/>
              <w:spacing w:val="-3"/>
              <w:sz w:val="24"/>
              <w:szCs w:val="24"/>
              <w:lang w:eastAsia="zh-CN"/>
            </w:rPr>
            <w:t>第二章投标人须知</w:t>
          </w:r>
          <w:r>
            <w:rPr>
              <w:rFonts w:ascii="宋体" w:hAnsi="宋体" w:eastAsia="宋体" w:cs="宋体"/>
              <w:color w:val="auto"/>
              <w:sz w:val="24"/>
              <w:szCs w:val="24"/>
              <w:lang w:eastAsia="zh-CN"/>
            </w:rPr>
            <w:tab/>
          </w:r>
          <w:r>
            <w:rPr>
              <w:rFonts w:ascii="Times New Roman" w:hAnsi="Times New Roman" w:eastAsia="Times New Roman" w:cs="Times New Roman"/>
              <w:i/>
              <w:iCs/>
              <w:color w:val="auto"/>
              <w:spacing w:val="-2"/>
              <w:sz w:val="24"/>
              <w:szCs w:val="24"/>
              <w:lang w:eastAsia="zh-CN"/>
            </w:rPr>
            <w:t>21</w:t>
          </w:r>
          <w:r>
            <w:rPr>
              <w:rFonts w:ascii="Times New Roman" w:hAnsi="Times New Roman" w:eastAsia="Times New Roman" w:cs="Times New Roman"/>
              <w:i/>
              <w:iCs/>
              <w:color w:val="auto"/>
              <w:spacing w:val="-2"/>
              <w:sz w:val="24"/>
              <w:szCs w:val="24"/>
              <w:lang w:eastAsia="zh-CN"/>
            </w:rPr>
            <w:fldChar w:fldCharType="end"/>
          </w:r>
        </w:p>
        <w:p w14:paraId="602652EC">
          <w:pPr>
            <w:tabs>
              <w:tab w:val="right" w:leader="dot" w:pos="8825"/>
            </w:tabs>
            <w:spacing w:before="167" w:line="218" w:lineRule="auto"/>
            <w:rPr>
              <w:rFonts w:ascii="Times New Roman" w:hAnsi="Times New Roman" w:eastAsia="Times New Roman" w:cs="Times New Roman"/>
              <w:color w:val="auto"/>
              <w:sz w:val="24"/>
              <w:szCs w:val="24"/>
              <w:lang w:eastAsia="zh-CN"/>
            </w:rPr>
          </w:pPr>
          <w:bookmarkStart w:id="1" w:name="bookmark5"/>
          <w:bookmarkEnd w:id="1"/>
          <w:r>
            <w:rPr>
              <w:color w:val="auto"/>
            </w:rPr>
            <w:fldChar w:fldCharType="begin"/>
          </w:r>
          <w:r>
            <w:rPr>
              <w:color w:val="auto"/>
              <w:lang w:eastAsia="zh-CN"/>
            </w:rPr>
            <w:instrText xml:space="preserve">HYPERLINK \l "bookmark5"</w:instrText>
          </w:r>
          <w:r>
            <w:rPr>
              <w:color w:val="auto"/>
            </w:rPr>
            <w:fldChar w:fldCharType="separate"/>
          </w:r>
          <w:r>
            <w:rPr>
              <w:rFonts w:ascii="宋体" w:hAnsi="宋体" w:eastAsia="宋体" w:cs="宋体"/>
              <w:color w:val="auto"/>
              <w:spacing w:val="-2"/>
              <w:sz w:val="24"/>
              <w:szCs w:val="24"/>
              <w:lang w:eastAsia="zh-CN"/>
            </w:rPr>
            <w:t>第三章评标定标办法</w:t>
          </w:r>
          <w:r>
            <w:rPr>
              <w:rFonts w:ascii="宋体" w:hAnsi="宋体" w:eastAsia="宋体" w:cs="宋体"/>
              <w:color w:val="auto"/>
              <w:sz w:val="24"/>
              <w:szCs w:val="24"/>
              <w:lang w:eastAsia="zh-CN"/>
            </w:rPr>
            <w:tab/>
          </w:r>
          <w:r>
            <w:rPr>
              <w:rFonts w:ascii="Times New Roman" w:hAnsi="Times New Roman" w:eastAsia="Times New Roman" w:cs="Times New Roman"/>
              <w:i/>
              <w:iCs/>
              <w:color w:val="auto"/>
              <w:spacing w:val="-5"/>
              <w:sz w:val="24"/>
              <w:szCs w:val="24"/>
              <w:lang w:eastAsia="zh-CN"/>
            </w:rPr>
            <w:t>5</w:t>
          </w:r>
          <w:r>
            <w:rPr>
              <w:rFonts w:ascii="Times New Roman" w:hAnsi="Times New Roman" w:eastAsia="Times New Roman" w:cs="Times New Roman"/>
              <w:color w:val="auto"/>
              <w:spacing w:val="-5"/>
              <w:sz w:val="24"/>
              <w:szCs w:val="24"/>
              <w:lang w:eastAsia="zh-CN"/>
            </w:rPr>
            <w:t>3</w:t>
          </w:r>
          <w:r>
            <w:rPr>
              <w:color w:val="auto"/>
            </w:rPr>
            <w:fldChar w:fldCharType="end"/>
          </w:r>
        </w:p>
        <w:p w14:paraId="5D15E09D">
          <w:pPr>
            <w:tabs>
              <w:tab w:val="right" w:leader="dot" w:pos="8825"/>
            </w:tabs>
            <w:spacing w:before="167" w:line="184" w:lineRule="auto"/>
            <w:rPr>
              <w:rFonts w:ascii="Times New Roman" w:hAnsi="Times New Roman" w:eastAsia="Times New Roman" w:cs="Times New Roman"/>
              <w:color w:val="auto"/>
              <w:sz w:val="24"/>
              <w:szCs w:val="24"/>
              <w:lang w:eastAsia="zh-CN"/>
            </w:rPr>
          </w:pPr>
          <w:bookmarkStart w:id="2" w:name="bookmark6"/>
          <w:bookmarkEnd w:id="2"/>
          <w:r>
            <w:rPr>
              <w:color w:val="auto"/>
            </w:rPr>
            <w:fldChar w:fldCharType="begin"/>
          </w:r>
          <w:r>
            <w:rPr>
              <w:color w:val="auto"/>
              <w:lang w:eastAsia="zh-CN"/>
            </w:rPr>
            <w:instrText xml:space="preserve">HYPERLINK \l "bookmark7"</w:instrText>
          </w:r>
          <w:r>
            <w:rPr>
              <w:color w:val="auto"/>
            </w:rPr>
            <w:fldChar w:fldCharType="separate"/>
          </w:r>
          <w:r>
            <w:rPr>
              <w:rFonts w:ascii="宋体" w:hAnsi="宋体" w:eastAsia="宋体" w:cs="宋体"/>
              <w:color w:val="auto"/>
              <w:spacing w:val="-2"/>
              <w:sz w:val="24"/>
              <w:szCs w:val="24"/>
              <w:lang w:eastAsia="zh-CN"/>
            </w:rPr>
            <w:t>第四章合同条款及格式</w:t>
          </w:r>
          <w:r>
            <w:rPr>
              <w:rFonts w:ascii="宋体" w:hAnsi="宋体" w:eastAsia="宋体" w:cs="宋体"/>
              <w:color w:val="auto"/>
              <w:sz w:val="24"/>
              <w:szCs w:val="24"/>
              <w:lang w:eastAsia="zh-CN"/>
            </w:rPr>
            <w:tab/>
          </w:r>
          <w:r>
            <w:rPr>
              <w:rFonts w:ascii="Times New Roman" w:hAnsi="Times New Roman" w:eastAsia="Times New Roman" w:cs="Times New Roman"/>
              <w:i/>
              <w:iCs/>
              <w:color w:val="auto"/>
              <w:spacing w:val="-2"/>
              <w:w w:val="90"/>
              <w:sz w:val="24"/>
              <w:szCs w:val="24"/>
              <w:lang w:eastAsia="zh-CN"/>
            </w:rPr>
            <w:t>7</w:t>
          </w:r>
          <w:r>
            <w:rPr>
              <w:color w:val="auto"/>
            </w:rPr>
            <w:fldChar w:fldCharType="end"/>
          </w:r>
          <w:r>
            <w:rPr>
              <w:rFonts w:ascii="Times New Roman" w:hAnsi="Times New Roman" w:eastAsia="Times New Roman" w:cs="Times New Roman"/>
              <w:color w:val="auto"/>
              <w:spacing w:val="-2"/>
              <w:w w:val="90"/>
              <w:sz w:val="24"/>
              <w:szCs w:val="24"/>
              <w:lang w:eastAsia="zh-CN"/>
            </w:rPr>
            <w:t>0</w:t>
          </w:r>
        </w:p>
        <w:p w14:paraId="01637A9A">
          <w:pPr>
            <w:tabs>
              <w:tab w:val="right" w:leader="dot" w:pos="8822"/>
            </w:tabs>
            <w:spacing w:before="212" w:line="184" w:lineRule="auto"/>
            <w:rPr>
              <w:rFonts w:ascii="Times New Roman" w:hAnsi="Times New Roman" w:eastAsia="Times New Roman" w:cs="Times New Roman"/>
              <w:color w:val="auto"/>
              <w:sz w:val="24"/>
              <w:szCs w:val="24"/>
              <w:lang w:eastAsia="zh-CN"/>
            </w:rPr>
          </w:pPr>
          <w:bookmarkStart w:id="3" w:name="bookmark8"/>
          <w:bookmarkEnd w:id="3"/>
          <w:r>
            <w:rPr>
              <w:color w:val="auto"/>
            </w:rPr>
            <w:fldChar w:fldCharType="begin"/>
          </w:r>
          <w:r>
            <w:rPr>
              <w:color w:val="auto"/>
              <w:lang w:eastAsia="zh-CN"/>
            </w:rPr>
            <w:instrText xml:space="preserve">HYPERLINK \l "bookmark9"</w:instrText>
          </w:r>
          <w:r>
            <w:rPr>
              <w:color w:val="auto"/>
            </w:rPr>
            <w:fldChar w:fldCharType="separate"/>
          </w:r>
          <w:r>
            <w:rPr>
              <w:rFonts w:ascii="宋体" w:hAnsi="宋体" w:eastAsia="宋体" w:cs="宋体"/>
              <w:color w:val="auto"/>
              <w:spacing w:val="-1"/>
              <w:sz w:val="24"/>
              <w:szCs w:val="24"/>
              <w:lang w:eastAsia="zh-CN"/>
            </w:rPr>
            <w:t>第五章 工程量清单编制</w:t>
          </w:r>
          <w:r>
            <w:rPr>
              <w:rFonts w:ascii="宋体" w:hAnsi="宋体" w:eastAsia="宋体" w:cs="宋体"/>
              <w:color w:val="auto"/>
              <w:sz w:val="24"/>
              <w:szCs w:val="24"/>
              <w:lang w:eastAsia="zh-CN"/>
            </w:rPr>
            <w:tab/>
          </w:r>
          <w:r>
            <w:rPr>
              <w:rFonts w:ascii="Times New Roman" w:hAnsi="Times New Roman" w:eastAsia="Times New Roman" w:cs="Times New Roman"/>
              <w:i/>
              <w:iCs/>
              <w:color w:val="auto"/>
              <w:spacing w:val="-5"/>
              <w:sz w:val="24"/>
              <w:szCs w:val="24"/>
              <w:lang w:eastAsia="zh-CN"/>
            </w:rPr>
            <w:t>81</w:t>
          </w:r>
          <w:r>
            <w:rPr>
              <w:color w:val="auto"/>
            </w:rPr>
            <w:fldChar w:fldCharType="end"/>
          </w:r>
        </w:p>
        <w:p w14:paraId="501B6873">
          <w:pPr>
            <w:tabs>
              <w:tab w:val="right" w:leader="dot" w:pos="8822"/>
            </w:tabs>
            <w:spacing w:before="212" w:line="218" w:lineRule="auto"/>
            <w:rPr>
              <w:rFonts w:ascii="Times New Roman" w:hAnsi="Times New Roman" w:eastAsia="Times New Roman" w:cs="Times New Roman"/>
              <w:color w:val="auto"/>
              <w:sz w:val="24"/>
              <w:szCs w:val="24"/>
              <w:lang w:eastAsia="zh-CN"/>
            </w:rPr>
          </w:pPr>
          <w:bookmarkStart w:id="4" w:name="bookmark10"/>
          <w:bookmarkEnd w:id="4"/>
          <w:r>
            <w:rPr>
              <w:color w:val="auto"/>
            </w:rPr>
            <w:fldChar w:fldCharType="begin"/>
          </w:r>
          <w:r>
            <w:rPr>
              <w:color w:val="auto"/>
              <w:lang w:eastAsia="zh-CN"/>
            </w:rPr>
            <w:instrText xml:space="preserve">HYPERLINK \l "bookmark11"</w:instrText>
          </w:r>
          <w:r>
            <w:rPr>
              <w:color w:val="auto"/>
            </w:rPr>
            <w:fldChar w:fldCharType="separate"/>
          </w:r>
          <w:r>
            <w:rPr>
              <w:rFonts w:ascii="宋体" w:hAnsi="宋体" w:eastAsia="宋体" w:cs="宋体"/>
              <w:color w:val="auto"/>
              <w:spacing w:val="-9"/>
              <w:sz w:val="24"/>
              <w:szCs w:val="24"/>
              <w:lang w:eastAsia="zh-CN"/>
            </w:rPr>
            <w:t>第六章图纸</w:t>
          </w:r>
          <w:r>
            <w:rPr>
              <w:rFonts w:ascii="宋体" w:hAnsi="宋体" w:eastAsia="宋体" w:cs="宋体"/>
              <w:color w:val="auto"/>
              <w:sz w:val="24"/>
              <w:szCs w:val="24"/>
              <w:lang w:eastAsia="zh-CN"/>
            </w:rPr>
            <w:tab/>
          </w:r>
          <w:r>
            <w:rPr>
              <w:rFonts w:ascii="Times New Roman" w:hAnsi="Times New Roman" w:eastAsia="Times New Roman" w:cs="Times New Roman"/>
              <w:color w:val="auto"/>
              <w:spacing w:val="-8"/>
              <w:sz w:val="24"/>
              <w:szCs w:val="24"/>
              <w:lang w:eastAsia="zh-CN"/>
            </w:rPr>
            <w:t>82</w:t>
          </w:r>
          <w:r>
            <w:rPr>
              <w:color w:val="auto"/>
            </w:rPr>
            <w:fldChar w:fldCharType="end"/>
          </w:r>
        </w:p>
        <w:p w14:paraId="76F90EFB">
          <w:pPr>
            <w:tabs>
              <w:tab w:val="right" w:leader="dot" w:pos="8825"/>
            </w:tabs>
            <w:spacing w:before="168" w:line="218" w:lineRule="auto"/>
            <w:rPr>
              <w:rFonts w:ascii="Times New Roman" w:hAnsi="Times New Roman" w:eastAsia="Times New Roman" w:cs="Times New Roman"/>
              <w:color w:val="auto"/>
              <w:sz w:val="24"/>
              <w:szCs w:val="24"/>
              <w:lang w:eastAsia="zh-CN"/>
            </w:rPr>
          </w:pPr>
          <w:bookmarkStart w:id="5" w:name="bookmark12"/>
          <w:bookmarkEnd w:id="5"/>
          <w:r>
            <w:rPr>
              <w:color w:val="auto"/>
            </w:rPr>
            <w:fldChar w:fldCharType="begin"/>
          </w:r>
          <w:r>
            <w:rPr>
              <w:color w:val="auto"/>
              <w:lang w:eastAsia="zh-CN"/>
            </w:rPr>
            <w:instrText xml:space="preserve">HYPERLINK \l "bookmark12"</w:instrText>
          </w:r>
          <w:r>
            <w:rPr>
              <w:color w:val="auto"/>
            </w:rPr>
            <w:fldChar w:fldCharType="separate"/>
          </w:r>
          <w:r>
            <w:rPr>
              <w:rFonts w:ascii="宋体" w:hAnsi="宋体" w:eastAsia="宋体" w:cs="宋体"/>
              <w:color w:val="auto"/>
              <w:spacing w:val="-1"/>
              <w:sz w:val="24"/>
              <w:szCs w:val="24"/>
              <w:lang w:eastAsia="zh-CN"/>
            </w:rPr>
            <w:t>第七章 技术标准和要求</w:t>
          </w:r>
          <w:r>
            <w:rPr>
              <w:rFonts w:ascii="宋体" w:hAnsi="宋体" w:eastAsia="宋体" w:cs="宋体"/>
              <w:color w:val="auto"/>
              <w:sz w:val="24"/>
              <w:szCs w:val="24"/>
              <w:lang w:eastAsia="zh-CN"/>
            </w:rPr>
            <w:tab/>
          </w:r>
          <w:r>
            <w:rPr>
              <w:rFonts w:ascii="Times New Roman" w:hAnsi="Times New Roman" w:eastAsia="Times New Roman" w:cs="Times New Roman"/>
              <w:i/>
              <w:iCs/>
              <w:color w:val="auto"/>
              <w:spacing w:val="-7"/>
              <w:w w:val="94"/>
              <w:sz w:val="24"/>
              <w:szCs w:val="24"/>
              <w:lang w:eastAsia="zh-CN"/>
            </w:rPr>
            <w:t>7</w:t>
          </w:r>
          <w:r>
            <w:rPr>
              <w:rFonts w:ascii="Times New Roman" w:hAnsi="Times New Roman" w:eastAsia="Times New Roman" w:cs="Times New Roman"/>
              <w:color w:val="auto"/>
              <w:spacing w:val="-7"/>
              <w:w w:val="94"/>
              <w:sz w:val="24"/>
              <w:szCs w:val="24"/>
              <w:lang w:eastAsia="zh-CN"/>
            </w:rPr>
            <w:t>8</w:t>
          </w:r>
          <w:r>
            <w:rPr>
              <w:color w:val="auto"/>
            </w:rPr>
            <w:fldChar w:fldCharType="end"/>
          </w:r>
        </w:p>
        <w:p w14:paraId="499D1CAC">
          <w:pPr>
            <w:tabs>
              <w:tab w:val="right" w:leader="dot" w:pos="8827"/>
            </w:tabs>
            <w:spacing w:before="168" w:line="218" w:lineRule="auto"/>
            <w:rPr>
              <w:rFonts w:ascii="Times New Roman" w:hAnsi="Times New Roman" w:eastAsia="Times New Roman" w:cs="Times New Roman"/>
              <w:color w:val="auto"/>
              <w:sz w:val="24"/>
              <w:szCs w:val="24"/>
              <w:lang w:eastAsia="zh-CN"/>
            </w:rPr>
          </w:pPr>
          <w:bookmarkStart w:id="6" w:name="bookmark13"/>
          <w:bookmarkEnd w:id="6"/>
          <w:r>
            <w:rPr>
              <w:color w:val="auto"/>
            </w:rPr>
            <w:fldChar w:fldCharType="begin"/>
          </w:r>
          <w:r>
            <w:rPr>
              <w:color w:val="auto"/>
              <w:lang w:eastAsia="zh-CN"/>
            </w:rPr>
            <w:instrText xml:space="preserve">HYPERLINK \l "bookmark14"</w:instrText>
          </w:r>
          <w:r>
            <w:rPr>
              <w:color w:val="auto"/>
            </w:rPr>
            <w:fldChar w:fldCharType="separate"/>
          </w:r>
          <w:r>
            <w:rPr>
              <w:rFonts w:ascii="宋体" w:hAnsi="宋体" w:eastAsia="宋体" w:cs="宋体"/>
              <w:color w:val="auto"/>
              <w:spacing w:val="-1"/>
              <w:sz w:val="24"/>
              <w:szCs w:val="24"/>
              <w:lang w:eastAsia="zh-CN"/>
            </w:rPr>
            <w:t>第八章 投标文件格式</w:t>
          </w:r>
          <w:r>
            <w:rPr>
              <w:rFonts w:ascii="宋体" w:hAnsi="宋体" w:eastAsia="宋体" w:cs="宋体"/>
              <w:color w:val="auto"/>
              <w:sz w:val="24"/>
              <w:szCs w:val="24"/>
              <w:lang w:eastAsia="zh-CN"/>
            </w:rPr>
            <w:tab/>
          </w:r>
          <w:r>
            <w:rPr>
              <w:rFonts w:ascii="Times New Roman" w:hAnsi="Times New Roman" w:eastAsia="Times New Roman" w:cs="Times New Roman"/>
              <w:i/>
              <w:iCs/>
              <w:color w:val="auto"/>
              <w:spacing w:val="-13"/>
              <w:sz w:val="24"/>
              <w:szCs w:val="24"/>
              <w:lang w:eastAsia="zh-CN"/>
            </w:rPr>
            <w:t>8</w:t>
          </w:r>
          <w:r>
            <w:rPr>
              <w:rFonts w:ascii="Times New Roman" w:hAnsi="Times New Roman" w:eastAsia="Times New Roman" w:cs="Times New Roman"/>
              <w:i/>
              <w:iCs/>
              <w:color w:val="auto"/>
              <w:spacing w:val="5"/>
              <w:sz w:val="24"/>
              <w:szCs w:val="24"/>
              <w:lang w:eastAsia="zh-CN"/>
            </w:rPr>
            <w:t>7</w:t>
          </w:r>
          <w:r>
            <w:rPr>
              <w:color w:val="auto"/>
            </w:rPr>
            <w:fldChar w:fldCharType="end"/>
          </w:r>
        </w:p>
      </w:sdtContent>
    </w:sdt>
    <w:p w14:paraId="1058090B">
      <w:pPr>
        <w:spacing w:line="218" w:lineRule="auto"/>
        <w:rPr>
          <w:rFonts w:ascii="Times New Roman" w:hAnsi="Times New Roman" w:eastAsia="Times New Roman" w:cs="Times New Roman"/>
          <w:color w:val="auto"/>
          <w:sz w:val="24"/>
          <w:szCs w:val="24"/>
          <w:lang w:eastAsia="zh-CN"/>
        </w:rPr>
        <w:sectPr>
          <w:footerReference r:id="rId4" w:type="default"/>
          <w:pgSz w:w="11907" w:h="16840"/>
          <w:pgMar w:top="1431" w:right="1366" w:bottom="1288" w:left="1372" w:header="0" w:footer="1102" w:gutter="0"/>
          <w:pgNumType w:fmt="decimal"/>
          <w:cols w:space="720" w:num="1"/>
          <w:docGrid w:linePitch="0" w:charSpace="0"/>
        </w:sectPr>
      </w:pPr>
    </w:p>
    <w:p w14:paraId="4B96D384">
      <w:pPr>
        <w:widowControl/>
        <w:spacing w:line="440" w:lineRule="exact"/>
        <w:jc w:val="center"/>
        <w:rPr>
          <w:color w:val="auto"/>
          <w:sz w:val="28"/>
          <w:szCs w:val="28"/>
        </w:rPr>
      </w:pPr>
      <w:r>
        <w:rPr>
          <w:rFonts w:hint="eastAsia"/>
          <w:color w:val="auto"/>
          <w:sz w:val="28"/>
          <w:szCs w:val="28"/>
        </w:rPr>
        <w:t>三门县公共资源交易不见面开标大厅试运行投标人须知</w:t>
      </w:r>
    </w:p>
    <w:p w14:paraId="364AC7F3">
      <w:pPr>
        <w:numPr>
          <w:ilvl w:val="0"/>
          <w:numId w:val="2"/>
        </w:numPr>
        <w:spacing w:line="360" w:lineRule="auto"/>
        <w:ind w:left="0" w:leftChars="0" w:firstLine="420" w:firstLineChars="200"/>
        <w:rPr>
          <w:rFonts w:hint="eastAsia" w:ascii="宋体" w:hAnsi="宋体" w:eastAsia="宋体" w:cs="宋体"/>
          <w:color w:val="auto"/>
        </w:rPr>
      </w:pPr>
      <w:r>
        <w:rPr>
          <w:rFonts w:hint="eastAsia" w:ascii="宋体" w:hAnsi="宋体" w:eastAsia="宋体" w:cs="宋体"/>
          <w:color w:val="auto"/>
        </w:rPr>
        <w:t>三门县公共资源交易不见面开标大厅（以下简称：不见面开标系统）登录方式：插入CA锁并登录交易系统—业务办理—开评标—进入不见面开标系统。</w:t>
      </w:r>
    </w:p>
    <w:p w14:paraId="53A8FE1D">
      <w:pPr>
        <w:numPr>
          <w:ilvl w:val="0"/>
          <w:numId w:val="2"/>
        </w:numPr>
        <w:spacing w:line="360" w:lineRule="auto"/>
        <w:ind w:left="0" w:leftChars="0" w:firstLine="420" w:firstLineChars="200"/>
        <w:rPr>
          <w:rFonts w:hint="eastAsia" w:ascii="宋体" w:hAnsi="宋体" w:eastAsia="宋体" w:cs="宋体"/>
          <w:color w:val="auto"/>
        </w:rPr>
      </w:pPr>
      <w:r>
        <w:rPr>
          <w:rFonts w:hint="eastAsia" w:ascii="宋体" w:hAnsi="宋体" w:eastAsia="宋体" w:cs="宋体"/>
          <w:color w:val="auto"/>
        </w:rPr>
        <w:t>不见面开标系统对投标人终端要求：详见《三门县不见面开标大厅投标人操作手册》。</w:t>
      </w:r>
    </w:p>
    <w:p w14:paraId="6EBB57C7">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特别提示：IE浏览器需安装插件，请按提示自行安装相关插件并按要求进行相关插件的设置。</w:t>
      </w:r>
    </w:p>
    <w:p w14:paraId="119098F5">
      <w:pPr>
        <w:numPr>
          <w:ilvl w:val="0"/>
          <w:numId w:val="2"/>
        </w:numPr>
        <w:spacing w:line="360" w:lineRule="auto"/>
        <w:ind w:left="0" w:leftChars="0" w:firstLine="420" w:firstLineChars="200"/>
        <w:rPr>
          <w:rFonts w:hint="eastAsia" w:ascii="宋体" w:hAnsi="宋体" w:eastAsia="宋体" w:cs="宋体"/>
          <w:color w:val="auto"/>
        </w:rPr>
      </w:pPr>
      <w:r>
        <w:rPr>
          <w:rFonts w:hint="eastAsia" w:ascii="宋体" w:hAnsi="宋体" w:eastAsia="宋体" w:cs="宋体"/>
          <w:color w:val="auto"/>
        </w:rPr>
        <w:t>不见面开标系统需在“三门县工程建设电子交易平台”注册，未注册的请参照《三门县公共资源电子交易平台企业网上注册登记操作示意卡》自行网上注册并核验通过，见三门县公共资源交易网“下载中心”。</w:t>
      </w:r>
    </w:p>
    <w:p w14:paraId="2BE00B1B">
      <w:pPr>
        <w:numPr>
          <w:ilvl w:val="0"/>
          <w:numId w:val="2"/>
        </w:numPr>
        <w:spacing w:line="360" w:lineRule="auto"/>
        <w:ind w:left="0" w:leftChars="0" w:firstLine="420" w:firstLineChars="200"/>
        <w:rPr>
          <w:rFonts w:hint="eastAsia" w:ascii="宋体" w:hAnsi="宋体" w:eastAsia="宋体" w:cs="宋体"/>
          <w:color w:val="auto"/>
        </w:rPr>
      </w:pPr>
      <w:r>
        <w:rPr>
          <w:rFonts w:hint="eastAsia" w:ascii="宋体" w:hAnsi="宋体" w:eastAsia="宋体" w:cs="宋体"/>
          <w:color w:val="auto"/>
        </w:rPr>
        <w:t>不见面开标系统需使用数字证书（CA）操作，未取得数字证书（CA）的，请前往“三门县公共资源交易专用数字证书用户自助申报系统”自助办理（网址：http://www.tseal.cn/tcloud/smxztb。</w:t>
      </w:r>
    </w:p>
    <w:p w14:paraId="0050A24F">
      <w:pPr>
        <w:numPr>
          <w:ilvl w:val="0"/>
          <w:numId w:val="2"/>
        </w:numPr>
        <w:spacing w:line="360" w:lineRule="auto"/>
        <w:ind w:left="0" w:leftChars="0" w:firstLine="412" w:firstLineChars="200"/>
        <w:rPr>
          <w:rFonts w:hint="eastAsia" w:ascii="宋体" w:hAnsi="宋体" w:eastAsia="宋体" w:cs="宋体"/>
          <w:color w:val="auto"/>
        </w:rPr>
      </w:pPr>
      <w:r>
        <w:rPr>
          <w:rFonts w:hint="eastAsia" w:ascii="宋体" w:hAnsi="宋体" w:eastAsia="宋体" w:cs="宋体"/>
          <w:color w:val="auto"/>
          <w:spacing w:val="-2"/>
        </w:rPr>
        <w:t>不见面开标项目投标文件均用专用招投标工具软件编制，软件下载地址见网站下载中心，</w:t>
      </w:r>
      <w:r>
        <w:rPr>
          <w:rFonts w:hint="eastAsia" w:ascii="宋体" w:hAnsi="宋体" w:eastAsia="宋体" w:cs="宋体"/>
          <w:color w:val="auto"/>
        </w:rPr>
        <w:t>投标工具锁申请地址：</w:t>
      </w:r>
      <w:r>
        <w:rPr>
          <w:rFonts w:hint="eastAsia" w:ascii="宋体" w:hAnsi="宋体" w:eastAsia="宋体" w:cs="宋体"/>
          <w:color w:val="auto"/>
        </w:rPr>
        <w:fldChar w:fldCharType="begin"/>
      </w:r>
      <w:r>
        <w:rPr>
          <w:rFonts w:hint="eastAsia" w:ascii="宋体" w:hAnsi="宋体" w:eastAsia="宋体" w:cs="宋体"/>
          <w:color w:val="auto"/>
        </w:rPr>
        <w:instrText xml:space="preserve"> HYPERLINK "http://commkey.pminfo.cn/RegisterRockey/Login/Login.aspx" </w:instrText>
      </w:r>
      <w:r>
        <w:rPr>
          <w:rFonts w:hint="eastAsia" w:ascii="宋体" w:hAnsi="宋体" w:eastAsia="宋体" w:cs="宋体"/>
          <w:color w:val="auto"/>
        </w:rPr>
        <w:fldChar w:fldCharType="separate"/>
      </w:r>
      <w:r>
        <w:rPr>
          <w:rStyle w:val="20"/>
          <w:rFonts w:hint="eastAsia" w:ascii="宋体" w:hAnsi="宋体" w:eastAsia="宋体" w:cs="宋体"/>
          <w:color w:val="auto"/>
        </w:rPr>
        <w:t>http://commkey.pminfo.cn/R</w:t>
      </w:r>
      <w:bookmarkStart w:id="7" w:name="_Hlt44403250"/>
      <w:bookmarkStart w:id="8" w:name="_Hlt44403249"/>
      <w:r>
        <w:rPr>
          <w:rStyle w:val="20"/>
          <w:rFonts w:hint="eastAsia" w:ascii="宋体" w:hAnsi="宋体" w:eastAsia="宋体" w:cs="宋体"/>
          <w:color w:val="auto"/>
        </w:rPr>
        <w:t>e</w:t>
      </w:r>
      <w:bookmarkEnd w:id="7"/>
      <w:bookmarkEnd w:id="8"/>
      <w:r>
        <w:rPr>
          <w:rStyle w:val="20"/>
          <w:rFonts w:hint="eastAsia" w:ascii="宋体" w:hAnsi="宋体" w:eastAsia="宋体" w:cs="宋体"/>
          <w:color w:val="auto"/>
        </w:rPr>
        <w:t>gisterRockey/Login/Login.aspx</w:t>
      </w:r>
      <w:r>
        <w:rPr>
          <w:rStyle w:val="20"/>
          <w:rFonts w:hint="eastAsia" w:ascii="宋体" w:hAnsi="宋体" w:eastAsia="宋体" w:cs="宋体"/>
          <w:color w:val="auto"/>
        </w:rPr>
        <w:fldChar w:fldCharType="end"/>
      </w:r>
      <w:r>
        <w:rPr>
          <w:rFonts w:hint="eastAsia" w:ascii="宋体" w:hAnsi="宋体" w:eastAsia="宋体" w:cs="宋体"/>
          <w:color w:val="auto"/>
          <w:spacing w:val="-2"/>
        </w:rPr>
        <w:t>。</w:t>
      </w:r>
    </w:p>
    <w:p w14:paraId="0F1E6136">
      <w:pPr>
        <w:numPr>
          <w:ilvl w:val="0"/>
          <w:numId w:val="2"/>
        </w:numPr>
        <w:spacing w:line="360" w:lineRule="auto"/>
        <w:ind w:left="0" w:leftChars="0" w:firstLine="420" w:firstLineChars="200"/>
        <w:rPr>
          <w:rFonts w:hint="eastAsia" w:ascii="宋体" w:hAnsi="宋体" w:eastAsia="宋体" w:cs="宋体"/>
          <w:color w:val="auto"/>
        </w:rPr>
      </w:pPr>
      <w:r>
        <w:rPr>
          <w:rFonts w:hint="eastAsia" w:ascii="宋体" w:hAnsi="宋体" w:eastAsia="宋体" w:cs="宋体"/>
          <w:color w:val="auto"/>
        </w:rPr>
        <w:t>投开标当日，投标人不必抵达开标现场，仅需在任意地点通过三门县公共资源交易不见面开标大厅参加开标会议，并根据需要使用开标系统与现场招标人进行互动交流、澄清、质疑等活动。未在投标文件递交截止时间之前进行在线签到或未能在开标会议区内全程参与交互的，视为放弃交互和放弃对开评标全过程提疑的权利，投标人将无法进行解密、唱标、评审结果查看等操作，并承担由此导致的一切后果。</w:t>
      </w:r>
    </w:p>
    <w:p w14:paraId="01492C46">
      <w:pPr>
        <w:numPr>
          <w:ilvl w:val="0"/>
          <w:numId w:val="2"/>
        </w:numPr>
        <w:spacing w:line="360" w:lineRule="auto"/>
        <w:ind w:left="0" w:leftChars="0" w:firstLine="420" w:firstLineChars="200"/>
        <w:rPr>
          <w:rFonts w:hint="eastAsia" w:ascii="宋体" w:hAnsi="宋体" w:eastAsia="宋体" w:cs="宋体"/>
          <w:color w:val="auto"/>
        </w:rPr>
      </w:pPr>
      <w:r>
        <w:rPr>
          <w:rFonts w:hint="eastAsia" w:ascii="宋体" w:hAnsi="宋体" w:eastAsia="宋体" w:cs="宋体"/>
          <w:color w:val="auto"/>
        </w:rPr>
        <w:t>投标文件递交截止时间后，主持人将在系统内发出投标文件解密的指令，投标人在各自地点按规定时间自行实施远程解密（投标人远程解密方法详见操作手册），投标人解密需在招标代理设置的规定时间之内完成。因投标人网络与电源不稳定、未按操作手册要求配置软硬件、解密锁发生故障或用错、故意不在要求时限内完成解密等自身原因，导致投标文件在规定时间内未能解密、解密失败或解密超时，视为投标人放弃投标；因招标人原因或网上招投标平台发生故障等，导致无法按时完成投标文件解密或开、评标工作无法进行的，可根据实际情况相应延迟解密时间或调整开、评标时间。</w:t>
      </w:r>
    </w:p>
    <w:p w14:paraId="59B3959C">
      <w:pPr>
        <w:numPr>
          <w:ilvl w:val="0"/>
          <w:numId w:val="2"/>
        </w:numPr>
        <w:spacing w:line="360" w:lineRule="auto"/>
        <w:ind w:left="0" w:leftChars="0" w:firstLine="420" w:firstLineChars="200"/>
        <w:rPr>
          <w:rFonts w:hint="eastAsia" w:ascii="宋体" w:hAnsi="宋体" w:eastAsia="宋体" w:cs="宋体"/>
          <w:color w:val="auto"/>
        </w:rPr>
      </w:pPr>
      <w:r>
        <w:rPr>
          <w:rFonts w:hint="eastAsia" w:ascii="宋体" w:hAnsi="宋体" w:eastAsia="宋体" w:cs="宋体"/>
          <w:color w:val="auto"/>
        </w:rPr>
        <w:t>开评标全过程中，各投标人参与远程交互的授权委托人或法人代表应始终为同一个人，中途不得更换，在解密、唱标、提疑、传送文件等特殊情况下需要交互时，投标人一端参与交互的人员将均被视为是投标人的授权委托人或法人代表，投标人不得以不承认交互人员的资格或身份等为借口抵赖推脱，投标人自行承担随意更换人员所导致的一切后果。</w:t>
      </w:r>
    </w:p>
    <w:p w14:paraId="684C4318">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重要事项说明：</w:t>
      </w:r>
    </w:p>
    <w:p w14:paraId="485E1FF0">
      <w:pPr>
        <w:keepNext w:val="0"/>
        <w:keepLines w:val="0"/>
        <w:pageBreakBefore w:val="0"/>
        <w:widowControl w:val="0"/>
        <w:numPr>
          <w:ilvl w:val="0"/>
          <w:numId w:val="3"/>
        </w:numPr>
        <w:kinsoku/>
        <w:wordWrap/>
        <w:overflowPunct/>
        <w:topLinePunct w:val="0"/>
        <w:autoSpaceDE w:val="0"/>
        <w:autoSpaceDN w:val="0"/>
        <w:bidi w:val="0"/>
        <w:adjustRightInd w:val="0"/>
        <w:snapToGrid/>
        <w:spacing w:line="360" w:lineRule="auto"/>
        <w:ind w:left="0" w:leftChars="0" w:firstLine="420" w:firstLineChars="200"/>
        <w:rPr>
          <w:rFonts w:hint="eastAsia" w:ascii="宋体" w:hAnsi="宋体" w:eastAsia="宋体" w:cs="宋体"/>
          <w:color w:val="auto"/>
        </w:rPr>
      </w:pPr>
      <w:r>
        <w:rPr>
          <w:rFonts w:hint="eastAsia" w:ascii="宋体" w:hAnsi="宋体" w:eastAsia="宋体" w:cs="宋体"/>
          <w:color w:val="auto"/>
        </w:rPr>
        <w:t>开标项目的时间均以国家授时中心发布的时间为准。</w:t>
      </w:r>
    </w:p>
    <w:p w14:paraId="2777BA76">
      <w:pPr>
        <w:keepNext w:val="0"/>
        <w:keepLines w:val="0"/>
        <w:pageBreakBefore w:val="0"/>
        <w:widowControl w:val="0"/>
        <w:numPr>
          <w:ilvl w:val="0"/>
          <w:numId w:val="3"/>
        </w:numPr>
        <w:kinsoku/>
        <w:wordWrap/>
        <w:overflowPunct/>
        <w:topLinePunct w:val="0"/>
        <w:autoSpaceDE w:val="0"/>
        <w:autoSpaceDN w:val="0"/>
        <w:bidi w:val="0"/>
        <w:adjustRightInd w:val="0"/>
        <w:snapToGrid/>
        <w:spacing w:line="360" w:lineRule="auto"/>
        <w:ind w:left="0" w:leftChars="0" w:firstLine="420" w:firstLineChars="200"/>
        <w:rPr>
          <w:rFonts w:hint="eastAsia" w:ascii="宋体" w:hAnsi="宋体" w:eastAsia="宋体" w:cs="宋体"/>
          <w:color w:val="auto"/>
        </w:rPr>
      </w:pPr>
      <w:r>
        <w:rPr>
          <w:rFonts w:hint="eastAsia" w:ascii="宋体" w:hAnsi="宋体" w:eastAsia="宋体" w:cs="宋体"/>
          <w:color w:val="auto"/>
        </w:rPr>
        <w:t>投标文件递交截止时间前，各投标人的授权委托人或法人代表应提前进入不见面交易系统进行在线签到，</w:t>
      </w:r>
      <w:r>
        <w:rPr>
          <w:rFonts w:hint="eastAsia" w:ascii="宋体" w:hAnsi="宋体" w:eastAsia="宋体" w:cs="宋体"/>
          <w:b/>
          <w:color w:val="auto"/>
        </w:rPr>
        <w:t>未完成签到的，将无法解密投标文件，并视为放弃投标</w:t>
      </w:r>
      <w:r>
        <w:rPr>
          <w:rFonts w:hint="eastAsia" w:ascii="宋体" w:hAnsi="宋体" w:eastAsia="宋体" w:cs="宋体"/>
          <w:color w:val="auto"/>
        </w:rPr>
        <w:t>。</w:t>
      </w:r>
    </w:p>
    <w:p w14:paraId="06F33DA3">
      <w:pPr>
        <w:keepNext w:val="0"/>
        <w:keepLines w:val="0"/>
        <w:pageBreakBefore w:val="0"/>
        <w:widowControl w:val="0"/>
        <w:numPr>
          <w:ilvl w:val="0"/>
          <w:numId w:val="3"/>
        </w:numPr>
        <w:kinsoku/>
        <w:wordWrap/>
        <w:overflowPunct/>
        <w:topLinePunct w:val="0"/>
        <w:autoSpaceDE w:val="0"/>
        <w:autoSpaceDN w:val="0"/>
        <w:bidi w:val="0"/>
        <w:adjustRightInd w:val="0"/>
        <w:snapToGrid/>
        <w:spacing w:line="360" w:lineRule="auto"/>
        <w:ind w:left="0" w:leftChars="0" w:firstLine="420" w:firstLineChars="200"/>
        <w:rPr>
          <w:rFonts w:hint="eastAsia" w:ascii="宋体" w:hAnsi="宋体" w:eastAsia="宋体" w:cs="宋体"/>
          <w:color w:val="auto"/>
        </w:rPr>
      </w:pPr>
      <w:r>
        <w:rPr>
          <w:rFonts w:hint="eastAsia" w:ascii="宋体" w:hAnsi="宋体" w:eastAsia="宋体" w:cs="宋体"/>
          <w:color w:val="auto"/>
        </w:rPr>
        <w:t>投标人未在规定时间内解密、解密失败或解密超时，视为放弃投标。</w:t>
      </w:r>
    </w:p>
    <w:p w14:paraId="6D562F6C">
      <w:pPr>
        <w:keepNext w:val="0"/>
        <w:keepLines w:val="0"/>
        <w:pageBreakBefore w:val="0"/>
        <w:widowControl w:val="0"/>
        <w:numPr>
          <w:ilvl w:val="0"/>
          <w:numId w:val="3"/>
        </w:numPr>
        <w:kinsoku/>
        <w:wordWrap/>
        <w:overflowPunct/>
        <w:topLinePunct w:val="0"/>
        <w:autoSpaceDE w:val="0"/>
        <w:autoSpaceDN w:val="0"/>
        <w:bidi w:val="0"/>
        <w:adjustRightInd w:val="0"/>
        <w:snapToGrid/>
        <w:spacing w:line="360" w:lineRule="auto"/>
        <w:ind w:left="0" w:leftChars="0" w:firstLine="420" w:firstLineChars="200"/>
        <w:rPr>
          <w:rFonts w:hint="eastAsia" w:ascii="宋体" w:hAnsi="宋体" w:eastAsia="宋体" w:cs="宋体"/>
          <w:color w:val="auto"/>
        </w:rPr>
      </w:pPr>
      <w:r>
        <w:rPr>
          <w:rFonts w:hint="eastAsia" w:ascii="宋体" w:hAnsi="宋体" w:eastAsia="宋体" w:cs="宋体"/>
          <w:color w:val="auto"/>
        </w:rPr>
        <w:t>若投标人已申请多把CA锁，请注意使用差别，确保制作上传加密投标文件和开标解密时使用的CA锁是一致的，否则造成解密失败的，由投标人负责。</w:t>
      </w:r>
    </w:p>
    <w:p w14:paraId="27918A9B">
      <w:pPr>
        <w:keepNext w:val="0"/>
        <w:keepLines w:val="0"/>
        <w:pageBreakBefore w:val="0"/>
        <w:widowControl w:val="0"/>
        <w:numPr>
          <w:ilvl w:val="0"/>
          <w:numId w:val="3"/>
        </w:numPr>
        <w:kinsoku/>
        <w:wordWrap/>
        <w:overflowPunct/>
        <w:topLinePunct w:val="0"/>
        <w:autoSpaceDE w:val="0"/>
        <w:autoSpaceDN w:val="0"/>
        <w:bidi w:val="0"/>
        <w:adjustRightInd w:val="0"/>
        <w:snapToGrid/>
        <w:spacing w:line="360" w:lineRule="auto"/>
        <w:ind w:left="0" w:leftChars="0" w:firstLine="420" w:firstLineChars="200"/>
        <w:rPr>
          <w:rFonts w:hint="eastAsia" w:ascii="宋体" w:hAnsi="宋体" w:eastAsia="宋体" w:cs="宋体"/>
          <w:color w:val="auto"/>
        </w:rPr>
      </w:pPr>
      <w:r>
        <w:rPr>
          <w:rFonts w:hint="eastAsia" w:ascii="宋体" w:hAnsi="宋体" w:eastAsia="宋体" w:cs="宋体"/>
          <w:color w:val="auto"/>
        </w:rPr>
        <w:t>如有疑问，请咨询品茗公司技术服务电话，技术服务电话：章宏涛  13968512856。QQ“三门交易平台交流群”（群号：146117595），进行业务咨询。此群也将作为不见面开标的备用远程交互群。</w:t>
      </w:r>
    </w:p>
    <w:p w14:paraId="08A685CA">
      <w:pPr>
        <w:spacing w:line="218" w:lineRule="auto"/>
        <w:rPr>
          <w:rFonts w:ascii="Times New Roman" w:hAnsi="Times New Roman" w:eastAsia="Times New Roman" w:cs="Times New Roman"/>
          <w:color w:val="auto"/>
          <w:sz w:val="24"/>
          <w:szCs w:val="24"/>
          <w:lang w:eastAsia="zh-CN"/>
        </w:rPr>
        <w:sectPr>
          <w:pgSz w:w="11907" w:h="16840"/>
          <w:pgMar w:top="1431" w:right="1538" w:bottom="1288" w:left="1540" w:header="0" w:footer="1102" w:gutter="0"/>
          <w:pgNumType w:fmt="decimal"/>
          <w:cols w:space="720" w:num="1"/>
          <w:docGrid w:linePitch="0" w:charSpace="0"/>
        </w:sectPr>
      </w:pPr>
    </w:p>
    <w:p w14:paraId="0B0961BB">
      <w:pPr>
        <w:spacing w:before="139" w:line="225" w:lineRule="auto"/>
        <w:ind w:left="2645"/>
        <w:rPr>
          <w:rFonts w:ascii="黑体" w:hAnsi="黑体" w:eastAsia="黑体" w:cs="黑体"/>
          <w:color w:val="auto"/>
          <w:spacing w:val="3"/>
          <w:sz w:val="43"/>
          <w:szCs w:val="43"/>
          <w:lang w:eastAsia="zh-CN"/>
        </w:rPr>
      </w:pPr>
      <w:bookmarkStart w:id="9" w:name="bookmark2"/>
      <w:bookmarkEnd w:id="9"/>
      <w:r>
        <w:rPr>
          <w:rFonts w:hint="eastAsia" w:ascii="黑体" w:hAnsi="黑体" w:eastAsia="黑体" w:cs="黑体"/>
          <w:color w:val="auto"/>
          <w:spacing w:val="3"/>
          <w:sz w:val="43"/>
          <w:szCs w:val="43"/>
          <w:lang w:eastAsia="zh-CN"/>
        </w:rPr>
        <w:t>☑</w:t>
      </w:r>
      <w:r>
        <w:rPr>
          <w:rFonts w:ascii="黑体" w:hAnsi="黑体" w:eastAsia="黑体" w:cs="黑体"/>
          <w:color w:val="auto"/>
          <w:spacing w:val="3"/>
          <w:sz w:val="43"/>
          <w:szCs w:val="43"/>
          <w:lang w:eastAsia="zh-CN"/>
        </w:rPr>
        <w:t>第一章招标公告</w:t>
      </w:r>
    </w:p>
    <w:p w14:paraId="3593C710">
      <w:pPr>
        <w:spacing w:before="139" w:line="225" w:lineRule="auto"/>
        <w:jc w:val="center"/>
        <w:rPr>
          <w:rFonts w:hint="eastAsia" w:ascii="宋体" w:hAnsi="宋体" w:eastAsia="宋体" w:cs="宋体"/>
          <w:color w:val="auto"/>
          <w:sz w:val="28"/>
          <w:szCs w:val="28"/>
          <w:u w:val="single"/>
          <w:lang w:eastAsia="zh-CN"/>
        </w:rPr>
      </w:pPr>
      <w:r>
        <w:rPr>
          <w:rFonts w:hint="eastAsia" w:ascii="宋体" w:hAnsi="宋体" w:eastAsia="宋体" w:cs="宋体"/>
          <w:color w:val="auto"/>
          <w:sz w:val="28"/>
          <w:szCs w:val="28"/>
          <w:u w:val="single"/>
          <w:lang w:eastAsia="zh-CN"/>
        </w:rPr>
        <w:t>三门县失能失智敬老院项目</w:t>
      </w:r>
    </w:p>
    <w:p w14:paraId="654F640A">
      <w:pPr>
        <w:spacing w:before="139" w:line="225" w:lineRule="auto"/>
        <w:jc w:val="center"/>
        <w:rPr>
          <w:rFonts w:ascii="宋体" w:hAnsi="宋体" w:eastAsia="宋体" w:cs="宋体"/>
          <w:color w:val="auto"/>
          <w:sz w:val="28"/>
          <w:szCs w:val="28"/>
          <w:lang w:eastAsia="zh-CN"/>
        </w:rPr>
      </w:pPr>
      <w:r>
        <w:rPr>
          <w:rFonts w:ascii="宋体" w:hAnsi="宋体" w:eastAsia="宋体" w:cs="宋体"/>
          <w:b/>
          <w:bCs/>
          <w:color w:val="auto"/>
          <w:spacing w:val="-18"/>
          <w:sz w:val="28"/>
          <w:szCs w:val="28"/>
          <w:lang w:eastAsia="zh-CN"/>
        </w:rPr>
        <w:t>招标公告</w:t>
      </w:r>
    </w:p>
    <w:p w14:paraId="620EEE6C">
      <w:pPr>
        <w:pStyle w:val="8"/>
        <w:spacing w:line="447" w:lineRule="auto"/>
        <w:rPr>
          <w:color w:val="auto"/>
          <w:lang w:eastAsia="zh-CN"/>
        </w:rPr>
      </w:pPr>
    </w:p>
    <w:p w14:paraId="486DBF08">
      <w:pPr>
        <w:spacing w:before="101" w:line="224" w:lineRule="auto"/>
        <w:ind w:left="34"/>
        <w:rPr>
          <w:rFonts w:ascii="宋体" w:hAnsi="宋体" w:eastAsia="宋体" w:cs="宋体"/>
          <w:color w:val="auto"/>
          <w:sz w:val="31"/>
          <w:szCs w:val="31"/>
          <w:lang w:eastAsia="zh-CN"/>
        </w:rPr>
      </w:pPr>
      <w:r>
        <w:rPr>
          <w:rFonts w:ascii="宋体" w:hAnsi="宋体" w:eastAsia="宋体" w:cs="宋体"/>
          <w:b/>
          <w:bCs/>
          <w:color w:val="auto"/>
          <w:spacing w:val="-1"/>
          <w:sz w:val="31"/>
          <w:szCs w:val="31"/>
          <w:lang w:eastAsia="zh-CN"/>
        </w:rPr>
        <w:t>1.招标条件</w:t>
      </w:r>
    </w:p>
    <w:p w14:paraId="112C7170">
      <w:pPr>
        <w:spacing w:line="440" w:lineRule="exact"/>
        <w:rPr>
          <w:rFonts w:ascii="宋体" w:hAnsi="宋体" w:eastAsia="宋体" w:cs="宋体"/>
          <w:color w:val="auto"/>
          <w:sz w:val="24"/>
          <w:szCs w:val="24"/>
          <w:lang w:eastAsia="zh-CN"/>
        </w:rPr>
      </w:pPr>
      <w:r>
        <w:rPr>
          <w:rFonts w:hint="eastAsia" w:ascii="宋体" w:hAnsi="宋体" w:cs="宋体"/>
          <w:color w:val="auto"/>
          <w:sz w:val="24"/>
          <w:szCs w:val="24"/>
          <w:u w:val="single"/>
          <w:lang w:eastAsia="zh-CN"/>
        </w:rPr>
        <w:t>三门县失能失智敬老院项目</w:t>
      </w:r>
      <w:r>
        <w:rPr>
          <w:rFonts w:hint="eastAsia" w:ascii="宋体" w:hAnsi="宋体" w:cs="宋体"/>
          <w:color w:val="auto"/>
          <w:sz w:val="24"/>
          <w:szCs w:val="24"/>
          <w:u w:val="none"/>
          <w:lang w:eastAsia="zh-CN"/>
        </w:rPr>
        <w:t>已由</w:t>
      </w:r>
      <w:r>
        <w:rPr>
          <w:rFonts w:hint="eastAsia" w:ascii="宋体" w:hAnsi="宋体" w:cs="宋体"/>
          <w:color w:val="auto"/>
          <w:sz w:val="24"/>
          <w:szCs w:val="24"/>
          <w:u w:val="single"/>
          <w:lang w:eastAsia="zh-CN"/>
        </w:rPr>
        <w:t>三门县发展和改革局</w:t>
      </w:r>
      <w:r>
        <w:rPr>
          <w:rFonts w:hint="eastAsia" w:ascii="宋体" w:hAnsi="宋体" w:cs="宋体"/>
          <w:color w:val="auto"/>
          <w:sz w:val="24"/>
          <w:szCs w:val="24"/>
          <w:u w:val="none"/>
          <w:lang w:eastAsia="zh-CN"/>
        </w:rPr>
        <w:t>以</w:t>
      </w:r>
      <w:r>
        <w:rPr>
          <w:rFonts w:hint="eastAsia" w:ascii="宋体" w:hAnsi="宋体" w:cs="宋体"/>
          <w:color w:val="auto"/>
          <w:sz w:val="24"/>
          <w:szCs w:val="24"/>
          <w:u w:val="single"/>
          <w:lang w:eastAsia="zh-CN"/>
        </w:rPr>
        <w:t xml:space="preserve"> 三发改审〔202</w:t>
      </w:r>
      <w:r>
        <w:rPr>
          <w:rFonts w:hint="eastAsia" w:ascii="宋体" w:hAnsi="宋体" w:cs="宋体"/>
          <w:color w:val="auto"/>
          <w:sz w:val="24"/>
          <w:szCs w:val="24"/>
          <w:u w:val="single"/>
          <w:lang w:val="en-US" w:eastAsia="zh-CN"/>
        </w:rPr>
        <w:t>4</w:t>
      </w:r>
      <w:r>
        <w:rPr>
          <w:rFonts w:hint="eastAsia" w:ascii="宋体" w:hAnsi="宋体" w:cs="宋体"/>
          <w:color w:val="auto"/>
          <w:sz w:val="24"/>
          <w:szCs w:val="24"/>
          <w:u w:val="single"/>
          <w:lang w:eastAsia="zh-CN"/>
        </w:rPr>
        <w:t>〕</w:t>
      </w:r>
      <w:r>
        <w:rPr>
          <w:rFonts w:hint="eastAsia" w:ascii="宋体" w:hAnsi="宋体" w:cs="宋体"/>
          <w:color w:val="auto"/>
          <w:sz w:val="24"/>
          <w:szCs w:val="24"/>
          <w:u w:val="single"/>
          <w:lang w:val="en-US" w:eastAsia="zh-CN"/>
        </w:rPr>
        <w:t xml:space="preserve">99  </w:t>
      </w:r>
      <w:r>
        <w:rPr>
          <w:rFonts w:hint="eastAsia" w:ascii="宋体" w:hAnsi="宋体" w:cs="宋体"/>
          <w:color w:val="auto"/>
          <w:sz w:val="24"/>
          <w:szCs w:val="24"/>
          <w:u w:val="single"/>
          <w:lang w:eastAsia="zh-CN"/>
        </w:rPr>
        <w:t>号</w:t>
      </w:r>
      <w:r>
        <w:rPr>
          <w:rFonts w:hint="eastAsia" w:ascii="宋体" w:hAnsi="宋体" w:eastAsia="宋体" w:cs="宋体"/>
          <w:color w:val="auto"/>
          <w:spacing w:val="-5"/>
          <w:sz w:val="24"/>
          <w:szCs w:val="24"/>
          <w:lang w:eastAsia="zh-CN"/>
        </w:rPr>
        <w:t xml:space="preserve"> 批准建设，</w:t>
      </w:r>
      <w:r>
        <w:rPr>
          <w:rFonts w:ascii="宋体" w:hAnsi="宋体" w:eastAsia="宋体" w:cs="宋体"/>
          <w:color w:val="auto"/>
          <w:spacing w:val="-5"/>
          <w:sz w:val="24"/>
          <w:szCs w:val="24"/>
          <w:lang w:eastAsia="zh-CN"/>
        </w:rPr>
        <w:t>建设资金来自</w:t>
      </w:r>
      <w:r>
        <w:rPr>
          <w:rFonts w:hint="eastAsia" w:ascii="宋体" w:hAnsi="宋体" w:eastAsia="宋体" w:cs="宋体"/>
          <w:color w:val="auto"/>
          <w:spacing w:val="-5"/>
          <w:sz w:val="24"/>
          <w:szCs w:val="24"/>
          <w:u w:val="single"/>
          <w:lang w:val="en-US" w:eastAsia="zh-CN"/>
        </w:rPr>
        <w:t>财政拨款</w:t>
      </w:r>
      <w:r>
        <w:rPr>
          <w:rFonts w:ascii="宋体" w:hAnsi="宋体" w:eastAsia="宋体" w:cs="宋体"/>
          <w:color w:val="auto"/>
          <w:spacing w:val="-30"/>
          <w:sz w:val="24"/>
          <w:szCs w:val="24"/>
          <w:lang w:eastAsia="zh-CN"/>
        </w:rPr>
        <w:t>，</w:t>
      </w:r>
      <w:r>
        <w:rPr>
          <w:rFonts w:ascii="宋体" w:hAnsi="宋体" w:eastAsia="宋体" w:cs="宋体"/>
          <w:color w:val="auto"/>
          <w:spacing w:val="-5"/>
          <w:sz w:val="24"/>
          <w:szCs w:val="24"/>
          <w:lang w:eastAsia="zh-CN"/>
        </w:rPr>
        <w:t>出资比例为</w:t>
      </w:r>
      <w:r>
        <w:rPr>
          <w:rFonts w:hint="eastAsia" w:ascii="宋体" w:hAnsi="宋体" w:eastAsia="宋体" w:cs="宋体"/>
          <w:color w:val="auto"/>
          <w:spacing w:val="-5"/>
          <w:sz w:val="24"/>
          <w:szCs w:val="24"/>
          <w:u w:val="single"/>
          <w:lang w:val="en-US" w:eastAsia="zh-CN"/>
        </w:rPr>
        <w:t>100%</w:t>
      </w:r>
      <w:r>
        <w:rPr>
          <w:rFonts w:ascii="宋体" w:hAnsi="宋体" w:eastAsia="宋体" w:cs="宋体"/>
          <w:color w:val="auto"/>
          <w:spacing w:val="-13"/>
          <w:sz w:val="24"/>
          <w:szCs w:val="24"/>
          <w:lang w:eastAsia="zh-CN"/>
        </w:rPr>
        <w:t>，</w:t>
      </w:r>
      <w:r>
        <w:rPr>
          <w:rFonts w:ascii="宋体" w:hAnsi="宋体" w:eastAsia="宋体" w:cs="宋体"/>
          <w:color w:val="auto"/>
          <w:spacing w:val="-4"/>
          <w:sz w:val="24"/>
          <w:szCs w:val="24"/>
          <w:lang w:eastAsia="zh-CN"/>
        </w:rPr>
        <w:t>项目业主为</w:t>
      </w:r>
      <w:r>
        <w:rPr>
          <w:rFonts w:hint="eastAsia" w:ascii="宋体" w:hAnsi="宋体" w:cs="宋体"/>
          <w:color w:val="auto"/>
          <w:sz w:val="24"/>
          <w:szCs w:val="24"/>
          <w:u w:val="single"/>
          <w:lang w:eastAsia="zh-CN"/>
        </w:rPr>
        <w:t>三门县民政局</w:t>
      </w:r>
      <w:r>
        <w:rPr>
          <w:rFonts w:hint="eastAsia"/>
          <w:color w:val="auto"/>
          <w:spacing w:val="-6"/>
          <w:sz w:val="24"/>
          <w:szCs w:val="24"/>
        </w:rPr>
        <w:t>，招标人为</w:t>
      </w:r>
      <w:r>
        <w:rPr>
          <w:rFonts w:hint="eastAsia" w:ascii="宋体" w:hAnsi="宋体" w:cs="宋体"/>
          <w:color w:val="auto"/>
          <w:sz w:val="24"/>
          <w:szCs w:val="24"/>
          <w:u w:val="single"/>
          <w:lang w:eastAsia="zh-CN"/>
        </w:rPr>
        <w:t>三门县民政局</w:t>
      </w:r>
      <w:r>
        <w:rPr>
          <w:rFonts w:hint="eastAsia" w:ascii="宋体" w:hAnsi="宋体" w:cs="宋体"/>
          <w:color w:val="auto"/>
          <w:sz w:val="24"/>
          <w:szCs w:val="24"/>
          <w:u w:val="none"/>
          <w:lang w:eastAsia="zh-CN"/>
        </w:rPr>
        <w:t>，代建单位为</w:t>
      </w:r>
      <w:r>
        <w:rPr>
          <w:rFonts w:hint="eastAsia" w:ascii="宋体" w:hAnsi="宋体" w:cs="宋体"/>
          <w:color w:val="auto"/>
          <w:sz w:val="24"/>
          <w:szCs w:val="24"/>
          <w:u w:val="single"/>
          <w:lang w:eastAsia="zh-CN"/>
        </w:rPr>
        <w:t>三门县基础设施投资有限责任公司</w:t>
      </w:r>
      <w:r>
        <w:rPr>
          <w:rFonts w:hint="eastAsia"/>
          <w:color w:val="auto"/>
          <w:spacing w:val="-6"/>
          <w:sz w:val="24"/>
          <w:szCs w:val="24"/>
        </w:rPr>
        <w:t>，委托代理机构为</w:t>
      </w:r>
      <w:r>
        <w:rPr>
          <w:color w:val="auto"/>
          <w:spacing w:val="-6"/>
          <w:sz w:val="24"/>
          <w:szCs w:val="24"/>
          <w:u w:val="single"/>
        </w:rPr>
        <w:t xml:space="preserve"> </w:t>
      </w:r>
      <w:r>
        <w:rPr>
          <w:rFonts w:hint="eastAsia" w:ascii="宋体" w:hAnsi="宋体" w:cs="宋体"/>
          <w:color w:val="auto"/>
          <w:sz w:val="24"/>
          <w:szCs w:val="24"/>
          <w:u w:val="single"/>
          <w:lang w:eastAsia="zh-CN"/>
        </w:rPr>
        <w:t>欧邦工程管理集团有限公司</w:t>
      </w:r>
      <w:r>
        <w:rPr>
          <w:rFonts w:hint="eastAsia"/>
          <w:color w:val="auto"/>
          <w:spacing w:val="-4"/>
          <w:sz w:val="24"/>
          <w:szCs w:val="24"/>
        </w:rPr>
        <w:t>。项目已具备招标</w:t>
      </w:r>
      <w:r>
        <w:rPr>
          <w:color w:val="auto"/>
          <w:spacing w:val="-95"/>
          <w:sz w:val="24"/>
          <w:szCs w:val="24"/>
        </w:rPr>
        <w:t xml:space="preserve"> </w:t>
      </w:r>
      <w:r>
        <w:rPr>
          <w:rFonts w:hint="eastAsia"/>
          <w:color w:val="auto"/>
          <w:sz w:val="24"/>
          <w:szCs w:val="24"/>
        </w:rPr>
        <w:t>条件，现对该项目的</w:t>
      </w:r>
      <w:r>
        <w:rPr>
          <w:rFonts w:hint="eastAsia"/>
          <w:color w:val="auto"/>
          <w:spacing w:val="-1"/>
          <w:sz w:val="24"/>
          <w:szCs w:val="24"/>
          <w:u w:val="single"/>
          <w:lang w:eastAsia="zh-CN"/>
        </w:rPr>
        <w:t>三门县失能失智敬老院项目</w:t>
      </w:r>
      <w:r>
        <w:rPr>
          <w:rFonts w:hint="eastAsia"/>
          <w:color w:val="auto"/>
          <w:sz w:val="24"/>
          <w:szCs w:val="24"/>
          <w:u w:val="single"/>
        </w:rPr>
        <w:t xml:space="preserve"> </w:t>
      </w:r>
      <w:r>
        <w:rPr>
          <w:rFonts w:hint="eastAsia"/>
          <w:color w:val="auto"/>
          <w:sz w:val="24"/>
          <w:szCs w:val="24"/>
        </w:rPr>
        <w:t>的施工进行公开招标</w:t>
      </w:r>
      <w:r>
        <w:rPr>
          <w:rFonts w:ascii="宋体" w:hAnsi="宋体" w:eastAsia="宋体" w:cs="宋体"/>
          <w:color w:val="auto"/>
          <w:spacing w:val="-1"/>
          <w:sz w:val="24"/>
          <w:szCs w:val="24"/>
          <w:lang w:eastAsia="zh-CN"/>
        </w:rPr>
        <w:t>。</w:t>
      </w:r>
    </w:p>
    <w:p w14:paraId="128ADA5C">
      <w:pPr>
        <w:keepNext w:val="0"/>
        <w:keepLines w:val="0"/>
        <w:pageBreakBefore w:val="0"/>
        <w:wordWrap/>
        <w:overflowPunct/>
        <w:topLinePunct w:val="0"/>
        <w:bidi w:val="0"/>
        <w:spacing w:before="1" w:line="360" w:lineRule="auto"/>
        <w:ind w:left="14"/>
        <w:rPr>
          <w:rFonts w:ascii="宋体" w:hAnsi="宋体" w:eastAsia="宋体" w:cs="宋体"/>
          <w:color w:val="auto"/>
          <w:sz w:val="31"/>
          <w:szCs w:val="31"/>
          <w:lang w:eastAsia="zh-CN"/>
        </w:rPr>
      </w:pPr>
      <w:r>
        <w:rPr>
          <w:rFonts w:ascii="宋体" w:hAnsi="宋体" w:eastAsia="宋体" w:cs="宋体"/>
          <w:b/>
          <w:bCs/>
          <w:color w:val="auto"/>
          <w:spacing w:val="5"/>
          <w:sz w:val="31"/>
          <w:szCs w:val="31"/>
          <w:lang w:eastAsia="zh-CN"/>
        </w:rPr>
        <w:t>2.项目概况与招标范围</w:t>
      </w:r>
    </w:p>
    <w:p w14:paraId="637088C1">
      <w:pPr>
        <w:keepNext w:val="0"/>
        <w:keepLines w:val="0"/>
        <w:pageBreakBefore w:val="0"/>
        <w:tabs>
          <w:tab w:val="left" w:pos="835"/>
        </w:tabs>
        <w:wordWrap/>
        <w:overflowPunct/>
        <w:topLinePunct w:val="0"/>
        <w:bidi w:val="0"/>
        <w:spacing w:before="116" w:line="360" w:lineRule="auto"/>
        <w:ind w:firstLine="480" w:firstLineChars="200"/>
        <w:jc w:val="both"/>
        <w:rPr>
          <w:rFonts w:hint="eastAsia" w:ascii="宋体" w:hAnsi="宋体" w:cs="宋体"/>
          <w:color w:val="auto"/>
          <w:sz w:val="24"/>
          <w:szCs w:val="24"/>
          <w:u w:val="none"/>
          <w:lang w:val="en-US" w:eastAsia="zh-CN"/>
        </w:rPr>
      </w:pPr>
      <w:r>
        <w:rPr>
          <w:rFonts w:hint="eastAsia" w:ascii="宋体" w:hAnsi="宋体" w:cs="宋体"/>
          <w:color w:val="auto"/>
          <w:sz w:val="24"/>
          <w:szCs w:val="24"/>
          <w:u w:val="none"/>
          <w:lang w:eastAsia="zh-CN"/>
        </w:rPr>
        <w:t>2.1项目概况：本项目投资估算</w:t>
      </w:r>
      <w:r>
        <w:rPr>
          <w:rFonts w:hint="eastAsia" w:ascii="宋体" w:hAnsi="宋体" w:cs="宋体"/>
          <w:color w:val="auto"/>
          <w:sz w:val="24"/>
          <w:szCs w:val="24"/>
          <w:u w:val="single"/>
          <w:lang w:val="en-US" w:eastAsia="zh-CN"/>
        </w:rPr>
        <w:t>2413.13万</w:t>
      </w:r>
      <w:r>
        <w:rPr>
          <w:rFonts w:hint="eastAsia" w:ascii="宋体" w:hAnsi="宋体" w:cs="宋体"/>
          <w:color w:val="auto"/>
          <w:sz w:val="24"/>
          <w:szCs w:val="24"/>
          <w:u w:val="single"/>
          <w:lang w:eastAsia="zh-CN"/>
        </w:rPr>
        <w:t>元</w:t>
      </w:r>
      <w:r>
        <w:rPr>
          <w:rFonts w:hint="eastAsia" w:ascii="宋体" w:hAnsi="宋体" w:cs="宋体"/>
          <w:color w:val="auto"/>
          <w:sz w:val="24"/>
          <w:szCs w:val="24"/>
          <w:u w:val="none"/>
          <w:lang w:eastAsia="zh-CN"/>
        </w:rPr>
        <w:t>，工程概算</w:t>
      </w:r>
      <w:r>
        <w:rPr>
          <w:rFonts w:hint="eastAsia" w:ascii="宋体" w:hAnsi="宋体" w:cs="宋体"/>
          <w:color w:val="auto"/>
          <w:sz w:val="24"/>
          <w:szCs w:val="24"/>
          <w:u w:val="single"/>
          <w:lang w:val="en-US" w:eastAsia="zh-CN"/>
        </w:rPr>
        <w:t xml:space="preserve">  / </w:t>
      </w:r>
      <w:r>
        <w:rPr>
          <w:rFonts w:hint="eastAsia" w:ascii="宋体" w:hAnsi="宋体" w:cs="宋体"/>
          <w:color w:val="auto"/>
          <w:sz w:val="24"/>
          <w:szCs w:val="24"/>
          <w:u w:val="single"/>
          <w:lang w:eastAsia="zh-CN"/>
        </w:rPr>
        <w:t>万元</w:t>
      </w:r>
      <w:r>
        <w:rPr>
          <w:rFonts w:hint="eastAsia" w:ascii="宋体" w:hAnsi="宋体" w:cs="宋体"/>
          <w:color w:val="auto"/>
          <w:sz w:val="24"/>
          <w:szCs w:val="24"/>
          <w:u w:val="none"/>
          <w:lang w:eastAsia="zh-CN"/>
        </w:rPr>
        <w:t>，其中建安工程造价</w:t>
      </w:r>
      <w:r>
        <w:rPr>
          <w:rFonts w:hint="eastAsia" w:ascii="宋体" w:hAnsi="宋体" w:cs="宋体"/>
          <w:color w:val="auto"/>
          <w:sz w:val="24"/>
          <w:szCs w:val="24"/>
          <w:u w:val="none"/>
          <w:lang w:val="en-US" w:eastAsia="zh-CN"/>
        </w:rPr>
        <w:t xml:space="preserve"> </w:t>
      </w:r>
      <w:r>
        <w:rPr>
          <w:rFonts w:hint="eastAsia" w:ascii="宋体" w:hAnsi="宋体" w:cs="宋体"/>
          <w:color w:val="auto"/>
          <w:sz w:val="24"/>
          <w:szCs w:val="24"/>
          <w:u w:val="single"/>
          <w:lang w:val="en-US" w:eastAsia="zh-CN"/>
        </w:rPr>
        <w:t>14531570</w:t>
      </w:r>
      <w:r>
        <w:rPr>
          <w:rFonts w:hint="eastAsia" w:ascii="宋体" w:hAnsi="宋体" w:cs="宋体"/>
          <w:color w:val="auto"/>
          <w:sz w:val="24"/>
          <w:szCs w:val="24"/>
          <w:u w:val="single"/>
          <w:lang w:eastAsia="zh-CN"/>
        </w:rPr>
        <w:t>元</w:t>
      </w:r>
      <w:r>
        <w:rPr>
          <w:rFonts w:hint="eastAsia" w:ascii="宋体" w:hAnsi="宋体" w:cs="宋体"/>
          <w:color w:val="auto"/>
          <w:sz w:val="24"/>
          <w:szCs w:val="24"/>
          <w:u w:val="none"/>
          <w:lang w:eastAsia="zh-CN"/>
        </w:rPr>
        <w:t>，建设规模：</w:t>
      </w:r>
      <w:r>
        <w:rPr>
          <w:rFonts w:hint="eastAsia" w:ascii="宋体" w:hAnsi="宋体" w:cs="宋体"/>
          <w:color w:val="auto"/>
          <w:sz w:val="24"/>
          <w:szCs w:val="24"/>
          <w:u w:val="none"/>
          <w:lang w:val="en-US" w:eastAsia="zh-CN"/>
        </w:rPr>
        <w:t>本项目位于三门县亭旁镇TP-03-21地块（原），本项目占地面积为1079.00m2，总建筑面积为2996.88m2（其中地上建筑面积为2737.22m2，地下建筑面积为259.66m2），规划高度为20.65m，建筑层数为5层。结构类型为筏板基础、框架结构。</w:t>
      </w:r>
    </w:p>
    <w:p w14:paraId="622C34AB">
      <w:pPr>
        <w:keepNext w:val="0"/>
        <w:keepLines w:val="0"/>
        <w:pageBreakBefore w:val="0"/>
        <w:wordWrap/>
        <w:overflowPunct/>
        <w:topLinePunct w:val="0"/>
        <w:bidi w:val="0"/>
        <w:spacing w:before="115" w:line="360" w:lineRule="auto"/>
        <w:ind w:left="28" w:right="77" w:firstLine="462"/>
        <w:rPr>
          <w:rFonts w:ascii="宋体" w:hAnsi="宋体" w:eastAsia="宋体" w:cs="宋体"/>
          <w:color w:val="auto"/>
          <w:spacing w:val="1"/>
          <w:sz w:val="24"/>
          <w:szCs w:val="24"/>
          <w:lang w:eastAsia="zh-CN"/>
        </w:rPr>
      </w:pPr>
      <w:r>
        <w:rPr>
          <w:rFonts w:ascii="宋体" w:hAnsi="宋体" w:eastAsia="宋体" w:cs="宋体"/>
          <w:color w:val="auto"/>
          <w:spacing w:val="1"/>
          <w:sz w:val="24"/>
          <w:szCs w:val="24"/>
          <w:lang w:eastAsia="zh-CN"/>
        </w:rPr>
        <w:t>2.2招标范围：</w:t>
      </w:r>
      <w:r>
        <w:rPr>
          <w:rFonts w:hint="eastAsia" w:ascii="宋体" w:hAnsi="宋体" w:eastAsia="宋体" w:cs="宋体"/>
          <w:color w:val="auto"/>
          <w:spacing w:val="1"/>
          <w:sz w:val="24"/>
          <w:szCs w:val="24"/>
          <w:lang w:eastAsia="zh-CN"/>
        </w:rPr>
        <w:t>招标人提供的施工图纸范围内及预算审核书中所包含的</w:t>
      </w:r>
      <w:r>
        <w:rPr>
          <w:rFonts w:hint="eastAsia" w:ascii="宋体" w:hAnsi="宋体" w:cs="宋体"/>
          <w:color w:val="auto"/>
          <w:sz w:val="24"/>
          <w:lang w:val="en-US" w:eastAsia="zh-CN"/>
        </w:rPr>
        <w:t>房屋建筑工程、安装工程、室外工程等</w:t>
      </w:r>
      <w:r>
        <w:rPr>
          <w:rFonts w:hint="eastAsia" w:ascii="宋体" w:hAnsi="宋体" w:eastAsia="宋体" w:cs="宋体"/>
          <w:color w:val="auto"/>
          <w:spacing w:val="1"/>
          <w:sz w:val="24"/>
          <w:szCs w:val="24"/>
          <w:lang w:eastAsia="zh-CN"/>
        </w:rPr>
        <w:t>所有内容。具体详见施工图纸及工程量清单</w:t>
      </w:r>
      <w:r>
        <w:rPr>
          <w:rFonts w:ascii="宋体" w:hAnsi="宋体" w:eastAsia="宋体" w:cs="宋体"/>
          <w:color w:val="auto"/>
          <w:spacing w:val="1"/>
          <w:sz w:val="24"/>
          <w:szCs w:val="24"/>
          <w:lang w:eastAsia="zh-CN"/>
        </w:rPr>
        <w:t>。</w:t>
      </w:r>
    </w:p>
    <w:p w14:paraId="13F780B8">
      <w:pPr>
        <w:keepNext w:val="0"/>
        <w:keepLines w:val="0"/>
        <w:pageBreakBefore w:val="0"/>
        <w:wordWrap/>
        <w:overflowPunct/>
        <w:topLinePunct w:val="0"/>
        <w:bidi w:val="0"/>
        <w:spacing w:before="37" w:line="360" w:lineRule="auto"/>
        <w:ind w:left="490" w:right="440"/>
        <w:rPr>
          <w:rFonts w:ascii="宋体" w:hAnsi="宋体" w:eastAsia="宋体" w:cs="宋体"/>
          <w:color w:val="auto"/>
          <w:spacing w:val="-2"/>
          <w:sz w:val="24"/>
          <w:szCs w:val="24"/>
          <w:lang w:eastAsia="zh-CN"/>
        </w:rPr>
      </w:pPr>
      <w:r>
        <w:rPr>
          <w:rFonts w:ascii="宋体" w:hAnsi="宋体" w:eastAsia="宋体" w:cs="宋体"/>
          <w:color w:val="auto"/>
          <w:spacing w:val="-2"/>
          <w:sz w:val="24"/>
          <w:szCs w:val="24"/>
          <w:lang w:eastAsia="zh-CN"/>
        </w:rPr>
        <w:t>本次招标建安工程造</w:t>
      </w:r>
      <w:r>
        <w:rPr>
          <w:rFonts w:ascii="宋体" w:hAnsi="宋体" w:eastAsia="宋体" w:cs="宋体"/>
          <w:color w:val="auto"/>
          <w:spacing w:val="-2"/>
          <w:sz w:val="24"/>
          <w:szCs w:val="24"/>
          <w:highlight w:val="none"/>
          <w:lang w:eastAsia="zh-CN"/>
        </w:rPr>
        <w:t>价</w:t>
      </w:r>
      <w:r>
        <w:rPr>
          <w:rFonts w:hint="eastAsia" w:ascii="宋体" w:hAnsi="宋体" w:eastAsia="宋体" w:cs="宋体"/>
          <w:color w:val="auto"/>
          <w:spacing w:val="-2"/>
          <w:sz w:val="24"/>
          <w:szCs w:val="24"/>
          <w:highlight w:val="none"/>
          <w:u w:val="single"/>
          <w:lang w:val="en-US" w:eastAsia="zh-CN"/>
        </w:rPr>
        <w:t>14531570</w:t>
      </w:r>
      <w:r>
        <w:rPr>
          <w:rFonts w:hint="eastAsia" w:ascii="宋体" w:hAnsi="宋体"/>
          <w:color w:val="auto"/>
          <w:sz w:val="24"/>
          <w:szCs w:val="24"/>
          <w:u w:val="single"/>
        </w:rPr>
        <w:t>元</w:t>
      </w:r>
      <w:r>
        <w:rPr>
          <w:rFonts w:hint="eastAsia" w:ascii="宋体" w:hAnsi="宋体"/>
          <w:color w:val="auto"/>
          <w:sz w:val="24"/>
          <w:szCs w:val="24"/>
        </w:rPr>
        <w:t>。</w:t>
      </w:r>
    </w:p>
    <w:p w14:paraId="5F2B4224">
      <w:pPr>
        <w:keepNext w:val="0"/>
        <w:keepLines w:val="0"/>
        <w:pageBreakBefore w:val="0"/>
        <w:wordWrap/>
        <w:overflowPunct/>
        <w:topLinePunct w:val="0"/>
        <w:bidi w:val="0"/>
        <w:spacing w:before="37" w:line="360" w:lineRule="auto"/>
        <w:ind w:right="440" w:firstLine="476" w:firstLineChars="200"/>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2.3施工总工期：</w:t>
      </w:r>
      <w:r>
        <w:rPr>
          <w:rFonts w:hint="eastAsia" w:ascii="宋体" w:hAnsi="宋体" w:cs="宋体"/>
          <w:color w:val="auto"/>
          <w:sz w:val="24"/>
          <w:szCs w:val="24"/>
        </w:rPr>
        <w:t>不超</w:t>
      </w:r>
      <w:r>
        <w:rPr>
          <w:rFonts w:hint="eastAsia" w:ascii="宋体" w:hAnsi="宋体" w:cs="宋体"/>
          <w:color w:val="auto"/>
          <w:sz w:val="24"/>
          <w:szCs w:val="24"/>
          <w:highlight w:val="none"/>
        </w:rPr>
        <w:t>过</w:t>
      </w:r>
      <w:r>
        <w:rPr>
          <w:rFonts w:hint="eastAsia" w:ascii="宋体" w:hAnsi="宋体" w:cs="宋体"/>
          <w:color w:val="auto"/>
          <w:sz w:val="24"/>
          <w:szCs w:val="24"/>
          <w:highlight w:val="none"/>
          <w:u w:val="single"/>
          <w:lang w:val="en-US" w:eastAsia="zh-CN"/>
        </w:rPr>
        <w:t>270</w:t>
      </w:r>
      <w:r>
        <w:rPr>
          <w:rFonts w:hint="eastAsia" w:ascii="宋体" w:hAnsi="宋体" w:cs="宋体"/>
          <w:color w:val="auto"/>
          <w:sz w:val="24"/>
          <w:szCs w:val="24"/>
          <w:highlight w:val="none"/>
        </w:rPr>
        <w:t>日历天（</w:t>
      </w:r>
      <w:r>
        <w:rPr>
          <w:rFonts w:hint="eastAsia" w:ascii="宋体" w:hAnsi="宋体" w:cs="宋体"/>
          <w:color w:val="auto"/>
          <w:sz w:val="24"/>
          <w:szCs w:val="24"/>
        </w:rPr>
        <w:t>投标人在投标文件中必须明确工期天数）</w:t>
      </w:r>
      <w:r>
        <w:rPr>
          <w:rFonts w:hint="eastAsia" w:ascii="宋体" w:hAnsi="宋体"/>
          <w:color w:val="auto"/>
          <w:sz w:val="24"/>
          <w:szCs w:val="24"/>
        </w:rPr>
        <w:t>。</w:t>
      </w:r>
    </w:p>
    <w:p w14:paraId="71C87B1C">
      <w:pPr>
        <w:keepNext w:val="0"/>
        <w:keepLines w:val="0"/>
        <w:pageBreakBefore w:val="0"/>
        <w:wordWrap/>
        <w:overflowPunct/>
        <w:topLinePunct w:val="0"/>
        <w:bidi w:val="0"/>
        <w:spacing w:before="36" w:line="360" w:lineRule="auto"/>
        <w:ind w:left="490"/>
        <w:rPr>
          <w:rFonts w:ascii="宋体" w:hAnsi="宋体" w:eastAsia="宋体" w:cs="宋体"/>
          <w:color w:val="auto"/>
          <w:sz w:val="24"/>
          <w:szCs w:val="24"/>
          <w:lang w:eastAsia="zh-CN"/>
        </w:rPr>
      </w:pPr>
      <w:r>
        <w:rPr>
          <w:rFonts w:ascii="宋体" w:hAnsi="宋体" w:eastAsia="宋体" w:cs="宋体"/>
          <w:color w:val="auto"/>
          <w:spacing w:val="-5"/>
          <w:sz w:val="24"/>
          <w:szCs w:val="24"/>
          <w:lang w:eastAsia="zh-CN"/>
        </w:rPr>
        <w:t>2.4 是否属于政府采购工程□是</w:t>
      </w:r>
      <w:r>
        <w:rPr>
          <w:rFonts w:hint="eastAsia" w:ascii="宋体" w:hAnsi="宋体" w:eastAsia="宋体" w:cs="宋体"/>
          <w:color w:val="auto"/>
          <w:spacing w:val="-5"/>
          <w:sz w:val="24"/>
          <w:szCs w:val="24"/>
          <w:lang w:eastAsia="zh-CN"/>
        </w:rPr>
        <w:t>☑</w:t>
      </w:r>
      <w:r>
        <w:rPr>
          <w:rFonts w:ascii="宋体" w:hAnsi="宋体" w:eastAsia="宋体" w:cs="宋体"/>
          <w:color w:val="auto"/>
          <w:spacing w:val="-5"/>
          <w:sz w:val="24"/>
          <w:szCs w:val="24"/>
          <w:lang w:eastAsia="zh-CN"/>
        </w:rPr>
        <w:t>否</w:t>
      </w:r>
    </w:p>
    <w:p w14:paraId="66AA540B">
      <w:pPr>
        <w:keepNext w:val="0"/>
        <w:keepLines w:val="0"/>
        <w:pageBreakBefore w:val="0"/>
        <w:wordWrap/>
        <w:overflowPunct/>
        <w:topLinePunct w:val="0"/>
        <w:bidi w:val="0"/>
        <w:spacing w:before="167" w:line="360" w:lineRule="auto"/>
        <w:ind w:left="511" w:right="5081" w:hanging="21"/>
        <w:rPr>
          <w:rFonts w:ascii="宋体" w:hAnsi="宋体" w:eastAsia="宋体" w:cs="宋体"/>
          <w:color w:val="auto"/>
          <w:spacing w:val="-1"/>
          <w:sz w:val="24"/>
          <w:szCs w:val="24"/>
          <w:lang w:eastAsia="zh-CN"/>
        </w:rPr>
      </w:pPr>
      <w:r>
        <w:rPr>
          <w:rFonts w:ascii="宋体" w:hAnsi="宋体" w:eastAsia="宋体" w:cs="宋体"/>
          <w:color w:val="auto"/>
          <w:spacing w:val="-1"/>
          <w:sz w:val="24"/>
          <w:szCs w:val="24"/>
          <w:lang w:eastAsia="zh-CN"/>
        </w:rPr>
        <w:t>2.5 是否专门面向中小企业留</w:t>
      </w:r>
    </w:p>
    <w:p w14:paraId="734975C6">
      <w:pPr>
        <w:keepNext w:val="0"/>
        <w:keepLines w:val="0"/>
        <w:pageBreakBefore w:val="0"/>
        <w:wordWrap/>
        <w:overflowPunct/>
        <w:topLinePunct w:val="0"/>
        <w:bidi w:val="0"/>
        <w:spacing w:before="167" w:line="360" w:lineRule="auto"/>
        <w:ind w:left="511" w:right="5081" w:hanging="21"/>
        <w:rPr>
          <w:rFonts w:ascii="宋体" w:hAnsi="宋体" w:eastAsia="宋体" w:cs="宋体"/>
          <w:color w:val="auto"/>
          <w:sz w:val="24"/>
          <w:szCs w:val="24"/>
          <w:lang w:eastAsia="zh-CN"/>
        </w:rPr>
      </w:pPr>
      <w:r>
        <w:rPr>
          <w:rFonts w:ascii="宋体" w:hAnsi="宋体" w:eastAsia="宋体" w:cs="宋体"/>
          <w:color w:val="auto"/>
          <w:spacing w:val="-17"/>
          <w:sz w:val="24"/>
          <w:szCs w:val="24"/>
          <w:lang w:eastAsia="zh-CN"/>
        </w:rPr>
        <w:t>□是</w:t>
      </w:r>
    </w:p>
    <w:p w14:paraId="0FD9DEE0">
      <w:pPr>
        <w:keepNext w:val="0"/>
        <w:keepLines w:val="0"/>
        <w:widowControl/>
        <w:suppressLineNumbers w:val="0"/>
        <w:ind w:firstLine="472" w:firstLineChars="200"/>
        <w:jc w:val="left"/>
      </w:pPr>
      <w:r>
        <w:rPr>
          <w:rFonts w:hint="eastAsia" w:ascii="宋体" w:hAnsi="宋体" w:eastAsia="宋体" w:cs="宋体"/>
          <w:color w:val="auto"/>
          <w:spacing w:val="-2"/>
          <w:sz w:val="24"/>
          <w:szCs w:val="24"/>
          <w:lang w:eastAsia="zh-CN"/>
        </w:rPr>
        <w:t>☑</w:t>
      </w:r>
      <w:r>
        <w:rPr>
          <w:rFonts w:ascii="宋体" w:hAnsi="宋体" w:eastAsia="宋体" w:cs="宋体"/>
          <w:color w:val="auto"/>
          <w:spacing w:val="-2"/>
          <w:sz w:val="24"/>
          <w:szCs w:val="24"/>
          <w:lang w:eastAsia="zh-CN"/>
        </w:rPr>
        <w:t xml:space="preserve">否 </w:t>
      </w:r>
      <w:r>
        <w:rPr>
          <w:rFonts w:hint="eastAsia" w:ascii="宋体" w:hAnsi="宋体" w:eastAsia="宋体" w:cs="宋体"/>
          <w:color w:val="000000"/>
          <w:kern w:val="0"/>
          <w:sz w:val="24"/>
          <w:szCs w:val="24"/>
          <w:lang w:val="en-US" w:eastAsia="zh-CN" w:bidi="ar"/>
        </w:rPr>
        <w:t xml:space="preserve">（本项目不属于政府采购项目，不适用浙江省财政厅等6部门《关于政府采 </w:t>
      </w:r>
    </w:p>
    <w:p w14:paraId="3063B2CE">
      <w:pPr>
        <w:keepNext w:val="0"/>
        <w:keepLines w:val="0"/>
        <w:widowControl/>
        <w:suppressLineNumbers w:val="0"/>
        <w:jc w:val="left"/>
        <w:rPr>
          <w:rFonts w:ascii="宋体" w:hAnsi="宋体" w:eastAsia="宋体" w:cs="宋体"/>
          <w:color w:val="auto"/>
          <w:sz w:val="24"/>
          <w:szCs w:val="24"/>
          <w:lang w:eastAsia="zh-CN"/>
        </w:rPr>
      </w:pPr>
      <w:r>
        <w:rPr>
          <w:rFonts w:hint="eastAsia" w:ascii="宋体" w:hAnsi="宋体" w:eastAsia="宋体" w:cs="宋体"/>
          <w:color w:val="000000"/>
          <w:kern w:val="0"/>
          <w:sz w:val="24"/>
          <w:szCs w:val="24"/>
          <w:lang w:val="en-US" w:eastAsia="zh-CN" w:bidi="ar"/>
        </w:rPr>
        <w:t>购工程落实支持中小企业发展政策的通知》等文件，故不面向中小企业）</w:t>
      </w:r>
    </w:p>
    <w:p w14:paraId="77BE9201">
      <w:pPr>
        <w:keepNext w:val="0"/>
        <w:keepLines w:val="0"/>
        <w:pageBreakBefore w:val="0"/>
        <w:wordWrap/>
        <w:overflowPunct/>
        <w:topLinePunct w:val="0"/>
        <w:bidi w:val="0"/>
        <w:spacing w:before="2" w:line="360" w:lineRule="auto"/>
        <w:ind w:left="17"/>
        <w:rPr>
          <w:rFonts w:ascii="宋体" w:hAnsi="宋体" w:eastAsia="宋体" w:cs="宋体"/>
          <w:color w:val="auto"/>
          <w:sz w:val="31"/>
          <w:szCs w:val="31"/>
          <w:lang w:eastAsia="zh-CN"/>
        </w:rPr>
      </w:pPr>
      <w:r>
        <w:rPr>
          <w:rFonts w:ascii="宋体" w:hAnsi="宋体" w:eastAsia="宋体" w:cs="宋体"/>
          <w:b/>
          <w:bCs/>
          <w:color w:val="auto"/>
          <w:spacing w:val="4"/>
          <w:sz w:val="31"/>
          <w:szCs w:val="31"/>
          <w:lang w:eastAsia="zh-CN"/>
        </w:rPr>
        <w:t>3.投标人资格要求</w:t>
      </w:r>
    </w:p>
    <w:p w14:paraId="6D7F3EE8">
      <w:pPr>
        <w:keepNext w:val="0"/>
        <w:keepLines w:val="0"/>
        <w:pageBreakBefore w:val="0"/>
        <w:wordWrap/>
        <w:overflowPunct/>
        <w:topLinePunct w:val="0"/>
        <w:bidi w:val="0"/>
        <w:spacing w:before="114" w:line="360" w:lineRule="auto"/>
        <w:ind w:left="499"/>
        <w:rPr>
          <w:rFonts w:ascii="宋体" w:hAnsi="宋体" w:eastAsia="宋体" w:cs="宋体"/>
          <w:color w:val="auto"/>
          <w:sz w:val="24"/>
          <w:szCs w:val="24"/>
          <w:lang w:eastAsia="zh-CN"/>
        </w:rPr>
      </w:pPr>
      <w:r>
        <w:rPr>
          <w:rFonts w:ascii="宋体" w:hAnsi="宋体" w:eastAsia="宋体" w:cs="宋体"/>
          <w:color w:val="auto"/>
          <w:spacing w:val="-3"/>
          <w:sz w:val="24"/>
          <w:szCs w:val="24"/>
          <w:lang w:eastAsia="zh-CN"/>
        </w:rPr>
        <w:t>（一）投标人：</w:t>
      </w:r>
    </w:p>
    <w:p w14:paraId="76BA123D">
      <w:pPr>
        <w:keepNext w:val="0"/>
        <w:keepLines w:val="0"/>
        <w:pageBreakBefore w:val="0"/>
        <w:wordWrap/>
        <w:overflowPunct/>
        <w:topLinePunct w:val="0"/>
        <w:bidi w:val="0"/>
        <w:spacing w:before="167" w:line="360" w:lineRule="auto"/>
        <w:ind w:right="11" w:firstLine="512"/>
        <w:rPr>
          <w:rFonts w:hint="default" w:ascii="宋体" w:hAnsi="宋体" w:eastAsia="宋体" w:cs="宋体"/>
          <w:color w:val="auto"/>
          <w:sz w:val="25"/>
          <w:szCs w:val="25"/>
          <w:lang w:val="en-US" w:eastAsia="zh-CN"/>
        </w:rPr>
      </w:pPr>
      <w:r>
        <w:rPr>
          <w:rFonts w:hint="eastAsia" w:ascii="宋体" w:hAnsi="宋体" w:eastAsia="宋体" w:cs="宋体"/>
          <w:color w:val="auto"/>
          <w:spacing w:val="-3"/>
          <w:sz w:val="24"/>
          <w:szCs w:val="24"/>
          <w:lang w:eastAsia="zh-CN"/>
        </w:rPr>
        <w:t>☑</w:t>
      </w:r>
      <w:r>
        <w:rPr>
          <w:rFonts w:ascii="宋体" w:hAnsi="宋体" w:eastAsia="宋体" w:cs="宋体"/>
          <w:color w:val="auto"/>
          <w:spacing w:val="-3"/>
          <w:sz w:val="24"/>
          <w:szCs w:val="24"/>
          <w:lang w:eastAsia="zh-CN"/>
        </w:rPr>
        <w:t>3.1具备</w:t>
      </w:r>
      <w:r>
        <w:rPr>
          <w:rFonts w:hint="eastAsia" w:ascii="宋体" w:hAnsi="宋体" w:eastAsia="宋体" w:cs="宋体"/>
          <w:b w:val="0"/>
          <w:bCs w:val="0"/>
          <w:i w:val="0"/>
          <w:iCs w:val="0"/>
          <w:color w:val="auto"/>
          <w:spacing w:val="16"/>
          <w:sz w:val="24"/>
          <w:szCs w:val="24"/>
          <w:u w:val="single"/>
          <w:lang w:eastAsia="zh-CN"/>
        </w:rPr>
        <w:t>建筑施工总承包三级及以上</w:t>
      </w:r>
      <w:r>
        <w:rPr>
          <w:rFonts w:ascii="宋体" w:hAnsi="宋体" w:eastAsia="宋体" w:cs="宋体"/>
          <w:color w:val="auto"/>
          <w:spacing w:val="-3"/>
          <w:sz w:val="24"/>
          <w:szCs w:val="24"/>
          <w:lang w:eastAsia="zh-CN"/>
        </w:rPr>
        <w:t>资质</w:t>
      </w:r>
      <w:r>
        <w:rPr>
          <w:rFonts w:ascii="宋体" w:hAnsi="宋体" w:eastAsia="宋体" w:cs="宋体"/>
          <w:color w:val="auto"/>
          <w:spacing w:val="16"/>
          <w:sz w:val="24"/>
          <w:szCs w:val="24"/>
          <w:lang w:eastAsia="zh-CN"/>
        </w:rPr>
        <w:t>；</w:t>
      </w:r>
      <w:r>
        <w:rPr>
          <w:rFonts w:ascii="宋体" w:hAnsi="宋体" w:eastAsia="宋体" w:cs="宋体"/>
          <w:b w:val="0"/>
          <w:bCs w:val="0"/>
          <w:i w:val="0"/>
          <w:iCs w:val="0"/>
          <w:color w:val="auto"/>
          <w:spacing w:val="16"/>
          <w:sz w:val="25"/>
          <w:szCs w:val="25"/>
          <w:u w:val="single"/>
          <w:lang w:eastAsia="zh-CN"/>
        </w:rPr>
        <w:t>（</w:t>
      </w:r>
      <w:r>
        <w:rPr>
          <w:rFonts w:ascii="宋体" w:hAnsi="宋体" w:eastAsia="宋体" w:cs="宋体"/>
          <w:b w:val="0"/>
          <w:bCs w:val="0"/>
          <w:i w:val="0"/>
          <w:iCs w:val="0"/>
          <w:color w:val="auto"/>
          <w:spacing w:val="-3"/>
          <w:sz w:val="25"/>
          <w:szCs w:val="25"/>
          <w:u w:val="single"/>
          <w:lang w:eastAsia="zh-CN"/>
        </w:rPr>
        <w:t>对应资质应在“浙江省建筑市</w:t>
      </w:r>
      <w:r>
        <w:rPr>
          <w:rFonts w:ascii="宋体" w:hAnsi="宋体" w:eastAsia="宋体" w:cs="宋体"/>
          <w:b w:val="0"/>
          <w:bCs w:val="0"/>
          <w:i w:val="0"/>
          <w:iCs w:val="0"/>
          <w:color w:val="auto"/>
          <w:spacing w:val="-4"/>
          <w:sz w:val="25"/>
          <w:szCs w:val="25"/>
          <w:u w:val="single"/>
          <w:lang w:eastAsia="zh-CN"/>
        </w:rPr>
        <w:t>场监管公共服务系</w:t>
      </w:r>
      <w:r>
        <w:rPr>
          <w:rFonts w:ascii="宋体" w:hAnsi="宋体" w:eastAsia="宋体" w:cs="宋体"/>
          <w:b w:val="0"/>
          <w:bCs w:val="0"/>
          <w:i w:val="0"/>
          <w:iCs w:val="0"/>
          <w:color w:val="auto"/>
          <w:spacing w:val="-7"/>
          <w:sz w:val="25"/>
          <w:szCs w:val="25"/>
          <w:u w:val="single"/>
          <w:lang w:eastAsia="zh-CN"/>
        </w:rPr>
        <w:t>统”上资质动态核查结果处于“合格”状态）</w:t>
      </w:r>
      <w:r>
        <w:rPr>
          <w:rFonts w:hint="eastAsia" w:ascii="宋体" w:hAnsi="宋体" w:eastAsia="宋体" w:cs="宋体"/>
          <w:b w:val="0"/>
          <w:bCs w:val="0"/>
          <w:i w:val="0"/>
          <w:iCs w:val="0"/>
          <w:color w:val="auto"/>
          <w:spacing w:val="-7"/>
          <w:sz w:val="25"/>
          <w:szCs w:val="25"/>
          <w:u w:val="single"/>
          <w:lang w:val="en-US" w:eastAsia="zh-CN"/>
        </w:rPr>
        <w:t>；</w:t>
      </w:r>
    </w:p>
    <w:p w14:paraId="1B606449">
      <w:pPr>
        <w:keepNext w:val="0"/>
        <w:keepLines w:val="0"/>
        <w:pageBreakBefore w:val="0"/>
        <w:wordWrap/>
        <w:overflowPunct/>
        <w:topLinePunct w:val="0"/>
        <w:bidi w:val="0"/>
        <w:spacing w:before="35" w:line="360" w:lineRule="auto"/>
        <w:ind w:left="8" w:right="77" w:firstLine="503"/>
        <w:jc w:val="both"/>
        <w:rPr>
          <w:rFonts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w:t>
      </w:r>
      <w:r>
        <w:rPr>
          <w:rFonts w:ascii="宋体" w:hAnsi="宋体" w:eastAsia="宋体" w:cs="宋体"/>
          <w:color w:val="auto"/>
          <w:spacing w:val="1"/>
          <w:sz w:val="24"/>
          <w:szCs w:val="24"/>
          <w:lang w:eastAsia="zh-CN"/>
        </w:rPr>
        <w:t>3.2具备有效的企业安全生产许可证，企业主要负责人（法定代表人、企业经</w:t>
      </w:r>
      <w:r>
        <w:rPr>
          <w:rFonts w:ascii="宋体" w:hAnsi="宋体" w:eastAsia="宋体" w:cs="宋体"/>
          <w:color w:val="auto"/>
          <w:spacing w:val="5"/>
          <w:sz w:val="24"/>
          <w:szCs w:val="24"/>
          <w:lang w:eastAsia="zh-CN"/>
        </w:rPr>
        <w:t>理、企业分管安全生产的副经理、企业技术负责人）具有对应有效的安全生产考核</w:t>
      </w:r>
      <w:r>
        <w:rPr>
          <w:rFonts w:ascii="宋体" w:hAnsi="宋体" w:eastAsia="宋体" w:cs="宋体"/>
          <w:color w:val="auto"/>
          <w:spacing w:val="-3"/>
          <w:sz w:val="24"/>
          <w:szCs w:val="24"/>
          <w:lang w:eastAsia="zh-CN"/>
        </w:rPr>
        <w:t>合格证书；</w:t>
      </w:r>
    </w:p>
    <w:p w14:paraId="48AE97ED">
      <w:pPr>
        <w:pStyle w:val="8"/>
        <w:keepNext w:val="0"/>
        <w:keepLines w:val="0"/>
        <w:pageBreakBefore w:val="0"/>
        <w:widowControl w:val="0"/>
        <w:tabs>
          <w:tab w:val="left" w:pos="1343"/>
          <w:tab w:val="left" w:pos="2697"/>
          <w:tab w:val="left" w:pos="3264"/>
          <w:tab w:val="left" w:pos="5370"/>
          <w:tab w:val="left" w:pos="6005"/>
          <w:tab w:val="left" w:pos="7085"/>
          <w:tab w:val="left" w:pos="7498"/>
        </w:tabs>
        <w:kinsoku/>
        <w:wordWrap/>
        <w:overflowPunct/>
        <w:topLinePunct w:val="0"/>
        <w:bidi w:val="0"/>
        <w:adjustRightInd/>
        <w:snapToGrid/>
        <w:spacing w:line="360" w:lineRule="auto"/>
        <w:ind w:left="0" w:firstLine="472" w:firstLineChars="200"/>
        <w:jc w:val="both"/>
        <w:rPr>
          <w:rFonts w:hint="eastAsia" w:ascii="宋体" w:hAnsi="宋体" w:eastAsia="宋体" w:cs="宋体"/>
          <w:i/>
          <w:iCs/>
          <w:color w:val="auto"/>
          <w:sz w:val="24"/>
          <w:szCs w:val="24"/>
          <w:lang w:eastAsia="zh-CN"/>
        </w:rPr>
      </w:pPr>
      <w:r>
        <w:rPr>
          <w:rFonts w:ascii="宋体" w:hAnsi="宋体" w:eastAsia="宋体" w:cs="宋体"/>
          <w:color w:val="auto"/>
          <w:spacing w:val="-2"/>
          <w:sz w:val="24"/>
          <w:szCs w:val="24"/>
          <w:lang w:eastAsia="zh-CN"/>
        </w:rPr>
        <w:t>□</w:t>
      </w:r>
      <w:r>
        <w:rPr>
          <w:rFonts w:hint="eastAsia" w:ascii="宋体" w:hAnsi="宋体" w:eastAsia="宋体" w:cs="宋体"/>
          <w:color w:val="auto"/>
          <w:sz w:val="24"/>
          <w:szCs w:val="24"/>
          <w:lang w:eastAsia="zh-CN"/>
        </w:rPr>
        <w:t>3.3自</w:t>
      </w:r>
      <w:r>
        <w:rPr>
          <w:rFonts w:hint="eastAsia" w:ascii="宋体" w:hAnsi="宋体" w:eastAsia="宋体" w:cs="宋体"/>
          <w:color w:val="auto"/>
          <w:sz w:val="24"/>
          <w:szCs w:val="24"/>
          <w:u w:val="single"/>
          <w:lang w:eastAsia="zh-CN"/>
        </w:rPr>
        <w:t xml:space="preserve">  </w:t>
      </w:r>
      <w:r>
        <w:rPr>
          <w:rFonts w:hint="eastAsia" w:ascii="宋体" w:hAnsi="宋体" w:eastAsia="宋体" w:cs="宋体"/>
          <w:color w:val="auto"/>
          <w:sz w:val="24"/>
          <w:szCs w:val="24"/>
          <w:u w:val="single"/>
          <w:lang w:val="en-US" w:eastAsia="zh-CN"/>
        </w:rPr>
        <w:t>/</w:t>
      </w:r>
      <w:r>
        <w:rPr>
          <w:rFonts w:hint="eastAsia" w:ascii="宋体" w:hAnsi="宋体" w:eastAsia="宋体" w:cs="宋体"/>
          <w:color w:val="auto"/>
          <w:sz w:val="24"/>
          <w:szCs w:val="24"/>
          <w:u w:val="single"/>
          <w:lang w:eastAsia="zh-CN"/>
        </w:rPr>
        <w:t xml:space="preserve">   </w:t>
      </w:r>
      <w:r>
        <w:rPr>
          <w:rFonts w:hint="eastAsia" w:ascii="宋体" w:hAnsi="宋体" w:eastAsia="宋体" w:cs="宋体"/>
          <w:color w:val="auto"/>
          <w:sz w:val="24"/>
          <w:szCs w:val="24"/>
          <w:lang w:eastAsia="zh-CN"/>
        </w:rPr>
        <w:t>年</w:t>
      </w:r>
      <w:r>
        <w:rPr>
          <w:rFonts w:hint="eastAsia" w:ascii="宋体" w:hAnsi="宋体" w:eastAsia="宋体" w:cs="宋体"/>
          <w:color w:val="auto"/>
          <w:sz w:val="24"/>
          <w:szCs w:val="24"/>
          <w:u w:val="single"/>
          <w:lang w:eastAsia="zh-CN"/>
        </w:rPr>
        <w:t xml:space="preserve">  </w:t>
      </w:r>
      <w:r>
        <w:rPr>
          <w:rFonts w:hint="eastAsia" w:ascii="宋体" w:hAnsi="宋体" w:eastAsia="宋体" w:cs="宋体"/>
          <w:color w:val="auto"/>
          <w:sz w:val="24"/>
          <w:szCs w:val="24"/>
          <w:u w:val="single"/>
          <w:lang w:val="en-US" w:eastAsia="zh-CN"/>
        </w:rPr>
        <w:t>/</w:t>
      </w:r>
      <w:r>
        <w:rPr>
          <w:rFonts w:hint="eastAsia" w:ascii="宋体" w:hAnsi="宋体" w:eastAsia="宋体" w:cs="宋体"/>
          <w:color w:val="auto"/>
          <w:sz w:val="24"/>
          <w:szCs w:val="24"/>
          <w:u w:val="single"/>
          <w:lang w:eastAsia="zh-CN"/>
        </w:rPr>
        <w:t xml:space="preserve">  </w:t>
      </w:r>
      <w:r>
        <w:rPr>
          <w:rFonts w:hint="eastAsia" w:ascii="宋体" w:hAnsi="宋体" w:eastAsia="宋体" w:cs="宋体"/>
          <w:color w:val="auto"/>
          <w:sz w:val="24"/>
          <w:szCs w:val="24"/>
          <w:lang w:eastAsia="zh-CN"/>
        </w:rPr>
        <w:t>月</w:t>
      </w:r>
      <w:r>
        <w:rPr>
          <w:rFonts w:hint="eastAsia" w:ascii="宋体" w:hAnsi="宋体" w:eastAsia="宋体" w:cs="宋体"/>
          <w:color w:val="auto"/>
          <w:sz w:val="24"/>
          <w:szCs w:val="24"/>
          <w:u w:val="single"/>
          <w:lang w:eastAsia="zh-CN"/>
        </w:rPr>
        <w:t xml:space="preserve">  </w:t>
      </w:r>
      <w:r>
        <w:rPr>
          <w:rFonts w:hint="eastAsia" w:ascii="宋体" w:hAnsi="宋体" w:eastAsia="宋体" w:cs="宋体"/>
          <w:color w:val="auto"/>
          <w:sz w:val="24"/>
          <w:szCs w:val="24"/>
          <w:u w:val="single"/>
          <w:lang w:val="en-US" w:eastAsia="zh-CN"/>
        </w:rPr>
        <w:t>/</w:t>
      </w:r>
      <w:r>
        <w:rPr>
          <w:rFonts w:hint="eastAsia" w:ascii="宋体" w:hAnsi="宋体" w:eastAsia="宋体" w:cs="宋体"/>
          <w:color w:val="auto"/>
          <w:sz w:val="24"/>
          <w:szCs w:val="24"/>
          <w:u w:val="single"/>
          <w:lang w:eastAsia="zh-CN"/>
        </w:rPr>
        <w:t xml:space="preserve">  </w:t>
      </w:r>
      <w:r>
        <w:rPr>
          <w:rFonts w:hint="eastAsia" w:ascii="宋体" w:hAnsi="宋体" w:eastAsia="宋体" w:cs="宋体"/>
          <w:color w:val="auto"/>
          <w:sz w:val="24"/>
          <w:szCs w:val="24"/>
          <w:lang w:eastAsia="zh-CN"/>
        </w:rPr>
        <w:t>日以来</w:t>
      </w:r>
      <w:r>
        <w:rPr>
          <w:rFonts w:hint="eastAsia" w:ascii="宋体" w:hAnsi="宋体" w:eastAsia="宋体" w:cs="宋体"/>
          <w:i/>
          <w:iCs/>
          <w:color w:val="auto"/>
          <w:sz w:val="24"/>
          <w:szCs w:val="24"/>
          <w:lang w:eastAsia="zh-CN"/>
        </w:rPr>
        <w:t>□承接过/□完成过</w:t>
      </w:r>
      <w:r>
        <w:rPr>
          <w:rFonts w:hint="eastAsia" w:ascii="宋体" w:hAnsi="宋体" w:eastAsia="宋体" w:cs="宋体"/>
          <w:i/>
          <w:iCs/>
          <w:color w:val="auto"/>
          <w:sz w:val="24"/>
          <w:szCs w:val="24"/>
          <w:u w:val="single"/>
          <w:lang w:eastAsia="zh-CN"/>
        </w:rPr>
        <w:tab/>
      </w:r>
      <w:r>
        <w:rPr>
          <w:rFonts w:hint="eastAsia" w:ascii="宋体" w:hAnsi="宋体" w:eastAsia="宋体" w:cs="宋体"/>
          <w:i/>
          <w:iCs/>
          <w:color w:val="auto"/>
          <w:sz w:val="24"/>
          <w:szCs w:val="24"/>
          <w:u w:val="single"/>
          <w:lang w:eastAsia="zh-CN"/>
        </w:rPr>
        <w:t xml:space="preserve"> </w:t>
      </w:r>
      <w:r>
        <w:rPr>
          <w:rFonts w:hint="eastAsia" w:ascii="宋体" w:hAnsi="宋体" w:eastAsia="宋体" w:cs="宋体"/>
          <w:i/>
          <w:iCs/>
          <w:color w:val="auto"/>
          <w:sz w:val="24"/>
          <w:szCs w:val="24"/>
          <w:u w:val="single"/>
          <w:lang w:val="en-US" w:eastAsia="zh-CN"/>
        </w:rPr>
        <w:t>/</w:t>
      </w:r>
      <w:r>
        <w:rPr>
          <w:rFonts w:hint="eastAsia" w:ascii="宋体" w:hAnsi="宋体" w:eastAsia="宋体" w:cs="宋体"/>
          <w:i/>
          <w:iCs/>
          <w:color w:val="auto"/>
          <w:sz w:val="24"/>
          <w:szCs w:val="24"/>
          <w:u w:val="single"/>
          <w:lang w:eastAsia="zh-CN"/>
        </w:rPr>
        <w:t xml:space="preserve">     </w:t>
      </w:r>
      <w:r>
        <w:rPr>
          <w:rFonts w:hint="eastAsia" w:ascii="宋体" w:hAnsi="宋体" w:eastAsia="宋体" w:cs="宋体"/>
          <w:i/>
          <w:iCs/>
          <w:color w:val="auto"/>
          <w:sz w:val="24"/>
          <w:szCs w:val="24"/>
          <w:lang w:eastAsia="zh-CN"/>
        </w:rPr>
        <w:t>业绩；</w:t>
      </w:r>
    </w:p>
    <w:p w14:paraId="2AE0CDC5">
      <w:pPr>
        <w:keepNext w:val="0"/>
        <w:keepLines w:val="0"/>
        <w:pageBreakBefore w:val="0"/>
        <w:widowControl w:val="0"/>
        <w:tabs>
          <w:tab w:val="left" w:pos="1343"/>
          <w:tab w:val="left" w:pos="2697"/>
          <w:tab w:val="left" w:pos="3264"/>
          <w:tab w:val="left" w:pos="4896"/>
          <w:tab w:val="left" w:pos="6005"/>
          <w:tab w:val="left" w:pos="7085"/>
          <w:tab w:val="left" w:pos="7498"/>
        </w:tabs>
        <w:wordWrap/>
        <w:overflowPunct/>
        <w:topLinePunct w:val="0"/>
        <w:autoSpaceDE w:val="0"/>
        <w:autoSpaceDN w:val="0"/>
        <w:bidi w:val="0"/>
        <w:adjustRightInd/>
        <w:spacing w:line="360" w:lineRule="auto"/>
        <w:ind w:left="0" w:firstLine="480" w:firstLineChars="200"/>
        <w:jc w:val="both"/>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3.4本次招标□接受/☑不接受联合体投标；</w:t>
      </w:r>
    </w:p>
    <w:p w14:paraId="1DF2FD59">
      <w:pPr>
        <w:keepNext w:val="0"/>
        <w:keepLines w:val="0"/>
        <w:pageBreakBefore w:val="0"/>
        <w:widowControl w:val="0"/>
        <w:tabs>
          <w:tab w:val="left" w:pos="1343"/>
          <w:tab w:val="left" w:pos="2697"/>
          <w:tab w:val="left" w:pos="3264"/>
          <w:tab w:val="left" w:pos="4896"/>
          <w:tab w:val="left" w:pos="6005"/>
          <w:tab w:val="left" w:pos="7085"/>
          <w:tab w:val="left" w:pos="7498"/>
        </w:tabs>
        <w:wordWrap/>
        <w:overflowPunct/>
        <w:topLinePunct w:val="0"/>
        <w:autoSpaceDE w:val="0"/>
        <w:autoSpaceDN w:val="0"/>
        <w:bidi w:val="0"/>
        <w:adjustRightInd w:val="0"/>
        <w:spacing w:line="360" w:lineRule="auto"/>
        <w:ind w:left="520"/>
        <w:jc w:val="both"/>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联合体投标的应满足下列要求：</w:t>
      </w:r>
      <w:r>
        <w:rPr>
          <w:rFonts w:hint="eastAsia" w:ascii="宋体" w:hAnsi="宋体" w:eastAsia="宋体" w:cs="宋体"/>
          <w:color w:val="auto"/>
          <w:sz w:val="24"/>
          <w:szCs w:val="24"/>
          <w:u w:val="single"/>
          <w:lang w:val="en-US" w:eastAsia="zh-CN" w:bidi="ar-SA"/>
        </w:rPr>
        <w:t xml:space="preserve">          /            </w:t>
      </w:r>
      <w:r>
        <w:rPr>
          <w:rFonts w:hint="eastAsia" w:ascii="宋体" w:hAnsi="宋体" w:eastAsia="宋体" w:cs="宋体"/>
          <w:color w:val="auto"/>
          <w:sz w:val="24"/>
          <w:szCs w:val="24"/>
          <w:lang w:val="en-US" w:eastAsia="zh-CN" w:bidi="ar-SA"/>
        </w:rPr>
        <w:t xml:space="preserve"> ；</w:t>
      </w:r>
    </w:p>
    <w:p w14:paraId="29BAD8F4">
      <w:pPr>
        <w:keepNext w:val="0"/>
        <w:keepLines w:val="0"/>
        <w:pageBreakBefore w:val="0"/>
        <w:widowControl w:val="0"/>
        <w:tabs>
          <w:tab w:val="left" w:pos="1343"/>
          <w:tab w:val="left" w:pos="2697"/>
          <w:tab w:val="left" w:pos="3264"/>
          <w:tab w:val="left" w:pos="4896"/>
          <w:tab w:val="left" w:pos="6005"/>
          <w:tab w:val="left" w:pos="7085"/>
          <w:tab w:val="left" w:pos="7498"/>
        </w:tabs>
        <w:wordWrap/>
        <w:overflowPunct/>
        <w:topLinePunct w:val="0"/>
        <w:autoSpaceDE w:val="0"/>
        <w:autoSpaceDN w:val="0"/>
        <w:bidi w:val="0"/>
        <w:adjustRightInd/>
        <w:spacing w:line="360" w:lineRule="auto"/>
        <w:ind w:left="0" w:firstLine="480" w:firstLineChars="200"/>
        <w:jc w:val="both"/>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□3.5</w:t>
      </w:r>
      <w:r>
        <w:rPr>
          <w:rFonts w:hint="eastAsia" w:ascii="宋体" w:hAnsi="宋体" w:eastAsia="宋体" w:cs="宋体"/>
          <w:color w:val="auto"/>
          <w:sz w:val="24"/>
          <w:szCs w:val="24"/>
          <w:u w:val="single"/>
          <w:lang w:val="en-US" w:eastAsia="zh-CN" w:bidi="ar-SA"/>
        </w:rPr>
        <w:t xml:space="preserve">  </w:t>
      </w:r>
      <w:r>
        <w:rPr>
          <w:rFonts w:hint="eastAsia" w:ascii="宋体" w:hAnsi="宋体" w:eastAsia="宋体" w:cs="宋体"/>
          <w:i/>
          <w:iCs/>
          <w:color w:val="auto"/>
          <w:sz w:val="24"/>
          <w:szCs w:val="24"/>
          <w:u w:val="single"/>
          <w:lang w:val="en-US" w:eastAsia="zh-CN" w:bidi="ar-SA"/>
        </w:rPr>
        <w:t>（招标人需要增加的、符合法律法规的其他要求）</w:t>
      </w:r>
      <w:r>
        <w:rPr>
          <w:rFonts w:hint="eastAsia" w:ascii="宋体" w:hAnsi="宋体" w:eastAsia="宋体" w:cs="宋体"/>
          <w:color w:val="auto"/>
          <w:sz w:val="24"/>
          <w:szCs w:val="24"/>
          <w:lang w:val="en-US" w:eastAsia="zh-CN" w:bidi="ar-SA"/>
        </w:rPr>
        <w:t>；</w:t>
      </w:r>
    </w:p>
    <w:p w14:paraId="17C90735">
      <w:pPr>
        <w:keepNext w:val="0"/>
        <w:keepLines w:val="0"/>
        <w:pageBreakBefore w:val="0"/>
        <w:widowControl w:val="0"/>
        <w:tabs>
          <w:tab w:val="left" w:pos="1343"/>
          <w:tab w:val="left" w:pos="2697"/>
          <w:tab w:val="left" w:pos="3264"/>
          <w:tab w:val="left" w:pos="4896"/>
          <w:tab w:val="left" w:pos="6005"/>
          <w:tab w:val="left" w:pos="7085"/>
          <w:tab w:val="left" w:pos="7498"/>
        </w:tabs>
        <w:wordWrap/>
        <w:overflowPunct/>
        <w:topLinePunct w:val="0"/>
        <w:autoSpaceDE w:val="0"/>
        <w:autoSpaceDN w:val="0"/>
        <w:bidi w:val="0"/>
        <w:adjustRightInd/>
        <w:spacing w:line="360" w:lineRule="auto"/>
        <w:ind w:left="0" w:firstLine="480" w:firstLineChars="200"/>
        <w:jc w:val="both"/>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□3.6面向中小企业招标的，投标人（或联合体中的中小企业）须为中小企业，并提供《中小企业声明函》。</w:t>
      </w:r>
    </w:p>
    <w:p w14:paraId="2230CAEA">
      <w:pPr>
        <w:keepNext w:val="0"/>
        <w:keepLines w:val="0"/>
        <w:pageBreakBefore w:val="0"/>
        <w:wordWrap/>
        <w:overflowPunct/>
        <w:topLinePunct w:val="0"/>
        <w:bidi w:val="0"/>
        <w:spacing w:before="34" w:line="360" w:lineRule="auto"/>
        <w:ind w:left="422"/>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（二）拟派项目负责人：</w:t>
      </w:r>
    </w:p>
    <w:p w14:paraId="7625AA55">
      <w:pPr>
        <w:keepNext w:val="0"/>
        <w:keepLines w:val="0"/>
        <w:pageBreakBefore w:val="0"/>
        <w:wordWrap/>
        <w:overflowPunct/>
        <w:topLinePunct w:val="0"/>
        <w:bidi w:val="0"/>
        <w:spacing w:before="166" w:line="360" w:lineRule="auto"/>
        <w:ind w:right="138" w:firstLine="485"/>
        <w:rPr>
          <w:rFonts w:ascii="宋体" w:hAnsi="宋体" w:eastAsia="宋体" w:cs="宋体"/>
          <w:i w:val="0"/>
          <w:iCs w:val="0"/>
          <w:color w:val="auto"/>
          <w:sz w:val="24"/>
          <w:szCs w:val="24"/>
          <w:lang w:eastAsia="zh-CN"/>
        </w:rPr>
      </w:pPr>
      <w:r>
        <w:rPr>
          <w:rFonts w:ascii="宋体" w:hAnsi="宋体" w:eastAsia="宋体" w:cs="宋体"/>
          <w:i w:val="0"/>
          <w:iCs w:val="0"/>
          <w:color w:val="auto"/>
          <w:spacing w:val="-3"/>
          <w:sz w:val="24"/>
          <w:szCs w:val="24"/>
          <w:lang w:eastAsia="zh-CN"/>
        </w:rPr>
        <w:t>3.7拟派项目负责人具有</w:t>
      </w:r>
      <w:r>
        <w:rPr>
          <w:rFonts w:ascii="宋体" w:hAnsi="宋体" w:eastAsia="宋体" w:cs="宋体"/>
          <w:i w:val="0"/>
          <w:iCs w:val="0"/>
          <w:color w:val="auto"/>
          <w:spacing w:val="-3"/>
          <w:sz w:val="25"/>
          <w:szCs w:val="25"/>
          <w:lang w:eastAsia="zh-CN"/>
        </w:rPr>
        <w:t>注册在投标人单位的</w:t>
      </w:r>
      <w:r>
        <w:rPr>
          <w:rFonts w:ascii="宋体" w:hAnsi="宋体" w:eastAsia="宋体" w:cs="宋体"/>
          <w:i w:val="0"/>
          <w:iCs w:val="0"/>
          <w:color w:val="auto"/>
          <w:spacing w:val="-3"/>
          <w:sz w:val="25"/>
          <w:szCs w:val="25"/>
          <w:u w:val="single"/>
          <w:lang w:eastAsia="zh-CN"/>
        </w:rPr>
        <w:t>（</w:t>
      </w:r>
      <w:r>
        <w:rPr>
          <w:rFonts w:hint="eastAsia" w:eastAsia="宋体"/>
          <w:i w:val="0"/>
          <w:iCs w:val="0"/>
          <w:color w:val="auto"/>
          <w:sz w:val="24"/>
          <w:szCs w:val="24"/>
          <w:u w:val="single"/>
          <w:lang w:eastAsia="zh-CN"/>
        </w:rPr>
        <w:t>建筑工程专业二级</w:t>
      </w:r>
      <w:r>
        <w:rPr>
          <w:rFonts w:hint="eastAsia"/>
          <w:i w:val="0"/>
          <w:iCs w:val="0"/>
          <w:color w:val="auto"/>
          <w:sz w:val="24"/>
          <w:szCs w:val="24"/>
          <w:u w:val="single"/>
        </w:rPr>
        <w:t>及以上</w:t>
      </w:r>
      <w:r>
        <w:rPr>
          <w:rFonts w:ascii="宋体" w:hAnsi="宋体" w:eastAsia="宋体" w:cs="宋体"/>
          <w:i w:val="0"/>
          <w:iCs w:val="0"/>
          <w:color w:val="auto"/>
          <w:spacing w:val="-3"/>
          <w:sz w:val="25"/>
          <w:szCs w:val="25"/>
          <w:u w:val="single"/>
          <w:lang w:eastAsia="zh-CN"/>
        </w:rPr>
        <w:t>）级</w:t>
      </w:r>
      <w:r>
        <w:rPr>
          <w:rFonts w:ascii="宋体" w:hAnsi="宋体" w:eastAsia="宋体" w:cs="宋体"/>
          <w:i w:val="0"/>
          <w:iCs w:val="0"/>
          <w:color w:val="auto"/>
          <w:spacing w:val="-3"/>
          <w:sz w:val="25"/>
          <w:szCs w:val="25"/>
          <w:lang w:eastAsia="zh-CN"/>
        </w:rPr>
        <w:t>建</w:t>
      </w:r>
      <w:r>
        <w:rPr>
          <w:rFonts w:ascii="宋体" w:hAnsi="宋体" w:eastAsia="宋体" w:cs="宋体"/>
          <w:i w:val="0"/>
          <w:iCs w:val="0"/>
          <w:color w:val="auto"/>
          <w:spacing w:val="-4"/>
          <w:sz w:val="25"/>
          <w:szCs w:val="25"/>
          <w:lang w:eastAsia="zh-CN"/>
        </w:rPr>
        <w:t>造师执业资格</w:t>
      </w:r>
      <w:r>
        <w:rPr>
          <w:rFonts w:ascii="宋体" w:hAnsi="宋体" w:eastAsia="宋体" w:cs="宋体"/>
          <w:i w:val="0"/>
          <w:iCs w:val="0"/>
          <w:color w:val="auto"/>
          <w:spacing w:val="-3"/>
          <w:sz w:val="25"/>
          <w:szCs w:val="25"/>
          <w:lang w:eastAsia="zh-CN"/>
        </w:rPr>
        <w:t>(</w:t>
      </w:r>
      <w:r>
        <w:rPr>
          <w:rFonts w:ascii="宋体" w:hAnsi="宋体" w:eastAsia="宋体" w:cs="宋体"/>
          <w:i w:val="0"/>
          <w:iCs w:val="0"/>
          <w:color w:val="auto"/>
          <w:spacing w:val="-3"/>
          <w:sz w:val="24"/>
          <w:szCs w:val="24"/>
          <w:lang w:eastAsia="zh-CN"/>
        </w:rPr>
        <w:t>□</w:t>
      </w:r>
      <w:r>
        <w:rPr>
          <w:rFonts w:ascii="宋体" w:hAnsi="宋体" w:eastAsia="宋体" w:cs="宋体"/>
          <w:i w:val="0"/>
          <w:iCs w:val="0"/>
          <w:color w:val="auto"/>
          <w:spacing w:val="-3"/>
          <w:sz w:val="25"/>
          <w:szCs w:val="25"/>
          <w:lang w:eastAsia="zh-CN"/>
        </w:rPr>
        <w:t>职称</w:t>
      </w:r>
      <w:r>
        <w:rPr>
          <w:rFonts w:ascii="宋体" w:hAnsi="宋体" w:eastAsia="宋体" w:cs="宋体"/>
          <w:i w:val="0"/>
          <w:iCs w:val="0"/>
          <w:color w:val="auto"/>
          <w:spacing w:val="-29"/>
          <w:sz w:val="25"/>
          <w:szCs w:val="25"/>
          <w:lang w:eastAsia="zh-CN"/>
        </w:rPr>
        <w:t>：</w:t>
      </w:r>
      <w:r>
        <w:rPr>
          <w:rFonts w:hint="eastAsia" w:ascii="宋体" w:hAnsi="宋体" w:cs="宋体"/>
          <w:i/>
          <w:iCs/>
          <w:color w:val="auto"/>
          <w:u w:val="single"/>
        </w:rPr>
        <w:t xml:space="preserve">    </w:t>
      </w:r>
      <w:r>
        <w:rPr>
          <w:rFonts w:hint="eastAsia" w:ascii="宋体" w:hAnsi="宋体" w:cs="宋体"/>
          <w:i/>
          <w:iCs/>
          <w:color w:val="auto"/>
          <w:u w:val="single"/>
          <w:lang w:val="en-US" w:eastAsia="zh-CN"/>
        </w:rPr>
        <w:t>/</w:t>
      </w:r>
      <w:r>
        <w:rPr>
          <w:rFonts w:hint="eastAsia" w:ascii="宋体" w:hAnsi="宋体" w:cs="宋体"/>
          <w:i/>
          <w:iCs/>
          <w:color w:val="auto"/>
          <w:u w:val="single"/>
        </w:rPr>
        <w:t xml:space="preserve">      </w:t>
      </w:r>
      <w:r>
        <w:rPr>
          <w:rFonts w:ascii="宋体" w:hAnsi="宋体" w:eastAsia="宋体" w:cs="宋体"/>
          <w:i w:val="0"/>
          <w:iCs w:val="0"/>
          <w:color w:val="auto"/>
          <w:spacing w:val="-29"/>
          <w:sz w:val="25"/>
          <w:szCs w:val="25"/>
          <w:lang w:eastAsia="zh-CN"/>
        </w:rPr>
        <w:t>），</w:t>
      </w:r>
      <w:r>
        <w:rPr>
          <w:rFonts w:hint="eastAsia" w:ascii="宋体" w:hAnsi="宋体" w:eastAsia="宋体" w:cs="宋体"/>
          <w:i w:val="0"/>
          <w:iCs w:val="0"/>
          <w:color w:val="auto"/>
          <w:spacing w:val="-3"/>
          <w:sz w:val="24"/>
          <w:szCs w:val="24"/>
          <w:lang w:eastAsia="zh-CN"/>
        </w:rPr>
        <w:t>☑</w:t>
      </w:r>
      <w:r>
        <w:rPr>
          <w:rFonts w:ascii="宋体" w:hAnsi="宋体" w:eastAsia="宋体" w:cs="宋体"/>
          <w:i w:val="0"/>
          <w:iCs w:val="0"/>
          <w:color w:val="auto"/>
          <w:spacing w:val="-3"/>
          <w:sz w:val="25"/>
          <w:szCs w:val="25"/>
          <w:lang w:eastAsia="zh-CN"/>
        </w:rPr>
        <w:t>同时具有对应有效的安全生产考核合格证书。</w:t>
      </w:r>
      <w:r>
        <w:rPr>
          <w:rFonts w:ascii="宋体" w:hAnsi="宋体" w:eastAsia="宋体" w:cs="宋体"/>
          <w:i w:val="0"/>
          <w:iCs w:val="0"/>
          <w:color w:val="auto"/>
          <w:spacing w:val="-3"/>
          <w:sz w:val="24"/>
          <w:szCs w:val="24"/>
          <w:lang w:eastAsia="zh-CN"/>
        </w:rPr>
        <w:t>如在投</w:t>
      </w:r>
      <w:r>
        <w:rPr>
          <w:rFonts w:ascii="宋体" w:hAnsi="宋体" w:eastAsia="宋体" w:cs="宋体"/>
          <w:i w:val="0"/>
          <w:iCs w:val="0"/>
          <w:color w:val="auto"/>
          <w:sz w:val="24"/>
          <w:szCs w:val="24"/>
          <w:lang w:eastAsia="zh-CN"/>
        </w:rPr>
        <w:t>标截止日存在在其他任何在建合同工程（在建合同工程的开</w:t>
      </w:r>
      <w:r>
        <w:rPr>
          <w:rFonts w:ascii="宋体" w:hAnsi="宋体" w:eastAsia="宋体" w:cs="宋体"/>
          <w:i w:val="0"/>
          <w:iCs w:val="0"/>
          <w:color w:val="auto"/>
          <w:spacing w:val="-1"/>
          <w:sz w:val="24"/>
          <w:szCs w:val="24"/>
          <w:lang w:eastAsia="zh-CN"/>
        </w:rPr>
        <w:t>始时间为合同工程中标</w:t>
      </w:r>
      <w:r>
        <w:rPr>
          <w:rFonts w:ascii="宋体" w:hAnsi="宋体" w:eastAsia="宋体" w:cs="宋体"/>
          <w:i w:val="0"/>
          <w:iCs w:val="0"/>
          <w:color w:val="auto"/>
          <w:sz w:val="24"/>
          <w:szCs w:val="24"/>
          <w:lang w:eastAsia="zh-CN"/>
        </w:rPr>
        <w:t>通知书发出日期，或者不通过招标方式的则以合同签订日期</w:t>
      </w:r>
      <w:r>
        <w:rPr>
          <w:rFonts w:ascii="宋体" w:hAnsi="宋体" w:eastAsia="宋体" w:cs="宋体"/>
          <w:i w:val="0"/>
          <w:iCs w:val="0"/>
          <w:color w:val="auto"/>
          <w:spacing w:val="-1"/>
          <w:sz w:val="24"/>
          <w:szCs w:val="24"/>
          <w:lang w:eastAsia="zh-CN"/>
        </w:rPr>
        <w:t>为开始时间，结束时间</w:t>
      </w:r>
      <w:r>
        <w:rPr>
          <w:rFonts w:ascii="宋体" w:hAnsi="宋体" w:eastAsia="宋体" w:cs="宋体"/>
          <w:i w:val="0"/>
          <w:iCs w:val="0"/>
          <w:color w:val="auto"/>
          <w:sz w:val="24"/>
          <w:szCs w:val="24"/>
          <w:lang w:eastAsia="zh-CN"/>
        </w:rPr>
        <w:t>为该合同工程验收合格或合同解除日期）担任项目负责人（</w:t>
      </w:r>
      <w:r>
        <w:rPr>
          <w:rFonts w:ascii="宋体" w:hAnsi="宋体" w:eastAsia="宋体" w:cs="宋体"/>
          <w:i w:val="0"/>
          <w:iCs w:val="0"/>
          <w:color w:val="auto"/>
          <w:spacing w:val="-1"/>
          <w:sz w:val="24"/>
          <w:szCs w:val="24"/>
          <w:lang w:eastAsia="zh-CN"/>
        </w:rPr>
        <w:t>包括工程总承包项目中</w:t>
      </w:r>
      <w:r>
        <w:rPr>
          <w:rFonts w:ascii="宋体" w:hAnsi="宋体" w:eastAsia="宋体" w:cs="宋体"/>
          <w:i w:val="0"/>
          <w:iCs w:val="0"/>
          <w:color w:val="auto"/>
          <w:sz w:val="24"/>
          <w:szCs w:val="24"/>
          <w:lang w:eastAsia="zh-CN"/>
        </w:rPr>
        <w:t>的施工负责人）的，不得以拟派项目负责人</w:t>
      </w:r>
      <w:r>
        <w:rPr>
          <w:rFonts w:ascii="宋体" w:hAnsi="宋体" w:eastAsia="宋体" w:cs="宋体"/>
          <w:i w:val="0"/>
          <w:iCs w:val="0"/>
          <w:color w:val="auto"/>
          <w:spacing w:val="-1"/>
          <w:sz w:val="24"/>
          <w:szCs w:val="24"/>
          <w:lang w:eastAsia="zh-CN"/>
        </w:rPr>
        <w:t>的身份参加本次投标；</w:t>
      </w:r>
    </w:p>
    <w:p w14:paraId="322432B2">
      <w:pPr>
        <w:pStyle w:val="8"/>
        <w:keepNext w:val="0"/>
        <w:keepLines w:val="0"/>
        <w:pageBreakBefore w:val="0"/>
        <w:tabs>
          <w:tab w:val="left" w:pos="1343"/>
          <w:tab w:val="left" w:pos="2697"/>
          <w:tab w:val="left" w:pos="3264"/>
          <w:tab w:val="left" w:pos="5370"/>
          <w:tab w:val="left" w:pos="6005"/>
          <w:tab w:val="left" w:pos="7085"/>
          <w:tab w:val="left" w:pos="7498"/>
        </w:tabs>
        <w:wordWrap/>
        <w:overflowPunct/>
        <w:topLinePunct w:val="0"/>
        <w:bidi w:val="0"/>
        <w:adjustRightInd/>
        <w:spacing w:line="360" w:lineRule="auto"/>
        <w:ind w:left="0" w:firstLine="480" w:firstLineChars="200"/>
        <w:jc w:val="both"/>
        <w:rPr>
          <w:rFonts w:hint="eastAsia" w:ascii="宋体" w:hAnsi="宋体" w:cs="宋体"/>
          <w:i w:val="0"/>
          <w:iCs w:val="0"/>
          <w:color w:val="auto"/>
          <w:sz w:val="24"/>
          <w:szCs w:val="24"/>
        </w:rPr>
      </w:pPr>
      <w:r>
        <w:rPr>
          <w:rFonts w:hint="eastAsia" w:ascii="宋体" w:hAnsi="宋体" w:eastAsia="宋体" w:cs="宋体"/>
          <w:color w:val="auto"/>
          <w:sz w:val="24"/>
          <w:szCs w:val="24"/>
          <w:lang w:eastAsia="zh-CN"/>
        </w:rPr>
        <w:t>□</w:t>
      </w:r>
      <w:r>
        <w:rPr>
          <w:rFonts w:hint="eastAsia" w:ascii="宋体" w:hAnsi="宋体" w:cs="宋体"/>
          <w:color w:val="auto"/>
          <w:sz w:val="24"/>
          <w:szCs w:val="24"/>
        </w:rPr>
        <w:t>拟派项目负责人</w:t>
      </w:r>
      <w:r>
        <w:rPr>
          <w:rFonts w:hint="eastAsia" w:ascii="宋体" w:hAnsi="宋体" w:cs="宋体"/>
          <w:i w:val="0"/>
          <w:iCs w:val="0"/>
          <w:color w:val="auto"/>
          <w:sz w:val="24"/>
          <w:szCs w:val="24"/>
        </w:rPr>
        <w:t>自</w:t>
      </w:r>
      <w:r>
        <w:rPr>
          <w:rFonts w:hint="eastAsia" w:ascii="宋体" w:hAnsi="宋体" w:cs="宋体"/>
          <w:i w:val="0"/>
          <w:iCs w:val="0"/>
          <w:color w:val="auto"/>
          <w:sz w:val="24"/>
          <w:szCs w:val="24"/>
          <w:u w:val="single"/>
        </w:rPr>
        <w:t xml:space="preserve"> </w:t>
      </w:r>
      <w:r>
        <w:rPr>
          <w:rFonts w:hint="eastAsia" w:ascii="宋体" w:hAnsi="宋体" w:eastAsia="宋体" w:cs="宋体"/>
          <w:i w:val="0"/>
          <w:iCs w:val="0"/>
          <w:color w:val="auto"/>
          <w:sz w:val="24"/>
          <w:szCs w:val="24"/>
          <w:u w:val="single"/>
          <w:lang w:val="en-US" w:eastAsia="zh-CN"/>
        </w:rPr>
        <w:t>/</w:t>
      </w:r>
      <w:r>
        <w:rPr>
          <w:rFonts w:hint="eastAsia" w:ascii="宋体" w:hAnsi="宋体" w:cs="宋体"/>
          <w:i w:val="0"/>
          <w:iCs w:val="0"/>
          <w:color w:val="auto"/>
          <w:sz w:val="24"/>
          <w:szCs w:val="24"/>
          <w:u w:val="single"/>
        </w:rPr>
        <w:t xml:space="preserve">  </w:t>
      </w:r>
      <w:r>
        <w:rPr>
          <w:rFonts w:hint="eastAsia" w:ascii="宋体" w:hAnsi="宋体" w:cs="宋体"/>
          <w:i w:val="0"/>
          <w:iCs w:val="0"/>
          <w:color w:val="auto"/>
          <w:sz w:val="24"/>
          <w:szCs w:val="24"/>
        </w:rPr>
        <w:t>年</w:t>
      </w:r>
      <w:r>
        <w:rPr>
          <w:rFonts w:hint="eastAsia" w:ascii="宋体" w:hAnsi="宋体" w:cs="宋体"/>
          <w:i w:val="0"/>
          <w:iCs w:val="0"/>
          <w:color w:val="auto"/>
          <w:sz w:val="24"/>
          <w:szCs w:val="24"/>
          <w:u w:val="single"/>
        </w:rPr>
        <w:t xml:space="preserve">  </w:t>
      </w:r>
      <w:r>
        <w:rPr>
          <w:rFonts w:hint="eastAsia" w:ascii="宋体" w:hAnsi="宋体" w:eastAsia="宋体" w:cs="宋体"/>
          <w:i w:val="0"/>
          <w:iCs w:val="0"/>
          <w:color w:val="auto"/>
          <w:sz w:val="24"/>
          <w:szCs w:val="24"/>
          <w:u w:val="single"/>
          <w:lang w:val="en-US" w:eastAsia="zh-CN"/>
        </w:rPr>
        <w:t>/</w:t>
      </w:r>
      <w:r>
        <w:rPr>
          <w:rFonts w:hint="eastAsia" w:ascii="宋体" w:hAnsi="宋体" w:cs="宋体"/>
          <w:i w:val="0"/>
          <w:iCs w:val="0"/>
          <w:color w:val="auto"/>
          <w:sz w:val="24"/>
          <w:szCs w:val="24"/>
          <w:u w:val="single"/>
        </w:rPr>
        <w:t xml:space="preserve">  </w:t>
      </w:r>
      <w:r>
        <w:rPr>
          <w:rFonts w:hint="eastAsia" w:ascii="宋体" w:hAnsi="宋体" w:cs="宋体"/>
          <w:i w:val="0"/>
          <w:iCs w:val="0"/>
          <w:color w:val="auto"/>
          <w:sz w:val="24"/>
          <w:szCs w:val="24"/>
        </w:rPr>
        <w:t>月</w:t>
      </w:r>
      <w:r>
        <w:rPr>
          <w:rFonts w:hint="eastAsia" w:ascii="宋体" w:hAnsi="宋体" w:cs="宋体"/>
          <w:i w:val="0"/>
          <w:iCs w:val="0"/>
          <w:color w:val="auto"/>
          <w:sz w:val="24"/>
          <w:szCs w:val="24"/>
          <w:u w:val="single"/>
        </w:rPr>
        <w:t xml:space="preserve">  </w:t>
      </w:r>
      <w:r>
        <w:rPr>
          <w:rFonts w:hint="eastAsia" w:ascii="宋体" w:hAnsi="宋体" w:eastAsia="宋体" w:cs="宋体"/>
          <w:i w:val="0"/>
          <w:iCs w:val="0"/>
          <w:color w:val="auto"/>
          <w:sz w:val="24"/>
          <w:szCs w:val="24"/>
          <w:u w:val="single"/>
          <w:lang w:val="en-US" w:eastAsia="zh-CN"/>
        </w:rPr>
        <w:t>/</w:t>
      </w:r>
      <w:r>
        <w:rPr>
          <w:rFonts w:hint="eastAsia" w:ascii="宋体" w:hAnsi="宋体" w:cs="宋体"/>
          <w:i w:val="0"/>
          <w:iCs w:val="0"/>
          <w:color w:val="auto"/>
          <w:sz w:val="24"/>
          <w:szCs w:val="24"/>
          <w:u w:val="single"/>
        </w:rPr>
        <w:t xml:space="preserve"> </w:t>
      </w:r>
      <w:r>
        <w:rPr>
          <w:rFonts w:hint="eastAsia" w:ascii="宋体" w:hAnsi="宋体" w:cs="宋体"/>
          <w:i w:val="0"/>
          <w:iCs w:val="0"/>
          <w:color w:val="auto"/>
          <w:sz w:val="24"/>
          <w:szCs w:val="24"/>
        </w:rPr>
        <w:t>日以来</w:t>
      </w:r>
      <w:r>
        <w:rPr>
          <w:rFonts w:hint="eastAsia" w:ascii="宋体" w:hAnsi="宋体" w:eastAsia="宋体" w:cs="宋体"/>
          <w:i w:val="0"/>
          <w:iCs w:val="0"/>
          <w:color w:val="auto"/>
          <w:sz w:val="24"/>
          <w:szCs w:val="24"/>
          <w:lang w:eastAsia="zh-CN"/>
        </w:rPr>
        <w:t>□</w:t>
      </w:r>
      <w:r>
        <w:rPr>
          <w:rFonts w:hint="eastAsia" w:ascii="宋体" w:hAnsi="宋体" w:cs="宋体"/>
          <w:i w:val="0"/>
          <w:iCs w:val="0"/>
          <w:color w:val="auto"/>
          <w:sz w:val="24"/>
          <w:szCs w:val="24"/>
        </w:rPr>
        <w:t>承接过/</w:t>
      </w:r>
      <w:r>
        <w:rPr>
          <w:rFonts w:hint="eastAsia" w:ascii="宋体" w:hAnsi="宋体" w:eastAsia="宋体" w:cs="宋体"/>
          <w:i w:val="0"/>
          <w:iCs w:val="0"/>
          <w:color w:val="auto"/>
          <w:sz w:val="24"/>
          <w:szCs w:val="24"/>
          <w:lang w:eastAsia="zh-CN"/>
        </w:rPr>
        <w:t>□</w:t>
      </w:r>
      <w:r>
        <w:rPr>
          <w:rFonts w:hint="eastAsia" w:ascii="宋体" w:hAnsi="宋体" w:cs="宋体"/>
          <w:i w:val="0"/>
          <w:iCs w:val="0"/>
          <w:color w:val="auto"/>
          <w:sz w:val="24"/>
          <w:szCs w:val="24"/>
        </w:rPr>
        <w:t>完成过</w:t>
      </w:r>
      <w:r>
        <w:rPr>
          <w:rFonts w:hint="eastAsia" w:ascii="宋体" w:hAnsi="宋体" w:cs="宋体"/>
          <w:i w:val="0"/>
          <w:iCs w:val="0"/>
          <w:color w:val="auto"/>
          <w:sz w:val="24"/>
          <w:szCs w:val="24"/>
          <w:u w:val="single"/>
        </w:rPr>
        <w:tab/>
      </w:r>
      <w:r>
        <w:rPr>
          <w:rFonts w:hint="eastAsia" w:ascii="宋体" w:hAnsi="宋体" w:cs="宋体"/>
          <w:i w:val="0"/>
          <w:iCs w:val="0"/>
          <w:color w:val="auto"/>
          <w:sz w:val="24"/>
          <w:szCs w:val="24"/>
          <w:u w:val="single"/>
        </w:rPr>
        <w:t xml:space="preserve"> </w:t>
      </w:r>
      <w:r>
        <w:rPr>
          <w:rFonts w:hint="eastAsia" w:ascii="宋体" w:hAnsi="宋体" w:eastAsia="宋体" w:cs="宋体"/>
          <w:i w:val="0"/>
          <w:iCs w:val="0"/>
          <w:color w:val="auto"/>
          <w:sz w:val="24"/>
          <w:szCs w:val="24"/>
          <w:u w:val="single"/>
          <w:lang w:val="en-US" w:eastAsia="zh-CN"/>
        </w:rPr>
        <w:t>/</w:t>
      </w:r>
      <w:r>
        <w:rPr>
          <w:rFonts w:hint="eastAsia" w:ascii="宋体" w:hAnsi="宋体" w:cs="宋体"/>
          <w:i w:val="0"/>
          <w:iCs w:val="0"/>
          <w:color w:val="auto"/>
          <w:sz w:val="24"/>
          <w:szCs w:val="24"/>
          <w:u w:val="single"/>
        </w:rPr>
        <w:t xml:space="preserve"> </w:t>
      </w:r>
      <w:r>
        <w:rPr>
          <w:rFonts w:hint="eastAsia" w:ascii="宋体" w:hAnsi="宋体" w:cs="宋体"/>
          <w:i w:val="0"/>
          <w:iCs w:val="0"/>
          <w:color w:val="auto"/>
          <w:sz w:val="24"/>
          <w:szCs w:val="24"/>
        </w:rPr>
        <w:t>业绩；</w:t>
      </w:r>
    </w:p>
    <w:p w14:paraId="4AE4F8E8">
      <w:pPr>
        <w:pStyle w:val="8"/>
        <w:keepNext w:val="0"/>
        <w:keepLines w:val="0"/>
        <w:pageBreakBefore w:val="0"/>
        <w:tabs>
          <w:tab w:val="left" w:pos="1343"/>
          <w:tab w:val="left" w:pos="2697"/>
          <w:tab w:val="left" w:pos="3264"/>
          <w:tab w:val="left" w:pos="4896"/>
          <w:tab w:val="left" w:pos="6005"/>
          <w:tab w:val="left" w:pos="7085"/>
          <w:tab w:val="left" w:pos="7498"/>
        </w:tabs>
        <w:wordWrap/>
        <w:overflowPunct/>
        <w:topLinePunct w:val="0"/>
        <w:bidi w:val="0"/>
        <w:adjustRightInd/>
        <w:spacing w:line="360" w:lineRule="auto"/>
        <w:ind w:left="0" w:firstLine="480" w:firstLineChars="200"/>
        <w:jc w:val="both"/>
        <w:rPr>
          <w:rFonts w:hint="eastAsia" w:ascii="宋体" w:hAnsi="宋体" w:cs="宋体"/>
          <w:i w:val="0"/>
          <w:iCs w:val="0"/>
          <w:color w:val="auto"/>
          <w:sz w:val="24"/>
          <w:szCs w:val="24"/>
        </w:rPr>
      </w:pPr>
      <w:r>
        <w:rPr>
          <w:rFonts w:hint="eastAsia" w:ascii="宋体" w:hAnsi="宋体" w:cs="宋体"/>
          <w:i w:val="0"/>
          <w:iCs w:val="0"/>
          <w:color w:val="auto"/>
          <w:sz w:val="24"/>
          <w:szCs w:val="24"/>
        </w:rPr>
        <w:sym w:font="Wingdings 2" w:char="F0A3"/>
      </w:r>
      <w:r>
        <w:rPr>
          <w:rFonts w:hint="eastAsia" w:ascii="宋体" w:hAnsi="宋体" w:cs="宋体"/>
          <w:i w:val="0"/>
          <w:iCs w:val="0"/>
          <w:color w:val="auto"/>
          <w:sz w:val="24"/>
          <w:szCs w:val="24"/>
        </w:rPr>
        <w:t>3.8</w:t>
      </w:r>
      <w:r>
        <w:rPr>
          <w:rFonts w:hint="eastAsia" w:ascii="宋体" w:hAnsi="宋体" w:cs="宋体"/>
          <w:i w:val="0"/>
          <w:iCs w:val="0"/>
          <w:color w:val="auto"/>
          <w:sz w:val="24"/>
          <w:szCs w:val="24"/>
          <w:u w:val="single"/>
        </w:rPr>
        <w:t xml:space="preserve"> （招标人需要增加的、符合法律法规的其他要求）</w:t>
      </w:r>
      <w:r>
        <w:rPr>
          <w:rFonts w:hint="eastAsia" w:ascii="宋体" w:hAnsi="宋体" w:cs="宋体"/>
          <w:i w:val="0"/>
          <w:iCs w:val="0"/>
          <w:color w:val="auto"/>
          <w:sz w:val="24"/>
          <w:szCs w:val="24"/>
        </w:rPr>
        <w:t>。</w:t>
      </w:r>
    </w:p>
    <w:p w14:paraId="392B1E0A">
      <w:pPr>
        <w:keepNext w:val="0"/>
        <w:keepLines w:val="0"/>
        <w:pageBreakBefore w:val="0"/>
        <w:wordWrap/>
        <w:overflowPunct/>
        <w:topLinePunct w:val="0"/>
        <w:bidi w:val="0"/>
        <w:spacing w:before="123" w:line="360" w:lineRule="auto"/>
        <w:ind w:left="571"/>
        <w:rPr>
          <w:rFonts w:ascii="宋体" w:hAnsi="宋体" w:eastAsia="宋体" w:cs="宋体"/>
          <w:color w:val="auto"/>
          <w:sz w:val="24"/>
          <w:szCs w:val="24"/>
          <w:lang w:eastAsia="zh-CN"/>
        </w:rPr>
      </w:pPr>
      <w:r>
        <w:rPr>
          <w:rFonts w:ascii="宋体" w:hAnsi="宋体" w:eastAsia="宋体" w:cs="宋体"/>
          <w:color w:val="auto"/>
          <w:spacing w:val="-4"/>
          <w:sz w:val="24"/>
          <w:szCs w:val="24"/>
          <w:lang w:eastAsia="zh-CN"/>
        </w:rPr>
        <w:t>（三）其他：</w:t>
      </w:r>
    </w:p>
    <w:p w14:paraId="49E1060A">
      <w:pPr>
        <w:keepNext w:val="0"/>
        <w:keepLines w:val="0"/>
        <w:pageBreakBefore w:val="0"/>
        <w:wordWrap/>
        <w:overflowPunct/>
        <w:topLinePunct w:val="0"/>
        <w:bidi w:val="0"/>
        <w:spacing w:before="167" w:line="360" w:lineRule="auto"/>
        <w:ind w:firstLine="441"/>
        <w:rPr>
          <w:rFonts w:ascii="宋体" w:hAnsi="宋体" w:eastAsia="宋体" w:cs="宋体"/>
          <w:color w:val="auto"/>
          <w:sz w:val="24"/>
          <w:szCs w:val="24"/>
          <w:lang w:eastAsia="zh-CN"/>
        </w:rPr>
      </w:pPr>
      <w:r>
        <w:rPr>
          <w:rFonts w:hint="eastAsia" w:ascii="宋体" w:hAnsi="宋体" w:eastAsia="宋体" w:cs="宋体"/>
          <w:color w:val="auto"/>
          <w:spacing w:val="4"/>
          <w:sz w:val="20"/>
          <w:szCs w:val="20"/>
          <w:lang w:eastAsia="zh-CN"/>
        </w:rPr>
        <w:t>□</w:t>
      </w:r>
      <w:r>
        <w:rPr>
          <w:rFonts w:ascii="宋体" w:hAnsi="宋体" w:eastAsia="宋体" w:cs="宋体"/>
          <w:color w:val="auto"/>
          <w:spacing w:val="4"/>
          <w:sz w:val="24"/>
          <w:szCs w:val="24"/>
          <w:lang w:eastAsia="zh-CN"/>
        </w:rPr>
        <w:t>3.9拟派施工现场专职安全生产管理人员，具有对应有效的安全生产考核合格</w:t>
      </w:r>
      <w:r>
        <w:rPr>
          <w:rFonts w:ascii="宋体" w:hAnsi="宋体" w:eastAsia="宋体" w:cs="宋体"/>
          <w:color w:val="auto"/>
          <w:spacing w:val="-1"/>
          <w:sz w:val="24"/>
          <w:szCs w:val="24"/>
          <w:lang w:eastAsia="zh-CN"/>
        </w:rPr>
        <w:t>证书，人数符合住房和城乡建设部相关规定要求；</w:t>
      </w:r>
    </w:p>
    <w:p w14:paraId="0C3D0C11">
      <w:pPr>
        <w:keepNext w:val="0"/>
        <w:keepLines w:val="0"/>
        <w:pageBreakBefore w:val="0"/>
        <w:wordWrap/>
        <w:overflowPunct/>
        <w:topLinePunct w:val="0"/>
        <w:bidi w:val="0"/>
        <w:spacing w:before="37" w:line="360" w:lineRule="auto"/>
        <w:ind w:firstLine="484"/>
        <w:rPr>
          <w:rFonts w:ascii="宋体" w:hAnsi="宋体" w:eastAsia="宋体" w:cs="宋体"/>
          <w:color w:val="auto"/>
          <w:sz w:val="24"/>
          <w:szCs w:val="24"/>
          <w:lang w:eastAsia="zh-CN"/>
        </w:rPr>
      </w:pPr>
      <w:r>
        <w:rPr>
          <w:rFonts w:ascii="宋体" w:hAnsi="宋体" w:eastAsia="宋体" w:cs="宋体"/>
          <w:color w:val="auto"/>
          <w:spacing w:val="5"/>
          <w:sz w:val="24"/>
          <w:szCs w:val="24"/>
          <w:lang w:eastAsia="zh-CN"/>
        </w:rPr>
        <w:t>3.10投标人及其拟派项目负责人未被列入建筑市场严重失信名单（以全国建筑市场监管公共服务平台黑名单记录、失信联合惩戒记录和浙江省建筑市场监管公共</w:t>
      </w:r>
      <w:r>
        <w:rPr>
          <w:rFonts w:ascii="宋体" w:hAnsi="宋体" w:eastAsia="宋体" w:cs="宋体"/>
          <w:color w:val="auto"/>
          <w:spacing w:val="-1"/>
          <w:sz w:val="24"/>
          <w:szCs w:val="24"/>
          <w:lang w:eastAsia="zh-CN"/>
        </w:rPr>
        <w:t>服务系统严重失信名单的信息为准</w:t>
      </w:r>
      <w:r>
        <w:rPr>
          <w:rFonts w:ascii="宋体" w:hAnsi="宋体" w:eastAsia="宋体" w:cs="宋体"/>
          <w:color w:val="auto"/>
          <w:spacing w:val="2"/>
          <w:sz w:val="24"/>
          <w:szCs w:val="24"/>
          <w:lang w:eastAsia="zh-CN"/>
        </w:rPr>
        <w:t>）；</w:t>
      </w:r>
    </w:p>
    <w:p w14:paraId="0B0662BA">
      <w:pPr>
        <w:keepNext w:val="0"/>
        <w:keepLines w:val="0"/>
        <w:pageBreakBefore w:val="0"/>
        <w:wordWrap/>
        <w:overflowPunct/>
        <w:topLinePunct w:val="0"/>
        <w:bidi w:val="0"/>
        <w:spacing w:before="35" w:line="360" w:lineRule="auto"/>
        <w:ind w:left="1" w:firstLine="483"/>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3.11投标人及其拟派项目负责人自</w:t>
      </w:r>
      <w:r>
        <w:rPr>
          <w:rFonts w:hint="eastAsia" w:hAnsi="宋体" w:cs="宋体"/>
          <w:color w:val="auto"/>
          <w:sz w:val="24"/>
          <w:u w:val="single"/>
        </w:rPr>
        <w:t xml:space="preserve"> </w:t>
      </w:r>
      <w:r>
        <w:rPr>
          <w:rFonts w:hint="eastAsia" w:hAnsi="宋体" w:cs="宋体"/>
          <w:color w:val="auto"/>
          <w:sz w:val="24"/>
          <w:u w:val="single"/>
          <w:lang w:val="en-US" w:eastAsia="zh-CN"/>
        </w:rPr>
        <w:t>2022</w:t>
      </w:r>
      <w:r>
        <w:rPr>
          <w:rFonts w:hint="eastAsia" w:hAnsi="宋体" w:cs="宋体"/>
          <w:color w:val="auto"/>
          <w:sz w:val="24"/>
          <w:u w:val="single"/>
        </w:rPr>
        <w:t xml:space="preserve"> </w:t>
      </w:r>
      <w:r>
        <w:rPr>
          <w:rFonts w:hint="eastAsia" w:hAnsi="宋体" w:cs="宋体"/>
          <w:color w:val="auto"/>
          <w:sz w:val="24"/>
        </w:rPr>
        <w:t>年</w:t>
      </w:r>
      <w:r>
        <w:rPr>
          <w:rFonts w:hint="eastAsia" w:hAnsi="宋体" w:cs="宋体"/>
          <w:color w:val="auto"/>
          <w:sz w:val="24"/>
          <w:u w:val="single"/>
        </w:rPr>
        <w:t xml:space="preserve"> </w:t>
      </w:r>
      <w:r>
        <w:rPr>
          <w:rFonts w:hint="eastAsia" w:hAnsi="宋体" w:cs="宋体"/>
          <w:color w:val="auto"/>
          <w:sz w:val="24"/>
          <w:u w:val="single"/>
          <w:lang w:val="en-US" w:eastAsia="zh-CN"/>
        </w:rPr>
        <w:t>01</w:t>
      </w:r>
      <w:r>
        <w:rPr>
          <w:rFonts w:hint="eastAsia" w:hAnsi="宋体" w:cs="宋体"/>
          <w:color w:val="auto"/>
          <w:sz w:val="24"/>
          <w:u w:val="single"/>
        </w:rPr>
        <w:t xml:space="preserve">  </w:t>
      </w:r>
      <w:r>
        <w:rPr>
          <w:rFonts w:hint="eastAsia" w:hAnsi="宋体" w:cs="宋体"/>
          <w:color w:val="auto"/>
          <w:sz w:val="24"/>
        </w:rPr>
        <w:t>月</w:t>
      </w:r>
      <w:r>
        <w:rPr>
          <w:rFonts w:hint="eastAsia" w:hAnsi="宋体" w:cs="宋体"/>
          <w:color w:val="auto"/>
          <w:sz w:val="24"/>
          <w:u w:val="single"/>
        </w:rPr>
        <w:t xml:space="preserve"> </w:t>
      </w:r>
      <w:r>
        <w:rPr>
          <w:rFonts w:hint="eastAsia" w:hAnsi="宋体" w:cs="宋体"/>
          <w:color w:val="auto"/>
          <w:sz w:val="24"/>
          <w:u w:val="single"/>
          <w:lang w:val="en-US" w:eastAsia="zh-CN"/>
        </w:rPr>
        <w:t>01</w:t>
      </w:r>
      <w:r>
        <w:rPr>
          <w:rFonts w:hint="eastAsia" w:hAnsi="宋体" w:cs="宋体"/>
          <w:color w:val="auto"/>
          <w:sz w:val="24"/>
          <w:u w:val="single"/>
        </w:rPr>
        <w:t xml:space="preserve">  </w:t>
      </w:r>
      <w:r>
        <w:rPr>
          <w:rFonts w:hint="eastAsia" w:hAnsi="宋体" w:cs="宋体"/>
          <w:color w:val="auto"/>
          <w:sz w:val="24"/>
        </w:rPr>
        <w:t>日</w:t>
      </w:r>
      <w:r>
        <w:rPr>
          <w:rFonts w:ascii="宋体" w:hAnsi="宋体" w:eastAsia="宋体" w:cs="宋体"/>
          <w:color w:val="auto"/>
          <w:spacing w:val="-1"/>
          <w:sz w:val="24"/>
          <w:szCs w:val="24"/>
          <w:lang w:eastAsia="zh-CN"/>
        </w:rPr>
        <w:t>起至</w:t>
      </w:r>
      <w:r>
        <w:rPr>
          <w:rFonts w:ascii="宋体" w:hAnsi="宋体" w:eastAsia="宋体" w:cs="宋体"/>
          <w:color w:val="auto"/>
          <w:spacing w:val="-2"/>
          <w:sz w:val="24"/>
          <w:szCs w:val="24"/>
          <w:lang w:eastAsia="zh-CN"/>
        </w:rPr>
        <w:t>投标截止日止无行贿犯</w:t>
      </w:r>
      <w:r>
        <w:rPr>
          <w:rFonts w:ascii="宋体" w:hAnsi="宋体" w:eastAsia="宋体" w:cs="宋体"/>
          <w:color w:val="auto"/>
          <w:spacing w:val="-3"/>
          <w:sz w:val="24"/>
          <w:szCs w:val="24"/>
          <w:lang w:eastAsia="zh-CN"/>
        </w:rPr>
        <w:t>罪记录；</w:t>
      </w:r>
    </w:p>
    <w:p w14:paraId="3BE1B86B">
      <w:pPr>
        <w:keepNext w:val="0"/>
        <w:keepLines w:val="0"/>
        <w:pageBreakBefore w:val="0"/>
        <w:wordWrap/>
        <w:overflowPunct/>
        <w:topLinePunct w:val="0"/>
        <w:bidi w:val="0"/>
        <w:spacing w:before="33" w:line="360" w:lineRule="auto"/>
        <w:ind w:left="485"/>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3.12投标人及其拟派项目负责人投标截止日未被列入失信被执行人名单；</w:t>
      </w:r>
    </w:p>
    <w:p w14:paraId="1F34BC8E">
      <w:pPr>
        <w:keepNext w:val="0"/>
        <w:keepLines w:val="0"/>
        <w:pageBreakBefore w:val="0"/>
        <w:wordWrap/>
        <w:overflowPunct/>
        <w:topLinePunct w:val="0"/>
        <w:bidi w:val="0"/>
        <w:spacing w:before="168" w:line="360" w:lineRule="auto"/>
        <w:ind w:left="3" w:firstLine="481"/>
        <w:rPr>
          <w:rFonts w:ascii="宋体" w:hAnsi="宋体" w:eastAsia="宋体" w:cs="宋体"/>
          <w:color w:val="auto"/>
          <w:sz w:val="24"/>
          <w:szCs w:val="24"/>
          <w:lang w:eastAsia="zh-CN"/>
        </w:rPr>
      </w:pPr>
      <w:r>
        <w:rPr>
          <w:rFonts w:ascii="宋体" w:hAnsi="宋体" w:eastAsia="宋体" w:cs="宋体"/>
          <w:color w:val="auto"/>
          <w:spacing w:val="5"/>
          <w:sz w:val="24"/>
          <w:szCs w:val="24"/>
          <w:lang w:eastAsia="zh-CN"/>
        </w:rPr>
        <w:t>3.13投标人及其拟派项目负责人未被市场监督管理机关在全国企业信用信息公</w:t>
      </w:r>
      <w:r>
        <w:rPr>
          <w:rFonts w:ascii="宋体" w:hAnsi="宋体" w:eastAsia="宋体" w:cs="宋体"/>
          <w:color w:val="auto"/>
          <w:spacing w:val="-1"/>
          <w:sz w:val="24"/>
          <w:szCs w:val="24"/>
          <w:lang w:eastAsia="zh-CN"/>
        </w:rPr>
        <w:t>示系统中列入严重违法失信企业名单；</w:t>
      </w:r>
    </w:p>
    <w:p w14:paraId="288CD684">
      <w:pPr>
        <w:keepNext w:val="0"/>
        <w:keepLines w:val="0"/>
        <w:pageBreakBefore w:val="0"/>
        <w:wordWrap/>
        <w:overflowPunct/>
        <w:topLinePunct w:val="0"/>
        <w:bidi w:val="0"/>
        <w:spacing w:before="32" w:line="360" w:lineRule="auto"/>
        <w:ind w:left="8" w:firstLine="477"/>
        <w:rPr>
          <w:rFonts w:ascii="宋体" w:hAnsi="宋体" w:eastAsia="宋体" w:cs="宋体"/>
          <w:color w:val="auto"/>
          <w:sz w:val="24"/>
          <w:szCs w:val="24"/>
          <w:lang w:eastAsia="zh-CN"/>
        </w:rPr>
      </w:pPr>
      <w:r>
        <w:rPr>
          <w:rFonts w:ascii="宋体" w:hAnsi="宋体" w:eastAsia="宋体" w:cs="宋体"/>
          <w:color w:val="auto"/>
          <w:spacing w:val="5"/>
          <w:sz w:val="24"/>
          <w:szCs w:val="24"/>
          <w:lang w:eastAsia="zh-CN"/>
        </w:rPr>
        <w:t>3.14投标人及其拟派项目负责人未被人力资源社会保障行政部门列入失信联合</w:t>
      </w:r>
      <w:r>
        <w:rPr>
          <w:rFonts w:ascii="宋体" w:hAnsi="宋体" w:eastAsia="宋体" w:cs="宋体"/>
          <w:color w:val="auto"/>
          <w:spacing w:val="-1"/>
          <w:sz w:val="24"/>
          <w:szCs w:val="24"/>
          <w:lang w:eastAsia="zh-CN"/>
        </w:rPr>
        <w:t>惩戒名单（有效期内）并共享至信用信息共享平台；</w:t>
      </w:r>
    </w:p>
    <w:p w14:paraId="57D40A4A">
      <w:pPr>
        <w:keepNext w:val="0"/>
        <w:keepLines w:val="0"/>
        <w:pageBreakBefore w:val="0"/>
        <w:wordWrap/>
        <w:overflowPunct/>
        <w:topLinePunct w:val="0"/>
        <w:bidi w:val="0"/>
        <w:spacing w:before="35" w:line="360" w:lineRule="auto"/>
        <w:ind w:left="504" w:right="1464" w:hanging="19"/>
        <w:rPr>
          <w:rFonts w:ascii="宋体" w:hAnsi="宋体" w:eastAsia="宋体" w:cs="宋体"/>
          <w:color w:val="auto"/>
          <w:sz w:val="24"/>
          <w:szCs w:val="24"/>
          <w:lang w:eastAsia="zh-CN"/>
        </w:rPr>
      </w:pPr>
      <w:r>
        <w:rPr>
          <w:rFonts w:ascii="宋体" w:hAnsi="宋体" w:eastAsia="宋体" w:cs="宋体"/>
          <w:color w:val="auto"/>
          <w:spacing w:val="-4"/>
          <w:sz w:val="24"/>
          <w:szCs w:val="24"/>
          <w:lang w:eastAsia="zh-CN"/>
        </w:rPr>
        <w:t>3.15省外企业应按规定办理“省外建设工程企业进浙备案”手续；</w:t>
      </w:r>
      <w:r>
        <w:rPr>
          <w:rFonts w:ascii="宋体" w:hAnsi="宋体" w:eastAsia="宋体" w:cs="宋体"/>
          <w:color w:val="auto"/>
          <w:spacing w:val="-7"/>
          <w:sz w:val="24"/>
          <w:szCs w:val="24"/>
          <w:lang w:eastAsia="zh-CN"/>
        </w:rPr>
        <w:t>□3.16</w:t>
      </w:r>
      <w:r>
        <w:rPr>
          <w:rFonts w:ascii="宋体" w:hAnsi="宋体" w:eastAsia="宋体" w:cs="宋体"/>
          <w:i/>
          <w:iCs/>
          <w:color w:val="auto"/>
          <w:spacing w:val="-7"/>
          <w:sz w:val="25"/>
          <w:szCs w:val="25"/>
          <w:u w:val="single"/>
          <w:lang w:eastAsia="zh-CN"/>
        </w:rPr>
        <w:t>（招标人需要增加的、符合法律法规的其他要求）</w:t>
      </w:r>
      <w:r>
        <w:rPr>
          <w:rFonts w:ascii="宋体" w:hAnsi="宋体" w:eastAsia="宋体" w:cs="宋体"/>
          <w:color w:val="auto"/>
          <w:spacing w:val="-7"/>
          <w:sz w:val="24"/>
          <w:szCs w:val="24"/>
          <w:lang w:eastAsia="zh-CN"/>
        </w:rPr>
        <w:t>。</w:t>
      </w:r>
    </w:p>
    <w:p w14:paraId="4C494D7A">
      <w:pPr>
        <w:keepNext w:val="0"/>
        <w:keepLines w:val="0"/>
        <w:pageBreakBefore w:val="0"/>
        <w:wordWrap/>
        <w:overflowPunct/>
        <w:topLinePunct w:val="0"/>
        <w:bidi w:val="0"/>
        <w:spacing w:before="1" w:line="360" w:lineRule="auto"/>
        <w:ind w:left="2"/>
        <w:rPr>
          <w:rFonts w:ascii="宋体" w:hAnsi="宋体" w:eastAsia="宋体" w:cs="宋体"/>
          <w:color w:val="auto"/>
          <w:sz w:val="31"/>
          <w:szCs w:val="31"/>
          <w:lang w:eastAsia="zh-CN"/>
        </w:rPr>
      </w:pPr>
      <w:r>
        <w:rPr>
          <w:rFonts w:ascii="宋体" w:hAnsi="宋体" w:eastAsia="宋体" w:cs="宋体"/>
          <w:b/>
          <w:bCs/>
          <w:color w:val="auto"/>
          <w:spacing w:val="4"/>
          <w:sz w:val="31"/>
          <w:szCs w:val="31"/>
          <w:lang w:eastAsia="zh-CN"/>
        </w:rPr>
        <w:t>4.招投标方式</w:t>
      </w:r>
    </w:p>
    <w:p w14:paraId="1BBB0D5E">
      <w:pPr>
        <w:keepNext w:val="0"/>
        <w:keepLines w:val="0"/>
        <w:pageBreakBefore w:val="0"/>
        <w:wordWrap/>
        <w:overflowPunct/>
        <w:topLinePunct w:val="0"/>
        <w:bidi w:val="0"/>
        <w:spacing w:before="78" w:line="360" w:lineRule="auto"/>
        <w:ind w:left="488"/>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4.1公开招标。</w:t>
      </w:r>
    </w:p>
    <w:p w14:paraId="37F18104">
      <w:pPr>
        <w:keepNext w:val="0"/>
        <w:keepLines w:val="0"/>
        <w:pageBreakBefore w:val="0"/>
        <w:wordWrap/>
        <w:overflowPunct/>
        <w:topLinePunct w:val="0"/>
        <w:bidi w:val="0"/>
        <w:spacing w:before="138" w:line="360" w:lineRule="auto"/>
        <w:ind w:left="488"/>
        <w:rPr>
          <w:rFonts w:ascii="宋体" w:hAnsi="宋体" w:eastAsia="宋体" w:cs="宋体"/>
          <w:color w:val="auto"/>
          <w:sz w:val="24"/>
          <w:szCs w:val="24"/>
          <w:lang w:eastAsia="zh-CN"/>
        </w:rPr>
      </w:pPr>
      <w:r>
        <w:rPr>
          <w:rFonts w:ascii="宋体" w:hAnsi="宋体" w:eastAsia="宋体" w:cs="宋体"/>
          <w:color w:val="auto"/>
          <w:spacing w:val="5"/>
          <w:sz w:val="24"/>
          <w:szCs w:val="24"/>
          <w:lang w:eastAsia="zh-CN"/>
        </w:rPr>
        <w:t>4.2</w:t>
      </w:r>
      <w:r>
        <w:rPr>
          <w:rFonts w:ascii="微软雅黑" w:hAnsi="微软雅黑" w:eastAsia="微软雅黑" w:cs="微软雅黑"/>
          <w:color w:val="auto"/>
          <w:spacing w:val="5"/>
          <w:sz w:val="24"/>
          <w:szCs w:val="24"/>
          <w:lang w:eastAsia="zh-CN"/>
        </w:rPr>
        <w:t>□</w:t>
      </w:r>
      <w:r>
        <w:rPr>
          <w:rFonts w:ascii="宋体" w:hAnsi="宋体" w:eastAsia="宋体" w:cs="宋体"/>
          <w:color w:val="auto"/>
          <w:spacing w:val="5"/>
          <w:sz w:val="24"/>
          <w:szCs w:val="24"/>
          <w:lang w:eastAsia="zh-CN"/>
        </w:rPr>
        <w:t>采用评定分离，</w:t>
      </w:r>
      <w:r>
        <w:rPr>
          <w:rFonts w:hint="eastAsia" w:ascii="微软雅黑" w:hAnsi="微软雅黑" w:eastAsia="微软雅黑" w:cs="微软雅黑"/>
          <w:color w:val="auto"/>
          <w:spacing w:val="5"/>
          <w:sz w:val="24"/>
          <w:szCs w:val="24"/>
          <w:lang w:eastAsia="zh-CN"/>
        </w:rPr>
        <w:t>☑</w:t>
      </w:r>
      <w:r>
        <w:rPr>
          <w:rFonts w:ascii="宋体" w:hAnsi="宋体" w:eastAsia="宋体" w:cs="宋体"/>
          <w:color w:val="auto"/>
          <w:spacing w:val="5"/>
          <w:sz w:val="24"/>
          <w:szCs w:val="24"/>
          <w:lang w:eastAsia="zh-CN"/>
        </w:rPr>
        <w:t>不采用评定分离。</w:t>
      </w:r>
    </w:p>
    <w:p w14:paraId="5387337A">
      <w:pPr>
        <w:keepNext w:val="0"/>
        <w:keepLines w:val="0"/>
        <w:pageBreakBefore w:val="0"/>
        <w:wordWrap/>
        <w:overflowPunct/>
        <w:topLinePunct w:val="0"/>
        <w:bidi w:val="0"/>
        <w:spacing w:before="84" w:line="360" w:lineRule="auto"/>
        <w:ind w:left="19"/>
        <w:rPr>
          <w:rFonts w:ascii="宋体" w:hAnsi="宋体" w:eastAsia="宋体" w:cs="宋体"/>
          <w:color w:val="auto"/>
          <w:sz w:val="31"/>
          <w:szCs w:val="31"/>
          <w:lang w:eastAsia="zh-CN"/>
        </w:rPr>
      </w:pPr>
      <w:r>
        <w:rPr>
          <w:rFonts w:ascii="宋体" w:hAnsi="宋体" w:eastAsia="宋体" w:cs="宋体"/>
          <w:b/>
          <w:bCs/>
          <w:color w:val="auto"/>
          <w:spacing w:val="4"/>
          <w:sz w:val="31"/>
          <w:szCs w:val="31"/>
          <w:lang w:eastAsia="zh-CN"/>
        </w:rPr>
        <w:t>5.招标文件的获取</w:t>
      </w:r>
    </w:p>
    <w:p w14:paraId="592EA72E">
      <w:pPr>
        <w:keepNext w:val="0"/>
        <w:keepLines w:val="0"/>
        <w:pageBreakBefore w:val="0"/>
        <w:wordWrap/>
        <w:overflowPunct/>
        <w:topLinePunct w:val="0"/>
        <w:bidi w:val="0"/>
        <w:spacing w:before="113" w:line="360" w:lineRule="auto"/>
        <w:ind w:left="12" w:right="65" w:firstLine="481"/>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5.1本项目招标文件（含图纸）和补充（答疑、澄清）、修改文件以网</w:t>
      </w:r>
      <w:r>
        <w:rPr>
          <w:rFonts w:ascii="宋体" w:hAnsi="宋体" w:eastAsia="宋体" w:cs="宋体"/>
          <w:color w:val="auto"/>
          <w:spacing w:val="1"/>
          <w:sz w:val="24"/>
          <w:szCs w:val="24"/>
          <w:lang w:eastAsia="zh-CN"/>
        </w:rPr>
        <w:t>上下载方</w:t>
      </w:r>
      <w:r>
        <w:rPr>
          <w:rFonts w:ascii="宋体" w:hAnsi="宋体" w:eastAsia="宋体" w:cs="宋体"/>
          <w:color w:val="auto"/>
          <w:spacing w:val="-1"/>
          <w:sz w:val="24"/>
          <w:szCs w:val="24"/>
          <w:lang w:eastAsia="zh-CN"/>
        </w:rPr>
        <w:t>式发放</w:t>
      </w:r>
      <w:r>
        <w:rPr>
          <w:rFonts w:ascii="宋体" w:hAnsi="宋体" w:eastAsia="宋体" w:cs="宋体"/>
          <w:color w:val="auto"/>
          <w:spacing w:val="-1"/>
          <w:sz w:val="24"/>
          <w:szCs w:val="24"/>
          <w:u w:val="single"/>
          <w:lang w:eastAsia="zh-CN"/>
        </w:rPr>
        <w:t xml:space="preserve"> </w:t>
      </w:r>
      <w:r>
        <w:rPr>
          <w:rFonts w:hint="eastAsia" w:ascii="宋体" w:hAnsi="宋体" w:eastAsia="宋体" w:cs="宋体"/>
          <w:color w:val="auto"/>
          <w:spacing w:val="-1"/>
          <w:sz w:val="24"/>
          <w:szCs w:val="24"/>
          <w:u w:val="single"/>
          <w:lang w:eastAsia="zh-CN"/>
        </w:rPr>
        <w:t>http://www.sanmen.gov.cn/col/col1229610743/index.html</w:t>
      </w:r>
      <w:r>
        <w:rPr>
          <w:rFonts w:ascii="宋体" w:hAnsi="宋体" w:eastAsia="宋体" w:cs="宋体"/>
          <w:color w:val="auto"/>
          <w:spacing w:val="-1"/>
          <w:sz w:val="24"/>
          <w:szCs w:val="24"/>
          <w:lang w:eastAsia="zh-CN"/>
        </w:rPr>
        <w:t>。</w:t>
      </w:r>
    </w:p>
    <w:p w14:paraId="451EF9D7">
      <w:pPr>
        <w:keepNext w:val="0"/>
        <w:keepLines w:val="0"/>
        <w:pageBreakBefore w:val="0"/>
        <w:wordWrap/>
        <w:overflowPunct/>
        <w:topLinePunct w:val="0"/>
        <w:bidi w:val="0"/>
        <w:spacing w:before="36" w:line="360" w:lineRule="auto"/>
        <w:ind w:firstLine="494"/>
        <w:rPr>
          <w:rFonts w:ascii="宋体" w:hAnsi="宋体" w:eastAsia="宋体" w:cs="宋体"/>
          <w:color w:val="auto"/>
          <w:sz w:val="24"/>
          <w:szCs w:val="24"/>
          <w:lang w:eastAsia="zh-CN"/>
        </w:rPr>
      </w:pPr>
      <w:r>
        <w:rPr>
          <w:rFonts w:ascii="宋体" w:hAnsi="宋体" w:eastAsia="宋体" w:cs="宋体"/>
          <w:color w:val="auto"/>
          <w:spacing w:val="7"/>
          <w:sz w:val="24"/>
          <w:szCs w:val="24"/>
          <w:lang w:eastAsia="zh-CN"/>
        </w:rPr>
        <w:t>5.2招标文件下载网址：潜在投标人登录</w:t>
      </w:r>
      <w:r>
        <w:rPr>
          <w:rFonts w:hint="eastAsia" w:ascii="宋体" w:hAnsi="宋体" w:eastAsia="宋体" w:cs="宋体"/>
          <w:color w:val="auto"/>
          <w:sz w:val="24"/>
          <w:szCs w:val="24"/>
          <w:u w:val="single"/>
          <w:lang w:eastAsia="zh-CN"/>
        </w:rPr>
        <w:t>http://www.sanmen.gov.cn/col/col1229610743/index.html</w:t>
      </w:r>
      <w:r>
        <w:rPr>
          <w:rFonts w:ascii="宋体" w:hAnsi="宋体" w:eastAsia="宋体" w:cs="宋体"/>
          <w:color w:val="auto"/>
          <w:spacing w:val="-3"/>
          <w:sz w:val="24"/>
          <w:szCs w:val="24"/>
          <w:lang w:eastAsia="zh-CN"/>
        </w:rPr>
        <w:t>自行下载招标文件。</w:t>
      </w:r>
    </w:p>
    <w:p w14:paraId="4130ED27">
      <w:pPr>
        <w:keepNext w:val="0"/>
        <w:keepLines w:val="0"/>
        <w:pageBreakBefore w:val="0"/>
        <w:wordWrap/>
        <w:overflowPunct/>
        <w:topLinePunct w:val="0"/>
        <w:bidi w:val="0"/>
        <w:spacing w:before="31" w:line="360" w:lineRule="auto"/>
        <w:ind w:left="494"/>
        <w:rPr>
          <w:rFonts w:ascii="宋体" w:hAnsi="宋体" w:eastAsia="宋体" w:cs="宋体"/>
          <w:color w:val="auto"/>
          <w:sz w:val="24"/>
          <w:szCs w:val="24"/>
          <w:lang w:eastAsia="zh-CN"/>
        </w:rPr>
      </w:pPr>
      <w:r>
        <w:rPr>
          <w:rFonts w:ascii="宋体" w:hAnsi="宋体" w:eastAsia="宋体" w:cs="宋体"/>
          <w:color w:val="auto"/>
          <w:spacing w:val="-6"/>
          <w:sz w:val="24"/>
          <w:szCs w:val="24"/>
          <w:lang w:eastAsia="zh-CN"/>
        </w:rPr>
        <w:t>5.3招标文件网上下载时间</w:t>
      </w:r>
      <w:r>
        <w:rPr>
          <w:rFonts w:ascii="宋体" w:hAnsi="宋体" w:eastAsia="宋体" w:cs="宋体"/>
          <w:color w:val="auto"/>
          <w:sz w:val="24"/>
          <w:szCs w:val="24"/>
          <w:lang w:eastAsia="zh-CN"/>
        </w:rPr>
        <w:t>：</w:t>
      </w:r>
      <w:r>
        <w:rPr>
          <w:rFonts w:ascii="宋体" w:hAnsi="宋体" w:eastAsia="宋体" w:cs="宋体"/>
          <w:i/>
          <w:iCs/>
          <w:color w:val="auto"/>
          <w:sz w:val="25"/>
          <w:szCs w:val="25"/>
          <w:lang w:eastAsia="zh-CN"/>
        </w:rPr>
        <w:t>（</w:t>
      </w:r>
      <w:r>
        <w:rPr>
          <w:rFonts w:ascii="宋体" w:hAnsi="宋体" w:eastAsia="宋体" w:cs="宋体"/>
          <w:i/>
          <w:iCs/>
          <w:color w:val="auto"/>
          <w:spacing w:val="-6"/>
          <w:sz w:val="25"/>
          <w:szCs w:val="25"/>
          <w:u w:val="single"/>
          <w:lang w:eastAsia="zh-CN"/>
        </w:rPr>
        <w:t>公告发布之日起至投标文件递交</w:t>
      </w:r>
      <w:r>
        <w:rPr>
          <w:rFonts w:ascii="宋体" w:hAnsi="宋体" w:eastAsia="宋体" w:cs="宋体"/>
          <w:i/>
          <w:iCs/>
          <w:color w:val="auto"/>
          <w:spacing w:val="-7"/>
          <w:sz w:val="25"/>
          <w:szCs w:val="25"/>
          <w:u w:val="single"/>
          <w:lang w:eastAsia="zh-CN"/>
        </w:rPr>
        <w:t>截止时</w:t>
      </w:r>
      <w:r>
        <w:rPr>
          <w:rFonts w:ascii="宋体" w:hAnsi="宋体" w:eastAsia="宋体" w:cs="宋体"/>
          <w:i/>
          <w:iCs/>
          <w:color w:val="auto"/>
          <w:spacing w:val="-7"/>
          <w:sz w:val="25"/>
          <w:szCs w:val="25"/>
          <w:lang w:eastAsia="zh-CN"/>
        </w:rPr>
        <w:t>间）</w:t>
      </w:r>
      <w:r>
        <w:rPr>
          <w:rFonts w:ascii="宋体" w:hAnsi="宋体" w:eastAsia="宋体" w:cs="宋体"/>
          <w:color w:val="auto"/>
          <w:spacing w:val="-7"/>
          <w:sz w:val="24"/>
          <w:szCs w:val="24"/>
          <w:lang w:eastAsia="zh-CN"/>
        </w:rPr>
        <w:t>。</w:t>
      </w:r>
    </w:p>
    <w:p w14:paraId="61BCB1C1">
      <w:pPr>
        <w:keepNext w:val="0"/>
        <w:keepLines w:val="0"/>
        <w:pageBreakBefore w:val="0"/>
        <w:wordWrap/>
        <w:overflowPunct/>
        <w:topLinePunct w:val="0"/>
        <w:bidi w:val="0"/>
        <w:spacing w:before="128" w:line="360" w:lineRule="auto"/>
        <w:ind w:left="15"/>
        <w:rPr>
          <w:rFonts w:ascii="宋体" w:hAnsi="宋体" w:eastAsia="宋体" w:cs="宋体"/>
          <w:color w:val="auto"/>
          <w:sz w:val="31"/>
          <w:szCs w:val="31"/>
        </w:rPr>
      </w:pPr>
      <w:r>
        <w:rPr>
          <w:rFonts w:ascii="宋体" w:hAnsi="宋体" w:eastAsia="宋体" w:cs="宋体"/>
          <w:b/>
          <w:bCs/>
          <w:color w:val="auto"/>
          <w:spacing w:val="4"/>
          <w:sz w:val="31"/>
          <w:szCs w:val="31"/>
        </w:rPr>
        <w:t>6.投标文件的递交</w:t>
      </w:r>
    </w:p>
    <w:p w14:paraId="2BF54F83">
      <w:pPr>
        <w:pStyle w:val="8"/>
        <w:keepNext w:val="0"/>
        <w:keepLines w:val="0"/>
        <w:pageBreakBefore w:val="0"/>
        <w:tabs>
          <w:tab w:val="left" w:pos="8381"/>
        </w:tabs>
        <w:wordWrap/>
        <w:overflowPunct/>
        <w:topLinePunct w:val="0"/>
        <w:bidi w:val="0"/>
        <w:adjustRightInd/>
        <w:spacing w:line="360" w:lineRule="auto"/>
        <w:ind w:left="0" w:firstLine="480" w:firstLineChars="200"/>
        <w:rPr>
          <w:rFonts w:hint="eastAsia" w:ascii="宋体" w:hAnsi="宋体" w:cs="宋体"/>
          <w:color w:val="auto"/>
          <w:sz w:val="24"/>
          <w:szCs w:val="24"/>
        </w:rPr>
      </w:pPr>
      <w:r>
        <w:rPr>
          <w:rFonts w:hint="eastAsia" w:ascii="宋体" w:hAnsi="宋体" w:cs="宋体"/>
          <w:color w:val="auto"/>
          <w:sz w:val="24"/>
          <w:szCs w:val="24"/>
        </w:rPr>
        <w:t>6.1投标文件递交的截止时间（投标截止时间，下同）为</w:t>
      </w:r>
      <w:r>
        <w:rPr>
          <w:rFonts w:hint="eastAsia" w:ascii="宋体" w:hAnsi="宋体" w:cs="宋体"/>
          <w:color w:val="auto"/>
          <w:sz w:val="24"/>
          <w:szCs w:val="24"/>
          <w:u w:val="single"/>
        </w:rPr>
        <w:t xml:space="preserve">  </w:t>
      </w:r>
      <w:r>
        <w:rPr>
          <w:rFonts w:hint="eastAsia" w:ascii="宋体" w:hAnsi="宋体" w:cs="宋体"/>
          <w:color w:val="auto"/>
          <w:sz w:val="24"/>
          <w:szCs w:val="24"/>
          <w:u w:val="single"/>
          <w:lang w:val="en-US" w:eastAsia="zh-CN"/>
        </w:rPr>
        <w:t>2025</w:t>
      </w:r>
      <w:r>
        <w:rPr>
          <w:rFonts w:hint="eastAsia" w:ascii="宋体" w:hAnsi="宋体" w:cs="宋体"/>
          <w:color w:val="auto"/>
          <w:sz w:val="24"/>
          <w:szCs w:val="24"/>
          <w:u w:val="single"/>
        </w:rPr>
        <w:t xml:space="preserve"> </w:t>
      </w:r>
      <w:r>
        <w:rPr>
          <w:rFonts w:hint="eastAsia" w:ascii="宋体" w:hAnsi="宋体" w:cs="宋体"/>
          <w:color w:val="auto"/>
          <w:sz w:val="24"/>
          <w:szCs w:val="24"/>
        </w:rPr>
        <w:t>年</w:t>
      </w:r>
      <w:r>
        <w:rPr>
          <w:rFonts w:hint="eastAsia" w:ascii="宋体" w:hAnsi="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cs="宋体"/>
          <w:color w:val="auto"/>
          <w:sz w:val="24"/>
          <w:szCs w:val="24"/>
          <w:u w:val="single"/>
        </w:rPr>
        <w:t xml:space="preserve"> </w:t>
      </w:r>
      <w:r>
        <w:rPr>
          <w:rFonts w:hint="eastAsia" w:ascii="宋体" w:hAnsi="宋体" w:cs="宋体"/>
          <w:color w:val="auto"/>
          <w:sz w:val="24"/>
          <w:szCs w:val="24"/>
        </w:rPr>
        <w:t>月</w:t>
      </w:r>
      <w:r>
        <w:rPr>
          <w:rFonts w:hint="eastAsia" w:ascii="宋体" w:hAnsi="宋体" w:cs="宋体"/>
          <w:color w:val="auto"/>
          <w:sz w:val="24"/>
          <w:szCs w:val="24"/>
          <w:u w:val="single"/>
        </w:rPr>
        <w:t xml:space="preserve"> </w:t>
      </w:r>
      <w:r>
        <w:rPr>
          <w:rFonts w:hint="eastAsia" w:ascii="宋体" w:hAnsi="宋体" w:cs="宋体"/>
          <w:color w:val="auto"/>
          <w:sz w:val="24"/>
          <w:szCs w:val="24"/>
          <w:u w:val="single"/>
          <w:lang w:val="en-US" w:eastAsia="zh-CN"/>
        </w:rPr>
        <w:t xml:space="preserve">   </w:t>
      </w:r>
      <w:r>
        <w:rPr>
          <w:rFonts w:hint="eastAsia" w:ascii="宋体" w:hAnsi="宋体" w:cs="宋体"/>
          <w:color w:val="auto"/>
          <w:sz w:val="24"/>
          <w:szCs w:val="24"/>
        </w:rPr>
        <w:t>日</w:t>
      </w:r>
      <w:r>
        <w:rPr>
          <w:rFonts w:hint="eastAsia" w:ascii="宋体" w:hAnsi="宋体" w:cs="宋体"/>
          <w:color w:val="auto"/>
          <w:sz w:val="24"/>
          <w:szCs w:val="24"/>
          <w:u w:val="single"/>
        </w:rPr>
        <w:t xml:space="preserve"> </w:t>
      </w:r>
      <w:r>
        <w:rPr>
          <w:rFonts w:hint="eastAsia" w:ascii="宋体" w:hAnsi="宋体" w:cs="宋体"/>
          <w:color w:val="auto"/>
          <w:sz w:val="24"/>
          <w:szCs w:val="24"/>
          <w:u w:val="single"/>
          <w:lang w:val="en-US" w:eastAsia="zh-CN"/>
        </w:rPr>
        <w:t>9</w:t>
      </w:r>
      <w:r>
        <w:rPr>
          <w:rFonts w:hint="eastAsia" w:ascii="宋体" w:hAnsi="宋体" w:cs="宋体"/>
          <w:color w:val="auto"/>
          <w:sz w:val="24"/>
          <w:szCs w:val="24"/>
          <w:u w:val="single"/>
        </w:rPr>
        <w:t xml:space="preserve">  </w:t>
      </w:r>
      <w:r>
        <w:rPr>
          <w:rFonts w:hint="eastAsia" w:ascii="宋体" w:hAnsi="宋体" w:cs="宋体"/>
          <w:color w:val="auto"/>
          <w:sz w:val="24"/>
          <w:szCs w:val="24"/>
        </w:rPr>
        <w:t>时</w:t>
      </w:r>
      <w:r>
        <w:rPr>
          <w:rFonts w:hint="eastAsia" w:ascii="宋体" w:hAnsi="宋体" w:cs="宋体"/>
          <w:color w:val="auto"/>
          <w:sz w:val="24"/>
          <w:szCs w:val="24"/>
          <w:u w:val="single"/>
        </w:rPr>
        <w:t xml:space="preserve"> </w:t>
      </w:r>
      <w:r>
        <w:rPr>
          <w:rFonts w:hint="eastAsia" w:ascii="宋体" w:hAnsi="宋体" w:cs="宋体"/>
          <w:color w:val="auto"/>
          <w:sz w:val="24"/>
          <w:szCs w:val="24"/>
          <w:u w:val="single"/>
          <w:lang w:val="en-US" w:eastAsia="zh-CN"/>
        </w:rPr>
        <w:t>00</w:t>
      </w:r>
      <w:r>
        <w:rPr>
          <w:rFonts w:hint="eastAsia" w:ascii="宋体" w:hAnsi="宋体" w:cs="宋体"/>
          <w:color w:val="auto"/>
          <w:sz w:val="24"/>
          <w:szCs w:val="24"/>
          <w:u w:val="single"/>
        </w:rPr>
        <w:t xml:space="preserve">  </w:t>
      </w:r>
      <w:r>
        <w:rPr>
          <w:rFonts w:hint="eastAsia" w:ascii="宋体" w:hAnsi="宋体" w:cs="宋体"/>
          <w:color w:val="auto"/>
          <w:sz w:val="24"/>
          <w:szCs w:val="24"/>
        </w:rPr>
        <w:t>分</w:t>
      </w:r>
      <w:r>
        <w:rPr>
          <w:rFonts w:hint="eastAsia" w:ascii="宋体" w:hAnsi="宋体" w:cs="宋体"/>
          <w:color w:val="auto"/>
          <w:spacing w:val="-1"/>
          <w:sz w:val="24"/>
          <w:szCs w:val="24"/>
        </w:rPr>
        <w:t>，</w:t>
      </w:r>
      <w:r>
        <w:rPr>
          <w:rFonts w:hint="eastAsia" w:ascii="宋体" w:hAnsi="宋体" w:cs="宋体"/>
          <w:color w:val="auto"/>
          <w:sz w:val="24"/>
          <w:szCs w:val="24"/>
        </w:rPr>
        <w:t>电子招标投标交易平台</w:t>
      </w:r>
      <w:r>
        <w:rPr>
          <w:rFonts w:hint="eastAsia" w:ascii="宋体" w:hAnsi="宋体" w:eastAsia="宋体" w:cs="宋体"/>
          <w:color w:val="auto"/>
          <w:sz w:val="24"/>
          <w:szCs w:val="24"/>
          <w:lang w:eastAsia="zh-CN"/>
        </w:rPr>
        <w:t>：</w:t>
      </w:r>
      <w:r>
        <w:rPr>
          <w:rFonts w:hint="eastAsia" w:ascii="宋体" w:hAnsi="宋体" w:cs="宋体"/>
          <w:color w:val="auto"/>
          <w:sz w:val="24"/>
          <w:szCs w:val="24"/>
          <w:u w:val="single"/>
        </w:rPr>
        <w:t>http://www.sanmen.gov.cn/col/col1229610743/index.html</w:t>
      </w:r>
      <w:r>
        <w:rPr>
          <w:rFonts w:ascii="宋体" w:hAnsi="宋体"/>
          <w:color w:val="auto"/>
          <w:sz w:val="24"/>
          <w:szCs w:val="24"/>
          <w:u w:val="single"/>
        </w:rPr>
        <w:t xml:space="preserve"> </w:t>
      </w:r>
      <w:r>
        <w:rPr>
          <w:rFonts w:hint="eastAsia" w:ascii="宋体" w:hAnsi="宋体" w:cs="宋体"/>
          <w:color w:val="auto"/>
          <w:sz w:val="24"/>
          <w:szCs w:val="24"/>
        </w:rPr>
        <w:t>。</w:t>
      </w:r>
    </w:p>
    <w:p w14:paraId="6BC48546">
      <w:pPr>
        <w:pStyle w:val="8"/>
        <w:keepNext w:val="0"/>
        <w:keepLines w:val="0"/>
        <w:pageBreakBefore w:val="0"/>
        <w:widowControl w:val="0"/>
        <w:tabs>
          <w:tab w:val="left" w:pos="7226"/>
          <w:tab w:val="left" w:pos="7770"/>
        </w:tabs>
        <w:kinsoku w:val="0"/>
        <w:wordWrap/>
        <w:overflowPunct/>
        <w:topLinePunct w:val="0"/>
        <w:autoSpaceDE/>
        <w:autoSpaceDN/>
        <w:bidi w:val="0"/>
        <w:adjustRightInd/>
        <w:snapToGrid/>
        <w:spacing w:after="0" w:line="360" w:lineRule="auto"/>
        <w:ind w:left="174" w:leftChars="83" w:firstLine="240" w:firstLineChars="100"/>
        <w:rPr>
          <w:rFonts w:hint="eastAsia" w:ascii="宋体" w:hAnsi="宋体" w:eastAsia="宋体" w:cs="宋体"/>
          <w:color w:val="auto"/>
          <w:spacing w:val="0"/>
          <w:w w:val="100"/>
          <w:kern w:val="21"/>
          <w:sz w:val="24"/>
          <w:szCs w:val="24"/>
          <w:lang w:val="en-US" w:eastAsia="zh-CN"/>
        </w:rPr>
      </w:pPr>
      <w:r>
        <w:rPr>
          <w:rFonts w:hint="eastAsia" w:ascii="宋体" w:hAnsi="宋体" w:eastAsia="宋体" w:cs="宋体"/>
          <w:color w:val="auto"/>
          <w:spacing w:val="0"/>
          <w:w w:val="100"/>
          <w:kern w:val="21"/>
          <w:sz w:val="24"/>
          <w:szCs w:val="24"/>
          <w:lang w:val="en-US" w:eastAsia="zh-CN"/>
        </w:rPr>
        <w:t>6.2工程保函（非电子保函系统）其原件递交时间及地点：</w:t>
      </w:r>
    </w:p>
    <w:p w14:paraId="4C7986EE">
      <w:pPr>
        <w:pStyle w:val="8"/>
        <w:keepNext w:val="0"/>
        <w:keepLines w:val="0"/>
        <w:pageBreakBefore w:val="0"/>
        <w:widowControl w:val="0"/>
        <w:tabs>
          <w:tab w:val="left" w:pos="7226"/>
          <w:tab w:val="left" w:pos="7770"/>
        </w:tabs>
        <w:kinsoku w:val="0"/>
        <w:wordWrap/>
        <w:overflowPunct/>
        <w:topLinePunct w:val="0"/>
        <w:autoSpaceDE/>
        <w:autoSpaceDN/>
        <w:bidi w:val="0"/>
        <w:adjustRightInd/>
        <w:snapToGrid/>
        <w:spacing w:after="0" w:line="360" w:lineRule="auto"/>
        <w:ind w:left="174" w:leftChars="83" w:firstLine="230" w:firstLineChars="100"/>
        <w:rPr>
          <w:rFonts w:hint="eastAsia" w:ascii="宋体" w:hAnsi="宋体" w:cs="宋体"/>
          <w:color w:val="auto"/>
          <w:sz w:val="24"/>
          <w:szCs w:val="24"/>
        </w:rPr>
      </w:pPr>
      <w:r>
        <w:rPr>
          <w:rFonts w:hint="eastAsia" w:ascii="宋体" w:hAnsi="宋体" w:eastAsia="宋体" w:cs="宋体"/>
          <w:color w:val="auto"/>
          <w:spacing w:val="-5"/>
          <w:sz w:val="24"/>
          <w:szCs w:val="24"/>
        </w:rPr>
        <w:t>时间：</w:t>
      </w:r>
      <w:r>
        <w:rPr>
          <w:rFonts w:hint="eastAsia" w:ascii="宋体" w:hAnsi="宋体" w:cs="宋体"/>
          <w:color w:val="auto"/>
          <w:sz w:val="24"/>
          <w:szCs w:val="24"/>
          <w:u w:val="single"/>
        </w:rPr>
        <w:t xml:space="preserve"> </w:t>
      </w:r>
      <w:r>
        <w:rPr>
          <w:rFonts w:hint="eastAsia" w:ascii="宋体" w:hAnsi="宋体" w:cs="宋体"/>
          <w:color w:val="auto"/>
          <w:sz w:val="24"/>
          <w:szCs w:val="24"/>
          <w:u w:val="single"/>
          <w:lang w:val="en-US" w:eastAsia="zh-CN"/>
        </w:rPr>
        <w:t>2025</w:t>
      </w:r>
      <w:r>
        <w:rPr>
          <w:rFonts w:hint="eastAsia" w:ascii="宋体" w:hAnsi="宋体" w:cs="宋体"/>
          <w:color w:val="auto"/>
          <w:sz w:val="24"/>
          <w:szCs w:val="24"/>
        </w:rPr>
        <w:t>年</w:t>
      </w:r>
      <w:r>
        <w:rPr>
          <w:rFonts w:hint="eastAsia" w:ascii="宋体" w:hAnsi="宋体" w:eastAsia="宋体" w:cs="宋体"/>
          <w:color w:val="auto"/>
          <w:sz w:val="24"/>
          <w:szCs w:val="24"/>
          <w:u w:val="single"/>
          <w:lang w:val="en-US" w:eastAsia="zh-CN"/>
        </w:rPr>
        <w:t xml:space="preserve">  </w:t>
      </w:r>
      <w:r>
        <w:rPr>
          <w:rFonts w:hint="eastAsia" w:ascii="宋体" w:hAnsi="宋体" w:cs="宋体"/>
          <w:color w:val="auto"/>
          <w:sz w:val="24"/>
          <w:szCs w:val="24"/>
          <w:u w:val="single"/>
        </w:rPr>
        <w:t xml:space="preserve"> </w:t>
      </w:r>
      <w:r>
        <w:rPr>
          <w:rFonts w:hint="eastAsia" w:ascii="宋体" w:hAnsi="宋体" w:cs="宋体"/>
          <w:color w:val="auto"/>
          <w:sz w:val="24"/>
          <w:szCs w:val="24"/>
        </w:rPr>
        <w:t>月</w:t>
      </w:r>
      <w:r>
        <w:rPr>
          <w:rFonts w:hint="eastAsia" w:ascii="宋体" w:hAnsi="宋体" w:eastAsia="宋体" w:cs="宋体"/>
          <w:color w:val="auto"/>
          <w:sz w:val="24"/>
          <w:szCs w:val="24"/>
          <w:u w:val="single"/>
          <w:lang w:val="en-US" w:eastAsia="zh-CN"/>
        </w:rPr>
        <w:t xml:space="preserve">  </w:t>
      </w:r>
      <w:r>
        <w:rPr>
          <w:rFonts w:hint="eastAsia" w:ascii="宋体" w:hAnsi="宋体" w:cs="宋体"/>
          <w:color w:val="auto"/>
          <w:sz w:val="24"/>
          <w:szCs w:val="24"/>
        </w:rPr>
        <w:t>日</w:t>
      </w:r>
      <w:r>
        <w:rPr>
          <w:rFonts w:hint="eastAsia" w:ascii="宋体" w:hAnsi="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8  </w:t>
      </w:r>
      <w:r>
        <w:rPr>
          <w:rFonts w:hint="eastAsia" w:ascii="宋体" w:hAnsi="宋体" w:cs="宋体"/>
          <w:color w:val="auto"/>
          <w:sz w:val="24"/>
          <w:szCs w:val="24"/>
        </w:rPr>
        <w:t>时</w:t>
      </w:r>
      <w:r>
        <w:rPr>
          <w:rFonts w:hint="eastAsia" w:ascii="宋体" w:hAnsi="宋体" w:cs="宋体"/>
          <w:color w:val="auto"/>
          <w:sz w:val="24"/>
          <w:szCs w:val="24"/>
          <w:u w:val="single"/>
        </w:rPr>
        <w:t xml:space="preserve">  </w:t>
      </w:r>
      <w:r>
        <w:rPr>
          <w:rFonts w:hint="eastAsia" w:ascii="宋体" w:hAnsi="宋体" w:cs="宋体"/>
          <w:color w:val="auto"/>
          <w:sz w:val="24"/>
          <w:szCs w:val="24"/>
          <w:u w:val="single"/>
          <w:lang w:val="en-US" w:eastAsia="zh-CN"/>
        </w:rPr>
        <w:t>00</w:t>
      </w:r>
      <w:r>
        <w:rPr>
          <w:rFonts w:hint="eastAsia" w:ascii="宋体" w:hAnsi="宋体" w:cs="宋体"/>
          <w:color w:val="auto"/>
          <w:sz w:val="24"/>
          <w:szCs w:val="24"/>
          <w:u w:val="single"/>
        </w:rPr>
        <w:t xml:space="preserve"> </w:t>
      </w:r>
      <w:r>
        <w:rPr>
          <w:rFonts w:hint="eastAsia" w:ascii="宋体" w:hAnsi="宋体" w:cs="宋体"/>
          <w:color w:val="auto"/>
          <w:sz w:val="24"/>
          <w:szCs w:val="24"/>
        </w:rPr>
        <w:t>分</w:t>
      </w:r>
      <w:r>
        <w:rPr>
          <w:rFonts w:hint="eastAsia" w:ascii="宋体" w:hAnsi="宋体" w:cs="宋体"/>
          <w:color w:val="auto"/>
          <w:sz w:val="24"/>
          <w:szCs w:val="24"/>
          <w:lang w:val="en-US" w:eastAsia="zh-CN"/>
        </w:rPr>
        <w:t>至</w:t>
      </w:r>
      <w:r>
        <w:rPr>
          <w:rFonts w:hint="eastAsia" w:ascii="宋体" w:hAnsi="宋体" w:cs="宋体"/>
          <w:color w:val="auto"/>
          <w:sz w:val="24"/>
          <w:szCs w:val="24"/>
          <w:u w:val="single"/>
        </w:rPr>
        <w:t xml:space="preserve"> </w:t>
      </w:r>
      <w:r>
        <w:rPr>
          <w:rFonts w:hint="eastAsia" w:ascii="宋体" w:hAnsi="宋体" w:cs="宋体"/>
          <w:color w:val="auto"/>
          <w:sz w:val="24"/>
          <w:szCs w:val="24"/>
          <w:u w:val="single"/>
          <w:lang w:val="en-US" w:eastAsia="zh-CN"/>
        </w:rPr>
        <w:t>9</w:t>
      </w:r>
      <w:r>
        <w:rPr>
          <w:rFonts w:hint="eastAsia" w:ascii="宋体" w:hAnsi="宋体" w:cs="宋体"/>
          <w:color w:val="auto"/>
          <w:sz w:val="24"/>
          <w:szCs w:val="24"/>
          <w:u w:val="single"/>
        </w:rPr>
        <w:t xml:space="preserve">  </w:t>
      </w:r>
      <w:r>
        <w:rPr>
          <w:rFonts w:hint="eastAsia" w:ascii="宋体" w:hAnsi="宋体" w:cs="宋体"/>
          <w:color w:val="auto"/>
          <w:sz w:val="24"/>
          <w:szCs w:val="24"/>
        </w:rPr>
        <w:t>时</w:t>
      </w:r>
      <w:r>
        <w:rPr>
          <w:rFonts w:hint="eastAsia" w:ascii="宋体" w:hAnsi="宋体" w:cs="宋体"/>
          <w:color w:val="auto"/>
          <w:sz w:val="24"/>
          <w:szCs w:val="24"/>
          <w:u w:val="single"/>
        </w:rPr>
        <w:t xml:space="preserve"> </w:t>
      </w:r>
      <w:r>
        <w:rPr>
          <w:rFonts w:hint="eastAsia" w:ascii="宋体" w:hAnsi="宋体" w:cs="宋体"/>
          <w:color w:val="auto"/>
          <w:sz w:val="24"/>
          <w:szCs w:val="24"/>
          <w:u w:val="single"/>
          <w:lang w:val="en-US" w:eastAsia="zh-CN"/>
        </w:rPr>
        <w:t>00</w:t>
      </w:r>
      <w:r>
        <w:rPr>
          <w:rFonts w:hint="eastAsia" w:ascii="宋体" w:hAnsi="宋体" w:cs="宋体"/>
          <w:color w:val="auto"/>
          <w:sz w:val="24"/>
          <w:szCs w:val="24"/>
          <w:u w:val="single"/>
        </w:rPr>
        <w:t xml:space="preserve">  </w:t>
      </w:r>
      <w:r>
        <w:rPr>
          <w:rFonts w:hint="eastAsia" w:ascii="宋体" w:hAnsi="宋体" w:cs="宋体"/>
          <w:color w:val="auto"/>
          <w:sz w:val="24"/>
          <w:szCs w:val="24"/>
        </w:rPr>
        <w:t>分</w:t>
      </w:r>
    </w:p>
    <w:p w14:paraId="23AA09BB">
      <w:pPr>
        <w:pStyle w:val="8"/>
        <w:keepNext w:val="0"/>
        <w:keepLines w:val="0"/>
        <w:pageBreakBefore w:val="0"/>
        <w:widowControl w:val="0"/>
        <w:tabs>
          <w:tab w:val="left" w:pos="7226"/>
          <w:tab w:val="left" w:pos="7770"/>
        </w:tabs>
        <w:kinsoku w:val="0"/>
        <w:wordWrap/>
        <w:overflowPunct/>
        <w:topLinePunct w:val="0"/>
        <w:autoSpaceDE/>
        <w:autoSpaceDN/>
        <w:bidi w:val="0"/>
        <w:adjustRightInd/>
        <w:snapToGrid/>
        <w:spacing w:after="0" w:line="360" w:lineRule="auto"/>
        <w:ind w:left="174" w:leftChars="83"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地点：三门县公共资源交易中心交易大厅（一）或（二）</w:t>
      </w:r>
    </w:p>
    <w:p w14:paraId="2181D44B">
      <w:pPr>
        <w:spacing w:before="2" w:line="225" w:lineRule="auto"/>
        <w:ind w:left="20"/>
        <w:rPr>
          <w:rFonts w:ascii="宋体" w:hAnsi="宋体" w:eastAsia="宋体" w:cs="宋体"/>
          <w:color w:val="auto"/>
          <w:sz w:val="31"/>
          <w:szCs w:val="31"/>
          <w:lang w:eastAsia="zh-CN"/>
        </w:rPr>
      </w:pPr>
      <w:r>
        <w:rPr>
          <w:rFonts w:ascii="宋体" w:hAnsi="宋体" w:eastAsia="宋体" w:cs="宋体"/>
          <w:b/>
          <w:bCs/>
          <w:color w:val="auto"/>
          <w:spacing w:val="2"/>
          <w:sz w:val="31"/>
          <w:szCs w:val="31"/>
          <w:lang w:eastAsia="zh-CN"/>
        </w:rPr>
        <w:t>7.联系方式</w:t>
      </w:r>
    </w:p>
    <w:p w14:paraId="59905823">
      <w:pPr>
        <w:pStyle w:val="8"/>
        <w:keepNext/>
        <w:keepLines/>
        <w:tabs>
          <w:tab w:val="left" w:pos="4228"/>
          <w:tab w:val="left" w:pos="7975"/>
        </w:tabs>
        <w:kinsoku w:val="0"/>
        <w:spacing w:line="360" w:lineRule="auto"/>
        <w:ind w:left="0" w:firstLine="480" w:firstLineChars="200"/>
        <w:jc w:val="both"/>
        <w:rPr>
          <w:rFonts w:hint="eastAsia" w:ascii="宋体" w:hAnsi="宋体" w:cs="宋体"/>
          <w:sz w:val="24"/>
          <w:szCs w:val="24"/>
          <w:lang w:eastAsia="zh-CN"/>
        </w:rPr>
      </w:pPr>
      <w:r>
        <w:rPr>
          <w:rFonts w:hint="eastAsia" w:ascii="宋体" w:hAnsi="宋体" w:cs="宋体"/>
          <w:sz w:val="24"/>
          <w:szCs w:val="24"/>
        </w:rPr>
        <w:t>招 标</w:t>
      </w:r>
      <w:r>
        <w:rPr>
          <w:rFonts w:hint="eastAsia" w:ascii="宋体" w:hAnsi="宋体" w:eastAsia="宋体" w:cs="宋体"/>
          <w:sz w:val="24"/>
          <w:szCs w:val="24"/>
          <w:lang w:val="en-US" w:eastAsia="zh-CN"/>
        </w:rPr>
        <w:t xml:space="preserve"> </w:t>
      </w:r>
      <w:r>
        <w:rPr>
          <w:rFonts w:hint="eastAsia" w:ascii="宋体" w:hAnsi="宋体" w:cs="宋体"/>
          <w:sz w:val="24"/>
          <w:szCs w:val="24"/>
        </w:rPr>
        <w:t>人：</w:t>
      </w:r>
      <w:r>
        <w:rPr>
          <w:rFonts w:hint="eastAsia" w:ascii="宋体" w:hAnsi="宋体" w:cs="宋体"/>
          <w:sz w:val="24"/>
          <w:szCs w:val="24"/>
          <w:lang w:eastAsia="zh-CN"/>
        </w:rPr>
        <w:t>三门县民政局</w:t>
      </w:r>
    </w:p>
    <w:p w14:paraId="5A328A0E">
      <w:pPr>
        <w:pStyle w:val="8"/>
        <w:keepNext/>
        <w:keepLines/>
        <w:tabs>
          <w:tab w:val="left" w:pos="4228"/>
          <w:tab w:val="left" w:pos="7975"/>
        </w:tabs>
        <w:kinsoku w:val="0"/>
        <w:spacing w:line="360" w:lineRule="auto"/>
        <w:ind w:left="0" w:firstLine="480" w:firstLineChars="200"/>
        <w:jc w:val="both"/>
        <w:rPr>
          <w:rFonts w:hint="eastAsia" w:ascii="宋体" w:hAnsi="宋体" w:cs="宋体"/>
          <w:sz w:val="24"/>
          <w:szCs w:val="24"/>
          <w:lang w:eastAsia="zh-CN"/>
        </w:rPr>
      </w:pPr>
      <w:r>
        <w:rPr>
          <w:rFonts w:hint="eastAsia" w:ascii="宋体" w:hAnsi="宋体" w:eastAsia="宋体" w:cs="宋体"/>
          <w:sz w:val="24"/>
          <w:szCs w:val="24"/>
          <w:lang w:eastAsia="zh-CN"/>
        </w:rPr>
        <w:t>代建单位：</w:t>
      </w:r>
      <w:r>
        <w:rPr>
          <w:rFonts w:hint="eastAsia" w:ascii="宋体" w:hAnsi="宋体" w:cs="宋体"/>
          <w:sz w:val="24"/>
          <w:szCs w:val="24"/>
        </w:rPr>
        <w:t>三门县基础设施投资有限责任公司</w:t>
      </w:r>
    </w:p>
    <w:p w14:paraId="0C8D00A7">
      <w:pPr>
        <w:pStyle w:val="9"/>
        <w:rPr>
          <w:rFonts w:hint="eastAsia"/>
          <w:lang w:eastAsia="zh-CN"/>
        </w:rPr>
      </w:pPr>
    </w:p>
    <w:p w14:paraId="0EEF2860">
      <w:pPr>
        <w:pStyle w:val="8"/>
        <w:keepNext/>
        <w:keepLines/>
        <w:tabs>
          <w:tab w:val="left" w:pos="4228"/>
          <w:tab w:val="left" w:pos="7975"/>
        </w:tabs>
        <w:kinsoku w:val="0"/>
        <w:spacing w:line="360" w:lineRule="auto"/>
        <w:ind w:left="0" w:firstLine="480" w:firstLineChars="200"/>
        <w:jc w:val="both"/>
        <w:rPr>
          <w:rFonts w:hint="default" w:ascii="宋体" w:hAnsi="宋体" w:eastAsia="宋体" w:cs="宋体"/>
          <w:sz w:val="24"/>
          <w:szCs w:val="24"/>
          <w:u w:val="single"/>
          <w:lang w:val="en-US" w:eastAsia="zh-CN"/>
        </w:rPr>
      </w:pPr>
      <w:r>
        <w:rPr>
          <w:rFonts w:hint="eastAsia" w:ascii="宋体" w:hAnsi="宋体" w:cs="宋体"/>
          <w:sz w:val="24"/>
          <w:szCs w:val="24"/>
        </w:rPr>
        <w:t>地    址：</w:t>
      </w:r>
      <w:r>
        <w:rPr>
          <w:rFonts w:hint="eastAsia" w:ascii="宋体" w:hAnsi="宋体" w:cs="宋体"/>
          <w:kern w:val="0"/>
          <w:sz w:val="24"/>
          <w:szCs w:val="24"/>
        </w:rPr>
        <w:t>三门县</w:t>
      </w:r>
      <w:r>
        <w:rPr>
          <w:rFonts w:hint="eastAsia" w:ascii="宋体" w:hAnsi="宋体" w:eastAsia="宋体" w:cs="宋体"/>
          <w:kern w:val="0"/>
          <w:sz w:val="24"/>
          <w:szCs w:val="24"/>
          <w:lang w:eastAsia="zh-CN"/>
        </w:rPr>
        <w:t>交通路</w:t>
      </w:r>
      <w:r>
        <w:rPr>
          <w:rFonts w:hint="eastAsia" w:ascii="宋体" w:hAnsi="宋体" w:eastAsia="宋体" w:cs="宋体"/>
          <w:kern w:val="0"/>
          <w:sz w:val="24"/>
          <w:szCs w:val="24"/>
          <w:lang w:val="en-US" w:eastAsia="zh-CN"/>
        </w:rPr>
        <w:t>499号</w:t>
      </w:r>
    </w:p>
    <w:p w14:paraId="4D48FA16">
      <w:pPr>
        <w:pStyle w:val="8"/>
        <w:keepNext/>
        <w:keepLines/>
        <w:tabs>
          <w:tab w:val="left" w:pos="4228"/>
          <w:tab w:val="left" w:pos="7975"/>
        </w:tabs>
        <w:kinsoku w:val="0"/>
        <w:spacing w:line="360" w:lineRule="auto"/>
        <w:ind w:left="0" w:firstLine="480" w:firstLineChars="200"/>
        <w:jc w:val="both"/>
        <w:rPr>
          <w:rFonts w:hint="eastAsia" w:ascii="宋体" w:hAnsi="宋体" w:eastAsia="宋体" w:cs="宋体"/>
          <w:sz w:val="24"/>
          <w:szCs w:val="24"/>
          <w:lang w:eastAsia="zh-CN"/>
        </w:rPr>
      </w:pPr>
      <w:r>
        <w:rPr>
          <w:rFonts w:hint="eastAsia" w:ascii="宋体" w:hAnsi="宋体" w:cs="宋体"/>
          <w:sz w:val="24"/>
          <w:szCs w:val="24"/>
        </w:rPr>
        <w:t>联 系</w:t>
      </w:r>
      <w:r>
        <w:rPr>
          <w:rFonts w:hint="eastAsia" w:ascii="宋体" w:hAnsi="宋体" w:eastAsia="宋体" w:cs="宋体"/>
          <w:sz w:val="24"/>
          <w:szCs w:val="24"/>
          <w:lang w:val="en-US" w:eastAsia="zh-CN"/>
        </w:rPr>
        <w:t xml:space="preserve"> </w:t>
      </w:r>
      <w:r>
        <w:rPr>
          <w:rFonts w:hint="eastAsia" w:ascii="宋体" w:hAnsi="宋体" w:cs="宋体"/>
          <w:sz w:val="24"/>
          <w:szCs w:val="24"/>
        </w:rPr>
        <w:t>人：</w:t>
      </w:r>
      <w:r>
        <w:rPr>
          <w:rFonts w:hint="eastAsia" w:ascii="宋体" w:hAnsi="宋体" w:cs="宋体"/>
          <w:sz w:val="24"/>
          <w:szCs w:val="24"/>
          <w:lang w:eastAsia="zh-CN"/>
        </w:rPr>
        <w:t>赖尚将</w:t>
      </w:r>
    </w:p>
    <w:p w14:paraId="0882BD6D">
      <w:pPr>
        <w:pStyle w:val="8"/>
        <w:keepNext/>
        <w:keepLines/>
        <w:tabs>
          <w:tab w:val="left" w:pos="4228"/>
          <w:tab w:val="left" w:pos="7975"/>
        </w:tabs>
        <w:kinsoku w:val="0"/>
        <w:spacing w:line="360" w:lineRule="auto"/>
        <w:ind w:left="0" w:firstLine="480" w:firstLineChars="200"/>
        <w:jc w:val="both"/>
        <w:rPr>
          <w:rFonts w:hint="eastAsia" w:ascii="宋体" w:hAnsi="宋体" w:eastAsia="宋体" w:cs="宋体"/>
          <w:sz w:val="24"/>
          <w:szCs w:val="24"/>
          <w:u w:val="single"/>
          <w:lang w:eastAsia="zh-CN"/>
        </w:rPr>
      </w:pPr>
      <w:r>
        <w:rPr>
          <w:rFonts w:hint="eastAsia" w:ascii="宋体" w:hAnsi="宋体" w:cs="宋体"/>
          <w:sz w:val="24"/>
          <w:szCs w:val="24"/>
        </w:rPr>
        <w:t xml:space="preserve">电  </w:t>
      </w:r>
      <w:r>
        <w:rPr>
          <w:rFonts w:hint="eastAsia" w:ascii="宋体" w:hAnsi="宋体" w:eastAsia="宋体" w:cs="宋体"/>
          <w:sz w:val="24"/>
          <w:szCs w:val="24"/>
          <w:lang w:val="en-US" w:eastAsia="zh-CN"/>
        </w:rPr>
        <w:t xml:space="preserve"> </w:t>
      </w:r>
      <w:r>
        <w:rPr>
          <w:rFonts w:hint="eastAsia" w:ascii="宋体" w:hAnsi="宋体" w:cs="宋体"/>
          <w:sz w:val="24"/>
          <w:szCs w:val="24"/>
        </w:rPr>
        <w:t xml:space="preserve"> 话：</w:t>
      </w:r>
      <w:r>
        <w:rPr>
          <w:rFonts w:hint="eastAsia" w:ascii="宋体" w:hAnsi="宋体" w:cs="宋体"/>
          <w:sz w:val="24"/>
          <w:szCs w:val="24"/>
          <w:lang w:eastAsia="zh-CN"/>
        </w:rPr>
        <w:t>15990672565</w:t>
      </w:r>
    </w:p>
    <w:p w14:paraId="25EE06AB">
      <w:pPr>
        <w:pStyle w:val="8"/>
        <w:keepNext/>
        <w:keepLines/>
        <w:tabs>
          <w:tab w:val="left" w:pos="4228"/>
          <w:tab w:val="left" w:pos="7975"/>
        </w:tabs>
        <w:kinsoku w:val="0"/>
        <w:spacing w:line="360" w:lineRule="auto"/>
        <w:ind w:left="0" w:right="905" w:firstLine="5520" w:firstLineChars="2300"/>
        <w:jc w:val="both"/>
        <w:rPr>
          <w:rFonts w:ascii="宋体" w:hAnsi="宋体" w:cs="宋体"/>
          <w:sz w:val="24"/>
          <w:szCs w:val="24"/>
        </w:rPr>
      </w:pPr>
    </w:p>
    <w:p w14:paraId="709938CD">
      <w:pPr>
        <w:pStyle w:val="8"/>
        <w:keepNext/>
        <w:keepLines/>
        <w:tabs>
          <w:tab w:val="left" w:pos="4228"/>
          <w:tab w:val="left" w:pos="7975"/>
        </w:tabs>
        <w:kinsoku w:val="0"/>
        <w:spacing w:line="360" w:lineRule="auto"/>
        <w:ind w:left="0" w:firstLine="480" w:firstLineChars="200"/>
        <w:jc w:val="both"/>
        <w:rPr>
          <w:rFonts w:hint="eastAsia" w:ascii="宋体" w:hAnsi="宋体" w:eastAsia="宋体" w:cs="宋体"/>
          <w:sz w:val="24"/>
          <w:szCs w:val="24"/>
          <w:lang w:eastAsia="zh-CN"/>
        </w:rPr>
      </w:pPr>
      <w:r>
        <w:rPr>
          <w:rFonts w:hint="eastAsia" w:ascii="宋体" w:hAnsi="宋体" w:cs="宋体"/>
          <w:sz w:val="24"/>
          <w:szCs w:val="24"/>
        </w:rPr>
        <w:t>招标代理机构：</w:t>
      </w:r>
      <w:r>
        <w:rPr>
          <w:rFonts w:hint="eastAsia" w:ascii="宋体" w:hAnsi="宋体" w:cs="宋体"/>
          <w:sz w:val="24"/>
          <w:szCs w:val="24"/>
          <w:lang w:eastAsia="zh-CN"/>
        </w:rPr>
        <w:t>欧邦工程管理集团有限公司</w:t>
      </w:r>
    </w:p>
    <w:p w14:paraId="17788C6A">
      <w:pPr>
        <w:pStyle w:val="8"/>
        <w:keepNext/>
        <w:keepLines/>
        <w:tabs>
          <w:tab w:val="left" w:pos="4228"/>
          <w:tab w:val="left" w:pos="7975"/>
        </w:tabs>
        <w:kinsoku w:val="0"/>
        <w:spacing w:line="360" w:lineRule="auto"/>
        <w:ind w:left="0" w:firstLine="480" w:firstLineChars="200"/>
        <w:jc w:val="both"/>
        <w:rPr>
          <w:rFonts w:hint="eastAsia" w:eastAsia="宋体"/>
          <w:sz w:val="24"/>
          <w:szCs w:val="24"/>
          <w:lang w:val="en-US" w:eastAsia="zh-CN"/>
        </w:rPr>
      </w:pPr>
      <w:r>
        <w:rPr>
          <w:rFonts w:hint="eastAsia" w:ascii="宋体" w:hAnsi="宋体" w:cs="宋体"/>
          <w:sz w:val="24"/>
          <w:szCs w:val="24"/>
        </w:rPr>
        <w:t xml:space="preserve">地   </w:t>
      </w:r>
      <w:r>
        <w:rPr>
          <w:rFonts w:hint="eastAsia" w:ascii="宋体" w:hAnsi="宋体" w:eastAsia="宋体" w:cs="宋体"/>
          <w:sz w:val="24"/>
          <w:szCs w:val="24"/>
          <w:lang w:val="en-US" w:eastAsia="zh-CN"/>
        </w:rPr>
        <w:t xml:space="preserve">   </w:t>
      </w:r>
      <w:r>
        <w:rPr>
          <w:rFonts w:hint="eastAsia" w:ascii="宋体" w:hAnsi="宋体" w:cs="宋体"/>
          <w:sz w:val="24"/>
          <w:szCs w:val="24"/>
        </w:rPr>
        <w:t xml:space="preserve">  址：</w:t>
      </w:r>
      <w:r>
        <w:rPr>
          <w:rFonts w:hint="eastAsia" w:eastAsia="宋体"/>
          <w:sz w:val="24"/>
          <w:szCs w:val="24"/>
          <w:lang w:eastAsia="zh-CN"/>
        </w:rPr>
        <w:t>三门县湫水大道25号（二楼）</w:t>
      </w:r>
    </w:p>
    <w:p w14:paraId="3CE08272">
      <w:pPr>
        <w:pStyle w:val="8"/>
        <w:keepNext/>
        <w:keepLines/>
        <w:tabs>
          <w:tab w:val="left" w:pos="4228"/>
          <w:tab w:val="left" w:pos="7975"/>
        </w:tabs>
        <w:kinsoku w:val="0"/>
        <w:spacing w:line="360" w:lineRule="auto"/>
        <w:ind w:left="0" w:firstLine="480" w:firstLineChars="200"/>
        <w:jc w:val="both"/>
        <w:rPr>
          <w:rFonts w:hint="eastAsia" w:ascii="宋体" w:hAnsi="宋体" w:eastAsia="宋体" w:cs="宋体"/>
          <w:sz w:val="24"/>
          <w:szCs w:val="24"/>
          <w:lang w:eastAsia="zh-CN"/>
        </w:rPr>
      </w:pPr>
      <w:r>
        <w:rPr>
          <w:rFonts w:hint="eastAsia" w:ascii="宋体" w:hAnsi="宋体" w:cs="宋体"/>
          <w:sz w:val="24"/>
          <w:szCs w:val="24"/>
        </w:rPr>
        <w:t xml:space="preserve">联 </w:t>
      </w:r>
      <w:r>
        <w:rPr>
          <w:rFonts w:hint="eastAsia" w:ascii="宋体" w:hAnsi="宋体" w:eastAsia="宋体" w:cs="宋体"/>
          <w:sz w:val="24"/>
          <w:szCs w:val="24"/>
          <w:lang w:val="en-US" w:eastAsia="zh-CN"/>
        </w:rPr>
        <w:t xml:space="preserve">  </w:t>
      </w:r>
      <w:r>
        <w:rPr>
          <w:rFonts w:hint="eastAsia" w:ascii="宋体" w:hAnsi="宋体" w:cs="宋体"/>
          <w:sz w:val="24"/>
          <w:szCs w:val="24"/>
        </w:rPr>
        <w:t>系</w:t>
      </w:r>
      <w:r>
        <w:rPr>
          <w:rFonts w:hint="eastAsia" w:ascii="宋体" w:hAnsi="宋体" w:eastAsia="宋体" w:cs="宋体"/>
          <w:sz w:val="24"/>
          <w:szCs w:val="24"/>
          <w:lang w:val="en-US" w:eastAsia="zh-CN"/>
        </w:rPr>
        <w:t xml:space="preserve">   </w:t>
      </w:r>
      <w:r>
        <w:rPr>
          <w:rFonts w:hint="eastAsia" w:ascii="宋体" w:hAnsi="宋体" w:cs="宋体"/>
          <w:sz w:val="24"/>
          <w:szCs w:val="24"/>
        </w:rPr>
        <w:t>人：</w:t>
      </w:r>
      <w:r>
        <w:rPr>
          <w:rFonts w:hint="eastAsia" w:ascii="宋体" w:hAnsi="宋体" w:cs="宋体"/>
          <w:sz w:val="24"/>
          <w:szCs w:val="24"/>
          <w:lang w:eastAsia="zh-CN"/>
        </w:rPr>
        <w:t>倪勇</w:t>
      </w:r>
    </w:p>
    <w:p w14:paraId="6F5DBF5B">
      <w:pPr>
        <w:pStyle w:val="8"/>
        <w:keepNext/>
        <w:keepLines/>
        <w:tabs>
          <w:tab w:val="left" w:pos="4228"/>
          <w:tab w:val="left" w:pos="7975"/>
        </w:tabs>
        <w:kinsoku w:val="0"/>
        <w:spacing w:line="360" w:lineRule="auto"/>
        <w:ind w:left="0" w:firstLine="480" w:firstLineChars="200"/>
        <w:jc w:val="both"/>
        <w:rPr>
          <w:rFonts w:hint="eastAsia" w:ascii="宋体" w:hAnsi="宋体" w:eastAsia="宋体" w:cs="宋体"/>
          <w:w w:val="28"/>
          <w:sz w:val="24"/>
          <w:szCs w:val="24"/>
          <w:u w:val="single"/>
          <w:lang w:eastAsia="zh-CN"/>
        </w:rPr>
      </w:pPr>
      <w:r>
        <w:rPr>
          <w:rFonts w:hint="eastAsia" w:ascii="宋体" w:hAnsi="宋体" w:cs="宋体"/>
          <w:sz w:val="24"/>
          <w:szCs w:val="24"/>
        </w:rPr>
        <w:t xml:space="preserve">电    </w:t>
      </w:r>
      <w:r>
        <w:rPr>
          <w:rFonts w:hint="eastAsia" w:ascii="宋体" w:hAnsi="宋体" w:eastAsia="宋体" w:cs="宋体"/>
          <w:sz w:val="24"/>
          <w:szCs w:val="24"/>
          <w:lang w:val="en-US" w:eastAsia="zh-CN"/>
        </w:rPr>
        <w:t xml:space="preserve">   </w:t>
      </w:r>
      <w:r>
        <w:rPr>
          <w:rFonts w:hint="eastAsia" w:ascii="宋体" w:hAnsi="宋体" w:cs="宋体"/>
          <w:sz w:val="24"/>
          <w:szCs w:val="24"/>
        </w:rPr>
        <w:t xml:space="preserve"> 话：</w:t>
      </w:r>
      <w:r>
        <w:rPr>
          <w:rFonts w:hint="eastAsia" w:ascii="宋体" w:hAnsi="宋体" w:cs="宋体"/>
          <w:sz w:val="24"/>
          <w:szCs w:val="24"/>
          <w:lang w:eastAsia="zh-CN"/>
        </w:rPr>
        <w:t>0576-83321522</w:t>
      </w:r>
    </w:p>
    <w:p w14:paraId="18AD3291">
      <w:pPr>
        <w:keepNext/>
        <w:keepLines/>
        <w:widowControl/>
        <w:autoSpaceDE/>
        <w:autoSpaceDN/>
        <w:adjustRightInd/>
        <w:spacing w:line="360" w:lineRule="auto"/>
        <w:jc w:val="right"/>
        <w:rPr>
          <w:rFonts w:hint="eastAsia" w:ascii="宋体" w:hAnsi="宋体" w:cs="宋体"/>
          <w:sz w:val="24"/>
          <w:szCs w:val="24"/>
          <w:lang w:eastAsia="zh-CN"/>
        </w:rPr>
      </w:pPr>
    </w:p>
    <w:p w14:paraId="7A448980">
      <w:pPr>
        <w:keepNext/>
        <w:keepLines/>
        <w:widowControl/>
        <w:autoSpaceDE/>
        <w:autoSpaceDN/>
        <w:adjustRightInd/>
        <w:spacing w:line="360" w:lineRule="auto"/>
        <w:jc w:val="right"/>
        <w:rPr>
          <w:rFonts w:hint="eastAsia" w:ascii="宋体" w:hAnsi="宋体" w:cs="宋体"/>
          <w:sz w:val="24"/>
          <w:szCs w:val="24"/>
          <w:lang w:eastAsia="zh-CN"/>
        </w:rPr>
      </w:pPr>
      <w:r>
        <w:rPr>
          <w:rFonts w:hint="eastAsia" w:ascii="宋体" w:hAnsi="宋体" w:cs="宋体"/>
          <w:sz w:val="24"/>
          <w:szCs w:val="24"/>
          <w:lang w:eastAsia="zh-CN"/>
        </w:rPr>
        <w:t>三门县民政局</w:t>
      </w:r>
    </w:p>
    <w:p w14:paraId="5B930971">
      <w:pPr>
        <w:keepNext/>
        <w:keepLines/>
        <w:widowControl/>
        <w:autoSpaceDE/>
        <w:autoSpaceDN/>
        <w:adjustRightInd/>
        <w:spacing w:line="360" w:lineRule="auto"/>
        <w:jc w:val="right"/>
        <w:rPr>
          <w:rFonts w:hint="eastAsia"/>
          <w:lang w:eastAsia="zh-CN"/>
        </w:rPr>
      </w:pPr>
      <w:r>
        <w:rPr>
          <w:rFonts w:hint="eastAsia" w:ascii="宋体" w:hAnsi="宋体" w:cs="宋体"/>
          <w:sz w:val="24"/>
          <w:szCs w:val="24"/>
          <w:lang w:eastAsia="zh-CN"/>
        </w:rPr>
        <w:t>三门县基础设施投资有限责任公司</w:t>
      </w:r>
    </w:p>
    <w:p w14:paraId="557B7A08">
      <w:pPr>
        <w:keepNext/>
        <w:keepLines/>
        <w:widowControl/>
        <w:autoSpaceDE/>
        <w:autoSpaceDN/>
        <w:adjustRightInd/>
        <w:spacing w:line="360" w:lineRule="auto"/>
        <w:jc w:val="right"/>
        <w:rPr>
          <w:rFonts w:hint="eastAsia" w:ascii="宋体" w:hAnsi="宋体" w:eastAsia="宋体" w:cs="宋体"/>
          <w:sz w:val="24"/>
          <w:szCs w:val="24"/>
          <w:lang w:eastAsia="zh-CN"/>
        </w:rPr>
      </w:pPr>
      <w:r>
        <w:rPr>
          <w:rFonts w:hint="eastAsia" w:ascii="宋体" w:hAnsi="宋体" w:cs="宋体"/>
          <w:sz w:val="24"/>
          <w:szCs w:val="24"/>
          <w:lang w:eastAsia="zh-CN"/>
        </w:rPr>
        <w:t>欧邦工程管理集团有限公司</w:t>
      </w:r>
    </w:p>
    <w:p w14:paraId="0AE527BE">
      <w:pPr>
        <w:keepNext/>
        <w:keepLines/>
        <w:widowControl/>
        <w:autoSpaceDE/>
        <w:autoSpaceDN/>
        <w:adjustRightInd/>
        <w:spacing w:line="360" w:lineRule="auto"/>
        <w:jc w:val="right"/>
        <w:rPr>
          <w:rFonts w:ascii="宋体" w:hAnsi="宋体" w:cs="宋体"/>
          <w:sz w:val="24"/>
          <w:szCs w:val="24"/>
        </w:rPr>
      </w:pPr>
      <w:r>
        <w:rPr>
          <w:rFonts w:hint="eastAsia" w:ascii="宋体" w:hAnsi="宋体" w:cs="宋体"/>
          <w:sz w:val="24"/>
          <w:szCs w:val="24"/>
        </w:rPr>
        <w:t>三门县住房和城乡建设局</w:t>
      </w:r>
    </w:p>
    <w:p w14:paraId="2A88B5A7">
      <w:pPr>
        <w:spacing w:line="219" w:lineRule="auto"/>
        <w:jc w:val="right"/>
        <w:rPr>
          <w:rFonts w:ascii="宋体" w:hAnsi="宋体" w:eastAsia="宋体" w:cs="宋体"/>
          <w:color w:val="auto"/>
          <w:sz w:val="24"/>
          <w:szCs w:val="24"/>
          <w:lang w:eastAsia="zh-CN"/>
        </w:rPr>
        <w:sectPr>
          <w:footerReference r:id="rId5" w:type="default"/>
          <w:pgSz w:w="11907" w:h="16840"/>
          <w:pgMar w:top="1431" w:right="1466" w:bottom="1288" w:left="1530" w:header="0" w:footer="1102" w:gutter="0"/>
          <w:pgNumType w:fmt="decimal"/>
          <w:cols w:space="720" w:num="1"/>
          <w:docGrid w:linePitch="0" w:charSpace="0"/>
        </w:sectPr>
      </w:pPr>
      <w:r>
        <w:rPr>
          <w:rFonts w:hint="eastAsia" w:ascii="宋体" w:hAnsi="宋体" w:cs="宋体"/>
          <w:color w:val="auto"/>
          <w:sz w:val="24"/>
          <w:szCs w:val="24"/>
          <w:lang w:val="en-US" w:eastAsia="zh-CN"/>
        </w:rPr>
        <w:t>2025</w:t>
      </w:r>
      <w:r>
        <w:rPr>
          <w:rFonts w:hint="eastAsia" w:ascii="宋体" w:hAnsi="宋体" w:cs="宋体"/>
          <w:color w:val="auto"/>
          <w:sz w:val="24"/>
          <w:szCs w:val="24"/>
        </w:rPr>
        <w:t>年</w:t>
      </w:r>
      <w:r>
        <w:rPr>
          <w:rFonts w:hint="eastAsia" w:ascii="宋体" w:hAnsi="宋体" w:cs="宋体"/>
          <w:color w:val="auto"/>
          <w:sz w:val="24"/>
          <w:szCs w:val="24"/>
          <w:lang w:val="en-US" w:eastAsia="zh-CN"/>
        </w:rPr>
        <w:t>5</w:t>
      </w:r>
      <w:r>
        <w:rPr>
          <w:rFonts w:hint="eastAsia" w:ascii="宋体" w:hAnsi="宋体" w:cs="宋体"/>
          <w:color w:val="auto"/>
          <w:sz w:val="24"/>
          <w:szCs w:val="24"/>
        </w:rPr>
        <w:t>月</w:t>
      </w:r>
      <w:r>
        <w:rPr>
          <w:rFonts w:hint="eastAsia" w:ascii="宋体" w:hAnsi="宋体" w:cs="宋体"/>
          <w:color w:val="auto"/>
          <w:sz w:val="24"/>
          <w:szCs w:val="24"/>
          <w:lang w:val="en-US" w:eastAsia="zh-CN"/>
        </w:rPr>
        <w:t xml:space="preserve">  </w:t>
      </w:r>
      <w:r>
        <w:rPr>
          <w:rFonts w:hint="eastAsia" w:ascii="宋体" w:hAnsi="宋体" w:cs="宋体"/>
          <w:color w:val="auto"/>
          <w:sz w:val="24"/>
          <w:szCs w:val="24"/>
        </w:rPr>
        <w:t>日</w:t>
      </w:r>
    </w:p>
    <w:p w14:paraId="329809DE">
      <w:pPr>
        <w:spacing w:before="88" w:line="225" w:lineRule="auto"/>
        <w:ind w:left="2636"/>
        <w:outlineLvl w:val="0"/>
        <w:rPr>
          <w:rFonts w:ascii="黑体" w:hAnsi="黑体" w:eastAsia="黑体" w:cs="黑体"/>
          <w:color w:val="auto"/>
          <w:sz w:val="43"/>
          <w:szCs w:val="43"/>
          <w:lang w:eastAsia="zh-CN"/>
        </w:rPr>
      </w:pPr>
      <w:bookmarkStart w:id="10" w:name="bookmark4"/>
      <w:bookmarkEnd w:id="10"/>
      <w:r>
        <w:rPr>
          <w:rFonts w:ascii="黑体" w:hAnsi="黑体" w:eastAsia="黑体" w:cs="黑体"/>
          <w:color w:val="auto"/>
          <w:spacing w:val="5"/>
          <w:sz w:val="43"/>
          <w:szCs w:val="43"/>
          <w:lang w:eastAsia="zh-CN"/>
        </w:rPr>
        <w:t>第二章投标人须知</w:t>
      </w:r>
    </w:p>
    <w:p w14:paraId="206495E0">
      <w:pPr>
        <w:spacing w:before="164" w:line="223" w:lineRule="auto"/>
        <w:ind w:left="3160"/>
        <w:rPr>
          <w:rFonts w:ascii="宋体" w:hAnsi="宋体" w:eastAsia="宋体" w:cs="宋体"/>
          <w:color w:val="auto"/>
          <w:sz w:val="31"/>
          <w:szCs w:val="31"/>
        </w:rPr>
      </w:pPr>
      <w:r>
        <w:rPr>
          <w:rFonts w:ascii="宋体" w:hAnsi="宋体" w:eastAsia="宋体" w:cs="宋体"/>
          <w:b/>
          <w:bCs/>
          <w:color w:val="auto"/>
          <w:spacing w:val="6"/>
          <w:sz w:val="31"/>
          <w:szCs w:val="31"/>
        </w:rPr>
        <w:t>投标人须知前附表</w:t>
      </w:r>
    </w:p>
    <w:p w14:paraId="743C4D23">
      <w:pPr>
        <w:spacing w:line="93" w:lineRule="exact"/>
        <w:rPr>
          <w:color w:val="auto"/>
        </w:rPr>
      </w:pPr>
    </w:p>
    <w:tbl>
      <w:tblPr>
        <w:tblStyle w:val="22"/>
        <w:tblW w:w="9614" w:type="dxa"/>
        <w:tblInd w:w="-64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80"/>
        <w:gridCol w:w="1305"/>
        <w:gridCol w:w="7229"/>
      </w:tblGrid>
      <w:tr w14:paraId="4C87F5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8" w:hRule="atLeast"/>
        </w:trPr>
        <w:tc>
          <w:tcPr>
            <w:tcW w:w="1080" w:type="dxa"/>
          </w:tcPr>
          <w:p w14:paraId="78BBC460">
            <w:pPr>
              <w:pStyle w:val="23"/>
              <w:spacing w:before="179" w:line="219" w:lineRule="auto"/>
              <w:ind w:left="117"/>
              <w:rPr>
                <w:color w:val="auto"/>
                <w:sz w:val="24"/>
                <w:szCs w:val="24"/>
              </w:rPr>
            </w:pPr>
            <w:r>
              <w:rPr>
                <w:b/>
                <w:bCs/>
                <w:color w:val="auto"/>
                <w:spacing w:val="-6"/>
                <w:sz w:val="24"/>
                <w:szCs w:val="24"/>
              </w:rPr>
              <w:t>条款号</w:t>
            </w:r>
          </w:p>
        </w:tc>
        <w:tc>
          <w:tcPr>
            <w:tcW w:w="1305" w:type="dxa"/>
          </w:tcPr>
          <w:p w14:paraId="2627F86E">
            <w:pPr>
              <w:pStyle w:val="23"/>
              <w:spacing w:before="179" w:line="219" w:lineRule="auto"/>
              <w:rPr>
                <w:color w:val="auto"/>
                <w:sz w:val="24"/>
                <w:szCs w:val="24"/>
              </w:rPr>
            </w:pPr>
            <w:r>
              <w:rPr>
                <w:b/>
                <w:bCs/>
                <w:color w:val="auto"/>
                <w:spacing w:val="-5"/>
                <w:sz w:val="24"/>
                <w:szCs w:val="24"/>
              </w:rPr>
              <w:t>条款名称</w:t>
            </w:r>
          </w:p>
        </w:tc>
        <w:tc>
          <w:tcPr>
            <w:tcW w:w="7229" w:type="dxa"/>
          </w:tcPr>
          <w:p w14:paraId="3357CB92">
            <w:pPr>
              <w:pStyle w:val="23"/>
              <w:spacing w:before="179" w:line="219" w:lineRule="auto"/>
              <w:ind w:left="2601"/>
              <w:rPr>
                <w:color w:val="auto"/>
                <w:sz w:val="24"/>
                <w:szCs w:val="24"/>
              </w:rPr>
            </w:pPr>
            <w:r>
              <w:rPr>
                <w:b/>
                <w:bCs/>
                <w:color w:val="auto"/>
                <w:spacing w:val="-5"/>
                <w:sz w:val="24"/>
                <w:szCs w:val="24"/>
              </w:rPr>
              <w:t>编列内容</w:t>
            </w:r>
          </w:p>
        </w:tc>
      </w:tr>
      <w:tr w14:paraId="2DB888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82" w:hRule="atLeast"/>
        </w:trPr>
        <w:tc>
          <w:tcPr>
            <w:tcW w:w="1080" w:type="dxa"/>
            <w:vAlign w:val="center"/>
          </w:tcPr>
          <w:p w14:paraId="3F089A48">
            <w:pPr>
              <w:spacing w:line="319" w:lineRule="auto"/>
              <w:jc w:val="center"/>
              <w:rPr>
                <w:color w:val="auto"/>
              </w:rPr>
            </w:pPr>
          </w:p>
          <w:p w14:paraId="1F175F5B">
            <w:pPr>
              <w:spacing w:line="320" w:lineRule="auto"/>
              <w:jc w:val="center"/>
              <w:rPr>
                <w:color w:val="auto"/>
              </w:rPr>
            </w:pPr>
          </w:p>
          <w:p w14:paraId="10FA45A3">
            <w:pPr>
              <w:spacing w:before="69" w:line="188" w:lineRule="auto"/>
              <w:ind w:left="256"/>
              <w:jc w:val="center"/>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7"/>
                <w:sz w:val="24"/>
                <w:szCs w:val="24"/>
              </w:rPr>
              <w:t>1.1.2</w:t>
            </w:r>
          </w:p>
        </w:tc>
        <w:tc>
          <w:tcPr>
            <w:tcW w:w="1305" w:type="dxa"/>
            <w:vAlign w:val="center"/>
          </w:tcPr>
          <w:p w14:paraId="4D1BE894">
            <w:pPr>
              <w:pStyle w:val="27"/>
              <w:kinsoku w:val="0"/>
              <w:spacing w:line="440" w:lineRule="exact"/>
              <w:jc w:val="center"/>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招标人</w:t>
            </w:r>
          </w:p>
        </w:tc>
        <w:tc>
          <w:tcPr>
            <w:tcW w:w="7229" w:type="dxa"/>
            <w:vAlign w:val="top"/>
          </w:tcPr>
          <w:p w14:paraId="77FEC790">
            <w:pPr>
              <w:spacing w:line="440" w:lineRule="exact"/>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名称：三门县民政局</w:t>
            </w:r>
          </w:p>
          <w:p w14:paraId="05AD4C3C">
            <w:pPr>
              <w:spacing w:line="440" w:lineRule="exact"/>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地址：三门县交通路499号</w:t>
            </w:r>
          </w:p>
          <w:p w14:paraId="3C843D3C">
            <w:pPr>
              <w:spacing w:line="440" w:lineRule="exact"/>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联系人：赖尚将</w:t>
            </w:r>
          </w:p>
          <w:p w14:paraId="366AEEE7">
            <w:pPr>
              <w:pStyle w:val="27"/>
              <w:kinsoku w:val="0"/>
              <w:spacing w:line="440" w:lineRule="exact"/>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联系电话：15990672565</w:t>
            </w:r>
          </w:p>
        </w:tc>
      </w:tr>
      <w:tr w14:paraId="2BE54A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5" w:hRule="atLeast"/>
        </w:trPr>
        <w:tc>
          <w:tcPr>
            <w:tcW w:w="1080" w:type="dxa"/>
            <w:vAlign w:val="center"/>
          </w:tcPr>
          <w:p w14:paraId="2A0A771C">
            <w:pPr>
              <w:spacing w:before="69" w:line="188" w:lineRule="auto"/>
              <w:ind w:left="256"/>
              <w:jc w:val="center"/>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7"/>
                <w:sz w:val="24"/>
                <w:szCs w:val="24"/>
              </w:rPr>
              <w:t>1.1.3</w:t>
            </w:r>
          </w:p>
        </w:tc>
        <w:tc>
          <w:tcPr>
            <w:tcW w:w="1305" w:type="dxa"/>
            <w:vAlign w:val="center"/>
          </w:tcPr>
          <w:p w14:paraId="6894C6FF">
            <w:pPr>
              <w:pStyle w:val="27"/>
              <w:kinsoku w:val="0"/>
              <w:spacing w:line="440" w:lineRule="exact"/>
              <w:jc w:val="center"/>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招标代理机构</w:t>
            </w:r>
          </w:p>
        </w:tc>
        <w:tc>
          <w:tcPr>
            <w:tcW w:w="7229" w:type="dxa"/>
            <w:vAlign w:val="top"/>
          </w:tcPr>
          <w:p w14:paraId="0107E4FE">
            <w:pPr>
              <w:spacing w:line="440" w:lineRule="exact"/>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名称：欧邦工程管理集团有限公司</w:t>
            </w:r>
          </w:p>
          <w:p w14:paraId="1D2E7C98">
            <w:pPr>
              <w:spacing w:line="440" w:lineRule="exact"/>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地址：三门县湫水大道25号（二楼）</w:t>
            </w:r>
          </w:p>
          <w:p w14:paraId="3EB69AF4">
            <w:pPr>
              <w:spacing w:line="440" w:lineRule="exact"/>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联系人：倪勇</w:t>
            </w:r>
          </w:p>
          <w:p w14:paraId="49DC15DE">
            <w:pPr>
              <w:spacing w:line="440" w:lineRule="exact"/>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联系电话：0576-83321522</w:t>
            </w:r>
          </w:p>
        </w:tc>
      </w:tr>
      <w:tr w14:paraId="4AB1A0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1080" w:type="dxa"/>
            <w:vAlign w:val="center"/>
          </w:tcPr>
          <w:p w14:paraId="7BAC7AF0">
            <w:pPr>
              <w:spacing w:before="217" w:line="188" w:lineRule="auto"/>
              <w:ind w:left="256"/>
              <w:jc w:val="center"/>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7"/>
                <w:sz w:val="24"/>
                <w:szCs w:val="24"/>
              </w:rPr>
              <w:t>1.1.4</w:t>
            </w:r>
          </w:p>
        </w:tc>
        <w:tc>
          <w:tcPr>
            <w:tcW w:w="1305" w:type="dxa"/>
            <w:vAlign w:val="center"/>
          </w:tcPr>
          <w:p w14:paraId="48FB3367">
            <w:pPr>
              <w:pStyle w:val="23"/>
              <w:spacing w:before="177" w:line="219" w:lineRule="auto"/>
              <w:jc w:val="center"/>
              <w:rPr>
                <w:color w:val="auto"/>
                <w:sz w:val="24"/>
                <w:szCs w:val="24"/>
              </w:rPr>
            </w:pPr>
            <w:r>
              <w:rPr>
                <w:color w:val="auto"/>
                <w:spacing w:val="-4"/>
                <w:sz w:val="24"/>
                <w:szCs w:val="24"/>
              </w:rPr>
              <w:t>工程名称</w:t>
            </w:r>
          </w:p>
        </w:tc>
        <w:tc>
          <w:tcPr>
            <w:tcW w:w="7229" w:type="dxa"/>
            <w:vAlign w:val="center"/>
          </w:tcPr>
          <w:p w14:paraId="021CFEDA">
            <w:pPr>
              <w:spacing w:line="440" w:lineRule="exact"/>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三门县失能失智敬老院项目</w:t>
            </w:r>
          </w:p>
        </w:tc>
      </w:tr>
      <w:tr w14:paraId="0123F7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1080" w:type="dxa"/>
            <w:vAlign w:val="center"/>
          </w:tcPr>
          <w:p w14:paraId="5D029632">
            <w:pPr>
              <w:spacing w:before="218" w:line="188" w:lineRule="auto"/>
              <w:ind w:left="256"/>
              <w:jc w:val="center"/>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7"/>
                <w:sz w:val="24"/>
                <w:szCs w:val="24"/>
              </w:rPr>
              <w:t>1.1.5</w:t>
            </w:r>
          </w:p>
        </w:tc>
        <w:tc>
          <w:tcPr>
            <w:tcW w:w="1305" w:type="dxa"/>
            <w:vAlign w:val="center"/>
          </w:tcPr>
          <w:p w14:paraId="5FE6C94D">
            <w:pPr>
              <w:pStyle w:val="23"/>
              <w:spacing w:before="178" w:line="219" w:lineRule="auto"/>
              <w:jc w:val="center"/>
              <w:rPr>
                <w:color w:val="auto"/>
                <w:sz w:val="24"/>
                <w:szCs w:val="24"/>
              </w:rPr>
            </w:pPr>
            <w:r>
              <w:rPr>
                <w:color w:val="auto"/>
                <w:spacing w:val="-3"/>
                <w:sz w:val="24"/>
                <w:szCs w:val="24"/>
              </w:rPr>
              <w:t>工程建设地点</w:t>
            </w:r>
          </w:p>
        </w:tc>
        <w:tc>
          <w:tcPr>
            <w:tcW w:w="7229" w:type="dxa"/>
            <w:vAlign w:val="center"/>
          </w:tcPr>
          <w:p w14:paraId="6A5DE1AA">
            <w:pPr>
              <w:spacing w:line="440" w:lineRule="exact"/>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三门县亭旁镇</w:t>
            </w:r>
          </w:p>
        </w:tc>
      </w:tr>
      <w:tr w14:paraId="44A03B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1080" w:type="dxa"/>
            <w:vAlign w:val="center"/>
          </w:tcPr>
          <w:p w14:paraId="61E5F91D">
            <w:pPr>
              <w:spacing w:before="219" w:line="188" w:lineRule="auto"/>
              <w:ind w:left="256"/>
              <w:jc w:val="center"/>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7"/>
                <w:sz w:val="24"/>
                <w:szCs w:val="24"/>
              </w:rPr>
              <w:t>1.1.6</w:t>
            </w:r>
          </w:p>
        </w:tc>
        <w:tc>
          <w:tcPr>
            <w:tcW w:w="1305" w:type="dxa"/>
            <w:vAlign w:val="center"/>
          </w:tcPr>
          <w:p w14:paraId="71CF1C1F">
            <w:pPr>
              <w:pStyle w:val="23"/>
              <w:spacing w:before="178" w:line="219" w:lineRule="auto"/>
              <w:jc w:val="center"/>
              <w:rPr>
                <w:color w:val="auto"/>
                <w:sz w:val="24"/>
                <w:szCs w:val="24"/>
              </w:rPr>
            </w:pPr>
            <w:r>
              <w:rPr>
                <w:color w:val="auto"/>
                <w:spacing w:val="-3"/>
                <w:sz w:val="24"/>
                <w:szCs w:val="24"/>
              </w:rPr>
              <w:t>工程承包方式</w:t>
            </w:r>
          </w:p>
        </w:tc>
        <w:tc>
          <w:tcPr>
            <w:tcW w:w="7229" w:type="dxa"/>
            <w:vAlign w:val="center"/>
          </w:tcPr>
          <w:p w14:paraId="5B9693E5">
            <w:pPr>
              <w:spacing w:line="440" w:lineRule="exact"/>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包工包料</w:t>
            </w:r>
          </w:p>
        </w:tc>
      </w:tr>
      <w:tr w14:paraId="71F297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1080" w:type="dxa"/>
            <w:vAlign w:val="center"/>
          </w:tcPr>
          <w:p w14:paraId="4AAC91BE">
            <w:pPr>
              <w:spacing w:before="218" w:line="188" w:lineRule="auto"/>
              <w:ind w:left="256"/>
              <w:jc w:val="center"/>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7"/>
                <w:sz w:val="24"/>
                <w:szCs w:val="24"/>
              </w:rPr>
              <w:t>1.2.1</w:t>
            </w:r>
          </w:p>
        </w:tc>
        <w:tc>
          <w:tcPr>
            <w:tcW w:w="1305" w:type="dxa"/>
            <w:vAlign w:val="center"/>
          </w:tcPr>
          <w:p w14:paraId="6DA4AB84">
            <w:pPr>
              <w:pStyle w:val="23"/>
              <w:spacing w:before="176" w:line="219" w:lineRule="auto"/>
              <w:jc w:val="center"/>
              <w:rPr>
                <w:color w:val="auto"/>
                <w:sz w:val="24"/>
                <w:szCs w:val="24"/>
              </w:rPr>
            </w:pPr>
            <w:r>
              <w:rPr>
                <w:color w:val="auto"/>
                <w:spacing w:val="-3"/>
                <w:sz w:val="24"/>
                <w:szCs w:val="24"/>
              </w:rPr>
              <w:t>资金来源及比例</w:t>
            </w:r>
          </w:p>
        </w:tc>
        <w:tc>
          <w:tcPr>
            <w:tcW w:w="7229" w:type="dxa"/>
            <w:vAlign w:val="center"/>
          </w:tcPr>
          <w:p w14:paraId="25CF558F">
            <w:pPr>
              <w:spacing w:line="440" w:lineRule="exact"/>
              <w:rPr>
                <w:rFonts w:hint="default"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财政拨款</w:t>
            </w:r>
          </w:p>
        </w:tc>
      </w:tr>
      <w:tr w14:paraId="6ACFEC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1080" w:type="dxa"/>
            <w:vAlign w:val="center"/>
          </w:tcPr>
          <w:p w14:paraId="206178D3">
            <w:pPr>
              <w:spacing w:before="219" w:line="188" w:lineRule="auto"/>
              <w:ind w:left="256"/>
              <w:jc w:val="center"/>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7"/>
                <w:sz w:val="24"/>
                <w:szCs w:val="24"/>
              </w:rPr>
              <w:t>1.2.2</w:t>
            </w:r>
          </w:p>
        </w:tc>
        <w:tc>
          <w:tcPr>
            <w:tcW w:w="1305" w:type="dxa"/>
            <w:vAlign w:val="center"/>
          </w:tcPr>
          <w:p w14:paraId="252B6971">
            <w:pPr>
              <w:pStyle w:val="23"/>
              <w:spacing w:before="178" w:line="219" w:lineRule="auto"/>
              <w:jc w:val="center"/>
              <w:rPr>
                <w:color w:val="auto"/>
                <w:sz w:val="24"/>
                <w:szCs w:val="24"/>
              </w:rPr>
            </w:pPr>
            <w:r>
              <w:rPr>
                <w:color w:val="auto"/>
                <w:spacing w:val="-4"/>
                <w:sz w:val="24"/>
                <w:szCs w:val="24"/>
              </w:rPr>
              <w:t>资金落实情况</w:t>
            </w:r>
          </w:p>
        </w:tc>
        <w:tc>
          <w:tcPr>
            <w:tcW w:w="7229" w:type="dxa"/>
            <w:vAlign w:val="center"/>
          </w:tcPr>
          <w:p w14:paraId="03D3499A">
            <w:pPr>
              <w:spacing w:line="440" w:lineRule="exact"/>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已落实</w:t>
            </w:r>
          </w:p>
        </w:tc>
      </w:tr>
      <w:tr w14:paraId="639BEE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1080" w:type="dxa"/>
            <w:vAlign w:val="center"/>
          </w:tcPr>
          <w:p w14:paraId="3FC55575">
            <w:pPr>
              <w:spacing w:before="217" w:line="188" w:lineRule="auto"/>
              <w:ind w:left="256"/>
              <w:jc w:val="center"/>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7"/>
                <w:sz w:val="24"/>
                <w:szCs w:val="24"/>
              </w:rPr>
              <w:t>1.3.1</w:t>
            </w:r>
          </w:p>
        </w:tc>
        <w:tc>
          <w:tcPr>
            <w:tcW w:w="1305" w:type="dxa"/>
            <w:vAlign w:val="center"/>
          </w:tcPr>
          <w:p w14:paraId="5E0C0563">
            <w:pPr>
              <w:pStyle w:val="23"/>
              <w:spacing w:before="177" w:line="219" w:lineRule="auto"/>
              <w:jc w:val="center"/>
              <w:rPr>
                <w:color w:val="auto"/>
                <w:sz w:val="24"/>
                <w:szCs w:val="24"/>
              </w:rPr>
            </w:pPr>
            <w:r>
              <w:rPr>
                <w:color w:val="auto"/>
                <w:spacing w:val="-3"/>
                <w:sz w:val="24"/>
                <w:szCs w:val="24"/>
              </w:rPr>
              <w:t>招标范围</w:t>
            </w:r>
          </w:p>
        </w:tc>
        <w:tc>
          <w:tcPr>
            <w:tcW w:w="7229" w:type="dxa"/>
            <w:vAlign w:val="center"/>
          </w:tcPr>
          <w:p w14:paraId="11221A08">
            <w:pPr>
              <w:spacing w:line="440" w:lineRule="exact"/>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招标人提供的施工图纸范围内及预算审核书中所包含的所有内容。具体详见施工图纸及工程量清单。</w:t>
            </w:r>
          </w:p>
        </w:tc>
      </w:tr>
      <w:tr w14:paraId="74ACA1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1080" w:type="dxa"/>
            <w:vAlign w:val="center"/>
          </w:tcPr>
          <w:p w14:paraId="109A8816">
            <w:pPr>
              <w:spacing w:before="69" w:line="188" w:lineRule="auto"/>
              <w:ind w:left="256"/>
              <w:jc w:val="center"/>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7"/>
                <w:sz w:val="24"/>
                <w:szCs w:val="24"/>
              </w:rPr>
              <w:t>1.3.2</w:t>
            </w:r>
          </w:p>
        </w:tc>
        <w:tc>
          <w:tcPr>
            <w:tcW w:w="1305" w:type="dxa"/>
            <w:vAlign w:val="center"/>
          </w:tcPr>
          <w:p w14:paraId="1FB5BCAE">
            <w:pPr>
              <w:pStyle w:val="23"/>
              <w:spacing w:before="78" w:line="219" w:lineRule="auto"/>
              <w:jc w:val="center"/>
              <w:rPr>
                <w:color w:val="auto"/>
                <w:sz w:val="24"/>
                <w:szCs w:val="24"/>
              </w:rPr>
            </w:pPr>
            <w:r>
              <w:rPr>
                <w:color w:val="auto"/>
                <w:spacing w:val="-2"/>
                <w:sz w:val="24"/>
                <w:szCs w:val="24"/>
              </w:rPr>
              <w:t>计划工期要求</w:t>
            </w:r>
          </w:p>
        </w:tc>
        <w:tc>
          <w:tcPr>
            <w:tcW w:w="7229" w:type="dxa"/>
            <w:vAlign w:val="center"/>
          </w:tcPr>
          <w:p w14:paraId="63DE8BD4">
            <w:pPr>
              <w:pStyle w:val="23"/>
              <w:spacing w:before="28" w:line="197" w:lineRule="auto"/>
              <w:ind w:left="58"/>
              <w:jc w:val="both"/>
              <w:rPr>
                <w:color w:val="auto"/>
                <w:sz w:val="24"/>
                <w:szCs w:val="24"/>
                <w:lang w:eastAsia="zh-CN"/>
              </w:rPr>
            </w:pPr>
            <w:r>
              <w:rPr>
                <w:rFonts w:hint="eastAsia" w:ascii="Times New Roman" w:hAnsi="宋体"/>
                <w:color w:val="auto"/>
                <w:sz w:val="24"/>
                <w:szCs w:val="24"/>
              </w:rPr>
              <w:t>不超</w:t>
            </w:r>
            <w:r>
              <w:rPr>
                <w:rFonts w:hint="eastAsia" w:ascii="Times New Roman" w:hAnsi="宋体"/>
                <w:color w:val="auto"/>
                <w:sz w:val="24"/>
                <w:szCs w:val="24"/>
                <w:highlight w:val="none"/>
              </w:rPr>
              <w:t>过</w:t>
            </w:r>
            <w:r>
              <w:rPr>
                <w:rFonts w:hint="eastAsia" w:ascii="Times New Roman"/>
                <w:color w:val="auto"/>
                <w:sz w:val="24"/>
                <w:szCs w:val="24"/>
                <w:highlight w:val="none"/>
                <w:u w:val="single"/>
                <w:lang w:val="en-US" w:eastAsia="zh-CN"/>
              </w:rPr>
              <w:t>270</w:t>
            </w:r>
            <w:r>
              <w:rPr>
                <w:rFonts w:hint="eastAsia" w:ascii="Times New Roman" w:hAnsi="宋体"/>
                <w:color w:val="auto"/>
                <w:sz w:val="24"/>
                <w:szCs w:val="24"/>
                <w:highlight w:val="none"/>
              </w:rPr>
              <w:t>日</w:t>
            </w:r>
            <w:r>
              <w:rPr>
                <w:rFonts w:hint="eastAsia" w:ascii="Times New Roman" w:hAnsi="宋体"/>
                <w:color w:val="auto"/>
                <w:sz w:val="24"/>
                <w:szCs w:val="24"/>
              </w:rPr>
              <w:t>历天（投标人在投标文件中必须明确工期天数）</w:t>
            </w:r>
          </w:p>
        </w:tc>
      </w:tr>
      <w:tr w14:paraId="5F9E74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3" w:hRule="atLeast"/>
        </w:trPr>
        <w:tc>
          <w:tcPr>
            <w:tcW w:w="1080" w:type="dxa"/>
            <w:vAlign w:val="center"/>
          </w:tcPr>
          <w:p w14:paraId="615B6668">
            <w:pPr>
              <w:spacing w:before="239" w:line="188" w:lineRule="auto"/>
              <w:ind w:left="256"/>
              <w:jc w:val="center"/>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7"/>
                <w:sz w:val="24"/>
                <w:szCs w:val="24"/>
              </w:rPr>
              <w:t>1.3.3</w:t>
            </w:r>
          </w:p>
        </w:tc>
        <w:tc>
          <w:tcPr>
            <w:tcW w:w="1305" w:type="dxa"/>
            <w:vAlign w:val="center"/>
          </w:tcPr>
          <w:p w14:paraId="71C2E876">
            <w:pPr>
              <w:pStyle w:val="23"/>
              <w:spacing w:before="199" w:line="219" w:lineRule="auto"/>
              <w:jc w:val="center"/>
              <w:rPr>
                <w:color w:val="auto"/>
                <w:sz w:val="24"/>
                <w:szCs w:val="24"/>
              </w:rPr>
            </w:pPr>
            <w:r>
              <w:rPr>
                <w:color w:val="auto"/>
                <w:spacing w:val="-3"/>
                <w:sz w:val="24"/>
                <w:szCs w:val="24"/>
              </w:rPr>
              <w:t>质量要求</w:t>
            </w:r>
          </w:p>
        </w:tc>
        <w:tc>
          <w:tcPr>
            <w:tcW w:w="7229" w:type="dxa"/>
          </w:tcPr>
          <w:p w14:paraId="2A6A03C8">
            <w:pPr>
              <w:pStyle w:val="23"/>
              <w:spacing w:before="198" w:line="219" w:lineRule="auto"/>
              <w:ind w:left="36"/>
              <w:rPr>
                <w:color w:val="auto"/>
                <w:sz w:val="24"/>
                <w:szCs w:val="24"/>
                <w:lang w:eastAsia="zh-CN"/>
              </w:rPr>
            </w:pPr>
            <w:r>
              <w:rPr>
                <w:color w:val="auto"/>
                <w:spacing w:val="-1"/>
                <w:sz w:val="24"/>
                <w:szCs w:val="24"/>
                <w:lang w:eastAsia="zh-CN"/>
              </w:rPr>
              <w:t>符合现行国家有关工程施工验收规范和标准的要求</w:t>
            </w:r>
          </w:p>
        </w:tc>
      </w:tr>
      <w:tr w14:paraId="2C9D4F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trPr>
        <w:tc>
          <w:tcPr>
            <w:tcW w:w="1080" w:type="dxa"/>
            <w:vAlign w:val="center"/>
          </w:tcPr>
          <w:p w14:paraId="1E7E6366">
            <w:pPr>
              <w:spacing w:before="247" w:line="188" w:lineRule="auto"/>
              <w:ind w:left="256"/>
              <w:jc w:val="center"/>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7"/>
                <w:sz w:val="24"/>
                <w:szCs w:val="24"/>
              </w:rPr>
              <w:t>1.4.1</w:t>
            </w:r>
          </w:p>
        </w:tc>
        <w:tc>
          <w:tcPr>
            <w:tcW w:w="1305" w:type="dxa"/>
            <w:vAlign w:val="center"/>
          </w:tcPr>
          <w:p w14:paraId="5B4A47B3">
            <w:pPr>
              <w:pStyle w:val="23"/>
              <w:spacing w:before="51" w:line="226" w:lineRule="auto"/>
              <w:ind w:right="44"/>
              <w:jc w:val="center"/>
              <w:rPr>
                <w:color w:val="auto"/>
                <w:sz w:val="24"/>
                <w:szCs w:val="24"/>
              </w:rPr>
            </w:pPr>
            <w:r>
              <w:rPr>
                <w:color w:val="auto"/>
                <w:spacing w:val="-2"/>
                <w:sz w:val="24"/>
                <w:szCs w:val="24"/>
              </w:rPr>
              <w:t>投标人资格及要</w:t>
            </w:r>
            <w:r>
              <w:rPr>
                <w:color w:val="auto"/>
                <w:sz w:val="24"/>
                <w:szCs w:val="24"/>
              </w:rPr>
              <w:t>求</w:t>
            </w:r>
          </w:p>
        </w:tc>
        <w:tc>
          <w:tcPr>
            <w:tcW w:w="7229" w:type="dxa"/>
          </w:tcPr>
          <w:p w14:paraId="606A5657">
            <w:pPr>
              <w:pStyle w:val="23"/>
              <w:spacing w:before="51" w:line="217" w:lineRule="auto"/>
              <w:ind w:left="58"/>
              <w:rPr>
                <w:color w:val="auto"/>
                <w:sz w:val="24"/>
                <w:szCs w:val="24"/>
                <w:lang w:eastAsia="zh-CN"/>
              </w:rPr>
            </w:pPr>
            <w:r>
              <w:rPr>
                <w:rFonts w:hint="eastAsia"/>
                <w:color w:val="auto"/>
                <w:spacing w:val="-6"/>
                <w:sz w:val="24"/>
                <w:szCs w:val="24"/>
                <w:lang w:eastAsia="zh-CN"/>
              </w:rPr>
              <w:t>☑</w:t>
            </w:r>
            <w:r>
              <w:rPr>
                <w:color w:val="auto"/>
                <w:spacing w:val="-6"/>
                <w:sz w:val="24"/>
                <w:szCs w:val="24"/>
                <w:lang w:eastAsia="zh-CN"/>
              </w:rPr>
              <w:t>见招标公告</w:t>
            </w:r>
          </w:p>
          <w:p w14:paraId="61A0BFD7">
            <w:pPr>
              <w:pStyle w:val="23"/>
              <w:spacing w:before="29" w:line="212" w:lineRule="auto"/>
              <w:ind w:left="58"/>
              <w:rPr>
                <w:color w:val="auto"/>
                <w:sz w:val="24"/>
                <w:szCs w:val="24"/>
                <w:lang w:eastAsia="zh-CN"/>
              </w:rPr>
            </w:pPr>
            <w:r>
              <w:rPr>
                <w:color w:val="auto"/>
                <w:spacing w:val="-5"/>
                <w:sz w:val="24"/>
                <w:szCs w:val="24"/>
                <w:lang w:eastAsia="zh-CN"/>
              </w:rPr>
              <w:t>□见投标邀请书</w:t>
            </w:r>
          </w:p>
        </w:tc>
      </w:tr>
      <w:tr w14:paraId="5B9836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 w:hRule="atLeast"/>
        </w:trPr>
        <w:tc>
          <w:tcPr>
            <w:tcW w:w="1080" w:type="dxa"/>
            <w:vAlign w:val="center"/>
          </w:tcPr>
          <w:p w14:paraId="459799A3">
            <w:pPr>
              <w:spacing w:before="69" w:line="188" w:lineRule="auto"/>
              <w:ind w:left="256"/>
              <w:jc w:val="center"/>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7"/>
                <w:sz w:val="24"/>
                <w:szCs w:val="24"/>
              </w:rPr>
              <w:t>1.4.2</w:t>
            </w:r>
          </w:p>
        </w:tc>
        <w:tc>
          <w:tcPr>
            <w:tcW w:w="1305" w:type="dxa"/>
            <w:vAlign w:val="center"/>
          </w:tcPr>
          <w:p w14:paraId="4CD0A8DA">
            <w:pPr>
              <w:pStyle w:val="23"/>
              <w:spacing w:before="78" w:line="229" w:lineRule="auto"/>
              <w:ind w:right="44"/>
              <w:jc w:val="center"/>
              <w:rPr>
                <w:color w:val="auto"/>
                <w:sz w:val="24"/>
                <w:szCs w:val="24"/>
              </w:rPr>
            </w:pPr>
            <w:r>
              <w:rPr>
                <w:color w:val="auto"/>
                <w:spacing w:val="-3"/>
                <w:sz w:val="24"/>
                <w:szCs w:val="24"/>
              </w:rPr>
              <w:t>是否接受联合体</w:t>
            </w:r>
            <w:r>
              <w:rPr>
                <w:color w:val="auto"/>
                <w:spacing w:val="-5"/>
                <w:sz w:val="24"/>
                <w:szCs w:val="24"/>
              </w:rPr>
              <w:t>投标</w:t>
            </w:r>
          </w:p>
        </w:tc>
        <w:tc>
          <w:tcPr>
            <w:tcW w:w="7229" w:type="dxa"/>
          </w:tcPr>
          <w:p w14:paraId="1EA68C84">
            <w:pPr>
              <w:pStyle w:val="23"/>
              <w:spacing w:before="52" w:line="220" w:lineRule="auto"/>
              <w:ind w:left="58"/>
              <w:rPr>
                <w:color w:val="auto"/>
                <w:sz w:val="24"/>
                <w:szCs w:val="24"/>
                <w:lang w:eastAsia="zh-CN"/>
              </w:rPr>
            </w:pPr>
            <w:r>
              <w:rPr>
                <w:rFonts w:hint="eastAsia"/>
                <w:color w:val="auto"/>
                <w:spacing w:val="-7"/>
                <w:sz w:val="24"/>
                <w:szCs w:val="24"/>
                <w:lang w:eastAsia="zh-CN"/>
              </w:rPr>
              <w:t>☑</w:t>
            </w:r>
            <w:r>
              <w:rPr>
                <w:color w:val="auto"/>
                <w:spacing w:val="-7"/>
                <w:sz w:val="24"/>
                <w:szCs w:val="24"/>
                <w:lang w:eastAsia="zh-CN"/>
              </w:rPr>
              <w:t>不接受。</w:t>
            </w:r>
          </w:p>
          <w:p w14:paraId="3527A791">
            <w:pPr>
              <w:pStyle w:val="23"/>
              <w:spacing w:before="26" w:line="228" w:lineRule="auto"/>
              <w:ind w:left="33" w:right="27" w:firstLine="25"/>
              <w:rPr>
                <w:color w:val="auto"/>
                <w:sz w:val="24"/>
                <w:szCs w:val="24"/>
                <w:lang w:eastAsia="zh-CN"/>
              </w:rPr>
            </w:pPr>
            <w:r>
              <w:rPr>
                <w:color w:val="auto"/>
                <w:spacing w:val="2"/>
                <w:sz w:val="24"/>
                <w:szCs w:val="24"/>
                <w:lang w:eastAsia="zh-CN"/>
              </w:rPr>
              <w:t>□接受。应满足下列要求：见□招标公告</w:t>
            </w:r>
            <w:r>
              <w:rPr>
                <w:rFonts w:hint="eastAsia"/>
                <w:color w:val="auto"/>
                <w:spacing w:val="2"/>
                <w:sz w:val="24"/>
                <w:szCs w:val="24"/>
                <w:lang w:eastAsia="zh-CN"/>
              </w:rPr>
              <w:t>□</w:t>
            </w:r>
            <w:r>
              <w:rPr>
                <w:color w:val="auto"/>
                <w:spacing w:val="2"/>
                <w:sz w:val="24"/>
                <w:szCs w:val="24"/>
                <w:lang w:eastAsia="zh-CN"/>
              </w:rPr>
              <w:t>投标邀请书及</w:t>
            </w:r>
            <w:r>
              <w:rPr>
                <w:color w:val="auto"/>
                <w:spacing w:val="-1"/>
                <w:sz w:val="24"/>
                <w:szCs w:val="24"/>
                <w:lang w:eastAsia="zh-CN"/>
              </w:rPr>
              <w:t>投标人须知相应条款内容要求。</w:t>
            </w:r>
          </w:p>
        </w:tc>
      </w:tr>
      <w:tr w14:paraId="6B964E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1080" w:type="dxa"/>
          </w:tcPr>
          <w:p w14:paraId="26AF5A7E">
            <w:pPr>
              <w:spacing w:before="215" w:line="188" w:lineRule="auto"/>
              <w:ind w:left="256"/>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7"/>
                <w:sz w:val="24"/>
                <w:szCs w:val="24"/>
              </w:rPr>
              <w:t>1.4.3</w:t>
            </w:r>
          </w:p>
        </w:tc>
        <w:tc>
          <w:tcPr>
            <w:tcW w:w="1305" w:type="dxa"/>
          </w:tcPr>
          <w:p w14:paraId="4FABC3F6">
            <w:pPr>
              <w:pStyle w:val="23"/>
              <w:spacing w:before="174" w:line="219" w:lineRule="auto"/>
              <w:rPr>
                <w:color w:val="auto"/>
                <w:sz w:val="24"/>
                <w:szCs w:val="24"/>
              </w:rPr>
            </w:pPr>
            <w:r>
              <w:rPr>
                <w:color w:val="auto"/>
                <w:spacing w:val="-4"/>
                <w:sz w:val="24"/>
                <w:szCs w:val="24"/>
              </w:rPr>
              <w:t>资格审查方式</w:t>
            </w:r>
          </w:p>
        </w:tc>
        <w:tc>
          <w:tcPr>
            <w:tcW w:w="7229" w:type="dxa"/>
          </w:tcPr>
          <w:p w14:paraId="29C1BA20">
            <w:pPr>
              <w:pStyle w:val="23"/>
              <w:spacing w:before="174" w:line="218" w:lineRule="auto"/>
              <w:ind w:left="33"/>
              <w:rPr>
                <w:color w:val="auto"/>
                <w:sz w:val="24"/>
                <w:szCs w:val="24"/>
              </w:rPr>
            </w:pPr>
            <w:r>
              <w:rPr>
                <w:color w:val="auto"/>
                <w:spacing w:val="-2"/>
                <w:sz w:val="24"/>
                <w:szCs w:val="24"/>
              </w:rPr>
              <w:t>采用资格后审</w:t>
            </w:r>
          </w:p>
        </w:tc>
      </w:tr>
      <w:tr w14:paraId="70F85C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3" w:hRule="atLeast"/>
        </w:trPr>
        <w:tc>
          <w:tcPr>
            <w:tcW w:w="1080" w:type="dxa"/>
          </w:tcPr>
          <w:p w14:paraId="47DF7E37">
            <w:pPr>
              <w:spacing w:line="242" w:lineRule="auto"/>
              <w:rPr>
                <w:color w:val="auto"/>
              </w:rPr>
            </w:pPr>
          </w:p>
          <w:p w14:paraId="04E92C1F">
            <w:pPr>
              <w:spacing w:before="69" w:line="188" w:lineRule="auto"/>
              <w:ind w:left="256"/>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7"/>
                <w:sz w:val="24"/>
                <w:szCs w:val="24"/>
              </w:rPr>
              <w:t>1.9.1</w:t>
            </w:r>
          </w:p>
        </w:tc>
        <w:tc>
          <w:tcPr>
            <w:tcW w:w="1305" w:type="dxa"/>
            <w:vAlign w:val="center"/>
          </w:tcPr>
          <w:p w14:paraId="71D9DB6B">
            <w:pPr>
              <w:pStyle w:val="23"/>
              <w:spacing w:before="78" w:line="219" w:lineRule="auto"/>
              <w:jc w:val="both"/>
              <w:rPr>
                <w:color w:val="auto"/>
                <w:sz w:val="24"/>
                <w:szCs w:val="24"/>
              </w:rPr>
            </w:pPr>
            <w:r>
              <w:rPr>
                <w:color w:val="auto"/>
                <w:spacing w:val="-2"/>
                <w:sz w:val="24"/>
                <w:szCs w:val="24"/>
              </w:rPr>
              <w:t>踏勘现场</w:t>
            </w:r>
          </w:p>
        </w:tc>
        <w:tc>
          <w:tcPr>
            <w:tcW w:w="7229" w:type="dxa"/>
            <w:vAlign w:val="center"/>
          </w:tcPr>
          <w:p w14:paraId="2988FF46">
            <w:pPr>
              <w:pStyle w:val="23"/>
              <w:spacing w:before="204" w:line="219" w:lineRule="auto"/>
              <w:ind w:left="58"/>
              <w:jc w:val="both"/>
              <w:rPr>
                <w:color w:val="auto"/>
                <w:sz w:val="24"/>
                <w:szCs w:val="24"/>
                <w:lang w:eastAsia="zh-CN"/>
              </w:rPr>
            </w:pPr>
            <w:r>
              <w:rPr>
                <w:rFonts w:hint="eastAsia"/>
                <w:color w:val="auto"/>
                <w:spacing w:val="-4"/>
                <w:sz w:val="24"/>
                <w:szCs w:val="24"/>
                <w:lang w:eastAsia="zh-CN"/>
              </w:rPr>
              <w:t>☑</w:t>
            </w:r>
            <w:r>
              <w:rPr>
                <w:color w:val="auto"/>
                <w:spacing w:val="-4"/>
                <w:sz w:val="24"/>
                <w:szCs w:val="24"/>
                <w:lang w:eastAsia="zh-CN"/>
              </w:rPr>
              <w:t>投标人自行踏勘。</w:t>
            </w:r>
          </w:p>
        </w:tc>
      </w:tr>
      <w:tr w14:paraId="1DFB91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8" w:hRule="atLeast"/>
        </w:trPr>
        <w:tc>
          <w:tcPr>
            <w:tcW w:w="1080" w:type="dxa"/>
          </w:tcPr>
          <w:p w14:paraId="64165A32">
            <w:pPr>
              <w:spacing w:line="242" w:lineRule="auto"/>
              <w:rPr>
                <w:color w:val="auto"/>
                <w:lang w:eastAsia="zh-CN"/>
              </w:rPr>
            </w:pPr>
          </w:p>
          <w:p w14:paraId="48D13C1D">
            <w:pPr>
              <w:spacing w:before="69" w:line="188" w:lineRule="auto"/>
              <w:ind w:left="196"/>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6"/>
                <w:sz w:val="24"/>
                <w:szCs w:val="24"/>
              </w:rPr>
              <w:t>1.10.1</w:t>
            </w:r>
          </w:p>
        </w:tc>
        <w:tc>
          <w:tcPr>
            <w:tcW w:w="1305" w:type="dxa"/>
            <w:vAlign w:val="center"/>
          </w:tcPr>
          <w:p w14:paraId="54EAF387">
            <w:pPr>
              <w:pStyle w:val="23"/>
              <w:spacing w:before="78" w:line="218" w:lineRule="auto"/>
              <w:jc w:val="both"/>
              <w:rPr>
                <w:color w:val="auto"/>
                <w:sz w:val="24"/>
                <w:szCs w:val="24"/>
              </w:rPr>
            </w:pPr>
            <w:r>
              <w:rPr>
                <w:color w:val="auto"/>
                <w:spacing w:val="-2"/>
                <w:sz w:val="24"/>
                <w:szCs w:val="24"/>
              </w:rPr>
              <w:t>投标预备会</w:t>
            </w:r>
          </w:p>
        </w:tc>
        <w:tc>
          <w:tcPr>
            <w:tcW w:w="7229" w:type="dxa"/>
            <w:vAlign w:val="center"/>
          </w:tcPr>
          <w:p w14:paraId="1A366C30">
            <w:pPr>
              <w:pStyle w:val="23"/>
              <w:spacing w:before="206" w:line="220" w:lineRule="auto"/>
              <w:ind w:left="58"/>
              <w:jc w:val="both"/>
              <w:rPr>
                <w:color w:val="auto"/>
                <w:sz w:val="24"/>
                <w:szCs w:val="24"/>
                <w:lang w:eastAsia="zh-CN"/>
              </w:rPr>
            </w:pPr>
            <w:r>
              <w:rPr>
                <w:rFonts w:hint="eastAsia"/>
                <w:color w:val="auto"/>
                <w:spacing w:val="-9"/>
                <w:sz w:val="24"/>
                <w:szCs w:val="24"/>
                <w:lang w:eastAsia="zh-CN"/>
              </w:rPr>
              <w:t>☑</w:t>
            </w:r>
            <w:r>
              <w:rPr>
                <w:color w:val="auto"/>
                <w:spacing w:val="-9"/>
                <w:sz w:val="24"/>
                <w:szCs w:val="24"/>
                <w:lang w:eastAsia="zh-CN"/>
              </w:rPr>
              <w:t>不召开</w:t>
            </w:r>
          </w:p>
          <w:p w14:paraId="35481575">
            <w:pPr>
              <w:pStyle w:val="23"/>
              <w:spacing w:before="23" w:line="230" w:lineRule="auto"/>
              <w:ind w:left="44" w:right="1960" w:firstLine="14"/>
              <w:jc w:val="both"/>
              <w:rPr>
                <w:color w:val="auto"/>
                <w:sz w:val="24"/>
                <w:szCs w:val="24"/>
              </w:rPr>
            </w:pPr>
          </w:p>
        </w:tc>
      </w:tr>
      <w:tr w14:paraId="4F3111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1" w:hRule="atLeast"/>
        </w:trPr>
        <w:tc>
          <w:tcPr>
            <w:tcW w:w="1080" w:type="dxa"/>
          </w:tcPr>
          <w:p w14:paraId="039DFDE9">
            <w:pPr>
              <w:spacing w:line="242" w:lineRule="auto"/>
              <w:rPr>
                <w:color w:val="auto"/>
              </w:rPr>
            </w:pPr>
          </w:p>
          <w:p w14:paraId="714F7DC2">
            <w:pPr>
              <w:spacing w:line="243" w:lineRule="auto"/>
              <w:rPr>
                <w:color w:val="auto"/>
              </w:rPr>
            </w:pPr>
          </w:p>
          <w:p w14:paraId="52A07D31">
            <w:pPr>
              <w:spacing w:before="69" w:line="188" w:lineRule="auto"/>
              <w:ind w:left="285"/>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8"/>
                <w:sz w:val="24"/>
                <w:szCs w:val="24"/>
              </w:rPr>
              <w:t>1.11</w:t>
            </w:r>
          </w:p>
        </w:tc>
        <w:tc>
          <w:tcPr>
            <w:tcW w:w="1305" w:type="dxa"/>
            <w:vAlign w:val="center"/>
          </w:tcPr>
          <w:p w14:paraId="2C921BA6">
            <w:pPr>
              <w:pStyle w:val="27"/>
              <w:kinsoku w:val="0"/>
              <w:spacing w:line="440" w:lineRule="exact"/>
              <w:jc w:val="center"/>
              <w:rPr>
                <w:color w:val="auto"/>
                <w:sz w:val="24"/>
                <w:szCs w:val="24"/>
                <w:lang w:eastAsia="zh-CN"/>
              </w:rPr>
            </w:pPr>
            <w:r>
              <w:rPr>
                <w:rFonts w:hint="eastAsia" w:ascii="宋体" w:hAnsi="宋体" w:cs="宋体"/>
                <w:sz w:val="24"/>
                <w:szCs w:val="24"/>
              </w:rPr>
              <w:t>招标工程是否允许分包</w:t>
            </w:r>
          </w:p>
        </w:tc>
        <w:tc>
          <w:tcPr>
            <w:tcW w:w="7229" w:type="dxa"/>
            <w:vAlign w:val="center"/>
          </w:tcPr>
          <w:p w14:paraId="1675CE64">
            <w:pPr>
              <w:pStyle w:val="27"/>
              <w:kinsoku w:val="0"/>
              <w:spacing w:line="440" w:lineRule="exact"/>
              <w:jc w:val="both"/>
              <w:rPr>
                <w:rFonts w:ascii="宋体" w:hAnsi="宋体" w:cs="宋体"/>
                <w:sz w:val="24"/>
                <w:szCs w:val="24"/>
              </w:rPr>
            </w:pPr>
            <w:r>
              <w:rPr>
                <w:rFonts w:hint="eastAsia" w:ascii="宋体" w:hAnsi="宋体" w:cs="宋体"/>
                <w:sz w:val="24"/>
                <w:szCs w:val="24"/>
              </w:rPr>
              <w:t>☑不允许</w:t>
            </w:r>
          </w:p>
          <w:p w14:paraId="0A23C1F9">
            <w:pPr>
              <w:spacing w:line="440" w:lineRule="exact"/>
              <w:jc w:val="both"/>
              <w:rPr>
                <w:rFonts w:ascii="宋体" w:hAnsi="宋体" w:cs="宋体"/>
                <w:sz w:val="24"/>
                <w:szCs w:val="24"/>
              </w:rPr>
            </w:pPr>
            <w:r>
              <w:rPr>
                <w:rFonts w:hint="eastAsia" w:ascii="宋体" w:hAnsi="宋体" w:cs="宋体"/>
                <w:sz w:val="24"/>
                <w:szCs w:val="24"/>
              </w:rPr>
              <w:t>□允许，分包内容要求：承包人不得将工程主体、关键性工作分包。工程的其他部分或工作如需分包，须经发包人同意。</w:t>
            </w:r>
          </w:p>
          <w:p w14:paraId="18011546">
            <w:pPr>
              <w:pStyle w:val="27"/>
              <w:kinsoku w:val="0"/>
              <w:spacing w:line="440" w:lineRule="exact"/>
              <w:ind w:firstLine="480" w:firstLineChars="200"/>
              <w:jc w:val="both"/>
              <w:rPr>
                <w:color w:val="auto"/>
                <w:sz w:val="24"/>
                <w:szCs w:val="24"/>
                <w:lang w:eastAsia="zh-CN"/>
              </w:rPr>
            </w:pPr>
            <w:r>
              <w:rPr>
                <w:rFonts w:hint="eastAsia" w:ascii="宋体" w:hAnsi="宋体" w:cs="宋体"/>
                <w:sz w:val="24"/>
                <w:szCs w:val="24"/>
              </w:rPr>
              <w:t>接受分包的第三人资质要求：分包人的资格能力应与其分包工程的标准和规模相适应。</w:t>
            </w:r>
          </w:p>
        </w:tc>
      </w:tr>
      <w:tr w14:paraId="12E437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8" w:hRule="atLeast"/>
        </w:trPr>
        <w:tc>
          <w:tcPr>
            <w:tcW w:w="1080" w:type="dxa"/>
          </w:tcPr>
          <w:p w14:paraId="1F75A4B4">
            <w:pPr>
              <w:spacing w:line="290" w:lineRule="auto"/>
              <w:rPr>
                <w:color w:val="auto"/>
                <w:lang w:eastAsia="zh-CN"/>
              </w:rPr>
            </w:pPr>
          </w:p>
          <w:p w14:paraId="6896B8DB">
            <w:pPr>
              <w:spacing w:before="69" w:line="188" w:lineRule="auto"/>
              <w:ind w:left="196"/>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6"/>
                <w:sz w:val="24"/>
                <w:szCs w:val="24"/>
              </w:rPr>
              <w:t>1.12.1</w:t>
            </w:r>
          </w:p>
        </w:tc>
        <w:tc>
          <w:tcPr>
            <w:tcW w:w="1305" w:type="dxa"/>
          </w:tcPr>
          <w:p w14:paraId="1AFCCA99">
            <w:pPr>
              <w:pStyle w:val="23"/>
              <w:spacing w:before="165" w:line="229" w:lineRule="auto"/>
              <w:ind w:right="44"/>
              <w:rPr>
                <w:color w:val="auto"/>
                <w:sz w:val="24"/>
                <w:szCs w:val="24"/>
              </w:rPr>
            </w:pPr>
            <w:r>
              <w:rPr>
                <w:color w:val="auto"/>
                <w:spacing w:val="-3"/>
                <w:sz w:val="24"/>
                <w:szCs w:val="24"/>
              </w:rPr>
              <w:t>实质性要求和条</w:t>
            </w:r>
            <w:r>
              <w:rPr>
                <w:color w:val="auto"/>
                <w:sz w:val="24"/>
                <w:szCs w:val="24"/>
              </w:rPr>
              <w:t>件</w:t>
            </w:r>
          </w:p>
        </w:tc>
        <w:tc>
          <w:tcPr>
            <w:tcW w:w="7229" w:type="dxa"/>
          </w:tcPr>
          <w:p w14:paraId="0C8F0922">
            <w:pPr>
              <w:pStyle w:val="27"/>
              <w:keepNext w:val="0"/>
              <w:keepLines w:val="0"/>
              <w:pageBreakBefore w:val="0"/>
              <w:wordWrap/>
              <w:overflowPunct/>
              <w:bidi w:val="0"/>
              <w:snapToGrid w:val="0"/>
              <w:spacing w:line="320" w:lineRule="exact"/>
              <w:jc w:val="both"/>
              <w:rPr>
                <w:rFonts w:ascii="宋体" w:hAnsi="宋体"/>
                <w:color w:val="auto"/>
                <w:sz w:val="24"/>
                <w:szCs w:val="24"/>
              </w:rPr>
            </w:pPr>
            <w:r>
              <w:rPr>
                <w:rFonts w:ascii="宋体" w:hAnsi="宋体"/>
                <w:color w:val="auto"/>
                <w:sz w:val="24"/>
                <w:szCs w:val="24"/>
              </w:rPr>
              <w:t>详见招标公告或者投标邀请书</w:t>
            </w:r>
          </w:p>
          <w:p w14:paraId="2328CF8A">
            <w:pPr>
              <w:pStyle w:val="23"/>
              <w:spacing w:before="163" w:line="230" w:lineRule="auto"/>
              <w:ind w:left="33" w:right="3001"/>
              <w:rPr>
                <w:color w:val="auto"/>
                <w:sz w:val="24"/>
                <w:szCs w:val="24"/>
                <w:lang w:eastAsia="zh-CN"/>
              </w:rPr>
            </w:pPr>
            <w:r>
              <w:rPr>
                <w:rFonts w:ascii="宋体" w:hAnsi="宋体"/>
                <w:color w:val="auto"/>
                <w:sz w:val="24"/>
                <w:szCs w:val="24"/>
              </w:rPr>
              <w:t>其他要求：</w:t>
            </w:r>
            <w:r>
              <w:rPr>
                <w:rFonts w:ascii="宋体" w:hAnsi="宋体"/>
                <w:color w:val="auto"/>
                <w:sz w:val="24"/>
                <w:szCs w:val="24"/>
                <w:u w:val="single"/>
              </w:rPr>
              <w:t xml:space="preserve">      </w:t>
            </w:r>
            <w:r>
              <w:rPr>
                <w:rFonts w:hint="eastAsia" w:ascii="宋体" w:hAnsi="宋体"/>
                <w:color w:val="auto"/>
                <w:sz w:val="24"/>
                <w:szCs w:val="24"/>
                <w:u w:val="single"/>
                <w:lang w:val="en-US" w:eastAsia="zh-CN"/>
              </w:rPr>
              <w:t>/</w:t>
            </w:r>
            <w:r>
              <w:rPr>
                <w:rFonts w:ascii="宋体" w:hAnsi="宋体"/>
                <w:color w:val="auto"/>
                <w:sz w:val="24"/>
                <w:szCs w:val="24"/>
                <w:u w:val="single"/>
              </w:rPr>
              <w:t xml:space="preserve">      </w:t>
            </w:r>
            <w:r>
              <w:rPr>
                <w:rFonts w:ascii="宋体" w:hAnsi="宋体"/>
                <w:color w:val="auto"/>
                <w:sz w:val="24"/>
                <w:szCs w:val="24"/>
              </w:rPr>
              <w:t>。</w:t>
            </w:r>
          </w:p>
        </w:tc>
      </w:tr>
      <w:tr w14:paraId="63BA81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8" w:hRule="atLeast"/>
        </w:trPr>
        <w:tc>
          <w:tcPr>
            <w:tcW w:w="1080" w:type="dxa"/>
          </w:tcPr>
          <w:p w14:paraId="7063B690">
            <w:pPr>
              <w:spacing w:line="290" w:lineRule="auto"/>
              <w:rPr>
                <w:color w:val="auto"/>
                <w:lang w:eastAsia="zh-CN"/>
              </w:rPr>
            </w:pPr>
          </w:p>
          <w:p w14:paraId="2C0F2741">
            <w:pPr>
              <w:spacing w:before="69" w:line="188" w:lineRule="auto"/>
              <w:ind w:left="196"/>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6"/>
                <w:sz w:val="24"/>
                <w:szCs w:val="24"/>
              </w:rPr>
              <w:t>1.12.2</w:t>
            </w:r>
          </w:p>
        </w:tc>
        <w:tc>
          <w:tcPr>
            <w:tcW w:w="1305" w:type="dxa"/>
          </w:tcPr>
          <w:p w14:paraId="2BD92A67">
            <w:pPr>
              <w:rPr>
                <w:color w:val="auto"/>
              </w:rPr>
            </w:pPr>
          </w:p>
          <w:p w14:paraId="283FF0F5">
            <w:pPr>
              <w:pStyle w:val="23"/>
              <w:spacing w:before="78" w:line="219" w:lineRule="auto"/>
              <w:rPr>
                <w:color w:val="auto"/>
                <w:sz w:val="24"/>
                <w:szCs w:val="24"/>
              </w:rPr>
            </w:pPr>
            <w:r>
              <w:rPr>
                <w:color w:val="auto"/>
                <w:spacing w:val="-5"/>
                <w:sz w:val="24"/>
                <w:szCs w:val="24"/>
              </w:rPr>
              <w:t>偏差</w:t>
            </w:r>
          </w:p>
        </w:tc>
        <w:tc>
          <w:tcPr>
            <w:tcW w:w="7229" w:type="dxa"/>
          </w:tcPr>
          <w:p w14:paraId="1A5735AF">
            <w:pPr>
              <w:pStyle w:val="23"/>
              <w:spacing w:before="164" w:line="219" w:lineRule="auto"/>
              <w:ind w:left="58"/>
              <w:rPr>
                <w:color w:val="auto"/>
                <w:sz w:val="24"/>
                <w:szCs w:val="24"/>
                <w:lang w:eastAsia="zh-CN"/>
              </w:rPr>
            </w:pPr>
            <w:r>
              <w:rPr>
                <w:rFonts w:hint="eastAsia"/>
                <w:color w:val="auto"/>
                <w:spacing w:val="-9"/>
                <w:sz w:val="24"/>
                <w:szCs w:val="24"/>
                <w:lang w:eastAsia="zh-CN"/>
              </w:rPr>
              <w:t>☑</w:t>
            </w:r>
            <w:r>
              <w:rPr>
                <w:color w:val="auto"/>
                <w:spacing w:val="-9"/>
                <w:sz w:val="24"/>
                <w:szCs w:val="24"/>
                <w:lang w:eastAsia="zh-CN"/>
              </w:rPr>
              <w:t>不允许</w:t>
            </w:r>
          </w:p>
          <w:p w14:paraId="6CE09479">
            <w:pPr>
              <w:pStyle w:val="23"/>
              <w:spacing w:before="28" w:line="217" w:lineRule="auto"/>
              <w:ind w:left="58"/>
              <w:rPr>
                <w:color w:val="auto"/>
                <w:sz w:val="24"/>
                <w:szCs w:val="24"/>
                <w:lang w:eastAsia="zh-CN"/>
              </w:rPr>
            </w:pPr>
            <w:r>
              <w:rPr>
                <w:color w:val="auto"/>
                <w:spacing w:val="-3"/>
                <w:sz w:val="24"/>
                <w:szCs w:val="24"/>
                <w:lang w:eastAsia="zh-CN"/>
              </w:rPr>
              <w:t>□允许偏差的内容、范围和幅度：</w:t>
            </w:r>
          </w:p>
        </w:tc>
      </w:tr>
      <w:tr w14:paraId="4A8B75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1" w:hRule="atLeast"/>
        </w:trPr>
        <w:tc>
          <w:tcPr>
            <w:tcW w:w="1080" w:type="dxa"/>
            <w:vAlign w:val="center"/>
          </w:tcPr>
          <w:p w14:paraId="78455BFF">
            <w:pPr>
              <w:spacing w:before="69" w:line="188" w:lineRule="auto"/>
              <w:ind w:left="322"/>
              <w:jc w:val="both"/>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3"/>
                <w:sz w:val="24"/>
                <w:szCs w:val="24"/>
              </w:rPr>
              <w:t>2.1</w:t>
            </w:r>
          </w:p>
        </w:tc>
        <w:tc>
          <w:tcPr>
            <w:tcW w:w="1305" w:type="dxa"/>
            <w:vAlign w:val="center"/>
          </w:tcPr>
          <w:p w14:paraId="42005F68">
            <w:pPr>
              <w:pStyle w:val="23"/>
              <w:spacing w:before="130" w:line="230" w:lineRule="auto"/>
              <w:ind w:right="44"/>
              <w:jc w:val="center"/>
              <w:rPr>
                <w:color w:val="auto"/>
                <w:sz w:val="24"/>
                <w:szCs w:val="24"/>
                <w:lang w:eastAsia="zh-CN"/>
              </w:rPr>
            </w:pPr>
            <w:r>
              <w:rPr>
                <w:color w:val="auto"/>
                <w:spacing w:val="-2"/>
                <w:sz w:val="24"/>
                <w:szCs w:val="24"/>
                <w:lang w:eastAsia="zh-CN"/>
              </w:rPr>
              <w:t>构成招标文件的</w:t>
            </w:r>
            <w:r>
              <w:rPr>
                <w:color w:val="auto"/>
                <w:spacing w:val="-3"/>
                <w:sz w:val="24"/>
                <w:szCs w:val="24"/>
                <w:lang w:eastAsia="zh-CN"/>
              </w:rPr>
              <w:t>其他资料</w:t>
            </w:r>
          </w:p>
        </w:tc>
        <w:tc>
          <w:tcPr>
            <w:tcW w:w="7229" w:type="dxa"/>
          </w:tcPr>
          <w:p w14:paraId="7DFD6CCA">
            <w:pPr>
              <w:bidi w:val="0"/>
              <w:rPr>
                <w:rFonts w:hint="eastAsia"/>
                <w:color w:val="auto"/>
                <w:sz w:val="24"/>
                <w:szCs w:val="24"/>
              </w:rPr>
            </w:pPr>
            <w:r>
              <w:rPr>
                <w:rFonts w:hint="eastAsia"/>
                <w:color w:val="auto"/>
                <w:sz w:val="24"/>
                <w:szCs w:val="24"/>
              </w:rPr>
              <w:t>其他材料：</w:t>
            </w:r>
          </w:p>
          <w:p w14:paraId="409166D0">
            <w:pPr>
              <w:bidi w:val="0"/>
              <w:rPr>
                <w:rFonts w:hint="eastAsia"/>
                <w:color w:val="auto"/>
                <w:sz w:val="24"/>
                <w:szCs w:val="24"/>
              </w:rPr>
            </w:pPr>
            <w:r>
              <w:rPr>
                <w:rFonts w:hint="eastAsia"/>
                <w:color w:val="auto"/>
                <w:sz w:val="24"/>
                <w:szCs w:val="24"/>
                <w:lang w:val="en-US" w:eastAsia="zh-CN"/>
              </w:rPr>
              <w:t>1.</w:t>
            </w:r>
            <w:r>
              <w:rPr>
                <w:rFonts w:hint="eastAsia"/>
                <w:color w:val="auto"/>
                <w:sz w:val="24"/>
                <w:szCs w:val="24"/>
              </w:rPr>
              <w:t>电子招标文件（含工程量清单）及三门施工投标工具4.5.0.</w:t>
            </w:r>
            <w:r>
              <w:rPr>
                <w:rFonts w:hint="eastAsia"/>
                <w:color w:val="auto"/>
                <w:sz w:val="24"/>
                <w:szCs w:val="24"/>
                <w:lang w:val="en-US" w:eastAsia="zh-CN"/>
              </w:rPr>
              <w:t>7版本</w:t>
            </w:r>
            <w:r>
              <w:rPr>
                <w:rFonts w:hint="eastAsia"/>
                <w:color w:val="auto"/>
                <w:sz w:val="24"/>
                <w:szCs w:val="24"/>
              </w:rPr>
              <w:t>；</w:t>
            </w:r>
          </w:p>
          <w:p w14:paraId="1D1F88A9">
            <w:pPr>
              <w:bidi w:val="0"/>
              <w:rPr>
                <w:rFonts w:hint="eastAsia"/>
                <w:color w:val="auto"/>
                <w:sz w:val="24"/>
                <w:szCs w:val="24"/>
              </w:rPr>
            </w:pPr>
            <w:r>
              <w:rPr>
                <w:rFonts w:hint="eastAsia"/>
                <w:color w:val="auto"/>
                <w:sz w:val="24"/>
                <w:szCs w:val="24"/>
                <w:lang w:val="en-US" w:eastAsia="zh-CN"/>
              </w:rPr>
              <w:t>2.</w:t>
            </w:r>
            <w:r>
              <w:rPr>
                <w:rFonts w:hint="eastAsia"/>
                <w:color w:val="auto"/>
                <w:sz w:val="24"/>
                <w:szCs w:val="24"/>
              </w:rPr>
              <w:t>施工图纸电子文档；</w:t>
            </w:r>
          </w:p>
          <w:p w14:paraId="3F8DBDC2">
            <w:pPr>
              <w:bidi w:val="0"/>
              <w:rPr>
                <w:color w:val="auto"/>
                <w:szCs w:val="24"/>
              </w:rPr>
            </w:pPr>
            <w:r>
              <w:rPr>
                <w:rFonts w:hint="eastAsia"/>
                <w:color w:val="auto"/>
                <w:sz w:val="24"/>
                <w:szCs w:val="24"/>
                <w:lang w:val="en-US" w:eastAsia="zh-CN"/>
              </w:rPr>
              <w:t>3.</w:t>
            </w:r>
            <w:r>
              <w:rPr>
                <w:rFonts w:hint="eastAsia"/>
                <w:color w:val="auto"/>
                <w:sz w:val="24"/>
                <w:szCs w:val="24"/>
              </w:rPr>
              <w:t>其它提供的资料。</w:t>
            </w:r>
          </w:p>
        </w:tc>
      </w:tr>
      <w:tr w14:paraId="5FF5A5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1" w:hRule="atLeast"/>
        </w:trPr>
        <w:tc>
          <w:tcPr>
            <w:tcW w:w="1080" w:type="dxa"/>
            <w:vMerge w:val="restart"/>
            <w:vAlign w:val="center"/>
          </w:tcPr>
          <w:p w14:paraId="6A06BF91">
            <w:pPr>
              <w:spacing w:before="69" w:line="188" w:lineRule="auto"/>
              <w:ind w:left="233"/>
              <w:jc w:val="center"/>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2"/>
                <w:sz w:val="24"/>
                <w:szCs w:val="24"/>
              </w:rPr>
              <w:t>2.2.1</w:t>
            </w:r>
          </w:p>
        </w:tc>
        <w:tc>
          <w:tcPr>
            <w:tcW w:w="1305" w:type="dxa"/>
            <w:vAlign w:val="center"/>
          </w:tcPr>
          <w:p w14:paraId="3A495ABF">
            <w:pPr>
              <w:pStyle w:val="27"/>
              <w:kinsoku w:val="0"/>
              <w:spacing w:line="440" w:lineRule="exact"/>
              <w:jc w:val="center"/>
              <w:rPr>
                <w:rFonts w:hint="eastAsia" w:ascii="宋体" w:hAnsi="宋体" w:eastAsia="宋体" w:cs="宋体"/>
                <w:color w:val="auto"/>
                <w:sz w:val="24"/>
                <w:szCs w:val="24"/>
              </w:rPr>
            </w:pPr>
            <w:r>
              <w:rPr>
                <w:rFonts w:hint="eastAsia" w:ascii="宋体" w:hAnsi="宋体" w:eastAsia="宋体" w:cs="宋体"/>
                <w:sz w:val="24"/>
                <w:szCs w:val="24"/>
                <w:highlight w:val="none"/>
              </w:rPr>
              <w:t>投标人要求澄清招标文件</w:t>
            </w:r>
          </w:p>
        </w:tc>
        <w:tc>
          <w:tcPr>
            <w:tcW w:w="7229" w:type="dxa"/>
            <w:vAlign w:val="center"/>
          </w:tcPr>
          <w:p w14:paraId="1E1ECA31">
            <w:pPr>
              <w:pStyle w:val="23"/>
              <w:keepNext w:val="0"/>
              <w:keepLines w:val="0"/>
              <w:pageBreakBefore w:val="0"/>
              <w:widowControl w:val="0"/>
              <w:kinsoku/>
              <w:wordWrap/>
              <w:overflowPunct/>
              <w:topLinePunct w:val="0"/>
              <w:autoSpaceDE w:val="0"/>
              <w:autoSpaceDN w:val="0"/>
              <w:bidi w:val="0"/>
              <w:adjustRightInd w:val="0"/>
              <w:snapToGrid/>
              <w:spacing w:line="440" w:lineRule="exact"/>
              <w:ind w:left="33" w:right="27"/>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sz w:val="24"/>
                <w:szCs w:val="24"/>
                <w:highlight w:val="none"/>
                <w:lang w:val="en-US" w:eastAsia="zh-CN" w:bidi="ar-SA"/>
              </w:rPr>
              <w:t>截止时间：投标截止日10日前（投标人在截止时间以后提出的澄清招</w:t>
            </w:r>
            <w:r>
              <w:rPr>
                <w:rFonts w:hint="eastAsia" w:ascii="宋体" w:hAnsi="宋体" w:eastAsia="宋体" w:cs="宋体"/>
                <w:color w:val="auto"/>
                <w:sz w:val="24"/>
                <w:szCs w:val="24"/>
                <w:highlight w:val="none"/>
                <w:lang w:val="en-US" w:eastAsia="zh-CN" w:bidi="ar-SA"/>
              </w:rPr>
              <w:t>标文件的要求，招标人可以拒绝受理）</w:t>
            </w:r>
          </w:p>
          <w:p w14:paraId="45F23E23">
            <w:pPr>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提交方式:在三门县公共资源交易中心网站上在线提交</w:t>
            </w:r>
          </w:p>
          <w:p w14:paraId="65FD41E1">
            <w:pPr>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highlight w:val="none"/>
                <w:lang w:val="en-US" w:eastAsia="zh-CN" w:bidi="ar-SA"/>
              </w:rPr>
              <w:t>联系方式：0576-83321522    联系人：倪勇</w:t>
            </w:r>
          </w:p>
        </w:tc>
      </w:tr>
      <w:tr w14:paraId="43831A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85" w:hRule="atLeast"/>
        </w:trPr>
        <w:tc>
          <w:tcPr>
            <w:tcW w:w="1080" w:type="dxa"/>
            <w:vMerge w:val="continue"/>
          </w:tcPr>
          <w:p w14:paraId="27C304A6">
            <w:pPr>
              <w:rPr>
                <w:color w:val="auto"/>
              </w:rPr>
            </w:pPr>
          </w:p>
        </w:tc>
        <w:tc>
          <w:tcPr>
            <w:tcW w:w="1305" w:type="dxa"/>
            <w:vAlign w:val="center"/>
          </w:tcPr>
          <w:p w14:paraId="42C947B4">
            <w:pPr>
              <w:pStyle w:val="27"/>
              <w:kinsoku w:val="0"/>
              <w:spacing w:line="44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招标文件澄清</w:t>
            </w:r>
          </w:p>
          <w:p w14:paraId="314EDD9D">
            <w:pPr>
              <w:pStyle w:val="27"/>
              <w:kinsoku w:val="0"/>
              <w:spacing w:line="440" w:lineRule="exact"/>
              <w:jc w:val="center"/>
              <w:rPr>
                <w:rFonts w:hint="eastAsia" w:ascii="宋体" w:hAnsi="宋体" w:eastAsia="宋体" w:cs="宋体"/>
                <w:color w:val="auto"/>
                <w:sz w:val="24"/>
                <w:szCs w:val="24"/>
                <w:lang w:eastAsia="zh-CN"/>
              </w:rPr>
            </w:pPr>
            <w:r>
              <w:rPr>
                <w:rFonts w:hint="eastAsia" w:ascii="宋体" w:hAnsi="宋体" w:eastAsia="宋体" w:cs="宋体"/>
                <w:sz w:val="24"/>
                <w:szCs w:val="24"/>
                <w:highlight w:val="none"/>
              </w:rPr>
              <w:t>发出的形式</w:t>
            </w:r>
          </w:p>
        </w:tc>
        <w:tc>
          <w:tcPr>
            <w:tcW w:w="7229" w:type="dxa"/>
            <w:vAlign w:val="center"/>
          </w:tcPr>
          <w:p w14:paraId="7BC044B3">
            <w:pPr>
              <w:spacing w:line="440" w:lineRule="exact"/>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招标人对投标人疑问作出统一的解答，并以招标补充文件的形式发出。</w:t>
            </w:r>
          </w:p>
          <w:p w14:paraId="6CF3EED8">
            <w:pPr>
              <w:spacing w:line="440" w:lineRule="exact"/>
              <w:jc w:val="both"/>
              <w:rPr>
                <w:rFonts w:hint="eastAsia" w:ascii="宋体" w:hAnsi="宋体" w:eastAsia="宋体" w:cs="宋体"/>
                <w:i w:val="0"/>
                <w:iCs w:val="0"/>
                <w:color w:val="auto"/>
                <w:sz w:val="24"/>
                <w:szCs w:val="24"/>
                <w:lang w:eastAsia="zh-CN"/>
              </w:rPr>
            </w:pPr>
            <w:r>
              <w:rPr>
                <w:rFonts w:hint="eastAsia" w:ascii="宋体" w:hAnsi="宋体" w:eastAsia="宋体" w:cs="宋体"/>
                <w:sz w:val="24"/>
                <w:szCs w:val="24"/>
                <w:highlight w:val="none"/>
              </w:rPr>
              <w:t>在</w:t>
            </w:r>
            <w:r>
              <w:rPr>
                <w:rFonts w:hint="eastAsia" w:ascii="宋体" w:hAnsi="宋体" w:eastAsia="宋体" w:cs="宋体"/>
                <w:sz w:val="24"/>
                <w:szCs w:val="24"/>
                <w:highlight w:val="none"/>
                <w:lang w:val="en-US" w:eastAsia="zh-CN" w:bidi="ar-SA"/>
              </w:rPr>
              <w:t>三门县公共资源交易中心</w:t>
            </w:r>
            <w:r>
              <w:rPr>
                <w:rFonts w:hint="eastAsia" w:ascii="宋体" w:hAnsi="宋体" w:eastAsia="宋体" w:cs="宋体"/>
                <w:sz w:val="24"/>
                <w:szCs w:val="24"/>
                <w:highlight w:val="none"/>
              </w:rPr>
              <w:t>平台上公开发布。在开标前，投标人须随时关注网站的最新答疑信息，自行下载。</w:t>
            </w:r>
          </w:p>
        </w:tc>
      </w:tr>
      <w:tr w14:paraId="69E192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3" w:hRule="atLeast"/>
        </w:trPr>
        <w:tc>
          <w:tcPr>
            <w:tcW w:w="1080" w:type="dxa"/>
            <w:vMerge w:val="continue"/>
          </w:tcPr>
          <w:p w14:paraId="76DA2C50">
            <w:pPr>
              <w:rPr>
                <w:color w:val="auto"/>
              </w:rPr>
            </w:pPr>
          </w:p>
        </w:tc>
        <w:tc>
          <w:tcPr>
            <w:tcW w:w="1305" w:type="dxa"/>
            <w:vAlign w:val="center"/>
          </w:tcPr>
          <w:p w14:paraId="759D37C6">
            <w:pPr>
              <w:pStyle w:val="27"/>
              <w:kinsoku w:val="0"/>
              <w:spacing w:line="44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投标人确认</w:t>
            </w:r>
          </w:p>
          <w:p w14:paraId="0D98CCEC">
            <w:pPr>
              <w:pStyle w:val="27"/>
              <w:kinsoku w:val="0"/>
              <w:spacing w:line="440" w:lineRule="exact"/>
              <w:jc w:val="center"/>
              <w:rPr>
                <w:rFonts w:hint="eastAsia" w:ascii="宋体" w:hAnsi="宋体" w:eastAsia="宋体" w:cs="宋体"/>
                <w:color w:val="auto"/>
                <w:sz w:val="24"/>
                <w:szCs w:val="24"/>
              </w:rPr>
            </w:pPr>
            <w:r>
              <w:rPr>
                <w:rFonts w:hint="eastAsia" w:ascii="宋体" w:hAnsi="宋体" w:eastAsia="宋体" w:cs="宋体"/>
                <w:sz w:val="24"/>
                <w:szCs w:val="24"/>
                <w:highlight w:val="none"/>
              </w:rPr>
              <w:t>收到招标文件澄清</w:t>
            </w:r>
          </w:p>
        </w:tc>
        <w:tc>
          <w:tcPr>
            <w:tcW w:w="7229" w:type="dxa"/>
            <w:vAlign w:val="center"/>
          </w:tcPr>
          <w:p w14:paraId="3D1BB7BF">
            <w:pPr>
              <w:spacing w:line="440" w:lineRule="exact"/>
              <w:jc w:val="both"/>
              <w:rPr>
                <w:rFonts w:hint="eastAsia" w:ascii="宋体" w:hAnsi="宋体" w:eastAsia="宋体" w:cs="宋体"/>
                <w:i w:val="0"/>
                <w:iCs w:val="0"/>
                <w:color w:val="auto"/>
                <w:sz w:val="24"/>
                <w:szCs w:val="24"/>
                <w:lang w:eastAsia="zh-CN"/>
              </w:rPr>
            </w:pPr>
            <w:r>
              <w:rPr>
                <w:rFonts w:hint="eastAsia" w:ascii="宋体" w:hAnsi="宋体" w:eastAsia="宋体" w:cs="宋体"/>
                <w:sz w:val="24"/>
                <w:szCs w:val="24"/>
                <w:highlight w:val="none"/>
              </w:rPr>
              <w:t>潜在投标人应自行关注</w:t>
            </w:r>
            <w:r>
              <w:rPr>
                <w:rFonts w:hint="eastAsia" w:ascii="宋体" w:hAnsi="宋体" w:eastAsia="宋体" w:cs="宋体"/>
                <w:sz w:val="24"/>
                <w:szCs w:val="24"/>
                <w:highlight w:val="none"/>
                <w:lang w:val="en-US" w:eastAsia="zh-CN" w:bidi="ar-SA"/>
              </w:rPr>
              <w:t>三门县公共资源交易中心平台上</w:t>
            </w:r>
            <w:r>
              <w:rPr>
                <w:rFonts w:hint="eastAsia" w:ascii="宋体" w:hAnsi="宋体" w:eastAsia="宋体" w:cs="宋体"/>
                <w:sz w:val="24"/>
                <w:szCs w:val="24"/>
                <w:highlight w:val="none"/>
              </w:rPr>
              <w:t>发布的补充文件信息，招标人不再逐一通知。投标人因自身贻误行为导致投标失败的，责任自负。</w:t>
            </w:r>
          </w:p>
        </w:tc>
      </w:tr>
      <w:tr w14:paraId="2D5516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8" w:hRule="atLeast"/>
        </w:trPr>
        <w:tc>
          <w:tcPr>
            <w:tcW w:w="1080" w:type="dxa"/>
          </w:tcPr>
          <w:p w14:paraId="5D916E49">
            <w:pPr>
              <w:spacing w:line="289" w:lineRule="auto"/>
              <w:rPr>
                <w:color w:val="auto"/>
                <w:lang w:eastAsia="zh-CN"/>
              </w:rPr>
            </w:pPr>
          </w:p>
          <w:p w14:paraId="6A2E47B0">
            <w:pPr>
              <w:spacing w:before="69" w:line="188" w:lineRule="auto"/>
              <w:ind w:left="233"/>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2"/>
                <w:sz w:val="24"/>
                <w:szCs w:val="24"/>
              </w:rPr>
              <w:t>2.3.1</w:t>
            </w:r>
          </w:p>
        </w:tc>
        <w:tc>
          <w:tcPr>
            <w:tcW w:w="1305" w:type="dxa"/>
            <w:vAlign w:val="center"/>
          </w:tcPr>
          <w:p w14:paraId="78E38F35">
            <w:pPr>
              <w:pStyle w:val="23"/>
              <w:spacing w:before="162" w:line="230" w:lineRule="auto"/>
              <w:ind w:right="44"/>
              <w:jc w:val="center"/>
              <w:rPr>
                <w:color w:val="auto"/>
                <w:sz w:val="24"/>
                <w:szCs w:val="24"/>
                <w:lang w:eastAsia="zh-CN"/>
              </w:rPr>
            </w:pPr>
            <w:r>
              <w:rPr>
                <w:color w:val="auto"/>
                <w:spacing w:val="-2"/>
                <w:sz w:val="24"/>
                <w:szCs w:val="24"/>
                <w:lang w:eastAsia="zh-CN"/>
              </w:rPr>
              <w:t>招标人修改文件</w:t>
            </w:r>
            <w:r>
              <w:rPr>
                <w:color w:val="auto"/>
                <w:spacing w:val="-3"/>
                <w:sz w:val="24"/>
                <w:szCs w:val="24"/>
                <w:lang w:eastAsia="zh-CN"/>
              </w:rPr>
              <w:t>发出的形式</w:t>
            </w:r>
          </w:p>
        </w:tc>
        <w:tc>
          <w:tcPr>
            <w:tcW w:w="7229" w:type="dxa"/>
          </w:tcPr>
          <w:p w14:paraId="7590B49D">
            <w:pPr>
              <w:rPr>
                <w:color w:val="auto"/>
                <w:lang w:eastAsia="zh-CN"/>
              </w:rPr>
            </w:pPr>
          </w:p>
          <w:p w14:paraId="1E3044CC">
            <w:pPr>
              <w:pStyle w:val="23"/>
              <w:spacing w:before="78" w:line="221" w:lineRule="auto"/>
              <w:ind w:left="57"/>
              <w:rPr>
                <w:rFonts w:ascii="Times New Roman" w:hAnsi="Times New Roman" w:eastAsia="Times New Roman" w:cs="Times New Roman"/>
                <w:color w:val="auto"/>
                <w:sz w:val="24"/>
                <w:szCs w:val="24"/>
              </w:rPr>
            </w:pPr>
            <w:r>
              <w:rPr>
                <w:color w:val="auto"/>
                <w:spacing w:val="-6"/>
                <w:sz w:val="24"/>
                <w:szCs w:val="24"/>
              </w:rPr>
              <w:t>同</w:t>
            </w:r>
            <w:r>
              <w:rPr>
                <w:rFonts w:ascii="Times New Roman" w:hAnsi="Times New Roman" w:eastAsia="Times New Roman" w:cs="Times New Roman"/>
                <w:color w:val="auto"/>
                <w:spacing w:val="-6"/>
                <w:sz w:val="24"/>
                <w:szCs w:val="24"/>
              </w:rPr>
              <w:t>2.2.1</w:t>
            </w:r>
          </w:p>
        </w:tc>
      </w:tr>
      <w:tr w14:paraId="4E0416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080" w:type="dxa"/>
            <w:vAlign w:val="center"/>
          </w:tcPr>
          <w:p w14:paraId="0ECED65F">
            <w:pPr>
              <w:spacing w:before="69" w:line="188" w:lineRule="auto"/>
              <w:ind w:left="327"/>
              <w:jc w:val="both"/>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5"/>
                <w:sz w:val="24"/>
                <w:szCs w:val="24"/>
              </w:rPr>
              <w:t>3.1</w:t>
            </w:r>
          </w:p>
        </w:tc>
        <w:tc>
          <w:tcPr>
            <w:tcW w:w="1305" w:type="dxa"/>
            <w:vAlign w:val="center"/>
          </w:tcPr>
          <w:p w14:paraId="67BFDEA6">
            <w:pPr>
              <w:pStyle w:val="23"/>
              <w:spacing w:before="78" w:line="219" w:lineRule="auto"/>
              <w:ind w:left="48"/>
              <w:jc w:val="both"/>
              <w:rPr>
                <w:color w:val="auto"/>
                <w:sz w:val="24"/>
                <w:szCs w:val="24"/>
              </w:rPr>
            </w:pPr>
            <w:r>
              <w:rPr>
                <w:color w:val="auto"/>
                <w:spacing w:val="-2"/>
                <w:sz w:val="24"/>
                <w:szCs w:val="24"/>
              </w:rPr>
              <w:t>投标文件的组成</w:t>
            </w:r>
          </w:p>
        </w:tc>
        <w:tc>
          <w:tcPr>
            <w:tcW w:w="7229" w:type="dxa"/>
          </w:tcPr>
          <w:p w14:paraId="38F373BE">
            <w:pPr>
              <w:pStyle w:val="23"/>
              <w:spacing w:before="78" w:line="217" w:lineRule="auto"/>
              <w:rPr>
                <w:color w:val="auto"/>
                <w:sz w:val="24"/>
                <w:szCs w:val="24"/>
                <w:lang w:eastAsia="zh-CN"/>
              </w:rPr>
            </w:pPr>
            <w:r>
              <w:rPr>
                <w:b/>
                <w:bCs/>
                <w:color w:val="auto"/>
                <w:spacing w:val="-7"/>
                <w:sz w:val="24"/>
                <w:szCs w:val="24"/>
                <w:lang w:eastAsia="zh-CN"/>
              </w:rPr>
              <w:t>资信商务评估法</w:t>
            </w:r>
          </w:p>
          <w:p w14:paraId="43805076">
            <w:pPr>
              <w:pStyle w:val="23"/>
              <w:spacing w:before="13" w:line="215" w:lineRule="auto"/>
              <w:ind w:left="33" w:right="121" w:firstLine="476" w:firstLineChars="200"/>
              <w:rPr>
                <w:color w:val="auto"/>
                <w:sz w:val="24"/>
                <w:szCs w:val="24"/>
                <w:lang w:eastAsia="zh-CN"/>
              </w:rPr>
            </w:pPr>
            <w:r>
              <w:rPr>
                <w:color w:val="auto"/>
                <w:spacing w:val="-1"/>
                <w:sz w:val="24"/>
                <w:szCs w:val="24"/>
                <w:lang w:eastAsia="zh-CN"/>
              </w:rPr>
              <w:t>投标文件由资格标、资信标和商务标三部分组成。</w:t>
            </w:r>
            <w:r>
              <w:rPr>
                <w:rFonts w:hint="eastAsia" w:ascii="宋体" w:hAnsi="宋体" w:eastAsia="宋体" w:cs="宋体"/>
                <w:b/>
                <w:bCs/>
                <w:color w:val="auto"/>
                <w:sz w:val="24"/>
                <w:szCs w:val="24"/>
              </w:rPr>
              <w:t>由三门施工投标工具4.5.0.</w:t>
            </w:r>
            <w:r>
              <w:rPr>
                <w:rFonts w:hint="eastAsia" w:cs="宋体"/>
                <w:b/>
                <w:bCs/>
                <w:color w:val="auto"/>
                <w:sz w:val="24"/>
                <w:szCs w:val="24"/>
                <w:lang w:val="en-US" w:eastAsia="zh-CN"/>
              </w:rPr>
              <w:t>7</w:t>
            </w:r>
            <w:r>
              <w:rPr>
                <w:rFonts w:hint="eastAsia" w:ascii="宋体" w:hAnsi="宋体" w:eastAsia="宋体" w:cs="宋体"/>
                <w:b/>
                <w:bCs/>
                <w:color w:val="auto"/>
                <w:sz w:val="24"/>
                <w:szCs w:val="24"/>
              </w:rPr>
              <w:t>版本生成后缀名.已加密投标文件。</w:t>
            </w:r>
          </w:p>
          <w:p w14:paraId="5C936646">
            <w:pPr>
              <w:pStyle w:val="23"/>
              <w:spacing w:line="216" w:lineRule="auto"/>
              <w:rPr>
                <w:b/>
                <w:bCs/>
                <w:color w:val="auto"/>
                <w:sz w:val="24"/>
                <w:szCs w:val="24"/>
                <w:lang w:eastAsia="zh-CN"/>
              </w:rPr>
            </w:pPr>
            <w:r>
              <w:rPr>
                <w:rFonts w:ascii="Times New Roman" w:hAnsi="Times New Roman" w:eastAsia="Times New Roman" w:cs="Times New Roman"/>
                <w:b/>
                <w:bCs/>
                <w:color w:val="auto"/>
                <w:spacing w:val="-11"/>
                <w:sz w:val="24"/>
                <w:szCs w:val="24"/>
                <w:lang w:eastAsia="zh-CN"/>
              </w:rPr>
              <w:t>1</w:t>
            </w:r>
            <w:r>
              <w:rPr>
                <w:b/>
                <w:bCs/>
                <w:color w:val="auto"/>
                <w:spacing w:val="-11"/>
                <w:sz w:val="24"/>
                <w:szCs w:val="24"/>
                <w:lang w:eastAsia="zh-CN"/>
              </w:rPr>
              <w:t>、资格标</w:t>
            </w:r>
          </w:p>
          <w:p w14:paraId="31BABED3">
            <w:pPr>
              <w:pStyle w:val="23"/>
              <w:spacing w:before="2" w:line="217" w:lineRule="auto"/>
              <w:ind w:left="35" w:right="27" w:firstLine="510"/>
              <w:rPr>
                <w:color w:val="auto"/>
                <w:sz w:val="24"/>
                <w:szCs w:val="24"/>
                <w:lang w:eastAsia="zh-CN"/>
              </w:rPr>
            </w:pPr>
            <w:r>
              <w:rPr>
                <w:color w:val="auto"/>
                <w:spacing w:val="13"/>
                <w:sz w:val="24"/>
                <w:szCs w:val="24"/>
                <w:lang w:eastAsia="zh-CN"/>
              </w:rPr>
              <w:t>由</w:t>
            </w:r>
            <w:r>
              <w:rPr>
                <w:rFonts w:hint="eastAsia" w:ascii="宋体" w:hAnsi="宋体" w:eastAsia="宋体" w:cs="宋体"/>
                <w:b w:val="0"/>
                <w:bCs w:val="0"/>
                <w:color w:val="auto"/>
                <w:sz w:val="24"/>
                <w:szCs w:val="24"/>
              </w:rPr>
              <w:t>三门施工投标工具4.5.0.</w:t>
            </w:r>
            <w:r>
              <w:rPr>
                <w:rFonts w:hint="eastAsia" w:cs="宋体"/>
                <w:b w:val="0"/>
                <w:bCs w:val="0"/>
                <w:color w:val="auto"/>
                <w:sz w:val="24"/>
                <w:szCs w:val="24"/>
                <w:lang w:val="en-US" w:eastAsia="zh-CN"/>
              </w:rPr>
              <w:t>7</w:t>
            </w:r>
            <w:r>
              <w:rPr>
                <w:rFonts w:hint="eastAsia" w:ascii="宋体" w:hAnsi="宋体" w:eastAsia="宋体" w:cs="宋体"/>
                <w:b w:val="0"/>
                <w:bCs w:val="0"/>
                <w:color w:val="auto"/>
                <w:sz w:val="24"/>
                <w:szCs w:val="24"/>
              </w:rPr>
              <w:t>版本</w:t>
            </w:r>
            <w:r>
              <w:rPr>
                <w:color w:val="auto"/>
                <w:spacing w:val="13"/>
                <w:sz w:val="24"/>
                <w:szCs w:val="24"/>
                <w:lang w:eastAsia="zh-CN"/>
              </w:rPr>
              <w:t>生成的资格标电子投标文件包</w:t>
            </w:r>
            <w:r>
              <w:rPr>
                <w:color w:val="auto"/>
                <w:spacing w:val="-6"/>
                <w:sz w:val="24"/>
                <w:szCs w:val="24"/>
                <w:lang w:eastAsia="zh-CN"/>
              </w:rPr>
              <w:t>括：</w:t>
            </w:r>
          </w:p>
          <w:p w14:paraId="5B139089">
            <w:pPr>
              <w:pStyle w:val="23"/>
              <w:spacing w:before="11" w:line="218" w:lineRule="auto"/>
              <w:rPr>
                <w:color w:val="auto"/>
                <w:sz w:val="24"/>
                <w:szCs w:val="24"/>
                <w:lang w:eastAsia="zh-CN"/>
              </w:rPr>
            </w:pPr>
            <w:r>
              <w:rPr>
                <w:color w:val="auto"/>
                <w:spacing w:val="-2"/>
                <w:sz w:val="24"/>
                <w:szCs w:val="24"/>
                <w:lang w:eastAsia="zh-CN"/>
              </w:rPr>
              <w:t>（</w:t>
            </w:r>
            <w:r>
              <w:rPr>
                <w:rFonts w:ascii="Times New Roman" w:hAnsi="Times New Roman" w:eastAsia="Times New Roman" w:cs="Times New Roman"/>
                <w:color w:val="auto"/>
                <w:spacing w:val="-2"/>
                <w:sz w:val="24"/>
                <w:szCs w:val="24"/>
                <w:lang w:eastAsia="zh-CN"/>
              </w:rPr>
              <w:t>1</w:t>
            </w:r>
            <w:r>
              <w:rPr>
                <w:color w:val="auto"/>
                <w:spacing w:val="-2"/>
                <w:sz w:val="24"/>
                <w:szCs w:val="24"/>
                <w:lang w:eastAsia="zh-CN"/>
              </w:rPr>
              <w:t>）项目负责人简历表（投标文件格式一</w:t>
            </w:r>
            <w:r>
              <w:rPr>
                <w:color w:val="auto"/>
                <w:spacing w:val="8"/>
                <w:sz w:val="24"/>
                <w:szCs w:val="24"/>
                <w:lang w:eastAsia="zh-CN"/>
              </w:rPr>
              <w:t>）；</w:t>
            </w:r>
          </w:p>
          <w:p w14:paraId="69323B87">
            <w:pPr>
              <w:pStyle w:val="23"/>
              <w:spacing w:before="28" w:line="218" w:lineRule="auto"/>
              <w:rPr>
                <w:color w:val="auto"/>
                <w:sz w:val="24"/>
                <w:szCs w:val="24"/>
                <w:lang w:eastAsia="zh-CN"/>
              </w:rPr>
            </w:pPr>
            <w:r>
              <w:rPr>
                <w:color w:val="auto"/>
                <w:spacing w:val="-2"/>
                <w:sz w:val="24"/>
                <w:szCs w:val="24"/>
                <w:lang w:eastAsia="zh-CN"/>
              </w:rPr>
              <w:t>（2）技术负责人简历表（投标文件格式二</w:t>
            </w:r>
            <w:r>
              <w:rPr>
                <w:color w:val="auto"/>
                <w:spacing w:val="8"/>
                <w:sz w:val="24"/>
                <w:szCs w:val="24"/>
                <w:lang w:eastAsia="zh-CN"/>
              </w:rPr>
              <w:t>）；</w:t>
            </w:r>
          </w:p>
          <w:p w14:paraId="5AB8AC81">
            <w:pPr>
              <w:pStyle w:val="23"/>
              <w:spacing w:before="29" w:line="218" w:lineRule="auto"/>
              <w:rPr>
                <w:color w:val="auto"/>
                <w:sz w:val="24"/>
                <w:szCs w:val="24"/>
                <w:lang w:eastAsia="zh-CN"/>
              </w:rPr>
            </w:pPr>
            <w:r>
              <w:rPr>
                <w:color w:val="auto"/>
                <w:spacing w:val="-2"/>
                <w:sz w:val="24"/>
                <w:szCs w:val="24"/>
                <w:lang w:eastAsia="zh-CN"/>
              </w:rPr>
              <w:t>（3）主要施工机械设备表（投标文件格式三</w:t>
            </w:r>
            <w:r>
              <w:rPr>
                <w:color w:val="auto"/>
                <w:spacing w:val="9"/>
                <w:sz w:val="24"/>
                <w:szCs w:val="24"/>
                <w:lang w:eastAsia="zh-CN"/>
              </w:rPr>
              <w:t>）；</w:t>
            </w:r>
          </w:p>
          <w:p w14:paraId="5E7116EB">
            <w:pPr>
              <w:pStyle w:val="23"/>
              <w:spacing w:before="30" w:line="230" w:lineRule="auto"/>
              <w:ind w:right="27"/>
              <w:rPr>
                <w:color w:val="auto"/>
                <w:sz w:val="24"/>
                <w:szCs w:val="24"/>
                <w:lang w:eastAsia="zh-CN"/>
              </w:rPr>
            </w:pPr>
            <w:r>
              <w:rPr>
                <w:color w:val="auto"/>
                <w:spacing w:val="-2"/>
                <w:sz w:val="24"/>
                <w:szCs w:val="24"/>
                <w:lang w:eastAsia="zh-CN"/>
              </w:rPr>
              <w:t>（4）</w:t>
            </w:r>
            <w:r>
              <w:rPr>
                <w:color w:val="auto"/>
                <w:spacing w:val="12"/>
                <w:sz w:val="24"/>
                <w:szCs w:val="24"/>
                <w:lang w:eastAsia="zh-CN"/>
              </w:rPr>
              <w:t>建设工程投标人资格自查表（投标文件格式</w:t>
            </w:r>
            <w:r>
              <w:rPr>
                <w:color w:val="auto"/>
                <w:spacing w:val="-32"/>
                <w:sz w:val="24"/>
                <w:szCs w:val="24"/>
                <w:lang w:eastAsia="zh-CN"/>
              </w:rPr>
              <w:t>四</w:t>
            </w:r>
            <w:r>
              <w:rPr>
                <w:color w:val="auto"/>
                <w:sz w:val="24"/>
                <w:szCs w:val="24"/>
                <w:lang w:eastAsia="zh-CN"/>
              </w:rPr>
              <w:t>）；</w:t>
            </w:r>
          </w:p>
          <w:p w14:paraId="7D5898C9">
            <w:pPr>
              <w:pStyle w:val="23"/>
              <w:spacing w:before="25" w:line="229" w:lineRule="auto"/>
              <w:ind w:right="27"/>
              <w:rPr>
                <w:color w:val="auto"/>
                <w:sz w:val="24"/>
                <w:szCs w:val="24"/>
                <w:lang w:eastAsia="zh-CN"/>
              </w:rPr>
            </w:pPr>
            <w:r>
              <w:rPr>
                <w:color w:val="auto"/>
                <w:spacing w:val="8"/>
                <w:sz w:val="24"/>
                <w:szCs w:val="24"/>
                <w:lang w:eastAsia="zh-CN"/>
              </w:rPr>
              <w:t>（</w:t>
            </w:r>
            <w:r>
              <w:rPr>
                <w:rFonts w:ascii="Times New Roman" w:hAnsi="Times New Roman" w:eastAsia="Times New Roman" w:cs="Times New Roman"/>
                <w:color w:val="auto"/>
                <w:spacing w:val="8"/>
                <w:sz w:val="24"/>
                <w:szCs w:val="24"/>
                <w:lang w:eastAsia="zh-CN"/>
              </w:rPr>
              <w:t>5</w:t>
            </w:r>
            <w:r>
              <w:rPr>
                <w:color w:val="auto"/>
                <w:spacing w:val="8"/>
                <w:sz w:val="24"/>
                <w:szCs w:val="24"/>
                <w:lang w:eastAsia="zh-CN"/>
              </w:rPr>
              <w:t>）建设工程投标项目负责人资格自查表（投标文</w:t>
            </w:r>
            <w:r>
              <w:rPr>
                <w:color w:val="auto"/>
                <w:spacing w:val="-3"/>
                <w:sz w:val="24"/>
                <w:szCs w:val="24"/>
                <w:lang w:eastAsia="zh-CN"/>
              </w:rPr>
              <w:t>件格式五</w:t>
            </w:r>
            <w:r>
              <w:rPr>
                <w:color w:val="auto"/>
                <w:spacing w:val="1"/>
                <w:sz w:val="24"/>
                <w:szCs w:val="24"/>
                <w:lang w:eastAsia="zh-CN"/>
              </w:rPr>
              <w:t>）；</w:t>
            </w:r>
          </w:p>
          <w:p w14:paraId="52BF5B1E">
            <w:pPr>
              <w:pStyle w:val="23"/>
              <w:spacing w:before="29" w:line="230" w:lineRule="auto"/>
              <w:ind w:right="27"/>
              <w:rPr>
                <w:color w:val="auto"/>
                <w:sz w:val="24"/>
                <w:szCs w:val="24"/>
                <w:lang w:eastAsia="zh-CN"/>
              </w:rPr>
            </w:pPr>
            <w:r>
              <w:rPr>
                <w:color w:val="auto"/>
                <w:spacing w:val="27"/>
                <w:sz w:val="24"/>
                <w:szCs w:val="24"/>
                <w:lang w:eastAsia="zh-CN"/>
              </w:rPr>
              <w:t>（</w:t>
            </w:r>
            <w:r>
              <w:rPr>
                <w:rFonts w:ascii="Times New Roman" w:hAnsi="Times New Roman" w:eastAsia="Times New Roman" w:cs="Times New Roman"/>
                <w:color w:val="auto"/>
                <w:spacing w:val="27"/>
                <w:sz w:val="24"/>
                <w:szCs w:val="24"/>
                <w:lang w:eastAsia="zh-CN"/>
              </w:rPr>
              <w:t>6</w:t>
            </w:r>
            <w:r>
              <w:rPr>
                <w:color w:val="auto"/>
                <w:spacing w:val="27"/>
                <w:sz w:val="24"/>
                <w:szCs w:val="24"/>
                <w:lang w:eastAsia="zh-CN"/>
              </w:rPr>
              <w:t>）建设工程诚信投标承诺书（投标文件格式</w:t>
            </w:r>
            <w:r>
              <w:rPr>
                <w:color w:val="auto"/>
                <w:spacing w:val="-10"/>
                <w:sz w:val="24"/>
                <w:szCs w:val="24"/>
                <w:lang w:eastAsia="zh-CN"/>
              </w:rPr>
              <w:t>七</w:t>
            </w:r>
            <w:r>
              <w:rPr>
                <w:color w:val="auto"/>
                <w:sz w:val="24"/>
                <w:szCs w:val="24"/>
                <w:lang w:eastAsia="zh-CN"/>
              </w:rPr>
              <w:t>）；</w:t>
            </w:r>
          </w:p>
          <w:p w14:paraId="54A6FC84">
            <w:pPr>
              <w:pStyle w:val="23"/>
              <w:spacing w:before="26" w:line="229" w:lineRule="auto"/>
              <w:ind w:right="27"/>
              <w:rPr>
                <w:color w:val="auto"/>
                <w:sz w:val="24"/>
                <w:szCs w:val="24"/>
                <w:lang w:eastAsia="zh-CN"/>
              </w:rPr>
            </w:pPr>
            <w:r>
              <w:rPr>
                <w:color w:val="auto"/>
                <w:spacing w:val="8"/>
                <w:sz w:val="24"/>
                <w:szCs w:val="24"/>
                <w:lang w:eastAsia="zh-CN"/>
              </w:rPr>
              <w:t>（</w:t>
            </w:r>
            <w:r>
              <w:rPr>
                <w:rFonts w:ascii="Times New Roman" w:hAnsi="Times New Roman" w:eastAsia="Times New Roman" w:cs="Times New Roman"/>
                <w:color w:val="auto"/>
                <w:spacing w:val="8"/>
                <w:sz w:val="24"/>
                <w:szCs w:val="24"/>
                <w:lang w:eastAsia="zh-CN"/>
              </w:rPr>
              <w:t>7</w:t>
            </w:r>
            <w:r>
              <w:rPr>
                <w:color w:val="auto"/>
                <w:spacing w:val="8"/>
                <w:sz w:val="24"/>
                <w:szCs w:val="24"/>
                <w:lang w:eastAsia="zh-CN"/>
              </w:rPr>
              <w:t>）建设工程安全生产任职资格承诺书（投标文件</w:t>
            </w:r>
            <w:r>
              <w:rPr>
                <w:color w:val="auto"/>
                <w:spacing w:val="-4"/>
                <w:sz w:val="24"/>
                <w:szCs w:val="24"/>
                <w:lang w:eastAsia="zh-CN"/>
              </w:rPr>
              <w:t>格式九</w:t>
            </w:r>
            <w:r>
              <w:rPr>
                <w:color w:val="auto"/>
                <w:sz w:val="24"/>
                <w:szCs w:val="24"/>
                <w:lang w:eastAsia="zh-CN"/>
              </w:rPr>
              <w:t>）；</w:t>
            </w:r>
          </w:p>
          <w:p w14:paraId="0B732C0C">
            <w:pPr>
              <w:pStyle w:val="23"/>
              <w:spacing w:before="28" w:line="218" w:lineRule="auto"/>
              <w:rPr>
                <w:color w:val="auto"/>
                <w:sz w:val="24"/>
                <w:szCs w:val="24"/>
                <w:lang w:eastAsia="zh-CN"/>
              </w:rPr>
            </w:pPr>
            <w:r>
              <w:rPr>
                <w:color w:val="auto"/>
                <w:spacing w:val="-3"/>
                <w:sz w:val="24"/>
                <w:szCs w:val="24"/>
                <w:lang w:eastAsia="zh-CN"/>
              </w:rPr>
              <w:t>（</w:t>
            </w:r>
            <w:r>
              <w:rPr>
                <w:rFonts w:ascii="Times New Roman" w:hAnsi="Times New Roman" w:eastAsia="Times New Roman" w:cs="Times New Roman"/>
                <w:color w:val="auto"/>
                <w:spacing w:val="-3"/>
                <w:sz w:val="24"/>
                <w:szCs w:val="24"/>
                <w:lang w:eastAsia="zh-CN"/>
              </w:rPr>
              <w:t>8</w:t>
            </w:r>
            <w:r>
              <w:rPr>
                <w:color w:val="auto"/>
                <w:spacing w:val="-3"/>
                <w:sz w:val="24"/>
                <w:szCs w:val="24"/>
                <w:lang w:eastAsia="zh-CN"/>
              </w:rPr>
              <w:t>）证书材料：</w:t>
            </w:r>
          </w:p>
          <w:p w14:paraId="18EC59E2">
            <w:pPr>
              <w:pStyle w:val="5"/>
              <w:spacing w:line="400" w:lineRule="exact"/>
              <w:ind w:firstLine="480"/>
              <w:rPr>
                <w:rFonts w:hint="eastAsia" w:ascii="宋体" w:hAnsi="宋体" w:eastAsia="宋体" w:cs="宋体"/>
                <w:i/>
                <w:color w:val="auto"/>
                <w:sz w:val="24"/>
                <w:szCs w:val="24"/>
                <w:highlight w:val="none"/>
              </w:rPr>
            </w:pPr>
            <w:r>
              <w:rPr>
                <w:rFonts w:hint="eastAsia" w:ascii="宋体" w:hAnsi="宋体" w:eastAsia="宋体" w:cs="宋体"/>
                <w:color w:val="auto"/>
                <w:sz w:val="24"/>
                <w:szCs w:val="24"/>
                <w:highlight w:val="none"/>
              </w:rPr>
              <w:t>①《省外企业进浙承接业务备案证明》或“浙江省建筑市场监管公共服务系统”对外发布的通过审核形成的备案信息网页截图（仅指浙江省省外企业）</w:t>
            </w:r>
            <w:r>
              <w:rPr>
                <w:rFonts w:hint="eastAsia" w:ascii="宋体" w:hAnsi="宋体" w:eastAsia="宋体" w:cs="宋体"/>
                <w:i/>
                <w:color w:val="auto"/>
                <w:sz w:val="24"/>
                <w:szCs w:val="24"/>
                <w:highlight w:val="none"/>
              </w:rPr>
              <w:t>；</w:t>
            </w:r>
          </w:p>
          <w:p w14:paraId="3A7BF576">
            <w:pPr>
              <w:pStyle w:val="23"/>
              <w:spacing w:before="25" w:line="400" w:lineRule="exact"/>
              <w:ind w:left="37" w:right="27" w:firstLine="475"/>
              <w:rPr>
                <w:rFonts w:hint="eastAsia" w:ascii="宋体" w:hAnsi="宋体" w:eastAsia="宋体" w:cs="宋体"/>
                <w:color w:val="auto"/>
                <w:sz w:val="24"/>
                <w:szCs w:val="24"/>
                <w:highlight w:val="none"/>
                <w:lang w:eastAsia="zh-CN"/>
              </w:rPr>
            </w:pPr>
            <w:r>
              <w:rPr>
                <w:rFonts w:hint="eastAsia" w:ascii="宋体" w:hAnsi="宋体" w:eastAsia="宋体" w:cs="宋体"/>
                <w:b/>
                <w:snapToGrid w:val="0"/>
                <w:color w:val="auto"/>
                <w:sz w:val="24"/>
                <w:szCs w:val="24"/>
                <w:highlight w:val="none"/>
                <w:lang w:eastAsia="zh-CN"/>
              </w:rPr>
              <w:t>②《企业营业执照》、《安全生产许可证》和《建筑业企业资质证书》</w:t>
            </w:r>
            <w:r>
              <w:rPr>
                <w:rFonts w:hint="eastAsia" w:ascii="宋体" w:hAnsi="宋体" w:eastAsia="宋体" w:cs="宋体"/>
                <w:color w:val="auto"/>
                <w:spacing w:val="3"/>
                <w:sz w:val="24"/>
                <w:szCs w:val="24"/>
                <w:highlight w:val="none"/>
                <w:lang w:eastAsia="zh-CN"/>
              </w:rPr>
              <w:t>（若为住房和城乡建设部同意企业资质电子化试点的省、市可提供企业电子资质证</w:t>
            </w:r>
            <w:r>
              <w:rPr>
                <w:rFonts w:hint="eastAsia" w:ascii="宋体" w:hAnsi="宋体" w:eastAsia="宋体" w:cs="宋体"/>
                <w:color w:val="auto"/>
                <w:spacing w:val="2"/>
                <w:sz w:val="24"/>
                <w:szCs w:val="24"/>
                <w:highlight w:val="none"/>
                <w:lang w:eastAsia="zh-CN"/>
              </w:rPr>
              <w:t>书</w:t>
            </w:r>
            <w:r>
              <w:rPr>
                <w:rFonts w:hint="eastAsia" w:ascii="宋体" w:hAnsi="宋体" w:eastAsia="宋体" w:cs="宋体"/>
                <w:color w:val="auto"/>
                <w:spacing w:val="17"/>
                <w:sz w:val="24"/>
                <w:szCs w:val="24"/>
                <w:highlight w:val="none"/>
                <w:lang w:eastAsia="zh-CN"/>
              </w:rPr>
              <w:t>），</w:t>
            </w:r>
            <w:r>
              <w:rPr>
                <w:rFonts w:hint="eastAsia" w:ascii="宋体" w:hAnsi="宋体" w:eastAsia="宋体" w:cs="宋体"/>
                <w:color w:val="auto"/>
                <w:spacing w:val="2"/>
                <w:sz w:val="24"/>
                <w:szCs w:val="24"/>
                <w:highlight w:val="none"/>
                <w:lang w:eastAsia="zh-CN"/>
              </w:rPr>
              <w:t>投标人提供的《建筑业企业资质证书》上的有关内</w:t>
            </w:r>
            <w:r>
              <w:rPr>
                <w:rFonts w:hint="eastAsia" w:ascii="宋体" w:hAnsi="宋体" w:eastAsia="宋体" w:cs="宋体"/>
                <w:color w:val="auto"/>
                <w:spacing w:val="13"/>
                <w:sz w:val="24"/>
                <w:szCs w:val="24"/>
                <w:highlight w:val="none"/>
                <w:lang w:eastAsia="zh-CN"/>
              </w:rPr>
              <w:t>容真实性均以全国建筑市场监管公共服务平台（查询网</w:t>
            </w:r>
            <w:r>
              <w:rPr>
                <w:rFonts w:hint="eastAsia" w:ascii="宋体" w:hAnsi="宋体" w:eastAsia="宋体" w:cs="宋体"/>
                <w:color w:val="auto"/>
                <w:spacing w:val="12"/>
                <w:sz w:val="24"/>
                <w:szCs w:val="24"/>
                <w:highlight w:val="none"/>
                <w:lang w:eastAsia="zh-CN"/>
              </w:rPr>
              <w:t>址：</w:t>
            </w:r>
            <w:r>
              <w:rPr>
                <w:rFonts w:hint="eastAsia" w:ascii="宋体" w:hAnsi="宋体" w:eastAsia="宋体" w:cs="宋体"/>
                <w:color w:val="auto"/>
                <w:sz w:val="24"/>
                <w:szCs w:val="24"/>
                <w:highlight w:val="none"/>
                <w:lang w:eastAsia="zh-CN"/>
              </w:rPr>
              <w:t>http</w:t>
            </w:r>
            <w:r>
              <w:rPr>
                <w:rFonts w:hint="eastAsia" w:ascii="宋体" w:hAnsi="宋体" w:eastAsia="宋体" w:cs="宋体"/>
                <w:color w:val="auto"/>
                <w:spacing w:val="12"/>
                <w:sz w:val="24"/>
                <w:szCs w:val="24"/>
                <w:highlight w:val="none"/>
                <w:lang w:eastAsia="zh-CN"/>
              </w:rPr>
              <w:t>://</w:t>
            </w:r>
            <w:r>
              <w:rPr>
                <w:rFonts w:hint="eastAsia" w:ascii="宋体" w:hAnsi="宋体" w:eastAsia="宋体" w:cs="宋体"/>
                <w:color w:val="auto"/>
                <w:sz w:val="24"/>
                <w:szCs w:val="24"/>
                <w:highlight w:val="none"/>
                <w:lang w:eastAsia="zh-CN"/>
              </w:rPr>
              <w:t>jzsc</w:t>
            </w:r>
            <w:r>
              <w:rPr>
                <w:rFonts w:hint="eastAsia" w:ascii="宋体" w:hAnsi="宋体" w:eastAsia="宋体" w:cs="宋体"/>
                <w:color w:val="auto"/>
                <w:spacing w:val="12"/>
                <w:sz w:val="24"/>
                <w:szCs w:val="24"/>
                <w:highlight w:val="none"/>
                <w:lang w:eastAsia="zh-CN"/>
              </w:rPr>
              <w:t>.</w:t>
            </w:r>
            <w:r>
              <w:rPr>
                <w:rFonts w:hint="eastAsia" w:ascii="宋体" w:hAnsi="宋体" w:eastAsia="宋体" w:cs="宋体"/>
                <w:color w:val="auto"/>
                <w:sz w:val="24"/>
                <w:szCs w:val="24"/>
                <w:highlight w:val="none"/>
                <w:lang w:eastAsia="zh-CN"/>
              </w:rPr>
              <w:t>mohurd</w:t>
            </w:r>
            <w:r>
              <w:rPr>
                <w:rFonts w:hint="eastAsia" w:ascii="宋体" w:hAnsi="宋体" w:eastAsia="宋体" w:cs="宋体"/>
                <w:color w:val="auto"/>
                <w:spacing w:val="12"/>
                <w:sz w:val="24"/>
                <w:szCs w:val="24"/>
                <w:highlight w:val="none"/>
                <w:lang w:eastAsia="zh-CN"/>
              </w:rPr>
              <w:t>.</w:t>
            </w:r>
            <w:r>
              <w:rPr>
                <w:rFonts w:hint="eastAsia" w:ascii="宋体" w:hAnsi="宋体" w:eastAsia="宋体" w:cs="宋体"/>
                <w:color w:val="auto"/>
                <w:sz w:val="24"/>
                <w:szCs w:val="24"/>
                <w:highlight w:val="none"/>
                <w:lang w:eastAsia="zh-CN"/>
              </w:rPr>
              <w:t>gov</w:t>
            </w:r>
            <w:r>
              <w:rPr>
                <w:rFonts w:hint="eastAsia" w:ascii="宋体" w:hAnsi="宋体" w:eastAsia="宋体" w:cs="宋体"/>
                <w:color w:val="auto"/>
                <w:spacing w:val="12"/>
                <w:sz w:val="24"/>
                <w:szCs w:val="24"/>
                <w:highlight w:val="none"/>
                <w:lang w:eastAsia="zh-CN"/>
              </w:rPr>
              <w:t>.</w:t>
            </w:r>
            <w:r>
              <w:rPr>
                <w:rFonts w:hint="eastAsia" w:ascii="宋体" w:hAnsi="宋体" w:eastAsia="宋体" w:cs="宋体"/>
                <w:color w:val="auto"/>
                <w:sz w:val="24"/>
                <w:szCs w:val="24"/>
                <w:highlight w:val="none"/>
                <w:lang w:eastAsia="zh-CN"/>
              </w:rPr>
              <w:t>cn</w:t>
            </w:r>
            <w:r>
              <w:rPr>
                <w:rFonts w:hint="eastAsia" w:ascii="宋体" w:hAnsi="宋体" w:eastAsia="宋体" w:cs="宋体"/>
                <w:color w:val="auto"/>
                <w:spacing w:val="12"/>
                <w:sz w:val="24"/>
                <w:szCs w:val="24"/>
                <w:highlight w:val="none"/>
                <w:lang w:eastAsia="zh-CN"/>
              </w:rPr>
              <w:t xml:space="preserve">/ </w:t>
            </w:r>
            <w:r>
              <w:rPr>
                <w:rFonts w:hint="eastAsia" w:ascii="宋体" w:hAnsi="宋体" w:eastAsia="宋体" w:cs="宋体"/>
                <w:color w:val="auto"/>
                <w:spacing w:val="-27"/>
                <w:sz w:val="24"/>
                <w:szCs w:val="24"/>
                <w:highlight w:val="none"/>
                <w:lang w:eastAsia="zh-CN"/>
              </w:rPr>
              <w:t>）（</w:t>
            </w:r>
            <w:r>
              <w:rPr>
                <w:rFonts w:hint="eastAsia" w:ascii="宋体" w:hAnsi="宋体" w:eastAsia="宋体" w:cs="宋体"/>
                <w:color w:val="auto"/>
                <w:spacing w:val="12"/>
                <w:sz w:val="24"/>
                <w:szCs w:val="24"/>
                <w:highlight w:val="none"/>
                <w:lang w:eastAsia="zh-CN"/>
              </w:rPr>
              <w:t>或省、直辖市相应平</w:t>
            </w:r>
            <w:r>
              <w:rPr>
                <w:rFonts w:hint="eastAsia" w:ascii="宋体" w:hAnsi="宋体" w:eastAsia="宋体" w:cs="宋体"/>
                <w:color w:val="auto"/>
                <w:spacing w:val="-3"/>
                <w:sz w:val="24"/>
                <w:szCs w:val="24"/>
                <w:highlight w:val="none"/>
                <w:lang w:eastAsia="zh-CN"/>
              </w:rPr>
              <w:t>台）中查询结果为准。</w:t>
            </w:r>
          </w:p>
          <w:p w14:paraId="25C09C87">
            <w:pPr>
              <w:spacing w:line="400" w:lineRule="exact"/>
              <w:ind w:firstLine="482" w:firstLineChars="200"/>
              <w:jc w:val="both"/>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③项目负责人的《建造师注册证书》</w:t>
            </w:r>
            <w:r>
              <w:rPr>
                <w:rFonts w:hint="eastAsia" w:ascii="宋体" w:hAnsi="宋体" w:eastAsia="宋体" w:cs="宋体"/>
                <w:b/>
                <w:bCs/>
                <w:color w:val="auto"/>
                <w:sz w:val="24"/>
                <w:szCs w:val="24"/>
                <w:highlight w:val="none"/>
                <w:lang w:eastAsia="zh-CN"/>
              </w:rPr>
              <w:t>、</w:t>
            </w:r>
            <w:r>
              <w:rPr>
                <w:rFonts w:ascii="宋体" w:hAnsi="宋体" w:eastAsia="宋体" w:cs="宋体"/>
                <w:b/>
                <w:bCs/>
                <w:i w:val="0"/>
                <w:iCs w:val="0"/>
                <w:color w:val="auto"/>
                <w:spacing w:val="-3"/>
                <w:sz w:val="25"/>
                <w:szCs w:val="25"/>
                <w:lang w:eastAsia="zh-CN"/>
              </w:rPr>
              <w:t>安全生产考核合格证书</w:t>
            </w:r>
            <w:r>
              <w:rPr>
                <w:rFonts w:hint="eastAsia" w:ascii="宋体" w:hAnsi="宋体" w:eastAsia="宋体" w:cs="宋体"/>
                <w:b/>
                <w:bCs/>
                <w:color w:val="auto"/>
                <w:sz w:val="24"/>
                <w:szCs w:val="24"/>
                <w:highlight w:val="none"/>
              </w:rPr>
              <w:t>。</w:t>
            </w:r>
            <w:r>
              <w:rPr>
                <w:rFonts w:hint="eastAsia" w:ascii="宋体" w:hAnsi="宋体" w:eastAsia="宋体" w:cs="宋体"/>
                <w:color w:val="auto"/>
                <w:sz w:val="24"/>
                <w:szCs w:val="24"/>
                <w:highlight w:val="none"/>
              </w:rPr>
              <w:t>投标人拟派项目负责人的建造师证书须采用电子证书打印件扫描上传。其中一级建造师电子证书须执行住房和城乡建设部的文件（建办市〔2021〕40号）的相关规定。</w:t>
            </w:r>
            <w:r>
              <w:rPr>
                <w:rFonts w:hint="eastAsia" w:ascii="宋体" w:hAnsi="宋体" w:eastAsia="宋体" w:cs="宋体"/>
                <w:b/>
                <w:bCs/>
                <w:color w:val="auto"/>
                <w:sz w:val="24"/>
                <w:szCs w:val="24"/>
                <w:highlight w:val="none"/>
              </w:rPr>
              <w:t>一级建造师电子证书打印后，应在个人签名处手写本人签名，未手写签名或与签名图像笔迹不一致的，该电子证书无效。</w:t>
            </w:r>
          </w:p>
          <w:p w14:paraId="28440D86">
            <w:pPr>
              <w:pStyle w:val="5"/>
              <w:spacing w:line="400" w:lineRule="exact"/>
              <w:ind w:firstLine="358" w:firstLineChars="150"/>
              <w:rPr>
                <w:rFonts w:hint="eastAsia" w:ascii="宋体" w:hAnsi="宋体" w:eastAsia="宋体" w:cs="宋体"/>
                <w:b/>
                <w:bCs/>
                <w:color w:val="auto"/>
                <w:sz w:val="24"/>
                <w:szCs w:val="24"/>
                <w:highlight w:val="none"/>
              </w:rPr>
            </w:pPr>
            <w:r>
              <w:rPr>
                <w:rFonts w:hint="eastAsia" w:ascii="宋体" w:hAnsi="宋体" w:eastAsia="宋体" w:cs="宋体"/>
                <w:b/>
                <w:bCs/>
                <w:color w:val="auto"/>
                <w:spacing w:val="-1"/>
                <w:sz w:val="24"/>
                <w:szCs w:val="24"/>
                <w:highlight w:val="none"/>
              </w:rPr>
              <w:t>项目负责人提供投标截止时间前近</w:t>
            </w:r>
            <w:r>
              <w:rPr>
                <w:rFonts w:hint="eastAsia" w:ascii="宋体" w:hAnsi="宋体" w:eastAsia="宋体" w:cs="宋体"/>
                <w:b/>
                <w:bCs/>
                <w:color w:val="auto"/>
                <w:sz w:val="24"/>
                <w:szCs w:val="24"/>
                <w:highlight w:val="none"/>
              </w:rPr>
              <w:t>3</w:t>
            </w:r>
            <w:r>
              <w:rPr>
                <w:rFonts w:hint="eastAsia" w:ascii="宋体" w:hAnsi="宋体" w:eastAsia="宋体" w:cs="宋体"/>
                <w:b/>
                <w:bCs/>
                <w:color w:val="auto"/>
                <w:spacing w:val="-1"/>
                <w:sz w:val="24"/>
                <w:szCs w:val="24"/>
                <w:highlight w:val="none"/>
              </w:rPr>
              <w:t>个月内任1个月的</w:t>
            </w:r>
            <w:r>
              <w:rPr>
                <w:rFonts w:hint="eastAsia" w:ascii="宋体" w:hAnsi="宋体" w:eastAsia="宋体" w:cs="宋体"/>
                <w:b/>
                <w:bCs/>
                <w:color w:val="auto"/>
                <w:spacing w:val="-8"/>
                <w:sz w:val="24"/>
                <w:szCs w:val="24"/>
                <w:highlight w:val="none"/>
              </w:rPr>
              <w:t>社保缴纳证明</w:t>
            </w:r>
            <w:r>
              <w:rPr>
                <w:rFonts w:hint="eastAsia" w:ascii="宋体" w:hAnsi="宋体" w:eastAsia="宋体" w:cs="宋体"/>
                <w:b/>
                <w:bCs/>
                <w:color w:val="auto"/>
                <w:sz w:val="24"/>
                <w:szCs w:val="24"/>
                <w:highlight w:val="none"/>
              </w:rPr>
              <w:t>（</w:t>
            </w:r>
            <w:r>
              <w:rPr>
                <w:rFonts w:hint="eastAsia" w:ascii="宋体" w:hAnsi="宋体" w:eastAsia="宋体" w:cs="宋体"/>
                <w:b/>
                <w:bCs/>
                <w:color w:val="auto"/>
                <w:spacing w:val="-3"/>
                <w:sz w:val="24"/>
                <w:szCs w:val="24"/>
                <w:highlight w:val="none"/>
              </w:rPr>
              <w:t>提供有效证明材料</w:t>
            </w:r>
            <w:r>
              <w:rPr>
                <w:rFonts w:hint="eastAsia" w:ascii="宋体" w:hAnsi="宋体" w:eastAsia="宋体" w:cs="宋体"/>
                <w:b/>
                <w:bCs/>
                <w:color w:val="auto"/>
                <w:spacing w:val="-73"/>
                <w:sz w:val="24"/>
                <w:szCs w:val="24"/>
                <w:highlight w:val="none"/>
              </w:rPr>
              <w:t>）</w:t>
            </w:r>
            <w:r>
              <w:rPr>
                <w:rFonts w:hint="eastAsia" w:ascii="宋体" w:hAnsi="宋体" w:eastAsia="宋体" w:cs="宋体"/>
                <w:b/>
                <w:bCs/>
                <w:color w:val="auto"/>
                <w:spacing w:val="-10"/>
                <w:sz w:val="24"/>
                <w:szCs w:val="24"/>
                <w:highlight w:val="none"/>
              </w:rPr>
              <w:t>，若项目负责人已退休但仍可执业的，</w:t>
            </w:r>
            <w:r>
              <w:rPr>
                <w:rFonts w:hint="eastAsia" w:ascii="宋体" w:hAnsi="宋体" w:eastAsia="宋体" w:cs="宋体"/>
                <w:b/>
                <w:bCs/>
                <w:color w:val="auto"/>
                <w:sz w:val="24"/>
                <w:szCs w:val="24"/>
                <w:highlight w:val="none"/>
              </w:rPr>
              <w:t>社保缴纳证明可凭社保部门出具的退休证明及聘用合同替代。</w:t>
            </w:r>
          </w:p>
          <w:p w14:paraId="7BC3AC4D">
            <w:pPr>
              <w:pStyle w:val="5"/>
              <w:spacing w:line="400" w:lineRule="exact"/>
              <w:ind w:firstLine="361" w:firstLineChars="15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④</w:t>
            </w:r>
            <w:r>
              <w:rPr>
                <w:rFonts w:hint="eastAsia" w:ascii="宋体" w:hAnsi="宋体" w:eastAsia="宋体" w:cs="宋体"/>
                <w:color w:val="auto"/>
                <w:sz w:val="24"/>
                <w:szCs w:val="24"/>
                <w:highlight w:val="none"/>
              </w:rPr>
              <w:t>提供对应资质在“浙江省建筑市场监管公共服务系统”资质动态核查结果“合格”的证明（</w:t>
            </w:r>
            <w:r>
              <w:rPr>
                <w:rFonts w:hint="eastAsia" w:ascii="宋体" w:hAnsi="宋体" w:eastAsia="宋体" w:cs="宋体"/>
                <w:b/>
                <w:bCs/>
                <w:color w:val="auto"/>
                <w:sz w:val="24"/>
                <w:szCs w:val="24"/>
                <w:highlight w:val="none"/>
              </w:rPr>
              <w:t>核查证明上的打印时间应在开标日所在星期的周一动态核查结果生成后</w:t>
            </w:r>
            <w:r>
              <w:rPr>
                <w:rFonts w:hint="eastAsia" w:ascii="宋体" w:hAnsi="宋体" w:eastAsia="宋体" w:cs="宋体"/>
                <w:color w:val="auto"/>
                <w:sz w:val="24"/>
                <w:szCs w:val="24"/>
                <w:highlight w:val="none"/>
              </w:rPr>
              <w:t>）</w:t>
            </w:r>
          </w:p>
          <w:p w14:paraId="4296F46C">
            <w:pPr>
              <w:pStyle w:val="23"/>
              <w:spacing w:before="30" w:line="229" w:lineRule="auto"/>
              <w:ind w:right="27" w:firstLine="256" w:firstLineChars="100"/>
              <w:rPr>
                <w:color w:val="auto"/>
                <w:sz w:val="24"/>
                <w:szCs w:val="24"/>
                <w:lang w:eastAsia="zh-CN"/>
              </w:rPr>
            </w:pPr>
            <w:r>
              <w:rPr>
                <w:color w:val="auto"/>
                <w:spacing w:val="8"/>
                <w:sz w:val="24"/>
                <w:szCs w:val="24"/>
                <w:lang w:eastAsia="zh-CN"/>
              </w:rPr>
              <w:t>（</w:t>
            </w:r>
            <w:r>
              <w:rPr>
                <w:rFonts w:ascii="Times New Roman" w:hAnsi="Times New Roman" w:eastAsia="Times New Roman" w:cs="Times New Roman"/>
                <w:color w:val="auto"/>
                <w:spacing w:val="8"/>
                <w:sz w:val="24"/>
                <w:szCs w:val="24"/>
                <w:lang w:eastAsia="zh-CN"/>
              </w:rPr>
              <w:t>9</w:t>
            </w:r>
            <w:r>
              <w:rPr>
                <w:color w:val="auto"/>
                <w:spacing w:val="8"/>
                <w:sz w:val="24"/>
                <w:szCs w:val="24"/>
                <w:lang w:eastAsia="zh-CN"/>
              </w:rPr>
              <w:t>）法定代表人授权委托书（投标文件格式八）或</w:t>
            </w:r>
            <w:r>
              <w:rPr>
                <w:color w:val="auto"/>
                <w:spacing w:val="-1"/>
                <w:sz w:val="24"/>
                <w:szCs w:val="24"/>
                <w:lang w:eastAsia="zh-CN"/>
              </w:rPr>
              <w:t>法定代表人身份证明（投标文件格式十</w:t>
            </w:r>
            <w:r>
              <w:rPr>
                <w:rFonts w:hint="eastAsia"/>
                <w:color w:val="auto"/>
                <w:spacing w:val="-1"/>
                <w:sz w:val="24"/>
                <w:szCs w:val="24"/>
                <w:lang w:val="en-US" w:eastAsia="zh-CN"/>
              </w:rPr>
              <w:t>二</w:t>
            </w:r>
            <w:r>
              <w:rPr>
                <w:color w:val="auto"/>
                <w:spacing w:val="-1"/>
                <w:sz w:val="24"/>
                <w:szCs w:val="24"/>
                <w:lang w:eastAsia="zh-CN"/>
              </w:rPr>
              <w:t>）。</w:t>
            </w:r>
          </w:p>
          <w:p w14:paraId="4AA68B88">
            <w:pPr>
              <w:pStyle w:val="23"/>
              <w:spacing w:before="27" w:line="233" w:lineRule="auto"/>
              <w:ind w:right="121" w:firstLine="234" w:firstLineChars="100"/>
              <w:rPr>
                <w:rFonts w:hint="default"/>
                <w:color w:val="auto"/>
                <w:spacing w:val="-3"/>
                <w:sz w:val="24"/>
                <w:szCs w:val="24"/>
                <w:lang w:val="en-US" w:eastAsia="zh-CN"/>
              </w:rPr>
            </w:pPr>
            <w:r>
              <w:rPr>
                <w:color w:val="auto"/>
                <w:spacing w:val="-3"/>
                <w:sz w:val="24"/>
                <w:szCs w:val="24"/>
                <w:lang w:eastAsia="zh-CN"/>
              </w:rPr>
              <w:t>（</w:t>
            </w:r>
            <w:r>
              <w:rPr>
                <w:rFonts w:ascii="Times New Roman" w:hAnsi="Times New Roman" w:eastAsia="Times New Roman" w:cs="Times New Roman"/>
                <w:color w:val="auto"/>
                <w:spacing w:val="-3"/>
                <w:sz w:val="24"/>
                <w:szCs w:val="24"/>
                <w:lang w:eastAsia="zh-CN"/>
              </w:rPr>
              <w:t>10</w:t>
            </w:r>
            <w:r>
              <w:rPr>
                <w:color w:val="auto"/>
                <w:spacing w:val="-3"/>
                <w:sz w:val="24"/>
                <w:szCs w:val="24"/>
                <w:lang w:eastAsia="zh-CN"/>
              </w:rPr>
              <w:t>）</w:t>
            </w:r>
            <w:r>
              <w:rPr>
                <w:rFonts w:hint="eastAsia" w:ascii="宋体" w:hAnsi="宋体" w:eastAsia="宋体" w:cs="宋体"/>
                <w:color w:val="auto"/>
                <w:sz w:val="24"/>
                <w:szCs w:val="24"/>
                <w:lang w:val="en-US" w:eastAsia="zh-CN" w:bidi="ar-SA"/>
              </w:rPr>
              <w:t>投标保证金：提供相关凭证(以现金形式缴纳的提供银行转帐回单；以工程保函形式递交的，提供相关保函保单凭证)；</w:t>
            </w:r>
          </w:p>
          <w:p w14:paraId="06BD06C5">
            <w:pPr>
              <w:pStyle w:val="23"/>
              <w:spacing w:before="148" w:line="218" w:lineRule="auto"/>
              <w:ind w:firstLine="236" w:firstLineChars="100"/>
              <w:rPr>
                <w:color w:val="auto"/>
                <w:sz w:val="24"/>
                <w:szCs w:val="24"/>
                <w:lang w:eastAsia="zh-CN"/>
              </w:rPr>
            </w:pPr>
            <w:r>
              <w:rPr>
                <w:color w:val="auto"/>
                <w:spacing w:val="-2"/>
                <w:sz w:val="24"/>
                <w:szCs w:val="24"/>
                <w:lang w:eastAsia="zh-CN"/>
              </w:rPr>
              <w:t>（</w:t>
            </w:r>
            <w:r>
              <w:rPr>
                <w:rFonts w:ascii="Times New Roman" w:hAnsi="Times New Roman" w:eastAsia="Times New Roman" w:cs="Times New Roman"/>
                <w:color w:val="auto"/>
                <w:spacing w:val="-2"/>
                <w:sz w:val="24"/>
                <w:szCs w:val="24"/>
                <w:lang w:eastAsia="zh-CN"/>
              </w:rPr>
              <w:t>1</w:t>
            </w:r>
            <w:r>
              <w:rPr>
                <w:rFonts w:hint="eastAsia" w:ascii="Times New Roman" w:hAnsi="Times New Roman" w:eastAsia="Times New Roman" w:cs="Times New Roman"/>
                <w:color w:val="auto"/>
                <w:spacing w:val="-2"/>
                <w:sz w:val="24"/>
                <w:szCs w:val="24"/>
                <w:lang w:val="en-US" w:eastAsia="zh-CN"/>
              </w:rPr>
              <w:t>1</w:t>
            </w:r>
            <w:r>
              <w:rPr>
                <w:color w:val="auto"/>
                <w:spacing w:val="-2"/>
                <w:sz w:val="24"/>
                <w:szCs w:val="24"/>
                <w:lang w:eastAsia="zh-CN"/>
              </w:rPr>
              <w:t>）其他证明材料（如有）。</w:t>
            </w:r>
          </w:p>
          <w:p w14:paraId="572C30BB">
            <w:pPr>
              <w:pStyle w:val="5"/>
              <w:numPr>
                <w:ilvl w:val="0"/>
                <w:numId w:val="0"/>
              </w:numPr>
              <w:spacing w:line="440" w:lineRule="exact"/>
              <w:ind w:left="425" w:leftChars="0" w:hanging="425" w:firstLineChars="0"/>
              <w:rPr>
                <w:color w:val="auto"/>
                <w:spacing w:val="-1"/>
                <w:sz w:val="24"/>
                <w:szCs w:val="24"/>
                <w:lang w:eastAsia="zh-CN"/>
              </w:rPr>
            </w:pPr>
            <w:r>
              <w:rPr>
                <w:color w:val="auto"/>
                <w:spacing w:val="7"/>
                <w:sz w:val="24"/>
                <w:szCs w:val="24"/>
                <w:lang w:eastAsia="zh-CN"/>
              </w:rPr>
              <w:t>备注</w:t>
            </w:r>
            <w:r>
              <w:rPr>
                <w:color w:val="auto"/>
                <w:spacing w:val="-1"/>
                <w:sz w:val="24"/>
                <w:szCs w:val="24"/>
                <w:lang w:eastAsia="zh-CN"/>
              </w:rPr>
              <w:t>：</w:t>
            </w:r>
          </w:p>
          <w:p w14:paraId="6A25136F">
            <w:pPr>
              <w:pStyle w:val="5"/>
              <w:numPr>
                <w:ilvl w:val="0"/>
                <w:numId w:val="0"/>
              </w:numPr>
              <w:spacing w:line="440" w:lineRule="exact"/>
              <w:ind w:left="425" w:leftChars="0" w:hanging="425" w:firstLineChars="0"/>
              <w:rPr>
                <w:rFonts w:ascii="宋体" w:hAnsi="宋体" w:cs="宋体"/>
                <w:b/>
                <w:bCs/>
                <w:color w:val="auto"/>
                <w:sz w:val="24"/>
                <w:szCs w:val="24"/>
                <w:highlight w:val="none"/>
              </w:rPr>
            </w:pPr>
            <w:r>
              <w:rPr>
                <w:rFonts w:hint="default" w:ascii="宋体" w:hAnsi="宋体" w:eastAsia="宋体" w:cs="宋体"/>
                <w:b/>
                <w:bCs/>
                <w:color w:val="auto"/>
                <w:sz w:val="24"/>
                <w:szCs w:val="24"/>
                <w:lang w:val="en-US" w:eastAsia="zh-CN" w:bidi="ar-SA"/>
              </w:rPr>
              <w:t>(1)</w:t>
            </w:r>
            <w:r>
              <w:rPr>
                <w:rFonts w:hint="eastAsia" w:ascii="宋体" w:hAnsi="宋体" w:cs="宋体"/>
                <w:snapToGrid w:val="0"/>
                <w:color w:val="auto"/>
                <w:sz w:val="24"/>
                <w:szCs w:val="24"/>
                <w:highlight w:val="none"/>
              </w:rPr>
              <w:t>以上资格标内容均需在</w:t>
            </w:r>
            <w:r>
              <w:rPr>
                <w:rFonts w:hint="eastAsia" w:ascii="宋体" w:hAnsi="宋体" w:cs="宋体"/>
                <w:color w:val="auto"/>
                <w:sz w:val="24"/>
                <w:szCs w:val="24"/>
                <w:highlight w:val="none"/>
                <w:lang w:eastAsia="zh-CN"/>
              </w:rPr>
              <w:t>三门工程投标工具4.5.0.</w:t>
            </w:r>
            <w:r>
              <w:rPr>
                <w:rFonts w:hint="eastAsia" w:ascii="宋体" w:hAnsi="宋体" w:cs="宋体"/>
                <w:color w:val="auto"/>
                <w:sz w:val="24"/>
                <w:szCs w:val="24"/>
                <w:highlight w:val="none"/>
                <w:lang w:val="en-US" w:eastAsia="zh-CN"/>
              </w:rPr>
              <w:t>7</w:t>
            </w:r>
            <w:r>
              <w:rPr>
                <w:rFonts w:hint="eastAsia" w:ascii="宋体" w:hAnsi="宋体" w:cs="宋体"/>
                <w:color w:val="auto"/>
                <w:sz w:val="24"/>
                <w:szCs w:val="24"/>
                <w:highlight w:val="none"/>
              </w:rPr>
              <w:t>版本</w:t>
            </w:r>
            <w:r>
              <w:rPr>
                <w:rFonts w:hint="eastAsia" w:ascii="宋体" w:hAnsi="宋体" w:cs="宋体"/>
                <w:snapToGrid w:val="0"/>
                <w:color w:val="auto"/>
                <w:sz w:val="24"/>
                <w:szCs w:val="24"/>
                <w:highlight w:val="none"/>
              </w:rPr>
              <w:t>中的资格标对应处自行添加后自动生成，添加的内容须为清晰的电子文档</w:t>
            </w:r>
            <w:r>
              <w:rPr>
                <w:rFonts w:hint="eastAsia" w:ascii="宋体" w:hAnsi="宋体" w:cs="宋体"/>
                <w:bCs/>
                <w:color w:val="auto"/>
                <w:sz w:val="24"/>
                <w:szCs w:val="24"/>
                <w:highlight w:val="none"/>
              </w:rPr>
              <w:t>。</w:t>
            </w:r>
          </w:p>
          <w:p w14:paraId="1C63E149">
            <w:pPr>
              <w:pStyle w:val="5"/>
              <w:numPr>
                <w:ilvl w:val="0"/>
                <w:numId w:val="0"/>
              </w:numPr>
              <w:spacing w:line="440" w:lineRule="exact"/>
              <w:ind w:left="425" w:leftChars="0" w:hanging="425" w:firstLineChars="0"/>
              <w:jc w:val="both"/>
              <w:rPr>
                <w:rFonts w:ascii="宋体" w:hAnsi="宋体" w:cs="宋体"/>
                <w:b/>
                <w:bCs/>
                <w:snapToGrid w:val="0"/>
                <w:color w:val="auto"/>
                <w:sz w:val="24"/>
                <w:szCs w:val="24"/>
                <w:highlight w:val="none"/>
              </w:rPr>
            </w:pPr>
            <w:r>
              <w:rPr>
                <w:rFonts w:hint="default" w:ascii="宋体" w:hAnsi="宋体" w:eastAsia="宋体" w:cs="宋体"/>
                <w:b/>
                <w:bCs/>
                <w:snapToGrid w:val="0"/>
                <w:color w:val="auto"/>
                <w:sz w:val="24"/>
                <w:szCs w:val="24"/>
                <w:lang w:val="en-US" w:eastAsia="zh-CN" w:bidi="ar-SA"/>
              </w:rPr>
              <w:t>(2)</w:t>
            </w:r>
            <w:r>
              <w:rPr>
                <w:rFonts w:hint="eastAsia" w:ascii="宋体" w:hAnsi="宋体" w:cs="宋体"/>
                <w:b/>
                <w:bCs/>
                <w:snapToGrid w:val="0"/>
                <w:color w:val="auto"/>
                <w:sz w:val="24"/>
                <w:szCs w:val="24"/>
                <w:highlight w:val="none"/>
              </w:rPr>
              <w:t>企业资质证书及项目负责人建造师注册证书未能在</w:t>
            </w:r>
            <w:r>
              <w:rPr>
                <w:rFonts w:hint="eastAsia" w:ascii="宋体" w:hAnsi="宋体" w:cs="宋体"/>
                <w:b/>
                <w:bCs/>
                <w:color w:val="auto"/>
                <w:sz w:val="24"/>
                <w:szCs w:val="24"/>
                <w:highlight w:val="none"/>
              </w:rPr>
              <w:t>全国建筑市场监管公共服务平台和省、直辖市相应平台查询到的作无效标处理。</w:t>
            </w:r>
          </w:p>
          <w:p w14:paraId="2667F4DB">
            <w:pPr>
              <w:pStyle w:val="23"/>
              <w:spacing w:before="33" w:line="219" w:lineRule="auto"/>
              <w:rPr>
                <w:b/>
                <w:bCs/>
                <w:color w:val="auto"/>
                <w:sz w:val="24"/>
                <w:szCs w:val="24"/>
                <w:lang w:eastAsia="zh-CN"/>
              </w:rPr>
            </w:pPr>
            <w:r>
              <w:rPr>
                <w:rFonts w:ascii="Times New Roman" w:hAnsi="Times New Roman" w:eastAsia="Times New Roman" w:cs="Times New Roman"/>
                <w:b/>
                <w:bCs/>
                <w:color w:val="auto"/>
                <w:spacing w:val="-7"/>
                <w:sz w:val="24"/>
                <w:szCs w:val="24"/>
                <w:lang w:eastAsia="zh-CN"/>
              </w:rPr>
              <w:t>2</w:t>
            </w:r>
            <w:r>
              <w:rPr>
                <w:b/>
                <w:bCs/>
                <w:color w:val="auto"/>
                <w:spacing w:val="-7"/>
                <w:sz w:val="24"/>
                <w:szCs w:val="24"/>
                <w:lang w:eastAsia="zh-CN"/>
              </w:rPr>
              <w:t>、资信标</w:t>
            </w:r>
          </w:p>
          <w:p w14:paraId="7EFAFA6D">
            <w:pPr>
              <w:pStyle w:val="5"/>
              <w:numPr>
                <w:ilvl w:val="0"/>
                <w:numId w:val="0"/>
              </w:numPr>
              <w:spacing w:line="440" w:lineRule="exact"/>
              <w:ind w:left="425" w:leftChars="0" w:hanging="425" w:firstLineChars="0"/>
              <w:jc w:val="both"/>
              <w:rPr>
                <w:rFonts w:ascii="宋体" w:hAnsi="宋体" w:cs="宋体"/>
                <w:bCs/>
                <w:color w:val="auto"/>
                <w:sz w:val="24"/>
                <w:szCs w:val="24"/>
                <w:highlight w:val="none"/>
              </w:rPr>
            </w:pPr>
            <w:r>
              <w:rPr>
                <w:rFonts w:hint="default" w:ascii="宋体" w:hAnsi="宋体" w:eastAsia="宋体" w:cs="宋体"/>
                <w:bCs/>
                <w:color w:val="auto"/>
                <w:sz w:val="24"/>
                <w:szCs w:val="24"/>
                <w:lang w:val="en-US" w:eastAsia="zh-CN" w:bidi="ar-SA"/>
              </w:rPr>
              <w:t>(1)</w:t>
            </w:r>
            <w:r>
              <w:rPr>
                <w:rFonts w:hint="eastAsia" w:ascii="宋体" w:hAnsi="宋体" w:cs="宋体"/>
                <w:bCs/>
                <w:color w:val="auto"/>
                <w:sz w:val="24"/>
                <w:szCs w:val="24"/>
                <w:highlight w:val="none"/>
              </w:rPr>
              <w:t>投标人根据招标文件评标办法内容在</w:t>
            </w:r>
            <w:r>
              <w:rPr>
                <w:rFonts w:hint="eastAsia" w:ascii="宋体" w:hAnsi="宋体" w:cs="宋体"/>
                <w:bCs/>
                <w:color w:val="auto"/>
                <w:sz w:val="24"/>
                <w:szCs w:val="24"/>
                <w:highlight w:val="none"/>
                <w:lang w:eastAsia="zh-CN"/>
              </w:rPr>
              <w:t>三门工程投标工具4.5.0.</w:t>
            </w:r>
            <w:r>
              <w:rPr>
                <w:rFonts w:hint="eastAsia" w:ascii="宋体" w:hAnsi="宋体" w:cs="宋体"/>
                <w:bCs/>
                <w:color w:val="auto"/>
                <w:sz w:val="24"/>
                <w:szCs w:val="24"/>
                <w:highlight w:val="none"/>
                <w:lang w:val="en-US" w:eastAsia="zh-CN"/>
              </w:rPr>
              <w:t>7</w:t>
            </w:r>
            <w:r>
              <w:rPr>
                <w:rFonts w:hint="eastAsia" w:ascii="宋体" w:hAnsi="宋体" w:cs="宋体"/>
                <w:bCs/>
                <w:color w:val="auto"/>
                <w:sz w:val="24"/>
                <w:szCs w:val="24"/>
                <w:highlight w:val="none"/>
              </w:rPr>
              <w:t>版本中资信标相对应处自行添加后自动生成。</w:t>
            </w:r>
          </w:p>
          <w:p w14:paraId="20C3642C">
            <w:pPr>
              <w:pStyle w:val="5"/>
              <w:numPr>
                <w:ilvl w:val="0"/>
                <w:numId w:val="0"/>
              </w:numPr>
              <w:spacing w:line="440" w:lineRule="exact"/>
              <w:ind w:left="425" w:leftChars="0" w:hanging="425" w:firstLineChars="0"/>
              <w:jc w:val="both"/>
              <w:rPr>
                <w:rFonts w:ascii="宋体" w:hAnsi="宋体" w:cs="宋体"/>
                <w:b/>
                <w:color w:val="auto"/>
                <w:sz w:val="24"/>
                <w:szCs w:val="24"/>
                <w:highlight w:val="none"/>
              </w:rPr>
            </w:pPr>
            <w:r>
              <w:rPr>
                <w:rFonts w:hint="default" w:ascii="宋体" w:hAnsi="宋体" w:eastAsia="宋体" w:cs="宋体"/>
                <w:b/>
                <w:color w:val="auto"/>
                <w:sz w:val="24"/>
                <w:szCs w:val="24"/>
                <w:lang w:val="en-US" w:eastAsia="zh-CN" w:bidi="ar-SA"/>
              </w:rPr>
              <w:t>(2)</w:t>
            </w:r>
            <w:r>
              <w:rPr>
                <w:rFonts w:hint="eastAsia" w:ascii="宋体" w:hAnsi="宋体" w:cs="宋体"/>
                <w:bCs/>
                <w:color w:val="auto"/>
                <w:sz w:val="24"/>
                <w:szCs w:val="24"/>
                <w:highlight w:val="none"/>
              </w:rPr>
              <w:t>建设工程投标人及项目负责人资信分自查表（投标文件格式六）。投标人、项目负责人有信用等级得分的，投标文件中提供</w:t>
            </w:r>
            <w:r>
              <w:rPr>
                <w:rFonts w:hint="eastAsia" w:ascii="宋体" w:hAnsi="宋体" w:cs="宋体"/>
                <w:b/>
                <w:color w:val="auto"/>
                <w:sz w:val="24"/>
                <w:szCs w:val="24"/>
                <w:highlight w:val="none"/>
              </w:rPr>
              <w:t>信用等级网页查询截图</w:t>
            </w:r>
            <w:r>
              <w:rPr>
                <w:rFonts w:hint="eastAsia" w:ascii="宋体" w:hAnsi="宋体" w:cs="宋体"/>
                <w:bCs/>
                <w:color w:val="auto"/>
                <w:sz w:val="24"/>
                <w:szCs w:val="24"/>
                <w:highlight w:val="none"/>
              </w:rPr>
              <w:t>。</w:t>
            </w:r>
          </w:p>
          <w:p w14:paraId="1A684BBA">
            <w:pPr>
              <w:pStyle w:val="5"/>
              <w:numPr>
                <w:ilvl w:val="0"/>
                <w:numId w:val="0"/>
              </w:numPr>
              <w:spacing w:line="440" w:lineRule="exact"/>
              <w:ind w:left="425" w:leftChars="0" w:hanging="425" w:firstLineChars="0"/>
              <w:jc w:val="both"/>
              <w:rPr>
                <w:rFonts w:ascii="宋体" w:hAnsi="宋体" w:cs="宋体"/>
                <w:b/>
                <w:color w:val="auto"/>
                <w:sz w:val="24"/>
                <w:szCs w:val="24"/>
                <w:highlight w:val="none"/>
              </w:rPr>
            </w:pPr>
            <w:r>
              <w:rPr>
                <w:rFonts w:hint="default" w:ascii="宋体" w:hAnsi="宋体" w:eastAsia="宋体" w:cs="宋体"/>
                <w:b/>
                <w:color w:val="auto"/>
                <w:sz w:val="24"/>
                <w:szCs w:val="24"/>
                <w:lang w:val="en-US" w:eastAsia="zh-CN" w:bidi="ar-SA"/>
              </w:rPr>
              <w:t>(3)</w:t>
            </w:r>
            <w:r>
              <w:rPr>
                <w:rFonts w:hint="eastAsia"/>
                <w:b/>
                <w:snapToGrid w:val="0"/>
                <w:color w:val="auto"/>
                <w:sz w:val="24"/>
                <w:szCs w:val="24"/>
                <w:highlight w:val="none"/>
                <w:lang w:eastAsia="zh-CN"/>
              </w:rPr>
              <w:t>《企业营业执照》。</w:t>
            </w:r>
          </w:p>
          <w:p w14:paraId="57586597">
            <w:pPr>
              <w:pStyle w:val="23"/>
              <w:spacing w:before="27" w:line="219" w:lineRule="auto"/>
              <w:ind w:left="34"/>
              <w:rPr>
                <w:b/>
                <w:bCs/>
                <w:color w:val="auto"/>
                <w:sz w:val="24"/>
                <w:szCs w:val="24"/>
                <w:lang w:eastAsia="zh-CN"/>
              </w:rPr>
            </w:pPr>
            <w:r>
              <w:rPr>
                <w:rFonts w:ascii="Times New Roman" w:hAnsi="Times New Roman" w:eastAsia="Times New Roman" w:cs="Times New Roman"/>
                <w:b/>
                <w:bCs/>
                <w:color w:val="auto"/>
                <w:spacing w:val="-8"/>
                <w:sz w:val="24"/>
                <w:szCs w:val="24"/>
                <w:lang w:eastAsia="zh-CN"/>
              </w:rPr>
              <w:t>3</w:t>
            </w:r>
            <w:r>
              <w:rPr>
                <w:b/>
                <w:bCs/>
                <w:color w:val="auto"/>
                <w:spacing w:val="-8"/>
                <w:sz w:val="24"/>
                <w:szCs w:val="24"/>
                <w:lang w:eastAsia="zh-CN"/>
              </w:rPr>
              <w:t>、商务标</w:t>
            </w:r>
          </w:p>
          <w:p w14:paraId="752EB2E4">
            <w:pPr>
              <w:pStyle w:val="5"/>
              <w:keepNext w:val="0"/>
              <w:keepLines w:val="0"/>
              <w:pageBreakBefore w:val="0"/>
              <w:wordWrap/>
              <w:topLinePunct w:val="0"/>
              <w:bidi w:val="0"/>
              <w:snapToGrid/>
              <w:spacing w:line="440" w:lineRule="exact"/>
              <w:ind w:firstLine="0" w:firstLineChars="0"/>
              <w:jc w:val="both"/>
              <w:rPr>
                <w:rFonts w:hint="eastAsia" w:ascii="宋体" w:hAnsi="宋体" w:eastAsia="宋体" w:cs="宋体"/>
                <w:color w:val="auto"/>
                <w:sz w:val="24"/>
                <w:szCs w:val="24"/>
              </w:rPr>
            </w:pPr>
            <w:r>
              <w:rPr>
                <w:rFonts w:hint="eastAsia" w:ascii="宋体" w:hAnsi="宋体" w:eastAsia="宋体" w:cs="宋体"/>
                <w:color w:val="auto"/>
                <w:sz w:val="24"/>
                <w:szCs w:val="24"/>
              </w:rPr>
              <w:t>由</w:t>
            </w:r>
            <w:r>
              <w:rPr>
                <w:rFonts w:hint="eastAsia" w:ascii="宋体" w:hAnsi="宋体" w:eastAsia="宋体" w:cs="宋体"/>
                <w:b w:val="0"/>
                <w:bCs w:val="0"/>
                <w:color w:val="auto"/>
                <w:sz w:val="24"/>
                <w:szCs w:val="24"/>
              </w:rPr>
              <w:t>三门施工投标工具4.5.0.</w:t>
            </w:r>
            <w:r>
              <w:rPr>
                <w:rFonts w:hint="eastAsia" w:ascii="宋体" w:hAnsi="宋体" w:eastAsia="宋体" w:cs="宋体"/>
                <w:b w:val="0"/>
                <w:bCs w:val="0"/>
                <w:color w:val="auto"/>
                <w:sz w:val="24"/>
                <w:szCs w:val="24"/>
                <w:lang w:val="en-US" w:eastAsia="zh-CN"/>
              </w:rPr>
              <w:t>7</w:t>
            </w:r>
            <w:r>
              <w:rPr>
                <w:rFonts w:hint="eastAsia" w:ascii="宋体" w:hAnsi="宋体" w:eastAsia="宋体" w:cs="宋体"/>
                <w:b w:val="0"/>
                <w:bCs w:val="0"/>
                <w:color w:val="auto"/>
                <w:sz w:val="24"/>
                <w:szCs w:val="24"/>
              </w:rPr>
              <w:t>版本</w:t>
            </w:r>
            <w:r>
              <w:rPr>
                <w:rFonts w:hint="eastAsia" w:ascii="宋体" w:hAnsi="宋体" w:eastAsia="宋体" w:cs="宋体"/>
                <w:color w:val="auto"/>
                <w:sz w:val="24"/>
                <w:szCs w:val="24"/>
              </w:rPr>
              <w:t>生成的</w:t>
            </w:r>
            <w:r>
              <w:rPr>
                <w:rFonts w:hint="eastAsia" w:ascii="宋体" w:hAnsi="宋体" w:cs="宋体"/>
                <w:color w:val="auto"/>
                <w:sz w:val="24"/>
                <w:szCs w:val="24"/>
                <w:lang w:val="en-US" w:eastAsia="zh-CN"/>
              </w:rPr>
              <w:t>商务</w:t>
            </w:r>
            <w:r>
              <w:rPr>
                <w:rFonts w:hint="eastAsia" w:ascii="宋体" w:hAnsi="宋体" w:eastAsia="宋体" w:cs="宋体"/>
                <w:color w:val="auto"/>
                <w:sz w:val="24"/>
                <w:szCs w:val="24"/>
              </w:rPr>
              <w:t>标电子投标文件包括：</w:t>
            </w:r>
          </w:p>
          <w:p w14:paraId="5CD74A77">
            <w:pPr>
              <w:pStyle w:val="5"/>
              <w:spacing w:line="440" w:lineRule="exact"/>
              <w:ind w:firstLine="0" w:firstLineChars="0"/>
              <w:jc w:val="both"/>
              <w:rPr>
                <w:rFonts w:ascii="宋体" w:hAnsi="宋体" w:cs="宋体"/>
                <w:color w:val="auto"/>
                <w:sz w:val="24"/>
                <w:szCs w:val="24"/>
                <w:highlight w:val="none"/>
              </w:rPr>
            </w:pPr>
            <w:r>
              <w:rPr>
                <w:rFonts w:hint="eastAsia" w:ascii="宋体" w:hAnsi="宋体" w:cs="宋体"/>
                <w:color w:val="auto"/>
                <w:sz w:val="24"/>
                <w:szCs w:val="24"/>
                <w:highlight w:val="none"/>
              </w:rPr>
              <w:t>（1）商务标第一项以空白word导入</w:t>
            </w:r>
          </w:p>
          <w:p w14:paraId="5C2E14D9">
            <w:pPr>
              <w:pStyle w:val="5"/>
              <w:spacing w:line="440" w:lineRule="exact"/>
              <w:ind w:firstLine="0" w:firstLineChars="0"/>
              <w:jc w:val="both"/>
              <w:rPr>
                <w:rFonts w:ascii="宋体" w:hAnsi="宋体" w:cs="宋体"/>
                <w:color w:val="auto"/>
                <w:sz w:val="24"/>
                <w:szCs w:val="24"/>
                <w:highlight w:val="none"/>
              </w:rPr>
            </w:pPr>
            <w:r>
              <w:rPr>
                <w:rFonts w:hint="eastAsia" w:ascii="宋体" w:hAnsi="宋体" w:cs="宋体"/>
                <w:color w:val="auto"/>
                <w:sz w:val="24"/>
                <w:szCs w:val="24"/>
                <w:highlight w:val="none"/>
              </w:rPr>
              <w:t>（2）投标编制说明</w:t>
            </w:r>
          </w:p>
          <w:p w14:paraId="25442186">
            <w:pPr>
              <w:pStyle w:val="5"/>
              <w:spacing w:line="440" w:lineRule="exact"/>
              <w:ind w:firstLine="0" w:firstLineChars="0"/>
              <w:jc w:val="both"/>
              <w:rPr>
                <w:rFonts w:ascii="宋体" w:hAnsi="宋体" w:cs="宋体"/>
                <w:color w:val="auto"/>
                <w:sz w:val="24"/>
                <w:szCs w:val="24"/>
                <w:highlight w:val="none"/>
              </w:rPr>
            </w:pPr>
            <w:r>
              <w:rPr>
                <w:rFonts w:hint="eastAsia" w:ascii="宋体" w:hAnsi="宋体" w:cs="宋体"/>
                <w:color w:val="auto"/>
                <w:sz w:val="24"/>
                <w:szCs w:val="24"/>
                <w:highlight w:val="none"/>
              </w:rPr>
              <w:t>（3）投标函</w:t>
            </w:r>
          </w:p>
          <w:p w14:paraId="6BB3710D">
            <w:pPr>
              <w:pStyle w:val="23"/>
              <w:spacing w:line="227" w:lineRule="auto"/>
              <w:ind w:left="36" w:right="27" w:hanging="3"/>
              <w:rPr>
                <w:color w:val="auto"/>
                <w:sz w:val="24"/>
                <w:szCs w:val="24"/>
                <w:lang w:eastAsia="zh-CN"/>
              </w:rPr>
            </w:pPr>
            <w:r>
              <w:rPr>
                <w:rFonts w:hint="eastAsia" w:ascii="宋体" w:hAnsi="宋体" w:cs="宋体"/>
                <w:color w:val="auto"/>
                <w:sz w:val="24"/>
                <w:szCs w:val="24"/>
                <w:highlight w:val="none"/>
              </w:rPr>
              <w:t>（4）已标价工程量清单</w:t>
            </w:r>
          </w:p>
        </w:tc>
      </w:tr>
      <w:tr w14:paraId="5E38F7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0" w:hRule="atLeast"/>
        </w:trPr>
        <w:tc>
          <w:tcPr>
            <w:tcW w:w="1080" w:type="dxa"/>
          </w:tcPr>
          <w:p w14:paraId="5D25E3FC">
            <w:pPr>
              <w:spacing w:line="261" w:lineRule="auto"/>
              <w:rPr>
                <w:color w:val="auto"/>
                <w:lang w:eastAsia="zh-CN"/>
              </w:rPr>
            </w:pPr>
          </w:p>
          <w:p w14:paraId="6C0709B4">
            <w:pPr>
              <w:spacing w:before="69" w:line="188" w:lineRule="auto"/>
              <w:ind w:left="238"/>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3"/>
                <w:sz w:val="24"/>
                <w:szCs w:val="24"/>
              </w:rPr>
              <w:t>3.2.1</w:t>
            </w:r>
          </w:p>
        </w:tc>
        <w:tc>
          <w:tcPr>
            <w:tcW w:w="1305" w:type="dxa"/>
          </w:tcPr>
          <w:p w14:paraId="2DCE5E22">
            <w:pPr>
              <w:pStyle w:val="23"/>
              <w:spacing w:before="136" w:line="228" w:lineRule="auto"/>
              <w:ind w:right="44"/>
              <w:rPr>
                <w:color w:val="auto"/>
                <w:sz w:val="24"/>
                <w:szCs w:val="24"/>
                <w:lang w:eastAsia="zh-CN"/>
              </w:rPr>
            </w:pPr>
            <w:r>
              <w:rPr>
                <w:color w:val="auto"/>
                <w:spacing w:val="-2"/>
                <w:sz w:val="24"/>
                <w:szCs w:val="24"/>
                <w:lang w:eastAsia="zh-CN"/>
              </w:rPr>
              <w:t>增值税税金的计</w:t>
            </w:r>
            <w:r>
              <w:rPr>
                <w:color w:val="auto"/>
                <w:spacing w:val="-4"/>
                <w:sz w:val="24"/>
                <w:szCs w:val="24"/>
                <w:lang w:eastAsia="zh-CN"/>
              </w:rPr>
              <w:t>算方法</w:t>
            </w:r>
          </w:p>
        </w:tc>
        <w:tc>
          <w:tcPr>
            <w:tcW w:w="7229" w:type="dxa"/>
          </w:tcPr>
          <w:p w14:paraId="334D2A97">
            <w:pPr>
              <w:pStyle w:val="23"/>
              <w:spacing w:before="135" w:line="219" w:lineRule="auto"/>
              <w:ind w:left="58"/>
              <w:rPr>
                <w:color w:val="auto"/>
                <w:sz w:val="24"/>
                <w:szCs w:val="24"/>
                <w:lang w:eastAsia="zh-CN"/>
              </w:rPr>
            </w:pPr>
            <w:r>
              <w:rPr>
                <w:rFonts w:hint="eastAsia"/>
                <w:color w:val="auto"/>
                <w:spacing w:val="-6"/>
                <w:sz w:val="24"/>
                <w:szCs w:val="24"/>
                <w:lang w:eastAsia="zh-CN"/>
              </w:rPr>
              <w:t>☑</w:t>
            </w:r>
            <w:r>
              <w:rPr>
                <w:color w:val="auto"/>
                <w:spacing w:val="-6"/>
                <w:sz w:val="24"/>
                <w:szCs w:val="24"/>
                <w:lang w:eastAsia="zh-CN"/>
              </w:rPr>
              <w:t>一般计税法</w:t>
            </w:r>
          </w:p>
        </w:tc>
      </w:tr>
      <w:tr w14:paraId="7B6E8B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1080" w:type="dxa"/>
          </w:tcPr>
          <w:p w14:paraId="4B089E82">
            <w:pPr>
              <w:spacing w:line="261" w:lineRule="auto"/>
              <w:rPr>
                <w:color w:val="auto"/>
                <w:lang w:eastAsia="zh-CN"/>
              </w:rPr>
            </w:pPr>
          </w:p>
          <w:p w14:paraId="518BB9C9">
            <w:pPr>
              <w:spacing w:before="69" w:line="188" w:lineRule="auto"/>
              <w:ind w:left="238"/>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3"/>
                <w:sz w:val="24"/>
                <w:szCs w:val="24"/>
              </w:rPr>
              <w:t>3.2.3</w:t>
            </w:r>
          </w:p>
        </w:tc>
        <w:tc>
          <w:tcPr>
            <w:tcW w:w="1305" w:type="dxa"/>
          </w:tcPr>
          <w:p w14:paraId="5F3DF84B">
            <w:pPr>
              <w:pStyle w:val="23"/>
              <w:spacing w:before="135" w:line="230" w:lineRule="auto"/>
              <w:ind w:right="44"/>
              <w:rPr>
                <w:color w:val="auto"/>
                <w:sz w:val="24"/>
                <w:szCs w:val="24"/>
              </w:rPr>
            </w:pPr>
            <w:r>
              <w:rPr>
                <w:color w:val="auto"/>
                <w:spacing w:val="-2"/>
                <w:sz w:val="24"/>
                <w:szCs w:val="24"/>
              </w:rPr>
              <w:t>工程量清单计价</w:t>
            </w:r>
            <w:r>
              <w:rPr>
                <w:color w:val="auto"/>
                <w:spacing w:val="-6"/>
                <w:sz w:val="24"/>
                <w:szCs w:val="24"/>
              </w:rPr>
              <w:t>方式</w:t>
            </w:r>
          </w:p>
        </w:tc>
        <w:tc>
          <w:tcPr>
            <w:tcW w:w="7229" w:type="dxa"/>
          </w:tcPr>
          <w:p w14:paraId="51FD01ED">
            <w:pPr>
              <w:pStyle w:val="23"/>
              <w:spacing w:before="291" w:line="217" w:lineRule="auto"/>
              <w:ind w:left="37"/>
              <w:rPr>
                <w:color w:val="auto"/>
                <w:sz w:val="24"/>
                <w:szCs w:val="24"/>
              </w:rPr>
            </w:pPr>
            <w:r>
              <w:rPr>
                <w:color w:val="auto"/>
                <w:spacing w:val="-3"/>
                <w:sz w:val="24"/>
                <w:szCs w:val="24"/>
              </w:rPr>
              <w:t>综合单价法</w:t>
            </w:r>
          </w:p>
        </w:tc>
      </w:tr>
      <w:tr w14:paraId="37BC4C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1" w:hRule="atLeast"/>
        </w:trPr>
        <w:tc>
          <w:tcPr>
            <w:tcW w:w="1080" w:type="dxa"/>
            <w:vAlign w:val="center"/>
          </w:tcPr>
          <w:p w14:paraId="0CE5F95E">
            <w:pPr>
              <w:spacing w:before="69" w:line="188" w:lineRule="auto"/>
              <w:ind w:left="238"/>
              <w:jc w:val="center"/>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3"/>
                <w:sz w:val="24"/>
                <w:szCs w:val="24"/>
              </w:rPr>
              <w:t>3.2.4</w:t>
            </w:r>
          </w:p>
        </w:tc>
        <w:tc>
          <w:tcPr>
            <w:tcW w:w="1305" w:type="dxa"/>
            <w:vAlign w:val="center"/>
          </w:tcPr>
          <w:p w14:paraId="3CC1B790">
            <w:pPr>
              <w:pStyle w:val="23"/>
              <w:spacing w:before="78" w:line="217" w:lineRule="auto"/>
              <w:jc w:val="center"/>
              <w:rPr>
                <w:color w:val="auto"/>
                <w:sz w:val="24"/>
                <w:szCs w:val="24"/>
              </w:rPr>
            </w:pPr>
            <w:r>
              <w:rPr>
                <w:color w:val="auto"/>
                <w:spacing w:val="-2"/>
                <w:sz w:val="24"/>
                <w:szCs w:val="24"/>
              </w:rPr>
              <w:t>最高投标限价</w:t>
            </w:r>
          </w:p>
        </w:tc>
        <w:tc>
          <w:tcPr>
            <w:tcW w:w="7229" w:type="dxa"/>
          </w:tcPr>
          <w:p w14:paraId="0123E600">
            <w:pPr>
              <w:pStyle w:val="23"/>
              <w:keepNext w:val="0"/>
              <w:keepLines w:val="0"/>
              <w:pageBreakBefore w:val="0"/>
              <w:widowControl w:val="0"/>
              <w:wordWrap/>
              <w:topLinePunct w:val="0"/>
              <w:autoSpaceDE w:val="0"/>
              <w:autoSpaceDN w:val="0"/>
              <w:bidi w:val="0"/>
              <w:snapToGrid/>
              <w:spacing w:line="440" w:lineRule="exact"/>
              <w:ind w:left="58"/>
              <w:textAlignment w:val="auto"/>
              <w:rPr>
                <w:color w:val="auto"/>
                <w:sz w:val="24"/>
                <w:szCs w:val="24"/>
                <w:highlight w:val="none"/>
                <w:lang w:eastAsia="zh-CN"/>
              </w:rPr>
            </w:pPr>
            <w:r>
              <w:rPr>
                <w:rFonts w:hint="eastAsia"/>
                <w:color w:val="auto"/>
                <w:spacing w:val="-4"/>
                <w:sz w:val="24"/>
                <w:szCs w:val="24"/>
                <w:highlight w:val="none"/>
                <w:lang w:eastAsia="zh-CN"/>
              </w:rPr>
              <w:t>☑</w:t>
            </w:r>
            <w:r>
              <w:rPr>
                <w:rFonts w:ascii="Times New Roman" w:hAnsi="Times New Roman" w:eastAsia="Times New Roman" w:cs="Times New Roman"/>
                <w:color w:val="auto"/>
                <w:spacing w:val="-4"/>
                <w:sz w:val="24"/>
                <w:szCs w:val="24"/>
                <w:highlight w:val="none"/>
                <w:lang w:eastAsia="zh-CN"/>
              </w:rPr>
              <w:t>1.</w:t>
            </w:r>
            <w:r>
              <w:rPr>
                <w:color w:val="auto"/>
                <w:spacing w:val="-4"/>
                <w:sz w:val="24"/>
                <w:szCs w:val="24"/>
                <w:highlight w:val="none"/>
                <w:lang w:eastAsia="zh-CN"/>
              </w:rPr>
              <w:t>最高投标限价</w:t>
            </w:r>
            <w:r>
              <w:rPr>
                <w:rFonts w:hint="eastAsia" w:cs="宋体"/>
                <w:b/>
                <w:color w:val="auto"/>
                <w:sz w:val="24"/>
                <w:szCs w:val="24"/>
                <w:highlight w:val="none"/>
                <w:u w:val="single"/>
                <w:lang w:val="en-US" w:eastAsia="zh-CN"/>
              </w:rPr>
              <w:t>13078413</w:t>
            </w:r>
            <w:r>
              <w:rPr>
                <w:rFonts w:hint="eastAsia" w:ascii="宋体" w:hAnsi="宋体" w:cs="宋体"/>
                <w:b/>
                <w:color w:val="auto"/>
                <w:sz w:val="24"/>
                <w:szCs w:val="24"/>
                <w:highlight w:val="none"/>
                <w:u w:val="single"/>
              </w:rPr>
              <w:t>元</w:t>
            </w:r>
            <w:r>
              <w:rPr>
                <w:color w:val="auto"/>
                <w:spacing w:val="-4"/>
                <w:sz w:val="24"/>
                <w:szCs w:val="24"/>
                <w:highlight w:val="none"/>
                <w:lang w:eastAsia="zh-CN"/>
              </w:rPr>
              <w:t>；</w:t>
            </w:r>
          </w:p>
          <w:p w14:paraId="1CD01883">
            <w:pPr>
              <w:pStyle w:val="23"/>
              <w:keepNext w:val="0"/>
              <w:keepLines w:val="0"/>
              <w:pageBreakBefore w:val="0"/>
              <w:widowControl w:val="0"/>
              <w:wordWrap/>
              <w:topLinePunct w:val="0"/>
              <w:autoSpaceDE w:val="0"/>
              <w:autoSpaceDN w:val="0"/>
              <w:bidi w:val="0"/>
              <w:snapToGrid/>
              <w:spacing w:line="440" w:lineRule="exact"/>
              <w:ind w:left="36" w:right="157" w:firstLine="22"/>
              <w:textAlignment w:val="auto"/>
              <w:rPr>
                <w:color w:val="auto"/>
                <w:sz w:val="24"/>
                <w:szCs w:val="24"/>
                <w:highlight w:val="none"/>
                <w:lang w:eastAsia="zh-CN"/>
              </w:rPr>
            </w:pPr>
            <w:r>
              <w:rPr>
                <w:rFonts w:hint="eastAsia"/>
                <w:color w:val="auto"/>
                <w:spacing w:val="-8"/>
                <w:sz w:val="24"/>
                <w:szCs w:val="24"/>
                <w:highlight w:val="none"/>
                <w:lang w:eastAsia="zh-CN"/>
              </w:rPr>
              <w:t>☑</w:t>
            </w:r>
            <w:r>
              <w:rPr>
                <w:rFonts w:hint="eastAsia" w:ascii="微软雅黑" w:hAnsi="微软雅黑" w:eastAsia="微软雅黑" w:cs="微软雅黑"/>
                <w:color w:val="auto"/>
                <w:spacing w:val="-8"/>
                <w:sz w:val="24"/>
                <w:szCs w:val="24"/>
                <w:highlight w:val="none"/>
                <w:lang w:val="en-US" w:eastAsia="zh-CN"/>
              </w:rPr>
              <w:t>2</w:t>
            </w:r>
            <w:r>
              <w:rPr>
                <w:rFonts w:ascii="微软雅黑" w:hAnsi="微软雅黑" w:eastAsia="微软雅黑" w:cs="微软雅黑"/>
                <w:color w:val="auto"/>
                <w:spacing w:val="-8"/>
                <w:sz w:val="24"/>
                <w:szCs w:val="24"/>
                <w:highlight w:val="none"/>
                <w:lang w:eastAsia="zh-CN"/>
              </w:rPr>
              <w:t>.</w:t>
            </w:r>
            <w:r>
              <w:rPr>
                <w:color w:val="auto"/>
                <w:spacing w:val="-8"/>
                <w:sz w:val="24"/>
                <w:szCs w:val="24"/>
                <w:highlight w:val="none"/>
                <w:u w:val="single"/>
                <w:lang w:eastAsia="zh-CN"/>
              </w:rPr>
              <w:t>招标控制价</w:t>
            </w:r>
            <w:r>
              <w:rPr>
                <w:color w:val="auto"/>
                <w:spacing w:val="-8"/>
                <w:sz w:val="24"/>
                <w:szCs w:val="24"/>
                <w:highlight w:val="none"/>
                <w:lang w:eastAsia="zh-CN"/>
              </w:rPr>
              <w:t>人民币（大写</w:t>
            </w:r>
            <w:r>
              <w:rPr>
                <w:color w:val="auto"/>
                <w:spacing w:val="5"/>
                <w:sz w:val="24"/>
                <w:szCs w:val="24"/>
                <w:highlight w:val="none"/>
                <w:lang w:eastAsia="zh-CN"/>
              </w:rPr>
              <w:t>）：</w:t>
            </w:r>
            <w:r>
              <w:rPr>
                <w:rFonts w:hint="eastAsia"/>
                <w:color w:val="auto"/>
                <w:spacing w:val="5"/>
                <w:sz w:val="24"/>
                <w:szCs w:val="24"/>
                <w:highlight w:val="none"/>
                <w:lang w:eastAsia="zh-CN"/>
              </w:rPr>
              <w:t>壹仟肆佰伍拾叁万壹仟伍佰柒拾</w:t>
            </w:r>
            <w:r>
              <w:rPr>
                <w:rFonts w:hint="eastAsia"/>
                <w:color w:val="auto"/>
                <w:spacing w:val="5"/>
                <w:sz w:val="24"/>
                <w:szCs w:val="24"/>
                <w:highlight w:val="none"/>
                <w:lang w:val="en-US" w:eastAsia="zh-CN"/>
              </w:rPr>
              <w:t>元整</w:t>
            </w:r>
            <w:r>
              <w:rPr>
                <w:color w:val="auto"/>
                <w:spacing w:val="-8"/>
                <w:sz w:val="24"/>
                <w:szCs w:val="24"/>
                <w:highlight w:val="none"/>
                <w:lang w:eastAsia="zh-CN"/>
              </w:rPr>
              <w:t>(￥</w:t>
            </w:r>
            <w:r>
              <w:rPr>
                <w:rFonts w:hint="eastAsia" w:cs="宋体"/>
                <w:b/>
                <w:color w:val="auto"/>
                <w:sz w:val="24"/>
                <w:szCs w:val="24"/>
                <w:highlight w:val="none"/>
                <w:u w:val="single"/>
                <w:lang w:val="en-US" w:eastAsia="zh-CN"/>
              </w:rPr>
              <w:t>14531570</w:t>
            </w:r>
            <w:r>
              <w:rPr>
                <w:rFonts w:hint="eastAsia" w:ascii="宋体" w:hAnsi="宋体" w:cs="宋体"/>
                <w:b/>
                <w:color w:val="auto"/>
                <w:sz w:val="24"/>
                <w:szCs w:val="24"/>
                <w:highlight w:val="none"/>
                <w:u w:val="single"/>
              </w:rPr>
              <w:t>元</w:t>
            </w:r>
            <w:r>
              <w:rPr>
                <w:color w:val="auto"/>
                <w:spacing w:val="-8"/>
                <w:sz w:val="24"/>
                <w:szCs w:val="24"/>
                <w:highlight w:val="none"/>
                <w:lang w:eastAsia="zh-CN"/>
              </w:rPr>
              <w:t>)</w:t>
            </w:r>
            <w:r>
              <w:rPr>
                <w:color w:val="auto"/>
                <w:spacing w:val="-15"/>
                <w:sz w:val="24"/>
                <w:szCs w:val="24"/>
                <w:highlight w:val="none"/>
                <w:lang w:eastAsia="zh-CN"/>
              </w:rPr>
              <w:t>。</w:t>
            </w:r>
          </w:p>
          <w:p w14:paraId="7191B103">
            <w:pPr>
              <w:pStyle w:val="23"/>
              <w:keepNext w:val="0"/>
              <w:keepLines w:val="0"/>
              <w:pageBreakBefore w:val="0"/>
              <w:widowControl w:val="0"/>
              <w:numPr>
                <w:ilvl w:val="0"/>
                <w:numId w:val="0"/>
              </w:numPr>
              <w:wordWrap/>
              <w:topLinePunct w:val="0"/>
              <w:autoSpaceDE w:val="0"/>
              <w:autoSpaceDN w:val="0"/>
              <w:bidi w:val="0"/>
              <w:snapToGrid/>
              <w:spacing w:line="440" w:lineRule="exact"/>
              <w:ind w:leftChars="0" w:right="44" w:rightChars="0"/>
              <w:textAlignment w:val="auto"/>
              <w:rPr>
                <w:rFonts w:hint="default"/>
                <w:color w:val="auto"/>
                <w:spacing w:val="-1"/>
                <w:sz w:val="24"/>
                <w:szCs w:val="24"/>
                <w:highlight w:val="none"/>
                <w:lang w:val="en-US" w:eastAsia="zh-CN"/>
              </w:rPr>
            </w:pPr>
            <w:r>
              <w:rPr>
                <w:rFonts w:hint="eastAsia"/>
                <w:color w:val="auto"/>
                <w:spacing w:val="-1"/>
                <w:sz w:val="24"/>
                <w:szCs w:val="24"/>
                <w:highlight w:val="none"/>
                <w:lang w:val="en-US" w:eastAsia="zh-CN"/>
              </w:rPr>
              <w:t>3.</w:t>
            </w:r>
            <w:r>
              <w:rPr>
                <w:color w:val="auto"/>
                <w:spacing w:val="-1"/>
                <w:sz w:val="24"/>
                <w:szCs w:val="24"/>
                <w:highlight w:val="none"/>
                <w:lang w:eastAsia="zh-CN"/>
              </w:rPr>
              <w:t>最高投标限价的计算方法：最高投标限价</w:t>
            </w:r>
            <w:r>
              <w:rPr>
                <w:rFonts w:ascii="微软雅黑" w:hAnsi="微软雅黑" w:eastAsia="微软雅黑" w:cs="微软雅黑"/>
                <w:color w:val="auto"/>
                <w:spacing w:val="-1"/>
                <w:sz w:val="24"/>
                <w:szCs w:val="24"/>
                <w:highlight w:val="none"/>
                <w:lang w:eastAsia="zh-CN"/>
              </w:rPr>
              <w:t>=</w:t>
            </w:r>
            <w:r>
              <w:rPr>
                <w:color w:val="auto"/>
                <w:spacing w:val="-1"/>
                <w:sz w:val="24"/>
                <w:szCs w:val="24"/>
                <w:highlight w:val="none"/>
                <w:lang w:eastAsia="zh-CN"/>
              </w:rPr>
              <w:t>招标控制</w:t>
            </w:r>
            <w:r>
              <w:rPr>
                <w:color w:val="auto"/>
                <w:spacing w:val="-2"/>
                <w:sz w:val="24"/>
                <w:szCs w:val="24"/>
                <w:highlight w:val="none"/>
                <w:lang w:eastAsia="zh-CN"/>
              </w:rPr>
              <w:t>价×（1-下浮值）</w:t>
            </w:r>
            <w:r>
              <w:rPr>
                <w:rFonts w:hint="eastAsia"/>
                <w:color w:val="auto"/>
                <w:spacing w:val="-1"/>
                <w:sz w:val="24"/>
                <w:szCs w:val="24"/>
                <w:highlight w:val="none"/>
                <w:lang w:eastAsia="zh-CN"/>
              </w:rPr>
              <w:t>，</w:t>
            </w:r>
            <w:r>
              <w:rPr>
                <w:rFonts w:hint="eastAsia"/>
                <w:color w:val="auto"/>
                <w:spacing w:val="-1"/>
                <w:sz w:val="24"/>
                <w:szCs w:val="24"/>
                <w:highlight w:val="none"/>
                <w:lang w:val="en-US" w:eastAsia="zh-CN"/>
              </w:rPr>
              <w:t>下浮值10%。</w:t>
            </w:r>
          </w:p>
          <w:p w14:paraId="7124AE6A">
            <w:pPr>
              <w:pStyle w:val="23"/>
              <w:spacing w:before="17" w:line="231" w:lineRule="auto"/>
              <w:ind w:left="35"/>
              <w:rPr>
                <w:rFonts w:hint="eastAsia" w:eastAsia="宋体"/>
                <w:color w:val="auto"/>
                <w:sz w:val="24"/>
                <w:szCs w:val="24"/>
                <w:lang w:val="en-US" w:eastAsia="zh-CN"/>
              </w:rPr>
            </w:pPr>
            <w:r>
              <w:rPr>
                <w:rFonts w:hint="eastAsia" w:ascii="宋体" w:hAnsi="宋体" w:eastAsia="宋体" w:cs="宋体"/>
                <w:b/>
                <w:bCs/>
                <w:spacing w:val="-2"/>
                <w:sz w:val="24"/>
                <w:szCs w:val="24"/>
                <w:highlight w:val="none"/>
              </w:rPr>
              <w:t>投标报价高于最高投标限价的作无效标处理。</w:t>
            </w:r>
            <w:r>
              <w:rPr>
                <w:rFonts w:hint="eastAsia" w:ascii="宋体" w:hAnsi="宋体" w:eastAsia="宋体" w:cs="宋体"/>
                <w:color w:val="auto"/>
                <w:sz w:val="24"/>
                <w:szCs w:val="24"/>
                <w:lang w:val="en-US" w:eastAsia="zh-CN" w:bidi="ar-SA"/>
              </w:rPr>
              <w:t xml:space="preserve"> </w:t>
            </w:r>
          </w:p>
        </w:tc>
      </w:tr>
      <w:tr w14:paraId="0DC773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1080" w:type="dxa"/>
            <w:vAlign w:val="center"/>
          </w:tcPr>
          <w:p w14:paraId="10DEF6DD">
            <w:pPr>
              <w:spacing w:line="262" w:lineRule="auto"/>
              <w:jc w:val="center"/>
              <w:rPr>
                <w:color w:val="auto"/>
              </w:rPr>
            </w:pPr>
          </w:p>
          <w:p w14:paraId="1916A0A2">
            <w:pPr>
              <w:spacing w:before="69" w:line="188" w:lineRule="auto"/>
              <w:jc w:val="center"/>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3"/>
                <w:sz w:val="24"/>
                <w:szCs w:val="24"/>
              </w:rPr>
              <w:t>3.2.5</w:t>
            </w:r>
          </w:p>
        </w:tc>
        <w:tc>
          <w:tcPr>
            <w:tcW w:w="1305" w:type="dxa"/>
            <w:vAlign w:val="center"/>
          </w:tcPr>
          <w:p w14:paraId="7EE266AD">
            <w:pPr>
              <w:pStyle w:val="23"/>
              <w:spacing w:before="135" w:line="230" w:lineRule="auto"/>
              <w:ind w:right="284"/>
              <w:jc w:val="center"/>
              <w:rPr>
                <w:color w:val="auto"/>
                <w:sz w:val="24"/>
                <w:szCs w:val="24"/>
              </w:rPr>
            </w:pPr>
            <w:r>
              <w:rPr>
                <w:color w:val="auto"/>
                <w:spacing w:val="-2"/>
                <w:sz w:val="24"/>
                <w:szCs w:val="24"/>
              </w:rPr>
              <w:t>投标报价的</w:t>
            </w:r>
            <w:r>
              <w:rPr>
                <w:color w:val="auto"/>
                <w:spacing w:val="-3"/>
                <w:sz w:val="24"/>
                <w:szCs w:val="24"/>
              </w:rPr>
              <w:t>其他要求</w:t>
            </w:r>
          </w:p>
        </w:tc>
        <w:tc>
          <w:tcPr>
            <w:tcW w:w="7229" w:type="dxa"/>
            <w:vAlign w:val="center"/>
          </w:tcPr>
          <w:p w14:paraId="7CBEE87E">
            <w:pPr>
              <w:pStyle w:val="23"/>
              <w:spacing w:before="135" w:line="230" w:lineRule="auto"/>
              <w:ind w:right="284"/>
              <w:jc w:val="both"/>
              <w:rPr>
                <w:color w:val="auto"/>
                <w:sz w:val="24"/>
                <w:szCs w:val="24"/>
              </w:rPr>
            </w:pPr>
            <w:r>
              <w:rPr>
                <w:rFonts w:hint="eastAsia" w:ascii="宋体" w:hAnsi="宋体" w:eastAsia="宋体" w:cs="宋体"/>
                <w:color w:val="auto"/>
                <w:spacing w:val="-2"/>
                <w:sz w:val="24"/>
                <w:szCs w:val="24"/>
                <w:lang w:val="en-US" w:eastAsia="zh-CN"/>
              </w:rPr>
              <w:t>详见第五章</w:t>
            </w:r>
          </w:p>
        </w:tc>
      </w:tr>
      <w:tr w14:paraId="5C1ED7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1080" w:type="dxa"/>
            <w:vAlign w:val="center"/>
          </w:tcPr>
          <w:p w14:paraId="2AA35F19">
            <w:pPr>
              <w:spacing w:before="220" w:line="188" w:lineRule="auto"/>
              <w:jc w:val="center"/>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3"/>
                <w:sz w:val="24"/>
                <w:szCs w:val="24"/>
              </w:rPr>
              <w:t>3.3.1</w:t>
            </w:r>
          </w:p>
        </w:tc>
        <w:tc>
          <w:tcPr>
            <w:tcW w:w="1305" w:type="dxa"/>
            <w:vAlign w:val="center"/>
          </w:tcPr>
          <w:p w14:paraId="7F0D6235">
            <w:pPr>
              <w:pStyle w:val="23"/>
              <w:spacing w:before="179" w:line="219" w:lineRule="auto"/>
              <w:jc w:val="center"/>
              <w:rPr>
                <w:color w:val="auto"/>
                <w:sz w:val="24"/>
                <w:szCs w:val="24"/>
              </w:rPr>
            </w:pPr>
            <w:r>
              <w:rPr>
                <w:color w:val="auto"/>
                <w:spacing w:val="-2"/>
                <w:sz w:val="24"/>
                <w:szCs w:val="24"/>
              </w:rPr>
              <w:t>投标有效期</w:t>
            </w:r>
          </w:p>
        </w:tc>
        <w:tc>
          <w:tcPr>
            <w:tcW w:w="7229" w:type="dxa"/>
          </w:tcPr>
          <w:p w14:paraId="5A7C98F2">
            <w:pPr>
              <w:pStyle w:val="23"/>
              <w:tabs>
                <w:tab w:val="left" w:pos="384"/>
              </w:tabs>
              <w:spacing w:before="178" w:line="219" w:lineRule="auto"/>
              <w:ind w:left="24"/>
              <w:rPr>
                <w:color w:val="auto"/>
                <w:sz w:val="24"/>
                <w:szCs w:val="24"/>
                <w:lang w:eastAsia="zh-CN"/>
              </w:rPr>
            </w:pPr>
            <w:r>
              <w:rPr>
                <w:rFonts w:hint="eastAsia"/>
                <w:color w:val="auto"/>
                <w:sz w:val="24"/>
                <w:szCs w:val="24"/>
                <w:u w:val="none"/>
                <w:lang w:val="en-US" w:eastAsia="zh-CN"/>
              </w:rPr>
              <w:t xml:space="preserve">  </w:t>
            </w:r>
            <w:r>
              <w:rPr>
                <w:rFonts w:hint="eastAsia"/>
                <w:color w:val="auto"/>
                <w:sz w:val="24"/>
                <w:szCs w:val="24"/>
                <w:u w:val="single"/>
                <w:lang w:val="en-US" w:eastAsia="zh-CN"/>
              </w:rPr>
              <w:t xml:space="preserve"> 90 </w:t>
            </w:r>
            <w:r>
              <w:rPr>
                <w:color w:val="auto"/>
                <w:spacing w:val="-1"/>
                <w:sz w:val="24"/>
                <w:szCs w:val="24"/>
                <w:lang w:eastAsia="zh-CN"/>
              </w:rPr>
              <w:t>个日历天（从投标截止之日起算）。</w:t>
            </w:r>
          </w:p>
        </w:tc>
      </w:tr>
      <w:tr w14:paraId="35C984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65" w:hRule="atLeast"/>
        </w:trPr>
        <w:tc>
          <w:tcPr>
            <w:tcW w:w="1080" w:type="dxa"/>
            <w:vAlign w:val="center"/>
          </w:tcPr>
          <w:p w14:paraId="0872371F">
            <w:pPr>
              <w:spacing w:before="69" w:line="188" w:lineRule="auto"/>
              <w:jc w:val="both"/>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3"/>
                <w:sz w:val="24"/>
                <w:szCs w:val="24"/>
              </w:rPr>
              <w:t>3.4.1</w:t>
            </w:r>
          </w:p>
        </w:tc>
        <w:tc>
          <w:tcPr>
            <w:tcW w:w="1305" w:type="dxa"/>
            <w:vAlign w:val="center"/>
          </w:tcPr>
          <w:p w14:paraId="1EDB7008">
            <w:pPr>
              <w:pStyle w:val="23"/>
              <w:spacing w:before="78" w:line="219" w:lineRule="auto"/>
              <w:jc w:val="both"/>
              <w:rPr>
                <w:color w:val="auto"/>
                <w:sz w:val="24"/>
                <w:szCs w:val="24"/>
              </w:rPr>
            </w:pPr>
            <w:r>
              <w:rPr>
                <w:color w:val="auto"/>
                <w:spacing w:val="-2"/>
                <w:sz w:val="24"/>
                <w:szCs w:val="24"/>
              </w:rPr>
              <w:t>投标保证金</w:t>
            </w:r>
          </w:p>
        </w:tc>
        <w:tc>
          <w:tcPr>
            <w:tcW w:w="7229" w:type="dxa"/>
          </w:tcPr>
          <w:p w14:paraId="2775E9EB">
            <w:pPr>
              <w:autoSpaceDE/>
              <w:autoSpaceDN/>
              <w:adjustRightInd/>
              <w:spacing w:line="400" w:lineRule="exact"/>
              <w:rPr>
                <w:rFonts w:ascii="宋体" w:hAnsi="宋体" w:cs="宋体"/>
                <w:color w:val="auto"/>
                <w:sz w:val="24"/>
                <w:szCs w:val="24"/>
              </w:rPr>
            </w:pPr>
            <w:r>
              <w:rPr>
                <w:rFonts w:hint="eastAsia" w:ascii="宋体" w:hAnsi="宋体" w:cs="宋体"/>
                <w:color w:val="auto"/>
              </w:rPr>
              <w:t>1</w:t>
            </w:r>
            <w:r>
              <w:rPr>
                <w:rFonts w:hint="eastAsia" w:ascii="宋体" w:hAnsi="宋体" w:cs="宋体"/>
                <w:color w:val="auto"/>
                <w:sz w:val="24"/>
                <w:szCs w:val="24"/>
              </w:rPr>
              <w:t>、担保金额：</w:t>
            </w:r>
            <w:r>
              <w:rPr>
                <w:rFonts w:hint="eastAsia" w:ascii="宋体" w:hAnsi="宋体" w:cs="宋体"/>
                <w:color w:val="000000" w:themeColor="text1"/>
                <w:sz w:val="24"/>
                <w:szCs w:val="24"/>
                <w14:textFill>
                  <w14:solidFill>
                    <w14:schemeClr w14:val="tx1"/>
                  </w14:solidFill>
                </w14:textFill>
              </w:rPr>
              <w:t>人民币</w:t>
            </w:r>
            <w:r>
              <w:rPr>
                <w:rFonts w:hint="eastAsia" w:ascii="宋体" w:hAnsi="宋体" w:cs="宋体"/>
                <w:color w:val="000000" w:themeColor="text1"/>
                <w:sz w:val="24"/>
                <w:szCs w:val="24"/>
                <w:u w:val="single"/>
                <w:lang w:val="en-US" w:eastAsia="zh-CN"/>
                <w14:textFill>
                  <w14:solidFill>
                    <w14:schemeClr w14:val="tx1"/>
                  </w14:solidFill>
                </w14:textFill>
              </w:rPr>
              <w:t>20</w:t>
            </w:r>
            <w:r>
              <w:rPr>
                <w:rFonts w:hint="eastAsia" w:ascii="宋体" w:hAnsi="宋体" w:cs="宋体"/>
                <w:color w:val="000000" w:themeColor="text1"/>
                <w:sz w:val="24"/>
                <w:szCs w:val="24"/>
                <w14:textFill>
                  <w14:solidFill>
                    <w14:schemeClr w14:val="tx1"/>
                  </w14:solidFill>
                </w14:textFill>
              </w:rPr>
              <w:t>万元</w:t>
            </w:r>
            <w:r>
              <w:rPr>
                <w:rFonts w:hint="eastAsia" w:ascii="宋体" w:hAnsi="宋体" w:cs="宋体"/>
                <w:color w:val="auto"/>
                <w:sz w:val="24"/>
                <w:szCs w:val="24"/>
              </w:rPr>
              <w:t>（不得超过项目估算价的2%，且</w:t>
            </w:r>
          </w:p>
          <w:p w14:paraId="68053C31">
            <w:pPr>
              <w:autoSpaceDE/>
              <w:autoSpaceDN/>
              <w:adjustRightInd/>
              <w:spacing w:line="400" w:lineRule="exact"/>
              <w:rPr>
                <w:rFonts w:ascii="宋体" w:hAnsi="宋体" w:cs="宋体"/>
                <w:color w:val="auto"/>
                <w:sz w:val="24"/>
                <w:szCs w:val="24"/>
              </w:rPr>
            </w:pPr>
            <w:r>
              <w:rPr>
                <w:rFonts w:hint="eastAsia" w:ascii="宋体" w:hAnsi="宋体" w:cs="宋体"/>
                <w:color w:val="auto"/>
                <w:sz w:val="24"/>
                <w:szCs w:val="24"/>
              </w:rPr>
              <w:t>最高不得超过50万元。）</w:t>
            </w:r>
          </w:p>
          <w:p w14:paraId="63FED524">
            <w:pPr>
              <w:autoSpaceDE/>
              <w:autoSpaceDN/>
              <w:adjustRightInd/>
              <w:spacing w:line="400" w:lineRule="exact"/>
              <w:rPr>
                <w:rFonts w:ascii="宋体" w:hAnsi="宋体" w:cs="宋体"/>
                <w:color w:val="auto"/>
                <w:sz w:val="24"/>
                <w:szCs w:val="24"/>
              </w:rPr>
            </w:pPr>
            <w:r>
              <w:rPr>
                <w:rFonts w:hint="eastAsia" w:ascii="宋体" w:hAnsi="宋体" w:cs="宋体"/>
                <w:color w:val="auto"/>
                <w:kern w:val="2"/>
                <w:sz w:val="24"/>
                <w:szCs w:val="24"/>
              </w:rPr>
              <w:t>2、</w:t>
            </w:r>
            <w:r>
              <w:rPr>
                <w:rFonts w:hint="eastAsia" w:ascii="宋体" w:hAnsi="宋体" w:cs="宋体"/>
                <w:color w:val="auto"/>
                <w:sz w:val="24"/>
                <w:szCs w:val="24"/>
              </w:rPr>
              <w:t>投标保证金缴纳方式（任选一种）：现金、银行保函、保险机构保证保险保单、</w:t>
            </w:r>
            <w:r>
              <w:rPr>
                <w:rFonts w:hint="eastAsia" w:ascii="宋体" w:hAnsi="宋体" w:cs="宋体"/>
                <w:color w:val="auto"/>
                <w:sz w:val="24"/>
                <w:szCs w:val="24"/>
                <w:lang w:eastAsia="zh-CN"/>
              </w:rPr>
              <w:t>国有担保公司</w:t>
            </w:r>
            <w:r>
              <w:rPr>
                <w:rFonts w:hint="eastAsia" w:ascii="宋体" w:hAnsi="宋体" w:cs="宋体"/>
                <w:color w:val="auto"/>
                <w:sz w:val="24"/>
                <w:szCs w:val="24"/>
              </w:rPr>
              <w:t>保函。</w:t>
            </w:r>
          </w:p>
          <w:p w14:paraId="3911048F">
            <w:pPr>
              <w:autoSpaceDE/>
              <w:autoSpaceDN/>
              <w:adjustRightInd/>
              <w:spacing w:line="400" w:lineRule="exact"/>
              <w:rPr>
                <w:rFonts w:ascii="宋体" w:hAnsi="宋体" w:cs="宋体"/>
                <w:b/>
                <w:bCs/>
                <w:color w:val="auto"/>
                <w:sz w:val="24"/>
                <w:szCs w:val="24"/>
              </w:rPr>
            </w:pPr>
            <w:r>
              <w:rPr>
                <w:rFonts w:hint="eastAsia" w:ascii="宋体" w:hAnsi="宋体" w:cs="宋体"/>
                <w:b/>
                <w:bCs/>
                <w:color w:val="auto"/>
                <w:sz w:val="24"/>
                <w:szCs w:val="24"/>
              </w:rPr>
              <w:t>（1）现金</w:t>
            </w:r>
          </w:p>
          <w:p w14:paraId="02CBA1BE">
            <w:pPr>
              <w:autoSpaceDE/>
              <w:autoSpaceDN/>
              <w:adjustRightInd/>
              <w:spacing w:line="400" w:lineRule="exact"/>
              <w:rPr>
                <w:rFonts w:ascii="宋体" w:hAnsi="宋体" w:cs="宋体"/>
                <w:color w:val="auto"/>
                <w:sz w:val="24"/>
                <w:szCs w:val="24"/>
              </w:rPr>
            </w:pPr>
            <w:r>
              <w:rPr>
                <w:rFonts w:hint="eastAsia" w:ascii="宋体" w:hAnsi="宋体" w:cs="宋体"/>
                <w:color w:val="auto"/>
                <w:sz w:val="24"/>
                <w:szCs w:val="24"/>
              </w:rPr>
              <w:t>①电汇或网银转账（请不要使用“支付宝”等第三方支付平台），并通过“三门县建设工程项目交易系统”取得相应的取得投标保证金收款账户信息后支付，具体详见三门县公共资源交易中心网站“办事指南”栏目“三门县投标保证金（虚拟账户）缴纳操作说明”；</w:t>
            </w:r>
          </w:p>
          <w:p w14:paraId="4E763E8A">
            <w:pPr>
              <w:autoSpaceDE/>
              <w:autoSpaceDN/>
              <w:adjustRightInd/>
              <w:spacing w:line="400" w:lineRule="exact"/>
              <w:rPr>
                <w:rFonts w:ascii="宋体" w:hAnsi="宋体" w:cs="宋体"/>
                <w:color w:val="auto"/>
                <w:sz w:val="24"/>
                <w:szCs w:val="24"/>
              </w:rPr>
            </w:pPr>
            <w:r>
              <w:rPr>
                <w:rFonts w:hint="eastAsia" w:ascii="宋体" w:hAnsi="宋体" w:cs="宋体"/>
                <w:color w:val="auto"/>
                <w:sz w:val="24"/>
                <w:szCs w:val="24"/>
              </w:rPr>
              <w:t>②投标保证金应在投标截止时间前到交易中心账户。</w:t>
            </w:r>
          </w:p>
          <w:p w14:paraId="6661D3FD">
            <w:pPr>
              <w:autoSpaceDE/>
              <w:autoSpaceDN/>
              <w:adjustRightInd/>
              <w:spacing w:line="400" w:lineRule="exact"/>
              <w:rPr>
                <w:rFonts w:ascii="宋体" w:hAnsi="宋体" w:cs="宋体"/>
                <w:b/>
                <w:bCs/>
                <w:color w:val="auto"/>
                <w:sz w:val="24"/>
                <w:szCs w:val="24"/>
              </w:rPr>
            </w:pPr>
            <w:r>
              <w:rPr>
                <w:rFonts w:hint="eastAsia" w:ascii="宋体" w:hAnsi="宋体" w:cs="宋体"/>
                <w:b/>
                <w:bCs/>
                <w:color w:val="auto"/>
                <w:sz w:val="24"/>
                <w:szCs w:val="24"/>
              </w:rPr>
              <w:t>（2）银行保函、保险机构保证保险保单、</w:t>
            </w:r>
            <w:r>
              <w:rPr>
                <w:rFonts w:hint="eastAsia" w:ascii="宋体" w:hAnsi="宋体" w:cs="宋体"/>
                <w:b/>
                <w:bCs/>
                <w:color w:val="auto"/>
                <w:sz w:val="24"/>
                <w:szCs w:val="24"/>
                <w:lang w:eastAsia="zh-CN"/>
              </w:rPr>
              <w:t>国有担保公司</w:t>
            </w:r>
            <w:r>
              <w:rPr>
                <w:rFonts w:hint="eastAsia" w:ascii="宋体" w:hAnsi="宋体" w:cs="宋体"/>
                <w:b/>
                <w:bCs/>
                <w:color w:val="auto"/>
                <w:sz w:val="24"/>
                <w:szCs w:val="24"/>
              </w:rPr>
              <w:t>保函（以下合称“工程保函”）</w:t>
            </w:r>
          </w:p>
          <w:p w14:paraId="4E22E734">
            <w:pPr>
              <w:spacing w:line="440" w:lineRule="exact"/>
              <w:rPr>
                <w:rFonts w:hint="eastAsia"/>
                <w:lang w:val="en-US" w:eastAsia="zh-CN"/>
              </w:rPr>
            </w:pPr>
            <w:r>
              <w:rPr>
                <w:rFonts w:hint="eastAsia" w:ascii="宋体" w:hAnsi="宋体" w:cs="宋体"/>
                <w:color w:val="auto"/>
                <w:sz w:val="24"/>
                <w:szCs w:val="24"/>
              </w:rPr>
              <w:t>①工程保函的受益人</w:t>
            </w:r>
            <w:r>
              <w:rPr>
                <w:rFonts w:hint="eastAsia" w:ascii="宋体" w:hAnsi="宋体" w:cs="宋体"/>
                <w:color w:val="auto"/>
                <w:kern w:val="2"/>
                <w:sz w:val="24"/>
                <w:szCs w:val="24"/>
              </w:rPr>
              <w:t>：</w:t>
            </w:r>
            <w:r>
              <w:rPr>
                <w:rFonts w:hint="eastAsia" w:ascii="宋体" w:hAnsi="宋体" w:cs="宋体"/>
                <w:color w:val="auto"/>
                <w:sz w:val="24"/>
                <w:szCs w:val="24"/>
                <w:u w:val="single"/>
                <w:lang w:eastAsia="zh-CN"/>
              </w:rPr>
              <w:t>三门县民政局</w:t>
            </w:r>
          </w:p>
          <w:p w14:paraId="0AA49484">
            <w:pPr>
              <w:autoSpaceDE/>
              <w:autoSpaceDN/>
              <w:adjustRightInd/>
              <w:spacing w:line="400" w:lineRule="exact"/>
              <w:rPr>
                <w:rFonts w:ascii="宋体" w:hAnsi="宋体" w:cs="宋体"/>
                <w:color w:val="auto"/>
                <w:sz w:val="24"/>
                <w:szCs w:val="24"/>
              </w:rPr>
            </w:pPr>
            <w:r>
              <w:rPr>
                <w:rFonts w:hint="eastAsia" w:ascii="宋体" w:hAnsi="宋体" w:cs="宋体"/>
                <w:color w:val="auto"/>
                <w:sz w:val="24"/>
                <w:szCs w:val="24"/>
                <w:u w:val="single"/>
              </w:rPr>
              <w:t xml:space="preserve"> </w:t>
            </w:r>
            <w:r>
              <w:rPr>
                <w:rFonts w:hint="eastAsia" w:ascii="宋体" w:hAnsi="宋体" w:cs="宋体"/>
                <w:color w:val="auto"/>
                <w:sz w:val="24"/>
                <w:szCs w:val="24"/>
              </w:rPr>
              <w:t>（招标人名称）；</w:t>
            </w:r>
          </w:p>
          <w:p w14:paraId="1B18A53E">
            <w:pPr>
              <w:autoSpaceDE/>
              <w:autoSpaceDN/>
              <w:adjustRightInd/>
              <w:spacing w:line="400" w:lineRule="exact"/>
              <w:rPr>
                <w:rFonts w:ascii="宋体" w:hAnsi="宋体" w:cs="宋体"/>
                <w:color w:val="auto"/>
                <w:sz w:val="24"/>
                <w:szCs w:val="24"/>
              </w:rPr>
            </w:pPr>
            <w:r>
              <w:rPr>
                <w:rFonts w:hint="eastAsia" w:ascii="宋体" w:hAnsi="宋体" w:cs="宋体"/>
                <w:color w:val="auto"/>
                <w:sz w:val="24"/>
                <w:szCs w:val="24"/>
              </w:rPr>
              <w:t>②</w:t>
            </w:r>
            <w:r>
              <w:rPr>
                <w:rFonts w:hint="eastAsia" w:ascii="宋体" w:hAnsi="宋体" w:cs="宋体"/>
                <w:b/>
                <w:bCs/>
                <w:color w:val="auto"/>
                <w:sz w:val="24"/>
                <w:szCs w:val="24"/>
              </w:rPr>
              <w:t>工程保函的有效期为1年</w:t>
            </w:r>
            <w:r>
              <w:rPr>
                <w:rFonts w:hint="eastAsia" w:ascii="宋体" w:hAnsi="宋体" w:cs="宋体"/>
                <w:color w:val="auto"/>
                <w:sz w:val="24"/>
                <w:szCs w:val="24"/>
              </w:rPr>
              <w:t>；</w:t>
            </w:r>
          </w:p>
          <w:p w14:paraId="16F7FCF2">
            <w:pPr>
              <w:autoSpaceDE/>
              <w:autoSpaceDN/>
              <w:adjustRightInd/>
              <w:spacing w:line="400" w:lineRule="exact"/>
              <w:rPr>
                <w:rFonts w:ascii="宋体" w:hAnsi="宋体" w:cs="宋体"/>
                <w:color w:val="auto"/>
                <w:sz w:val="24"/>
                <w:szCs w:val="24"/>
              </w:rPr>
            </w:pPr>
            <w:r>
              <w:rPr>
                <w:rFonts w:hint="eastAsia" w:ascii="宋体" w:hAnsi="宋体" w:cs="宋体"/>
                <w:color w:val="auto"/>
                <w:sz w:val="24"/>
                <w:szCs w:val="24"/>
              </w:rPr>
              <w:t>③递交方式：</w:t>
            </w:r>
          </w:p>
          <w:p w14:paraId="7A96E947">
            <w:pPr>
              <w:autoSpaceDE/>
              <w:autoSpaceDN/>
              <w:adjustRightInd/>
              <w:spacing w:line="400" w:lineRule="exact"/>
              <w:ind w:firstLine="311" w:firstLineChars="129"/>
              <w:rPr>
                <w:rFonts w:ascii="宋体" w:hAnsi="宋体" w:cs="宋体"/>
                <w:color w:val="auto"/>
                <w:sz w:val="24"/>
                <w:szCs w:val="24"/>
              </w:rPr>
            </w:pPr>
            <w:r>
              <w:rPr>
                <w:rFonts w:hint="eastAsia" w:ascii="宋体" w:hAnsi="宋体" w:cs="宋体"/>
                <w:b/>
                <w:bCs/>
                <w:color w:val="auto"/>
                <w:sz w:val="24"/>
                <w:szCs w:val="24"/>
              </w:rPr>
              <w:t>递交方式一（电子保函系统）</w:t>
            </w:r>
            <w:r>
              <w:rPr>
                <w:rFonts w:hint="eastAsia" w:ascii="宋体" w:hAnsi="宋体" w:cs="宋体"/>
                <w:color w:val="auto"/>
                <w:sz w:val="24"/>
                <w:szCs w:val="24"/>
              </w:rPr>
              <w:t>：</w:t>
            </w:r>
          </w:p>
          <w:p w14:paraId="0F4F7919">
            <w:pPr>
              <w:autoSpaceDE/>
              <w:autoSpaceDN/>
              <w:adjustRightInd/>
              <w:spacing w:line="400" w:lineRule="exact"/>
              <w:ind w:firstLine="309" w:firstLineChars="129"/>
              <w:rPr>
                <w:rFonts w:ascii="宋体" w:hAnsi="宋体" w:cs="宋体"/>
                <w:color w:val="auto"/>
                <w:sz w:val="24"/>
                <w:szCs w:val="24"/>
              </w:rPr>
            </w:pPr>
            <w:r>
              <w:rPr>
                <w:rFonts w:hint="eastAsia" w:ascii="宋体" w:hAnsi="宋体" w:cs="宋体"/>
                <w:color w:val="auto"/>
                <w:sz w:val="24"/>
                <w:szCs w:val="24"/>
              </w:rPr>
              <w:t>通过三门县建设工程项目交易系统在“业务管理—费用管理”栏目选择“电子保函”递交方式，并按系统流程进行操作、申购电子保函。</w:t>
            </w:r>
          </w:p>
          <w:p w14:paraId="22CAA059">
            <w:pPr>
              <w:autoSpaceDE/>
              <w:autoSpaceDN/>
              <w:adjustRightInd/>
              <w:spacing w:line="400" w:lineRule="exact"/>
              <w:ind w:firstLine="309" w:firstLineChars="129"/>
              <w:rPr>
                <w:rFonts w:ascii="宋体" w:hAnsi="宋体" w:cs="宋体"/>
                <w:color w:val="auto"/>
                <w:sz w:val="24"/>
                <w:szCs w:val="24"/>
              </w:rPr>
            </w:pPr>
            <w:r>
              <w:rPr>
                <w:rFonts w:hint="eastAsia" w:ascii="宋体" w:hAnsi="宋体" w:cs="宋体"/>
                <w:color w:val="auto"/>
                <w:sz w:val="24"/>
                <w:szCs w:val="24"/>
              </w:rPr>
              <w:t>注：电子保单生效时间为投保第二天00:00,各投标人须在投标截止时间前1天申购电子保函；付款后请确认已收到出单提醒短信，或者在系统中查看保单状态为“已出单”，因未确认保函出单情况导致递交投标保证金失败的，所有后果由投标人自行承担。</w:t>
            </w:r>
          </w:p>
          <w:p w14:paraId="74F75E57">
            <w:pPr>
              <w:autoSpaceDE/>
              <w:autoSpaceDN/>
              <w:adjustRightInd/>
              <w:spacing w:line="400" w:lineRule="exact"/>
              <w:ind w:firstLine="311" w:firstLineChars="129"/>
              <w:rPr>
                <w:rFonts w:ascii="宋体" w:hAnsi="宋体" w:cs="宋体"/>
                <w:b/>
                <w:bCs/>
                <w:color w:val="auto"/>
                <w:sz w:val="24"/>
                <w:szCs w:val="24"/>
              </w:rPr>
            </w:pPr>
            <w:r>
              <w:rPr>
                <w:rFonts w:hint="eastAsia" w:ascii="宋体" w:hAnsi="宋体" w:cs="宋体"/>
                <w:b/>
                <w:bCs/>
                <w:color w:val="auto"/>
                <w:sz w:val="24"/>
                <w:szCs w:val="24"/>
              </w:rPr>
              <w:t>递交方式二（非电子保函系统）：</w:t>
            </w:r>
          </w:p>
          <w:p w14:paraId="5D9AF7DA">
            <w:pPr>
              <w:autoSpaceDE/>
              <w:autoSpaceDN/>
              <w:adjustRightInd/>
              <w:spacing w:line="400" w:lineRule="exact"/>
              <w:ind w:firstLine="309" w:firstLineChars="129"/>
              <w:rPr>
                <w:rFonts w:ascii="宋体" w:hAnsi="宋体" w:cs="宋体"/>
                <w:color w:val="auto"/>
                <w:sz w:val="24"/>
                <w:szCs w:val="24"/>
              </w:rPr>
            </w:pPr>
            <w:r>
              <w:rPr>
                <w:rFonts w:hint="eastAsia" w:ascii="宋体" w:hAnsi="宋体" w:cs="宋体"/>
                <w:color w:val="auto"/>
                <w:sz w:val="24"/>
                <w:szCs w:val="24"/>
              </w:rPr>
              <w:t>投标人须在投标截止时间前将工程保函纸质原件、基本账户证明材料复印件（加盖公章）、保费支付的银行回单一并按要求递交。</w:t>
            </w:r>
          </w:p>
          <w:p w14:paraId="2AB511EB">
            <w:pPr>
              <w:autoSpaceDE/>
              <w:autoSpaceDN/>
              <w:adjustRightInd/>
              <w:spacing w:line="400" w:lineRule="exact"/>
              <w:ind w:firstLine="309" w:firstLineChars="129"/>
              <w:rPr>
                <w:rFonts w:ascii="宋体" w:hAnsi="宋体" w:cs="宋体"/>
                <w:color w:val="auto"/>
                <w:sz w:val="24"/>
                <w:szCs w:val="24"/>
              </w:rPr>
            </w:pPr>
            <w:r>
              <w:rPr>
                <w:rFonts w:hint="eastAsia" w:ascii="宋体" w:hAnsi="宋体" w:cs="宋体"/>
                <w:color w:val="auto"/>
                <w:sz w:val="24"/>
                <w:szCs w:val="24"/>
              </w:rPr>
              <w:t>递交方式：现场递交；</w:t>
            </w:r>
          </w:p>
          <w:p w14:paraId="3B794783">
            <w:pPr>
              <w:autoSpaceDE/>
              <w:autoSpaceDN/>
              <w:adjustRightInd/>
              <w:spacing w:line="400" w:lineRule="exact"/>
              <w:ind w:firstLine="311" w:firstLineChars="129"/>
              <w:rPr>
                <w:rFonts w:ascii="宋体" w:hAnsi="宋体" w:cs="宋体"/>
                <w:b/>
                <w:bCs/>
                <w:color w:val="auto"/>
                <w:sz w:val="24"/>
                <w:szCs w:val="24"/>
              </w:rPr>
            </w:pPr>
            <w:r>
              <w:rPr>
                <w:rFonts w:hint="eastAsia" w:ascii="宋体" w:hAnsi="宋体" w:cs="宋体"/>
                <w:b/>
                <w:bCs/>
                <w:color w:val="auto"/>
                <w:sz w:val="24"/>
                <w:szCs w:val="24"/>
              </w:rPr>
              <w:t>①若是投标人的法定代表人递交工程保函的，应持法定代表人身份证明原件（参考格式见附录1）及身份证原件，否则工程保函不予签收。</w:t>
            </w:r>
          </w:p>
          <w:p w14:paraId="2D418626">
            <w:pPr>
              <w:autoSpaceDE/>
              <w:autoSpaceDN/>
              <w:adjustRightInd/>
              <w:spacing w:line="400" w:lineRule="exact"/>
              <w:ind w:firstLine="311" w:firstLineChars="129"/>
              <w:rPr>
                <w:rFonts w:ascii="宋体" w:hAnsi="宋体" w:cs="宋体"/>
                <w:b/>
                <w:bCs/>
                <w:color w:val="auto"/>
                <w:sz w:val="24"/>
                <w:szCs w:val="24"/>
              </w:rPr>
            </w:pPr>
            <w:r>
              <w:rPr>
                <w:rFonts w:hint="eastAsia" w:ascii="宋体" w:hAnsi="宋体" w:cs="宋体"/>
                <w:b/>
                <w:bCs/>
                <w:color w:val="auto"/>
                <w:sz w:val="24"/>
                <w:szCs w:val="24"/>
              </w:rPr>
              <w:t>②若是投标人委托代理人递交工程保函的，应持针对本项目的法定代表人授权委托书原件（参考格式见附录1）及身份证原件，否则工程保函不予签收。</w:t>
            </w:r>
          </w:p>
          <w:p w14:paraId="02705FED">
            <w:pPr>
              <w:autoSpaceDE/>
              <w:autoSpaceDN/>
              <w:adjustRightInd/>
              <w:spacing w:line="400" w:lineRule="exact"/>
              <w:ind w:firstLine="311" w:firstLineChars="129"/>
              <w:rPr>
                <w:rFonts w:ascii="宋体" w:hAnsi="宋体" w:cs="宋体"/>
                <w:b/>
                <w:bCs/>
                <w:color w:val="auto"/>
                <w:sz w:val="24"/>
                <w:szCs w:val="24"/>
              </w:rPr>
            </w:pPr>
            <w:r>
              <w:rPr>
                <w:rFonts w:hint="eastAsia" w:ascii="宋体" w:hAnsi="宋体" w:cs="宋体"/>
                <w:b/>
                <w:bCs/>
                <w:color w:val="auto"/>
                <w:sz w:val="24"/>
                <w:szCs w:val="24"/>
              </w:rPr>
              <w:t>③递交工程保函时所要求提供的法定代表人授权委托书或法定代表人身份证明中的人员须与投标文件组成中提供的人员一致，若提供的不一致则以无效标处理。</w:t>
            </w:r>
          </w:p>
          <w:p w14:paraId="5D550DB7">
            <w:pPr>
              <w:autoSpaceDE/>
              <w:autoSpaceDN/>
              <w:adjustRightInd/>
              <w:spacing w:line="400" w:lineRule="exact"/>
              <w:ind w:firstLine="309" w:firstLineChars="129"/>
              <w:rPr>
                <w:rFonts w:ascii="宋体" w:hAnsi="宋体" w:cs="宋体"/>
                <w:color w:val="auto"/>
                <w:sz w:val="24"/>
                <w:szCs w:val="24"/>
              </w:rPr>
            </w:pPr>
            <w:r>
              <w:rPr>
                <w:rFonts w:hint="eastAsia" w:ascii="宋体" w:hAnsi="宋体" w:cs="宋体"/>
                <w:color w:val="auto"/>
                <w:sz w:val="24"/>
                <w:szCs w:val="24"/>
              </w:rPr>
              <w:t>递交时间：同投标文件递交截止时间；</w:t>
            </w:r>
          </w:p>
          <w:p w14:paraId="72403C72">
            <w:pPr>
              <w:autoSpaceDE/>
              <w:autoSpaceDN/>
              <w:adjustRightInd/>
              <w:spacing w:line="400" w:lineRule="exact"/>
              <w:ind w:firstLine="309" w:firstLineChars="129"/>
              <w:rPr>
                <w:rFonts w:ascii="宋体" w:hAnsi="宋体" w:cs="宋体"/>
                <w:color w:val="auto"/>
                <w:sz w:val="24"/>
                <w:szCs w:val="24"/>
              </w:rPr>
            </w:pPr>
            <w:r>
              <w:rPr>
                <w:rFonts w:hint="eastAsia" w:ascii="宋体" w:hAnsi="宋体" w:cs="宋体"/>
                <w:color w:val="auto"/>
                <w:sz w:val="24"/>
                <w:szCs w:val="24"/>
              </w:rPr>
              <w:t>递交地点：三门县公共资源交易中心交易大厅（一）或（二）；</w:t>
            </w:r>
          </w:p>
          <w:p w14:paraId="5C67FF07">
            <w:pPr>
              <w:autoSpaceDE/>
              <w:autoSpaceDN/>
              <w:adjustRightInd/>
              <w:spacing w:line="400" w:lineRule="exact"/>
              <w:ind w:firstLine="309" w:firstLineChars="129"/>
              <w:rPr>
                <w:rFonts w:ascii="宋体" w:hAnsi="宋体" w:cs="宋体"/>
                <w:color w:val="auto"/>
                <w:sz w:val="24"/>
                <w:szCs w:val="24"/>
              </w:rPr>
            </w:pPr>
            <w:r>
              <w:rPr>
                <w:rFonts w:hint="eastAsia" w:ascii="宋体" w:hAnsi="宋体" w:cs="宋体"/>
                <w:color w:val="auto"/>
                <w:sz w:val="24"/>
                <w:szCs w:val="24"/>
              </w:rPr>
              <w:t>接收人：</w:t>
            </w:r>
            <w:r>
              <w:rPr>
                <w:rFonts w:hint="eastAsia" w:ascii="宋体" w:hAnsi="宋体" w:cs="宋体"/>
                <w:color w:val="auto"/>
                <w:sz w:val="24"/>
                <w:szCs w:val="24"/>
                <w:lang w:eastAsia="zh-CN"/>
              </w:rPr>
              <w:t>欧邦工程管理集团有限公司</w:t>
            </w:r>
            <w:r>
              <w:rPr>
                <w:rFonts w:hint="eastAsia" w:ascii="宋体" w:hAnsi="宋体" w:cs="宋体"/>
                <w:color w:val="auto"/>
                <w:sz w:val="24"/>
                <w:szCs w:val="24"/>
              </w:rPr>
              <w:t>；</w:t>
            </w:r>
          </w:p>
          <w:p w14:paraId="3C4EF3DF">
            <w:pPr>
              <w:autoSpaceDE/>
              <w:autoSpaceDN/>
              <w:adjustRightInd/>
              <w:spacing w:line="400" w:lineRule="exact"/>
              <w:ind w:firstLine="309" w:firstLineChars="129"/>
              <w:rPr>
                <w:rFonts w:hint="default" w:ascii="宋体" w:hAnsi="宋体" w:cs="宋体" w:eastAsiaTheme="minorEastAsia"/>
                <w:color w:val="auto"/>
                <w:sz w:val="24"/>
                <w:szCs w:val="24"/>
                <w:lang w:val="en-US" w:eastAsia="zh-CN"/>
              </w:rPr>
            </w:pPr>
            <w:r>
              <w:rPr>
                <w:rFonts w:hint="eastAsia" w:ascii="宋体" w:hAnsi="宋体" w:cs="宋体"/>
                <w:color w:val="auto"/>
                <w:sz w:val="24"/>
                <w:szCs w:val="24"/>
              </w:rPr>
              <w:t>接收人联系方式：</w:t>
            </w:r>
            <w:r>
              <w:rPr>
                <w:rFonts w:hint="eastAsia" w:ascii="宋体" w:hAnsi="宋体" w:cs="宋体"/>
                <w:color w:val="auto"/>
                <w:sz w:val="24"/>
                <w:szCs w:val="24"/>
                <w:lang w:val="en-US" w:eastAsia="zh-CN"/>
              </w:rPr>
              <w:t>倪勇</w:t>
            </w:r>
            <w:r>
              <w:rPr>
                <w:rFonts w:hint="eastAsia" w:ascii="宋体" w:hAnsi="宋体" w:cs="宋体"/>
                <w:color w:val="auto"/>
                <w:sz w:val="24"/>
                <w:szCs w:val="24"/>
              </w:rPr>
              <w:t xml:space="preserve"> ；</w:t>
            </w:r>
            <w:r>
              <w:rPr>
                <w:rFonts w:hint="eastAsia" w:ascii="宋体" w:hAnsi="宋体" w:cs="宋体"/>
                <w:color w:val="auto"/>
                <w:sz w:val="24"/>
                <w:szCs w:val="24"/>
                <w:lang w:val="en-US" w:eastAsia="zh-CN"/>
              </w:rPr>
              <w:t>电话：18757166677；</w:t>
            </w:r>
          </w:p>
          <w:p w14:paraId="6145F4D4">
            <w:pPr>
              <w:autoSpaceDE/>
              <w:autoSpaceDN/>
              <w:adjustRightInd/>
              <w:spacing w:line="400" w:lineRule="exact"/>
              <w:ind w:firstLine="309" w:firstLineChars="129"/>
              <w:rPr>
                <w:rFonts w:ascii="宋体" w:hAnsi="宋体" w:cs="宋体"/>
                <w:color w:val="auto"/>
                <w:sz w:val="24"/>
                <w:szCs w:val="24"/>
              </w:rPr>
            </w:pPr>
            <w:r>
              <w:rPr>
                <w:rFonts w:hint="eastAsia" w:ascii="宋体" w:hAnsi="宋体" w:cs="宋体"/>
                <w:color w:val="auto"/>
                <w:sz w:val="24"/>
                <w:szCs w:val="24"/>
              </w:rPr>
              <w:t>注：投标保函文件中必须包含投标企业的信息，包含但不限于投标企业名称、保证方式、保证金额、保函获得时间、保证项目名称、保函有效期限、保费标准、费用支付账户（基本账户）等。保费应一函一付，通过企业基本账户支付。</w:t>
            </w:r>
            <w:r>
              <w:rPr>
                <w:rFonts w:hint="eastAsia" w:ascii="宋体" w:hAnsi="宋体" w:cs="宋体"/>
                <w:b/>
                <w:bCs/>
                <w:color w:val="auto"/>
                <w:sz w:val="24"/>
                <w:szCs w:val="24"/>
              </w:rPr>
              <w:t>（工程保函的保险（保证）责任必须包括本招标文件“投标人须知 3.4.4”所列条款。）（温馨提示：请各投标单位仔细核对工程保函的保险责任所列条款。）</w:t>
            </w:r>
          </w:p>
          <w:p w14:paraId="15E1DCB6">
            <w:pPr>
              <w:autoSpaceDE/>
              <w:autoSpaceDN/>
              <w:adjustRightInd/>
              <w:spacing w:line="400" w:lineRule="exact"/>
              <w:ind w:firstLine="309" w:firstLineChars="129"/>
              <w:rPr>
                <w:rFonts w:ascii="宋体" w:hAnsi="宋体" w:cs="宋体"/>
                <w:color w:val="auto"/>
                <w:sz w:val="24"/>
                <w:szCs w:val="24"/>
              </w:rPr>
            </w:pPr>
            <w:r>
              <w:rPr>
                <w:rFonts w:hint="eastAsia" w:ascii="宋体" w:hAnsi="宋体" w:cs="宋体"/>
                <w:color w:val="auto"/>
                <w:sz w:val="24"/>
                <w:szCs w:val="24"/>
              </w:rPr>
              <w:t>3、注意事项</w:t>
            </w:r>
          </w:p>
          <w:p w14:paraId="4FE70092">
            <w:pPr>
              <w:autoSpaceDE/>
              <w:autoSpaceDN/>
              <w:adjustRightInd/>
              <w:spacing w:line="400" w:lineRule="exact"/>
              <w:ind w:firstLine="309" w:firstLineChars="129"/>
              <w:rPr>
                <w:rFonts w:ascii="宋体" w:hAnsi="宋体" w:cs="宋体"/>
                <w:color w:val="auto"/>
                <w:sz w:val="24"/>
                <w:szCs w:val="24"/>
              </w:rPr>
            </w:pPr>
            <w:r>
              <w:rPr>
                <w:rFonts w:hint="eastAsia" w:ascii="宋体" w:hAnsi="宋体" w:cs="宋体"/>
                <w:color w:val="auto"/>
                <w:sz w:val="24"/>
                <w:szCs w:val="24"/>
              </w:rPr>
              <w:t>①若招标文件允许联合体投标且投标人以联合体身份投标的，由联合体牵头人提交投标保证金；</w:t>
            </w:r>
          </w:p>
          <w:p w14:paraId="573D9F0F">
            <w:pPr>
              <w:autoSpaceDE/>
              <w:autoSpaceDN/>
              <w:adjustRightInd/>
              <w:spacing w:line="400" w:lineRule="exact"/>
              <w:ind w:firstLine="309" w:firstLineChars="129"/>
              <w:rPr>
                <w:rFonts w:ascii="宋体" w:hAnsi="宋体" w:cs="宋体"/>
                <w:color w:val="auto"/>
                <w:sz w:val="24"/>
                <w:szCs w:val="24"/>
              </w:rPr>
            </w:pPr>
            <w:r>
              <w:rPr>
                <w:rFonts w:hint="eastAsia" w:ascii="宋体" w:hAnsi="宋体" w:cs="宋体"/>
                <w:color w:val="auto"/>
                <w:sz w:val="24"/>
                <w:szCs w:val="24"/>
              </w:rPr>
              <w:t>②投标保证金收款账号根据不同工程（标段）由系统随机生成，此账号只在本工程（标段）中使用有效，请注意核对；</w:t>
            </w:r>
          </w:p>
          <w:p w14:paraId="2BE8A31F">
            <w:pPr>
              <w:autoSpaceDE/>
              <w:autoSpaceDN/>
              <w:adjustRightInd/>
              <w:spacing w:line="400" w:lineRule="exact"/>
              <w:ind w:firstLine="309" w:firstLineChars="129"/>
              <w:rPr>
                <w:rFonts w:ascii="宋体" w:hAnsi="宋体" w:cs="宋体"/>
                <w:color w:val="auto"/>
                <w:sz w:val="24"/>
                <w:szCs w:val="24"/>
              </w:rPr>
            </w:pPr>
            <w:r>
              <w:rPr>
                <w:rFonts w:hint="eastAsia" w:ascii="宋体" w:hAnsi="宋体" w:cs="宋体"/>
                <w:color w:val="auto"/>
                <w:sz w:val="24"/>
                <w:szCs w:val="24"/>
              </w:rPr>
              <w:t>③因各银行系统到账时间不同，采用现金方式缴纳投标保证金的，请尽量提前缴纳，以实际到帐时间为准；</w:t>
            </w:r>
          </w:p>
          <w:p w14:paraId="51B5E81F">
            <w:pPr>
              <w:autoSpaceDE/>
              <w:autoSpaceDN/>
              <w:adjustRightInd/>
              <w:spacing w:line="400" w:lineRule="exact"/>
              <w:ind w:firstLine="311" w:firstLineChars="129"/>
              <w:rPr>
                <w:rFonts w:ascii="宋体" w:hAnsi="宋体" w:cs="宋体"/>
                <w:b/>
                <w:color w:val="auto"/>
                <w:sz w:val="24"/>
                <w:szCs w:val="24"/>
              </w:rPr>
            </w:pPr>
            <w:r>
              <w:rPr>
                <w:rFonts w:hint="eastAsia" w:ascii="宋体" w:hAnsi="宋体" w:cs="宋体"/>
                <w:b/>
                <w:color w:val="auto"/>
                <w:sz w:val="24"/>
                <w:szCs w:val="24"/>
              </w:rPr>
              <w:t>④以现金形式提交的投标保证金应当从投标人基本账户转出；</w:t>
            </w:r>
          </w:p>
          <w:p w14:paraId="0317332E">
            <w:pPr>
              <w:autoSpaceDE/>
              <w:autoSpaceDN/>
              <w:adjustRightInd/>
              <w:spacing w:line="400" w:lineRule="exact"/>
              <w:ind w:firstLine="267"/>
              <w:rPr>
                <w:rFonts w:ascii="宋体" w:hAnsi="宋体" w:cs="宋体"/>
                <w:color w:val="auto"/>
                <w:sz w:val="24"/>
                <w:szCs w:val="24"/>
              </w:rPr>
            </w:pPr>
            <w:r>
              <w:rPr>
                <w:rFonts w:hint="eastAsia" w:ascii="宋体" w:hAnsi="宋体" w:cs="宋体"/>
                <w:color w:val="auto"/>
                <w:sz w:val="24"/>
                <w:szCs w:val="24"/>
              </w:rPr>
              <w:t>⑤若有疑问，请咨询技术服务热线：13968512856。</w:t>
            </w:r>
          </w:p>
          <w:p w14:paraId="4E4A5212">
            <w:pPr>
              <w:pStyle w:val="23"/>
              <w:spacing w:before="155" w:line="230" w:lineRule="auto"/>
              <w:ind w:left="35" w:right="121" w:firstLine="481"/>
              <w:rPr>
                <w:color w:val="auto"/>
                <w:sz w:val="24"/>
                <w:szCs w:val="24"/>
                <w:lang w:eastAsia="zh-CN"/>
              </w:rPr>
            </w:pPr>
            <w:r>
              <w:rPr>
                <w:rFonts w:hint="eastAsia" w:ascii="宋体" w:hAnsi="宋体" w:cs="宋体"/>
                <w:b/>
                <w:color w:val="auto"/>
                <w:sz w:val="24"/>
                <w:szCs w:val="24"/>
              </w:rPr>
              <w:t>⑥以上未按要求提供或提供不清晰的，评标委员会可能做出不利于投标人的评审结果，由此造成的风险由投标人自行承担。</w:t>
            </w:r>
          </w:p>
        </w:tc>
      </w:tr>
      <w:tr w14:paraId="126F0C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080" w:type="dxa"/>
            <w:vAlign w:val="center"/>
          </w:tcPr>
          <w:p w14:paraId="7D710F8E">
            <w:pPr>
              <w:spacing w:before="69" w:line="188" w:lineRule="auto"/>
              <w:ind w:left="238"/>
              <w:jc w:val="both"/>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3"/>
                <w:sz w:val="24"/>
                <w:szCs w:val="24"/>
              </w:rPr>
              <w:t>3.4.4</w:t>
            </w:r>
          </w:p>
        </w:tc>
        <w:tc>
          <w:tcPr>
            <w:tcW w:w="1305" w:type="dxa"/>
            <w:vAlign w:val="center"/>
          </w:tcPr>
          <w:p w14:paraId="55F82642">
            <w:pPr>
              <w:pStyle w:val="23"/>
              <w:spacing w:before="78" w:line="219" w:lineRule="auto"/>
              <w:jc w:val="center"/>
              <w:rPr>
                <w:color w:val="auto"/>
                <w:sz w:val="24"/>
                <w:szCs w:val="24"/>
              </w:rPr>
            </w:pPr>
            <w:r>
              <w:rPr>
                <w:color w:val="auto"/>
                <w:spacing w:val="-2"/>
                <w:sz w:val="24"/>
                <w:szCs w:val="24"/>
                <w:lang w:eastAsia="zh-CN"/>
              </w:rPr>
              <w:t>其他可以不予退还投标保证金的</w:t>
            </w:r>
            <w:r>
              <w:rPr>
                <w:color w:val="auto"/>
                <w:spacing w:val="-4"/>
                <w:sz w:val="24"/>
                <w:szCs w:val="24"/>
              </w:rPr>
              <w:t>情形</w:t>
            </w:r>
          </w:p>
        </w:tc>
        <w:tc>
          <w:tcPr>
            <w:tcW w:w="7229" w:type="dxa"/>
          </w:tcPr>
          <w:p w14:paraId="0BFBCCD5">
            <w:pPr>
              <w:pStyle w:val="23"/>
              <w:spacing w:before="52" w:line="228" w:lineRule="auto"/>
              <w:ind w:left="33" w:right="27" w:firstLine="25"/>
              <w:rPr>
                <w:color w:val="auto"/>
                <w:sz w:val="24"/>
                <w:szCs w:val="24"/>
                <w:lang w:eastAsia="zh-CN"/>
              </w:rPr>
            </w:pPr>
            <w:r>
              <w:rPr>
                <w:rFonts w:hint="eastAsia"/>
                <w:color w:val="auto"/>
                <w:spacing w:val="4"/>
                <w:sz w:val="24"/>
                <w:szCs w:val="24"/>
                <w:lang w:eastAsia="zh-CN"/>
              </w:rPr>
              <w:t>☑</w:t>
            </w:r>
            <w:r>
              <w:rPr>
                <w:rFonts w:hint="eastAsia" w:ascii="宋体" w:hAnsi="宋体" w:eastAsia="宋体" w:cs="宋体"/>
                <w:spacing w:val="5"/>
                <w:sz w:val="24"/>
                <w:szCs w:val="24"/>
                <w:highlight w:val="none"/>
                <w:lang w:val="en-US" w:eastAsia="zh-CN"/>
              </w:rPr>
              <w:t>1.经查实，投标人在投标过程中存在串通投标或弄虚作假的。</w:t>
            </w:r>
          </w:p>
          <w:p w14:paraId="2DDBE8A8">
            <w:pPr>
              <w:pStyle w:val="23"/>
              <w:spacing w:before="29" w:line="229" w:lineRule="auto"/>
              <w:ind w:left="35" w:right="27" w:firstLine="23"/>
              <w:rPr>
                <w:color w:val="auto"/>
                <w:sz w:val="24"/>
                <w:szCs w:val="24"/>
                <w:lang w:eastAsia="zh-CN"/>
              </w:rPr>
            </w:pPr>
            <w:r>
              <w:rPr>
                <w:rFonts w:hint="eastAsia"/>
                <w:color w:val="auto"/>
                <w:spacing w:val="4"/>
                <w:sz w:val="24"/>
                <w:szCs w:val="24"/>
                <w:lang w:eastAsia="zh-CN"/>
              </w:rPr>
              <w:t>☑</w:t>
            </w:r>
            <w:r>
              <w:rPr>
                <w:rFonts w:hint="eastAsia" w:ascii="宋体" w:hAnsi="宋体" w:eastAsia="宋体" w:cs="宋体"/>
                <w:spacing w:val="5"/>
                <w:sz w:val="24"/>
                <w:szCs w:val="24"/>
                <w:highlight w:val="none"/>
                <w:lang w:val="en-US" w:eastAsia="zh-CN"/>
              </w:rPr>
              <w:t>2.拟派项目负责人在投标截止日有在其他在建合同工程上担任项目负责人的情形。</w:t>
            </w:r>
          </w:p>
          <w:p w14:paraId="3BE28AD1">
            <w:pPr>
              <w:pStyle w:val="23"/>
              <w:keepNext w:val="0"/>
              <w:keepLines w:val="0"/>
              <w:pageBreakBefore w:val="0"/>
              <w:widowControl w:val="0"/>
              <w:kinsoku/>
              <w:wordWrap/>
              <w:overflowPunct/>
              <w:topLinePunct w:val="0"/>
              <w:autoSpaceDE w:val="0"/>
              <w:autoSpaceDN w:val="0"/>
              <w:bidi w:val="0"/>
              <w:adjustRightInd w:val="0"/>
              <w:snapToGrid/>
              <w:spacing w:line="400" w:lineRule="exact"/>
              <w:ind w:left="33" w:leftChars="0" w:right="27" w:rightChars="0" w:firstLine="12" w:firstLineChars="0"/>
              <w:textAlignment w:val="auto"/>
              <w:rPr>
                <w:rFonts w:hint="default" w:ascii="宋体" w:hAnsi="宋体" w:eastAsia="宋体" w:cs="宋体"/>
                <w:spacing w:val="5"/>
                <w:sz w:val="24"/>
                <w:szCs w:val="24"/>
                <w:highlight w:val="none"/>
                <w:lang w:val="en-US" w:eastAsia="zh-CN"/>
              </w:rPr>
            </w:pPr>
            <w:r>
              <w:rPr>
                <w:rFonts w:hint="eastAsia" w:ascii="宋体" w:hAnsi="宋体" w:eastAsia="宋体" w:cs="宋体"/>
                <w:spacing w:val="5"/>
                <w:sz w:val="24"/>
                <w:szCs w:val="24"/>
                <w:highlight w:val="none"/>
                <w:lang w:val="en-US" w:eastAsia="zh-CN"/>
              </w:rPr>
              <w:t>3</w:t>
            </w:r>
            <w:r>
              <w:rPr>
                <w:rFonts w:ascii="宋体" w:hAnsi="宋体" w:eastAsia="宋体" w:cs="宋体"/>
                <w:spacing w:val="5"/>
                <w:sz w:val="24"/>
                <w:szCs w:val="24"/>
                <w:highlight w:val="none"/>
                <w:lang w:eastAsia="zh-CN"/>
              </w:rPr>
              <w:t>.其他：</w:t>
            </w:r>
            <w:r>
              <w:rPr>
                <w:rFonts w:hint="eastAsia" w:ascii="宋体" w:hAnsi="宋体" w:eastAsia="宋体" w:cs="宋体"/>
                <w:spacing w:val="5"/>
                <w:sz w:val="24"/>
                <w:szCs w:val="24"/>
                <w:highlight w:val="none"/>
                <w:lang w:val="en-US" w:eastAsia="zh-CN"/>
              </w:rPr>
              <w:t>投标人违反《台州市建设工程诚信投标承诺书》 承诺内容，或者对《台州市建设工程投标人资格自查表》 和《台州市建设工程项目负责人资格自查表》中的自查内容进行虚假瞒报的；</w:t>
            </w:r>
          </w:p>
          <w:p w14:paraId="6CC576F9">
            <w:pPr>
              <w:pStyle w:val="23"/>
              <w:keepNext w:val="0"/>
              <w:keepLines w:val="0"/>
              <w:pageBreakBefore w:val="0"/>
              <w:widowControl w:val="0"/>
              <w:kinsoku/>
              <w:wordWrap/>
              <w:overflowPunct/>
              <w:topLinePunct w:val="0"/>
              <w:autoSpaceDE w:val="0"/>
              <w:autoSpaceDN w:val="0"/>
              <w:bidi w:val="0"/>
              <w:adjustRightInd w:val="0"/>
              <w:snapToGrid/>
              <w:spacing w:line="400" w:lineRule="exact"/>
              <w:ind w:left="33"/>
              <w:textAlignment w:val="auto"/>
              <w:rPr>
                <w:sz w:val="24"/>
                <w:szCs w:val="24"/>
                <w:highlight w:val="none"/>
                <w:lang w:eastAsia="zh-CN"/>
              </w:rPr>
            </w:pPr>
            <w:r>
              <w:rPr>
                <w:spacing w:val="-2"/>
                <w:sz w:val="24"/>
                <w:szCs w:val="24"/>
                <w:highlight w:val="none"/>
                <w:lang w:eastAsia="zh-CN"/>
              </w:rPr>
              <w:t>注：本招标文件的“投标保证金不予退还”是指：</w:t>
            </w:r>
          </w:p>
          <w:p w14:paraId="71789E8D">
            <w:pPr>
              <w:pStyle w:val="23"/>
              <w:keepNext w:val="0"/>
              <w:keepLines w:val="0"/>
              <w:pageBreakBefore w:val="0"/>
              <w:widowControl w:val="0"/>
              <w:kinsoku/>
              <w:wordWrap/>
              <w:overflowPunct/>
              <w:topLinePunct w:val="0"/>
              <w:autoSpaceDE w:val="0"/>
              <w:autoSpaceDN w:val="0"/>
              <w:bidi w:val="0"/>
              <w:adjustRightInd w:val="0"/>
              <w:snapToGrid/>
              <w:spacing w:line="400" w:lineRule="exact"/>
              <w:ind w:left="45"/>
              <w:textAlignment w:val="auto"/>
              <w:rPr>
                <w:sz w:val="24"/>
                <w:szCs w:val="24"/>
                <w:highlight w:val="none"/>
                <w:lang w:eastAsia="zh-CN"/>
              </w:rPr>
            </w:pPr>
            <w:r>
              <w:rPr>
                <w:spacing w:val="-2"/>
                <w:sz w:val="24"/>
                <w:szCs w:val="24"/>
                <w:highlight w:val="none"/>
                <w:lang w:eastAsia="zh-CN"/>
              </w:rPr>
              <w:t>（</w:t>
            </w:r>
            <w:r>
              <w:rPr>
                <w:rFonts w:ascii="Times New Roman" w:hAnsi="Times New Roman" w:eastAsia="Times New Roman" w:cs="Times New Roman"/>
                <w:spacing w:val="-2"/>
                <w:sz w:val="24"/>
                <w:szCs w:val="24"/>
                <w:highlight w:val="none"/>
                <w:lang w:eastAsia="zh-CN"/>
              </w:rPr>
              <w:t>1</w:t>
            </w:r>
            <w:r>
              <w:rPr>
                <w:spacing w:val="-2"/>
                <w:sz w:val="24"/>
                <w:szCs w:val="24"/>
                <w:highlight w:val="none"/>
                <w:lang w:eastAsia="zh-CN"/>
              </w:rPr>
              <w:t>）以现金转账形式，转账现金不予退还。</w:t>
            </w:r>
          </w:p>
          <w:p w14:paraId="67ABA137">
            <w:pPr>
              <w:pStyle w:val="23"/>
              <w:keepNext w:val="0"/>
              <w:keepLines w:val="0"/>
              <w:pageBreakBefore w:val="0"/>
              <w:widowControl w:val="0"/>
              <w:kinsoku/>
              <w:wordWrap/>
              <w:overflowPunct/>
              <w:topLinePunct w:val="0"/>
              <w:autoSpaceDE w:val="0"/>
              <w:autoSpaceDN w:val="0"/>
              <w:bidi w:val="0"/>
              <w:adjustRightInd w:val="0"/>
              <w:snapToGrid/>
              <w:spacing w:line="400" w:lineRule="exact"/>
              <w:ind w:left="34" w:right="27" w:firstLine="11"/>
              <w:textAlignment w:val="auto"/>
              <w:rPr>
                <w:sz w:val="24"/>
                <w:szCs w:val="24"/>
                <w:highlight w:val="none"/>
                <w:lang w:eastAsia="zh-CN"/>
              </w:rPr>
            </w:pPr>
            <w:r>
              <w:rPr>
                <w:spacing w:val="5"/>
                <w:sz w:val="24"/>
                <w:szCs w:val="24"/>
                <w:highlight w:val="none"/>
                <w:lang w:eastAsia="zh-CN"/>
              </w:rPr>
              <w:t>（</w:t>
            </w:r>
            <w:r>
              <w:rPr>
                <w:rFonts w:ascii="Times New Roman" w:hAnsi="Times New Roman" w:eastAsia="Times New Roman" w:cs="Times New Roman"/>
                <w:spacing w:val="5"/>
                <w:sz w:val="24"/>
                <w:szCs w:val="24"/>
                <w:highlight w:val="none"/>
                <w:lang w:eastAsia="zh-CN"/>
              </w:rPr>
              <w:t>2</w:t>
            </w:r>
            <w:r>
              <w:rPr>
                <w:spacing w:val="5"/>
                <w:sz w:val="24"/>
                <w:szCs w:val="24"/>
                <w:highlight w:val="none"/>
                <w:lang w:eastAsia="zh-CN"/>
              </w:rPr>
              <w:t>）以银行（数字）保函形式，招标人作为受益人向银</w:t>
            </w:r>
            <w:r>
              <w:rPr>
                <w:spacing w:val="-2"/>
                <w:sz w:val="24"/>
                <w:szCs w:val="24"/>
                <w:highlight w:val="none"/>
                <w:lang w:eastAsia="zh-CN"/>
              </w:rPr>
              <w:t>行提起索赔。</w:t>
            </w:r>
          </w:p>
          <w:p w14:paraId="7BDBFF80">
            <w:pPr>
              <w:pStyle w:val="23"/>
              <w:keepNext w:val="0"/>
              <w:keepLines w:val="0"/>
              <w:pageBreakBefore w:val="0"/>
              <w:widowControl w:val="0"/>
              <w:kinsoku/>
              <w:wordWrap/>
              <w:overflowPunct/>
              <w:topLinePunct w:val="0"/>
              <w:autoSpaceDE w:val="0"/>
              <w:autoSpaceDN w:val="0"/>
              <w:bidi w:val="0"/>
              <w:adjustRightInd w:val="0"/>
              <w:snapToGrid/>
              <w:spacing w:line="400" w:lineRule="exact"/>
              <w:ind w:left="61" w:right="48" w:hanging="16"/>
              <w:textAlignment w:val="auto"/>
              <w:rPr>
                <w:sz w:val="24"/>
                <w:szCs w:val="24"/>
                <w:highlight w:val="none"/>
                <w:lang w:eastAsia="zh-CN"/>
              </w:rPr>
            </w:pPr>
            <w:r>
              <w:rPr>
                <w:spacing w:val="4"/>
                <w:sz w:val="24"/>
                <w:szCs w:val="24"/>
                <w:highlight w:val="none"/>
                <w:lang w:eastAsia="zh-CN"/>
              </w:rPr>
              <w:t>（</w:t>
            </w:r>
            <w:r>
              <w:rPr>
                <w:rFonts w:ascii="Times New Roman" w:hAnsi="Times New Roman" w:eastAsia="Times New Roman" w:cs="Times New Roman"/>
                <w:spacing w:val="4"/>
                <w:sz w:val="24"/>
                <w:szCs w:val="24"/>
                <w:highlight w:val="none"/>
                <w:lang w:eastAsia="zh-CN"/>
              </w:rPr>
              <w:t>3</w:t>
            </w:r>
            <w:r>
              <w:rPr>
                <w:spacing w:val="4"/>
                <w:sz w:val="24"/>
                <w:szCs w:val="24"/>
                <w:highlight w:val="none"/>
                <w:lang w:eastAsia="zh-CN"/>
              </w:rPr>
              <w:t>）以保证保险形式，招标人作为被保险人（受益人）</w:t>
            </w:r>
            <w:r>
              <w:rPr>
                <w:spacing w:val="-5"/>
                <w:sz w:val="24"/>
                <w:szCs w:val="24"/>
                <w:highlight w:val="none"/>
                <w:lang w:eastAsia="zh-CN"/>
              </w:rPr>
              <w:t>向保险人提起索赔。</w:t>
            </w:r>
          </w:p>
          <w:p w14:paraId="4505F7A5">
            <w:pPr>
              <w:pStyle w:val="23"/>
              <w:spacing w:before="29" w:line="226" w:lineRule="auto"/>
              <w:ind w:left="33" w:right="27" w:firstLine="12"/>
              <w:rPr>
                <w:color w:val="auto"/>
                <w:sz w:val="24"/>
                <w:szCs w:val="24"/>
                <w:lang w:eastAsia="zh-CN"/>
              </w:rPr>
            </w:pPr>
            <w:r>
              <w:rPr>
                <w:spacing w:val="5"/>
                <w:sz w:val="24"/>
                <w:szCs w:val="24"/>
                <w:highlight w:val="none"/>
                <w:lang w:eastAsia="zh-CN"/>
              </w:rPr>
              <w:t>（</w:t>
            </w:r>
            <w:r>
              <w:rPr>
                <w:rFonts w:ascii="Times New Roman" w:hAnsi="Times New Roman" w:eastAsia="Times New Roman" w:cs="Times New Roman"/>
                <w:spacing w:val="5"/>
                <w:sz w:val="24"/>
                <w:szCs w:val="24"/>
                <w:highlight w:val="none"/>
                <w:lang w:eastAsia="zh-CN"/>
              </w:rPr>
              <w:t>4</w:t>
            </w:r>
            <w:r>
              <w:rPr>
                <w:spacing w:val="5"/>
                <w:sz w:val="24"/>
                <w:szCs w:val="24"/>
                <w:highlight w:val="none"/>
                <w:lang w:eastAsia="zh-CN"/>
              </w:rPr>
              <w:t>）以担保公司担保形式，招标人作为受益人向担保人</w:t>
            </w:r>
            <w:r>
              <w:rPr>
                <w:spacing w:val="-2"/>
                <w:sz w:val="24"/>
                <w:szCs w:val="24"/>
                <w:highlight w:val="none"/>
                <w:lang w:eastAsia="zh-CN"/>
              </w:rPr>
              <w:t>提起索赔。</w:t>
            </w:r>
          </w:p>
        </w:tc>
      </w:tr>
      <w:tr w14:paraId="7B9C11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59" w:hRule="atLeast"/>
        </w:trPr>
        <w:tc>
          <w:tcPr>
            <w:tcW w:w="1080" w:type="dxa"/>
            <w:vAlign w:val="center"/>
          </w:tcPr>
          <w:p w14:paraId="49617D45">
            <w:pPr>
              <w:spacing w:line="246" w:lineRule="auto"/>
              <w:jc w:val="center"/>
              <w:rPr>
                <w:color w:val="auto"/>
              </w:rPr>
            </w:pPr>
          </w:p>
          <w:p w14:paraId="6A917CDB">
            <w:pPr>
              <w:pStyle w:val="23"/>
              <w:spacing w:before="69" w:line="235" w:lineRule="auto"/>
              <w:ind w:left="189" w:right="189" w:firstLine="48"/>
              <w:jc w:val="center"/>
              <w:rPr>
                <w:color w:val="auto"/>
                <w:sz w:val="24"/>
                <w:szCs w:val="24"/>
              </w:rPr>
            </w:pPr>
            <w:r>
              <w:rPr>
                <w:rFonts w:ascii="Times New Roman" w:hAnsi="Times New Roman" w:eastAsia="Times New Roman" w:cs="Times New Roman"/>
                <w:color w:val="auto"/>
                <w:spacing w:val="-3"/>
                <w:sz w:val="24"/>
                <w:szCs w:val="24"/>
              </w:rPr>
              <w:t>3.7.3</w:t>
            </w:r>
            <w:r>
              <w:rPr>
                <w:color w:val="auto"/>
                <w:spacing w:val="-14"/>
                <w:sz w:val="24"/>
                <w:szCs w:val="24"/>
              </w:rPr>
              <w:t>（</w:t>
            </w:r>
            <w:r>
              <w:rPr>
                <w:rFonts w:ascii="Times New Roman" w:hAnsi="Times New Roman" w:eastAsia="Times New Roman" w:cs="Times New Roman"/>
                <w:color w:val="auto"/>
                <w:spacing w:val="-14"/>
                <w:sz w:val="24"/>
                <w:szCs w:val="24"/>
              </w:rPr>
              <w:t>1</w:t>
            </w:r>
            <w:r>
              <w:rPr>
                <w:color w:val="auto"/>
                <w:spacing w:val="-14"/>
                <w:sz w:val="24"/>
                <w:szCs w:val="24"/>
              </w:rPr>
              <w:t>）</w:t>
            </w:r>
          </w:p>
        </w:tc>
        <w:tc>
          <w:tcPr>
            <w:tcW w:w="1305" w:type="dxa"/>
            <w:vAlign w:val="center"/>
          </w:tcPr>
          <w:p w14:paraId="1A200247">
            <w:pPr>
              <w:spacing w:line="312" w:lineRule="auto"/>
              <w:jc w:val="center"/>
              <w:rPr>
                <w:color w:val="auto"/>
                <w:lang w:eastAsia="zh-CN"/>
              </w:rPr>
            </w:pPr>
          </w:p>
          <w:p w14:paraId="2F22782B">
            <w:pPr>
              <w:spacing w:line="313" w:lineRule="auto"/>
              <w:jc w:val="center"/>
              <w:rPr>
                <w:color w:val="auto"/>
                <w:lang w:eastAsia="zh-CN"/>
              </w:rPr>
            </w:pPr>
          </w:p>
          <w:p w14:paraId="45C7F163">
            <w:pPr>
              <w:pStyle w:val="23"/>
              <w:tabs>
                <w:tab w:val="left" w:pos="1260"/>
              </w:tabs>
              <w:spacing w:before="78" w:line="228" w:lineRule="auto"/>
              <w:ind w:right="164"/>
              <w:jc w:val="center"/>
              <w:rPr>
                <w:color w:val="auto"/>
                <w:sz w:val="24"/>
                <w:szCs w:val="24"/>
                <w:lang w:eastAsia="zh-CN"/>
              </w:rPr>
            </w:pPr>
            <w:r>
              <w:rPr>
                <w:color w:val="auto"/>
                <w:spacing w:val="-7"/>
                <w:sz w:val="24"/>
                <w:szCs w:val="24"/>
                <w:lang w:eastAsia="zh-CN"/>
              </w:rPr>
              <w:t>电子投标文件</w:t>
            </w:r>
            <w:r>
              <w:rPr>
                <w:color w:val="auto"/>
                <w:spacing w:val="-3"/>
                <w:sz w:val="24"/>
                <w:szCs w:val="24"/>
                <w:lang w:eastAsia="zh-CN"/>
              </w:rPr>
              <w:t>盖章要求</w:t>
            </w:r>
          </w:p>
        </w:tc>
        <w:tc>
          <w:tcPr>
            <w:tcW w:w="7229" w:type="dxa"/>
          </w:tcPr>
          <w:p w14:paraId="344381A4">
            <w:pPr>
              <w:pStyle w:val="27"/>
              <w:numPr>
                <w:ilvl w:val="0"/>
                <w:numId w:val="0"/>
              </w:numPr>
              <w:kinsoku w:val="0"/>
              <w:spacing w:line="440" w:lineRule="exact"/>
              <w:ind w:left="425" w:leftChars="0" w:hanging="425"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lang w:val="en-US" w:eastAsia="zh-CN" w:bidi="ar-SA"/>
              </w:rPr>
              <w:t>1.</w:t>
            </w:r>
            <w:r>
              <w:rPr>
                <w:rFonts w:hint="eastAsia" w:ascii="宋体" w:hAnsi="宋体" w:eastAsia="宋体" w:cs="宋体"/>
                <w:color w:val="auto"/>
                <w:sz w:val="24"/>
                <w:szCs w:val="24"/>
                <w:highlight w:val="none"/>
              </w:rPr>
              <w:t>投标文件格式文件要求投标人盖章、法定代表人印章的地方，投标人均应使用CA数字证书加盖投标人的单位电子印章、法定代表人个人电子印章。联合体投标的，除联合体协议书格式之外的仅由联合体牵头人加盖单位电子印章、法定代表人个人电子印章即可。</w:t>
            </w:r>
          </w:p>
          <w:p w14:paraId="6A27E4B7">
            <w:pPr>
              <w:pStyle w:val="23"/>
              <w:spacing w:before="28" w:line="228" w:lineRule="auto"/>
              <w:ind w:left="36" w:right="30" w:firstLine="22"/>
              <w:rPr>
                <w:color w:val="auto"/>
                <w:sz w:val="24"/>
                <w:szCs w:val="24"/>
                <w:lang w:eastAsia="zh-CN"/>
              </w:rPr>
            </w:pPr>
            <w:r>
              <w:rPr>
                <w:rFonts w:hint="eastAsia" w:ascii="宋体" w:hAnsi="宋体" w:eastAsia="宋体" w:cs="宋体"/>
                <w:sz w:val="24"/>
                <w:szCs w:val="24"/>
                <w:lang w:val="en-US" w:eastAsia="zh-CN" w:bidi="ar-SA"/>
              </w:rPr>
              <w:t>2.</w:t>
            </w:r>
            <w:r>
              <w:rPr>
                <w:rFonts w:hint="eastAsia" w:ascii="宋体" w:hAnsi="宋体" w:eastAsia="宋体" w:cs="宋体"/>
                <w:color w:val="auto"/>
                <w:sz w:val="24"/>
                <w:szCs w:val="24"/>
                <w:highlight w:val="none"/>
              </w:rPr>
              <w:sym w:font="Wingdings 2" w:char="0052"/>
            </w:r>
            <w:r>
              <w:rPr>
                <w:rFonts w:hint="eastAsia" w:ascii="宋体" w:hAnsi="宋体" w:eastAsia="宋体" w:cs="宋体"/>
                <w:color w:val="auto"/>
                <w:sz w:val="24"/>
                <w:szCs w:val="24"/>
                <w:highlight w:val="none"/>
              </w:rPr>
              <w:t>投标文件所附证书证件、业绩证明文件、投标保证金等证明材料用原件扫描件并加盖投标单位电子印章；</w:t>
            </w:r>
          </w:p>
        </w:tc>
      </w:tr>
      <w:tr w14:paraId="1C1B4C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3" w:hRule="atLeast"/>
        </w:trPr>
        <w:tc>
          <w:tcPr>
            <w:tcW w:w="1080" w:type="dxa"/>
            <w:vAlign w:val="center"/>
          </w:tcPr>
          <w:p w14:paraId="19FCEC85">
            <w:pPr>
              <w:pStyle w:val="23"/>
              <w:spacing w:before="244" w:line="235" w:lineRule="auto"/>
              <w:ind w:left="189" w:right="189" w:firstLine="48"/>
              <w:jc w:val="center"/>
              <w:rPr>
                <w:color w:val="auto"/>
                <w:sz w:val="24"/>
                <w:szCs w:val="24"/>
              </w:rPr>
            </w:pPr>
            <w:r>
              <w:rPr>
                <w:rFonts w:ascii="Times New Roman" w:hAnsi="Times New Roman" w:eastAsia="Times New Roman" w:cs="Times New Roman"/>
                <w:color w:val="auto"/>
                <w:spacing w:val="-3"/>
                <w:sz w:val="24"/>
                <w:szCs w:val="24"/>
              </w:rPr>
              <w:t>3.7.3</w:t>
            </w:r>
            <w:r>
              <w:rPr>
                <w:color w:val="auto"/>
                <w:spacing w:val="-14"/>
                <w:sz w:val="24"/>
                <w:szCs w:val="24"/>
              </w:rPr>
              <w:t>（</w:t>
            </w:r>
            <w:r>
              <w:rPr>
                <w:rFonts w:ascii="Times New Roman" w:hAnsi="Times New Roman" w:eastAsia="Times New Roman" w:cs="Times New Roman"/>
                <w:color w:val="auto"/>
                <w:spacing w:val="-14"/>
                <w:sz w:val="24"/>
                <w:szCs w:val="24"/>
              </w:rPr>
              <w:t>2</w:t>
            </w:r>
            <w:r>
              <w:rPr>
                <w:color w:val="auto"/>
                <w:spacing w:val="-14"/>
                <w:sz w:val="24"/>
                <w:szCs w:val="24"/>
              </w:rPr>
              <w:t>）</w:t>
            </w:r>
          </w:p>
        </w:tc>
        <w:tc>
          <w:tcPr>
            <w:tcW w:w="1305" w:type="dxa"/>
            <w:vAlign w:val="center"/>
          </w:tcPr>
          <w:p w14:paraId="0C13C98E">
            <w:pPr>
              <w:pStyle w:val="23"/>
              <w:spacing w:before="202" w:line="230" w:lineRule="auto"/>
              <w:ind w:right="164"/>
              <w:jc w:val="center"/>
              <w:rPr>
                <w:color w:val="auto"/>
                <w:sz w:val="24"/>
                <w:szCs w:val="24"/>
              </w:rPr>
            </w:pPr>
            <w:r>
              <w:rPr>
                <w:color w:val="auto"/>
                <w:spacing w:val="-7"/>
                <w:sz w:val="24"/>
                <w:szCs w:val="24"/>
              </w:rPr>
              <w:t>电子投标文件</w:t>
            </w:r>
            <w:r>
              <w:rPr>
                <w:color w:val="auto"/>
                <w:spacing w:val="-10"/>
                <w:sz w:val="24"/>
                <w:szCs w:val="24"/>
              </w:rPr>
              <w:t>的制作</w:t>
            </w:r>
          </w:p>
        </w:tc>
        <w:tc>
          <w:tcPr>
            <w:tcW w:w="7229" w:type="dxa"/>
            <w:vAlign w:val="center"/>
          </w:tcPr>
          <w:p w14:paraId="3EE67B58">
            <w:pPr>
              <w:pStyle w:val="27"/>
              <w:snapToGrid w:val="0"/>
              <w:jc w:val="both"/>
              <w:rPr>
                <w:rFonts w:ascii="Times New Roman" w:hAnsi="Times New Roman"/>
                <w:color w:val="auto"/>
                <w:sz w:val="24"/>
                <w:szCs w:val="24"/>
                <w:u w:val="single"/>
              </w:rPr>
            </w:pPr>
            <w:r>
              <w:rPr>
                <w:rFonts w:hint="eastAsia" w:ascii="宋体" w:hAnsi="宋体"/>
                <w:color w:val="auto"/>
                <w:kern w:val="2"/>
                <w:sz w:val="24"/>
                <w:szCs w:val="24"/>
              </w:rPr>
              <w:t>使用投标文件制作软件编制生成电子投标文件。</w:t>
            </w:r>
          </w:p>
          <w:p w14:paraId="089BA557">
            <w:pPr>
              <w:pStyle w:val="23"/>
              <w:spacing w:before="26" w:line="201" w:lineRule="auto"/>
              <w:ind w:left="33"/>
              <w:jc w:val="both"/>
              <w:rPr>
                <w:color w:val="auto"/>
                <w:sz w:val="24"/>
                <w:szCs w:val="24"/>
              </w:rPr>
            </w:pPr>
            <w:r>
              <w:rPr>
                <w:rFonts w:ascii="Times New Roman" w:hAnsi="宋体"/>
                <w:color w:val="auto"/>
                <w:sz w:val="24"/>
                <w:szCs w:val="24"/>
              </w:rPr>
              <w:t>其他：</w:t>
            </w:r>
            <w:r>
              <w:rPr>
                <w:rFonts w:ascii="Times New Roman" w:hAnsi="Times New Roman"/>
                <w:color w:val="auto"/>
                <w:sz w:val="24"/>
                <w:szCs w:val="24"/>
                <w:u w:val="single"/>
              </w:rPr>
              <w:t xml:space="preserve">       </w:t>
            </w:r>
            <w:r>
              <w:rPr>
                <w:rFonts w:hint="eastAsia" w:ascii="Times New Roman" w:hAnsi="Times New Roman"/>
                <w:color w:val="auto"/>
                <w:sz w:val="24"/>
                <w:szCs w:val="24"/>
                <w:u w:val="single"/>
                <w:lang w:val="en-US" w:eastAsia="zh-CN"/>
              </w:rPr>
              <w:t>/</w:t>
            </w:r>
            <w:r>
              <w:rPr>
                <w:rFonts w:ascii="Times New Roman" w:hAnsi="Times New Roman"/>
                <w:color w:val="auto"/>
                <w:sz w:val="24"/>
                <w:szCs w:val="24"/>
                <w:u w:val="single"/>
              </w:rPr>
              <w:t xml:space="preserve">    </w:t>
            </w:r>
            <w:r>
              <w:rPr>
                <w:rFonts w:ascii="Times New Roman" w:hAnsi="Times New Roman"/>
                <w:color w:val="auto"/>
                <w:sz w:val="24"/>
                <w:szCs w:val="24"/>
                <w:u w:val="none"/>
              </w:rPr>
              <w:t xml:space="preserve"> </w:t>
            </w:r>
            <w:r>
              <w:rPr>
                <w:rFonts w:ascii="Times New Roman" w:hAnsi="宋体"/>
                <w:color w:val="auto"/>
                <w:sz w:val="24"/>
                <w:szCs w:val="24"/>
              </w:rPr>
              <w:t>。</w:t>
            </w:r>
          </w:p>
        </w:tc>
      </w:tr>
      <w:tr w14:paraId="1C035D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8" w:hRule="atLeast"/>
        </w:trPr>
        <w:tc>
          <w:tcPr>
            <w:tcW w:w="1080" w:type="dxa"/>
          </w:tcPr>
          <w:p w14:paraId="7D285ABF">
            <w:pPr>
              <w:pStyle w:val="23"/>
              <w:spacing w:before="151" w:line="235" w:lineRule="auto"/>
              <w:ind w:left="188" w:right="110" w:hanging="46"/>
              <w:rPr>
                <w:color w:val="auto"/>
                <w:sz w:val="24"/>
                <w:szCs w:val="24"/>
              </w:rPr>
            </w:pPr>
            <w:r>
              <w:rPr>
                <w:color w:val="auto"/>
                <w:spacing w:val="-7"/>
                <w:sz w:val="24"/>
                <w:szCs w:val="24"/>
              </w:rPr>
              <w:t>□</w:t>
            </w:r>
            <w:r>
              <w:rPr>
                <w:rFonts w:ascii="Times New Roman" w:hAnsi="Times New Roman" w:eastAsia="Times New Roman" w:cs="Times New Roman"/>
                <w:color w:val="auto"/>
                <w:spacing w:val="-7"/>
                <w:sz w:val="24"/>
                <w:szCs w:val="24"/>
              </w:rPr>
              <w:t>3.7.3</w:t>
            </w:r>
            <w:r>
              <w:rPr>
                <w:color w:val="auto"/>
                <w:spacing w:val="-7"/>
                <w:sz w:val="24"/>
                <w:szCs w:val="24"/>
              </w:rPr>
              <w:t>（</w:t>
            </w:r>
            <w:r>
              <w:rPr>
                <w:rFonts w:ascii="Times New Roman" w:hAnsi="Times New Roman" w:eastAsia="Times New Roman" w:cs="Times New Roman"/>
                <w:color w:val="auto"/>
                <w:spacing w:val="-7"/>
                <w:sz w:val="24"/>
                <w:szCs w:val="24"/>
              </w:rPr>
              <w:t>3</w:t>
            </w:r>
            <w:r>
              <w:rPr>
                <w:color w:val="auto"/>
                <w:spacing w:val="-7"/>
                <w:sz w:val="24"/>
                <w:szCs w:val="24"/>
              </w:rPr>
              <w:t>）</w:t>
            </w:r>
          </w:p>
        </w:tc>
        <w:tc>
          <w:tcPr>
            <w:tcW w:w="1305" w:type="dxa"/>
          </w:tcPr>
          <w:p w14:paraId="2EE85E6F">
            <w:pPr>
              <w:pStyle w:val="23"/>
              <w:spacing w:before="150" w:line="230" w:lineRule="auto"/>
              <w:ind w:right="164"/>
              <w:rPr>
                <w:color w:val="auto"/>
                <w:sz w:val="24"/>
                <w:szCs w:val="24"/>
              </w:rPr>
            </w:pPr>
            <w:r>
              <w:rPr>
                <w:color w:val="auto"/>
                <w:spacing w:val="-2"/>
                <w:sz w:val="24"/>
                <w:szCs w:val="24"/>
              </w:rPr>
              <w:t>业绩证明文件</w:t>
            </w:r>
            <w:r>
              <w:rPr>
                <w:color w:val="auto"/>
                <w:spacing w:val="-6"/>
                <w:sz w:val="24"/>
                <w:szCs w:val="24"/>
              </w:rPr>
              <w:t>要求</w:t>
            </w:r>
          </w:p>
        </w:tc>
        <w:tc>
          <w:tcPr>
            <w:tcW w:w="7229" w:type="dxa"/>
          </w:tcPr>
          <w:p w14:paraId="42D5D1D6">
            <w:pPr>
              <w:pStyle w:val="23"/>
              <w:spacing w:before="149" w:line="230" w:lineRule="auto"/>
              <w:ind w:left="33" w:right="1600" w:firstLine="25"/>
              <w:rPr>
                <w:color w:val="auto"/>
                <w:sz w:val="24"/>
                <w:szCs w:val="24"/>
              </w:rPr>
            </w:pPr>
            <w:r>
              <w:rPr>
                <w:color w:val="auto"/>
                <w:spacing w:val="-4"/>
                <w:sz w:val="24"/>
                <w:szCs w:val="24"/>
                <w:lang w:eastAsia="zh-CN"/>
              </w:rPr>
              <w:t>□业绩汇总表须按所附证明材料如实填写。</w:t>
            </w:r>
            <w:r>
              <w:rPr>
                <w:color w:val="auto"/>
                <w:spacing w:val="-3"/>
                <w:sz w:val="24"/>
                <w:szCs w:val="24"/>
              </w:rPr>
              <w:t>其他：</w:t>
            </w:r>
            <w:r>
              <w:rPr>
                <w:rFonts w:ascii="Times New Roman" w:hAnsi="Times New Roman"/>
                <w:color w:val="auto"/>
                <w:sz w:val="24"/>
                <w:szCs w:val="24"/>
                <w:u w:val="single"/>
              </w:rPr>
              <w:t xml:space="preserve">       </w:t>
            </w:r>
            <w:r>
              <w:rPr>
                <w:rFonts w:hint="eastAsia" w:ascii="Times New Roman" w:hAnsi="Times New Roman"/>
                <w:color w:val="auto"/>
                <w:sz w:val="24"/>
                <w:szCs w:val="24"/>
                <w:u w:val="single"/>
                <w:lang w:val="en-US" w:eastAsia="zh-CN"/>
              </w:rPr>
              <w:t>/</w:t>
            </w:r>
            <w:r>
              <w:rPr>
                <w:rFonts w:ascii="Times New Roman" w:hAnsi="Times New Roman"/>
                <w:color w:val="auto"/>
                <w:sz w:val="24"/>
                <w:szCs w:val="24"/>
                <w:u w:val="single"/>
              </w:rPr>
              <w:t xml:space="preserve">     </w:t>
            </w:r>
            <w:r>
              <w:rPr>
                <w:color w:val="auto"/>
                <w:spacing w:val="-3"/>
                <w:sz w:val="24"/>
                <w:szCs w:val="24"/>
              </w:rPr>
              <w:t>。</w:t>
            </w:r>
          </w:p>
        </w:tc>
      </w:tr>
      <w:tr w14:paraId="7D0249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1080" w:type="dxa"/>
          </w:tcPr>
          <w:p w14:paraId="4F097A9C">
            <w:pPr>
              <w:spacing w:line="261" w:lineRule="auto"/>
              <w:rPr>
                <w:color w:val="auto"/>
              </w:rPr>
            </w:pPr>
          </w:p>
          <w:p w14:paraId="7F91D321">
            <w:pPr>
              <w:spacing w:before="69" w:line="188" w:lineRule="auto"/>
              <w:ind w:left="232"/>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2"/>
                <w:sz w:val="24"/>
                <w:szCs w:val="24"/>
              </w:rPr>
              <w:t>4.1.1</w:t>
            </w:r>
          </w:p>
        </w:tc>
        <w:tc>
          <w:tcPr>
            <w:tcW w:w="1305" w:type="dxa"/>
          </w:tcPr>
          <w:p w14:paraId="55F71887">
            <w:pPr>
              <w:pStyle w:val="23"/>
              <w:spacing w:before="136" w:line="229" w:lineRule="auto"/>
              <w:ind w:right="44"/>
              <w:rPr>
                <w:color w:val="auto"/>
                <w:sz w:val="24"/>
                <w:szCs w:val="24"/>
                <w:lang w:eastAsia="zh-CN"/>
              </w:rPr>
            </w:pPr>
            <w:r>
              <w:rPr>
                <w:color w:val="auto"/>
                <w:spacing w:val="-6"/>
                <w:sz w:val="24"/>
                <w:szCs w:val="24"/>
                <w:lang w:eastAsia="zh-CN"/>
              </w:rPr>
              <w:t>电子投标文件加</w:t>
            </w:r>
            <w:r>
              <w:rPr>
                <w:color w:val="auto"/>
                <w:spacing w:val="-4"/>
                <w:sz w:val="24"/>
                <w:szCs w:val="24"/>
                <w:lang w:eastAsia="zh-CN"/>
              </w:rPr>
              <w:t>密要求</w:t>
            </w:r>
          </w:p>
        </w:tc>
        <w:tc>
          <w:tcPr>
            <w:tcW w:w="7229" w:type="dxa"/>
          </w:tcPr>
          <w:p w14:paraId="37843FDB">
            <w:pPr>
              <w:pStyle w:val="23"/>
              <w:spacing w:before="291" w:line="219" w:lineRule="auto"/>
              <w:ind w:left="36"/>
              <w:rPr>
                <w:color w:val="auto"/>
                <w:sz w:val="24"/>
                <w:szCs w:val="24"/>
                <w:lang w:eastAsia="zh-CN"/>
              </w:rPr>
            </w:pPr>
            <w:r>
              <w:rPr>
                <w:color w:val="auto"/>
                <w:spacing w:val="-1"/>
                <w:sz w:val="24"/>
                <w:szCs w:val="24"/>
                <w:lang w:eastAsia="zh-CN"/>
              </w:rPr>
              <w:t>使用投标工具软件编制生成的电子投标文件。</w:t>
            </w:r>
          </w:p>
        </w:tc>
      </w:tr>
      <w:tr w14:paraId="6162A6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trPr>
        <w:tc>
          <w:tcPr>
            <w:tcW w:w="1080" w:type="dxa"/>
          </w:tcPr>
          <w:p w14:paraId="67B3E312">
            <w:pPr>
              <w:spacing w:line="399" w:lineRule="auto"/>
              <w:rPr>
                <w:color w:val="auto"/>
                <w:lang w:eastAsia="zh-CN"/>
              </w:rPr>
            </w:pPr>
          </w:p>
          <w:p w14:paraId="75E15A55">
            <w:pPr>
              <w:spacing w:before="69" w:line="188" w:lineRule="auto"/>
              <w:ind w:left="232"/>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2"/>
                <w:sz w:val="24"/>
                <w:szCs w:val="24"/>
              </w:rPr>
              <w:t>4.2.1</w:t>
            </w:r>
          </w:p>
        </w:tc>
        <w:tc>
          <w:tcPr>
            <w:tcW w:w="1305" w:type="dxa"/>
          </w:tcPr>
          <w:p w14:paraId="1FA33BDA">
            <w:pPr>
              <w:pStyle w:val="23"/>
              <w:spacing w:before="121" w:line="219" w:lineRule="auto"/>
              <w:rPr>
                <w:color w:val="auto"/>
                <w:sz w:val="24"/>
                <w:szCs w:val="24"/>
              </w:rPr>
            </w:pPr>
            <w:r>
              <w:rPr>
                <w:color w:val="auto"/>
                <w:spacing w:val="-2"/>
                <w:sz w:val="24"/>
                <w:szCs w:val="24"/>
                <w:lang w:eastAsia="zh-CN"/>
              </w:rPr>
              <w:t>投标截止时间</w:t>
            </w:r>
            <w:r>
              <w:rPr>
                <w:rFonts w:ascii="Times New Roman" w:hAnsi="Times New Roman" w:eastAsia="Times New Roman" w:cs="Times New Roman"/>
                <w:color w:val="auto"/>
                <w:spacing w:val="-2"/>
                <w:sz w:val="24"/>
                <w:szCs w:val="24"/>
                <w:lang w:eastAsia="zh-CN"/>
              </w:rPr>
              <w:t>/</w:t>
            </w:r>
            <w:r>
              <w:rPr>
                <w:color w:val="auto"/>
                <w:spacing w:val="-6"/>
                <w:sz w:val="24"/>
                <w:szCs w:val="24"/>
                <w:lang w:eastAsia="zh-CN"/>
              </w:rPr>
              <w:t>电子投标文件上</w:t>
            </w:r>
            <w:r>
              <w:rPr>
                <w:color w:val="auto"/>
                <w:spacing w:val="-2"/>
                <w:sz w:val="24"/>
                <w:szCs w:val="24"/>
              </w:rPr>
              <w:t>传截止时间</w:t>
            </w:r>
          </w:p>
        </w:tc>
        <w:tc>
          <w:tcPr>
            <w:tcW w:w="7229" w:type="dxa"/>
          </w:tcPr>
          <w:p w14:paraId="585E50BA">
            <w:pPr>
              <w:spacing w:line="349" w:lineRule="auto"/>
              <w:rPr>
                <w:color w:val="auto"/>
              </w:rPr>
            </w:pPr>
          </w:p>
          <w:p w14:paraId="0B24896C">
            <w:pPr>
              <w:pStyle w:val="23"/>
              <w:tabs>
                <w:tab w:val="left" w:pos="744"/>
              </w:tabs>
              <w:spacing w:before="78" w:line="219" w:lineRule="auto"/>
              <w:ind w:left="24"/>
              <w:rPr>
                <w:color w:val="auto"/>
                <w:sz w:val="24"/>
                <w:szCs w:val="24"/>
              </w:rPr>
            </w:pPr>
            <w:r>
              <w:rPr>
                <w:rFonts w:hint="eastAsia" w:ascii="宋体" w:hAnsi="宋体" w:cs="宋体"/>
                <w:sz w:val="24"/>
                <w:szCs w:val="24"/>
                <w:highlight w:val="none"/>
              </w:rPr>
              <w:t>详见本项目招标公告</w:t>
            </w:r>
          </w:p>
        </w:tc>
      </w:tr>
      <w:tr w14:paraId="50FF44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trPr>
        <w:tc>
          <w:tcPr>
            <w:tcW w:w="1080" w:type="dxa"/>
          </w:tcPr>
          <w:p w14:paraId="7A44D4D0">
            <w:pPr>
              <w:spacing w:line="264" w:lineRule="auto"/>
              <w:rPr>
                <w:color w:val="auto"/>
              </w:rPr>
            </w:pPr>
          </w:p>
          <w:p w14:paraId="649D8A36">
            <w:pPr>
              <w:spacing w:line="264" w:lineRule="auto"/>
              <w:rPr>
                <w:color w:val="auto"/>
              </w:rPr>
            </w:pPr>
          </w:p>
          <w:p w14:paraId="72A8ABEF">
            <w:pPr>
              <w:spacing w:line="264" w:lineRule="auto"/>
              <w:rPr>
                <w:color w:val="auto"/>
              </w:rPr>
            </w:pPr>
          </w:p>
          <w:p w14:paraId="28FB7B60">
            <w:pPr>
              <w:spacing w:line="265" w:lineRule="auto"/>
              <w:rPr>
                <w:color w:val="auto"/>
              </w:rPr>
            </w:pPr>
          </w:p>
          <w:p w14:paraId="3CE109AE">
            <w:pPr>
              <w:spacing w:before="69" w:line="188" w:lineRule="auto"/>
              <w:ind w:left="232"/>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2"/>
                <w:sz w:val="24"/>
                <w:szCs w:val="24"/>
              </w:rPr>
              <w:t>4.2.2</w:t>
            </w:r>
          </w:p>
        </w:tc>
        <w:tc>
          <w:tcPr>
            <w:tcW w:w="1305" w:type="dxa"/>
          </w:tcPr>
          <w:p w14:paraId="0DA9E3C1">
            <w:pPr>
              <w:spacing w:line="276" w:lineRule="auto"/>
              <w:rPr>
                <w:color w:val="auto"/>
                <w:lang w:eastAsia="zh-CN"/>
              </w:rPr>
            </w:pPr>
          </w:p>
          <w:p w14:paraId="0A29A03A">
            <w:pPr>
              <w:spacing w:line="276" w:lineRule="auto"/>
              <w:rPr>
                <w:color w:val="auto"/>
                <w:lang w:eastAsia="zh-CN"/>
              </w:rPr>
            </w:pPr>
          </w:p>
          <w:p w14:paraId="643A4FDD">
            <w:pPr>
              <w:spacing w:line="277" w:lineRule="auto"/>
              <w:rPr>
                <w:color w:val="auto"/>
                <w:lang w:eastAsia="zh-CN"/>
              </w:rPr>
            </w:pPr>
          </w:p>
          <w:p w14:paraId="7457CE33">
            <w:pPr>
              <w:pStyle w:val="23"/>
              <w:spacing w:before="78" w:line="228" w:lineRule="auto"/>
              <w:ind w:right="44"/>
              <w:rPr>
                <w:color w:val="auto"/>
                <w:sz w:val="24"/>
                <w:szCs w:val="24"/>
                <w:lang w:eastAsia="zh-CN"/>
              </w:rPr>
            </w:pPr>
            <w:r>
              <w:rPr>
                <w:color w:val="auto"/>
                <w:spacing w:val="-6"/>
                <w:sz w:val="24"/>
                <w:szCs w:val="24"/>
                <w:lang w:eastAsia="zh-CN"/>
              </w:rPr>
              <w:t>电子投标文件上</w:t>
            </w:r>
            <w:r>
              <w:rPr>
                <w:color w:val="auto"/>
                <w:spacing w:val="-3"/>
                <w:sz w:val="24"/>
                <w:szCs w:val="24"/>
                <w:lang w:eastAsia="zh-CN"/>
              </w:rPr>
              <w:t>传平台</w:t>
            </w:r>
          </w:p>
        </w:tc>
        <w:tc>
          <w:tcPr>
            <w:tcW w:w="7229" w:type="dxa"/>
          </w:tcPr>
          <w:p w14:paraId="7A96B458">
            <w:pPr>
              <w:pStyle w:val="5"/>
              <w:numPr>
                <w:ilvl w:val="0"/>
                <w:numId w:val="0"/>
              </w:numPr>
              <w:spacing w:line="440" w:lineRule="exact"/>
              <w:ind w:left="425" w:leftChars="0" w:hanging="425" w:firstLineChars="0"/>
              <w:rPr>
                <w:rFonts w:ascii="宋体" w:hAnsi="宋体" w:cs="宋体"/>
                <w:sz w:val="24"/>
                <w:szCs w:val="24"/>
                <w:highlight w:val="none"/>
              </w:rPr>
            </w:pPr>
            <w:r>
              <w:rPr>
                <w:rFonts w:hint="default" w:ascii="宋体" w:hAnsi="宋体" w:eastAsia="宋体" w:cs="宋体"/>
                <w:sz w:val="24"/>
                <w:szCs w:val="24"/>
                <w:lang w:val="en-US" w:eastAsia="zh-CN" w:bidi="ar-SA"/>
              </w:rPr>
              <w:t>1.</w:t>
            </w:r>
            <w:r>
              <w:rPr>
                <w:rFonts w:hint="eastAsia" w:ascii="宋体" w:hAnsi="宋体" w:cs="宋体"/>
                <w:sz w:val="24"/>
                <w:szCs w:val="24"/>
                <w:highlight w:val="none"/>
              </w:rPr>
              <w:t>本项目采用不见面开标形式，投标人进行远程解密无需到开标现场。电子投标文件上传至三门县工程建设电子交易平台（步骤如下），投标截止时间后对加密的投标文件进行远程解密，如远程解密遇有问题的请联系章宏涛13968512856。</w:t>
            </w:r>
          </w:p>
          <w:p w14:paraId="0CB25F83">
            <w:pPr>
              <w:pStyle w:val="5"/>
              <w:numPr>
                <w:ilvl w:val="0"/>
                <w:numId w:val="0"/>
              </w:numPr>
              <w:spacing w:line="440" w:lineRule="exact"/>
              <w:ind w:left="425" w:leftChars="0" w:hanging="425" w:firstLineChars="0"/>
              <w:rPr>
                <w:rFonts w:ascii="宋体" w:hAnsi="宋体" w:cs="宋体"/>
                <w:b/>
                <w:color w:val="auto"/>
                <w:sz w:val="24"/>
                <w:szCs w:val="24"/>
                <w:highlight w:val="none"/>
              </w:rPr>
            </w:pPr>
            <w:r>
              <w:rPr>
                <w:rFonts w:hint="default" w:ascii="宋体" w:hAnsi="宋体" w:eastAsia="宋体" w:cs="宋体"/>
                <w:b/>
                <w:color w:val="auto"/>
                <w:sz w:val="24"/>
                <w:szCs w:val="24"/>
                <w:lang w:val="en-US" w:eastAsia="zh-CN" w:bidi="ar-SA"/>
              </w:rPr>
              <w:t>2.</w:t>
            </w:r>
            <w:r>
              <w:rPr>
                <w:rFonts w:hint="eastAsia" w:ascii="宋体" w:hAnsi="宋体" w:cs="宋体"/>
                <w:b/>
                <w:sz w:val="24"/>
                <w:szCs w:val="24"/>
                <w:highlight w:val="none"/>
              </w:rPr>
              <w:t>电子投</w:t>
            </w:r>
            <w:r>
              <w:rPr>
                <w:rFonts w:hint="eastAsia" w:ascii="宋体" w:hAnsi="宋体" w:cs="宋体"/>
                <w:b/>
                <w:color w:val="auto"/>
                <w:sz w:val="24"/>
                <w:szCs w:val="24"/>
                <w:highlight w:val="none"/>
              </w:rPr>
              <w:t>标文件上传步骤：</w:t>
            </w:r>
          </w:p>
          <w:p w14:paraId="28EEB189">
            <w:pPr>
              <w:pStyle w:val="5"/>
              <w:numPr>
                <w:ilvl w:val="0"/>
                <w:numId w:val="4"/>
              </w:numPr>
              <w:spacing w:line="440" w:lineRule="exact"/>
              <w:ind w:firstLineChars="0"/>
              <w:rPr>
                <w:rFonts w:ascii="宋体" w:hAnsi="宋体" w:cs="宋体"/>
                <w:color w:val="auto"/>
                <w:sz w:val="24"/>
                <w:szCs w:val="24"/>
                <w:highlight w:val="none"/>
              </w:rPr>
            </w:pPr>
            <w:r>
              <w:rPr>
                <w:rFonts w:hint="eastAsia" w:ascii="宋体" w:hAnsi="宋体" w:cs="宋体"/>
                <w:color w:val="auto"/>
                <w:sz w:val="24"/>
                <w:szCs w:val="24"/>
                <w:highlight w:val="none"/>
              </w:rPr>
              <w:t>登录三门县工程建设电子交易平台（网址：http://jyzx.sanmen.gov.cn）；</w:t>
            </w:r>
          </w:p>
          <w:p w14:paraId="693D422F">
            <w:pPr>
              <w:pStyle w:val="5"/>
              <w:numPr>
                <w:ilvl w:val="0"/>
                <w:numId w:val="4"/>
              </w:numPr>
              <w:spacing w:line="440" w:lineRule="exact"/>
              <w:ind w:firstLineChars="0"/>
              <w:rPr>
                <w:rFonts w:ascii="宋体" w:hAnsi="宋体" w:cs="宋体"/>
                <w:color w:val="auto"/>
                <w:sz w:val="24"/>
                <w:szCs w:val="24"/>
                <w:highlight w:val="none"/>
              </w:rPr>
            </w:pPr>
            <w:r>
              <w:rPr>
                <w:rFonts w:hint="eastAsia" w:ascii="宋体" w:hAnsi="宋体" w:cs="宋体"/>
                <w:color w:val="auto"/>
                <w:sz w:val="24"/>
                <w:szCs w:val="24"/>
                <w:highlight w:val="none"/>
              </w:rPr>
              <w:t>须先在电子交易系统中下载投标项目招标文件，后在 “我的待办”，选择投标项目，点击“上传标书（后缀名.已加密投标文件）” 并保存。</w:t>
            </w:r>
          </w:p>
          <w:p w14:paraId="53347E14">
            <w:pPr>
              <w:pStyle w:val="23"/>
              <w:spacing w:before="24" w:line="214" w:lineRule="auto"/>
              <w:ind w:left="31"/>
              <w:rPr>
                <w:color w:val="auto"/>
                <w:sz w:val="24"/>
                <w:szCs w:val="24"/>
              </w:rPr>
            </w:pPr>
            <w:r>
              <w:rPr>
                <w:rFonts w:hint="eastAsia" w:ascii="宋体" w:hAnsi="宋体" w:cs="宋体"/>
                <w:sz w:val="24"/>
                <w:szCs w:val="24"/>
                <w:highlight w:val="none"/>
              </w:rPr>
              <w:t>投标人应在投标截止时间前上传完成电子投标文件。</w:t>
            </w:r>
          </w:p>
        </w:tc>
      </w:tr>
      <w:tr w14:paraId="409CD2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7" w:hRule="atLeast"/>
        </w:trPr>
        <w:tc>
          <w:tcPr>
            <w:tcW w:w="1080" w:type="dxa"/>
          </w:tcPr>
          <w:p w14:paraId="43F4D630">
            <w:pPr>
              <w:spacing w:line="356" w:lineRule="auto"/>
              <w:rPr>
                <w:color w:val="auto"/>
              </w:rPr>
            </w:pPr>
          </w:p>
          <w:p w14:paraId="615CDBEC">
            <w:pPr>
              <w:spacing w:before="69" w:line="188" w:lineRule="auto"/>
              <w:ind w:left="232"/>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2"/>
                <w:sz w:val="24"/>
                <w:szCs w:val="24"/>
              </w:rPr>
              <w:t>4.2.3</w:t>
            </w:r>
          </w:p>
        </w:tc>
        <w:tc>
          <w:tcPr>
            <w:tcW w:w="1305" w:type="dxa"/>
          </w:tcPr>
          <w:p w14:paraId="60D6D690">
            <w:pPr>
              <w:spacing w:line="331" w:lineRule="auto"/>
              <w:rPr>
                <w:color w:val="auto"/>
              </w:rPr>
            </w:pPr>
          </w:p>
          <w:p w14:paraId="19991D57">
            <w:pPr>
              <w:pStyle w:val="23"/>
              <w:spacing w:before="78" w:line="219" w:lineRule="auto"/>
              <w:rPr>
                <w:color w:val="auto"/>
                <w:sz w:val="24"/>
                <w:szCs w:val="24"/>
              </w:rPr>
            </w:pPr>
            <w:r>
              <w:rPr>
                <w:color w:val="auto"/>
                <w:spacing w:val="-2"/>
                <w:sz w:val="24"/>
                <w:szCs w:val="24"/>
              </w:rPr>
              <w:t>投标文件退还</w:t>
            </w:r>
          </w:p>
        </w:tc>
        <w:tc>
          <w:tcPr>
            <w:tcW w:w="7229" w:type="dxa"/>
          </w:tcPr>
          <w:p w14:paraId="66C1E7D0">
            <w:pPr>
              <w:pStyle w:val="23"/>
              <w:spacing w:before="281" w:line="228" w:lineRule="auto"/>
              <w:ind w:left="33" w:right="27"/>
              <w:rPr>
                <w:color w:val="auto"/>
                <w:sz w:val="24"/>
                <w:szCs w:val="24"/>
                <w:lang w:eastAsia="zh-CN"/>
              </w:rPr>
            </w:pPr>
            <w:r>
              <w:rPr>
                <w:color w:val="auto"/>
                <w:spacing w:val="3"/>
                <w:sz w:val="24"/>
                <w:szCs w:val="24"/>
                <w:lang w:eastAsia="zh-CN"/>
              </w:rPr>
              <w:t>投标截止时间止，存在以下情形之一的不予开标，投标文</w:t>
            </w:r>
            <w:r>
              <w:rPr>
                <w:color w:val="auto"/>
                <w:spacing w:val="-3"/>
                <w:sz w:val="24"/>
                <w:szCs w:val="24"/>
                <w:lang w:eastAsia="zh-CN"/>
              </w:rPr>
              <w:t>件退还：</w:t>
            </w:r>
          </w:p>
          <w:p w14:paraId="5F9CEDE2">
            <w:pPr>
              <w:pStyle w:val="23"/>
              <w:numPr>
                <w:ilvl w:val="0"/>
                <w:numId w:val="5"/>
              </w:numPr>
              <w:spacing w:before="27" w:line="229" w:lineRule="auto"/>
              <w:ind w:left="29" w:right="2281" w:firstLine="23"/>
              <w:rPr>
                <w:color w:val="auto"/>
                <w:spacing w:val="-5"/>
                <w:sz w:val="24"/>
                <w:szCs w:val="24"/>
                <w:lang w:eastAsia="zh-CN"/>
              </w:rPr>
            </w:pPr>
            <w:r>
              <w:rPr>
                <w:color w:val="auto"/>
                <w:spacing w:val="-5"/>
                <w:sz w:val="24"/>
                <w:szCs w:val="24"/>
                <w:lang w:eastAsia="zh-CN"/>
              </w:rPr>
              <w:t>递交投标文件的投标人少于</w:t>
            </w:r>
            <w:r>
              <w:rPr>
                <w:rFonts w:ascii="Times New Roman" w:hAnsi="Times New Roman" w:eastAsia="Times New Roman" w:cs="Times New Roman"/>
                <w:color w:val="auto"/>
                <w:spacing w:val="-5"/>
                <w:sz w:val="24"/>
                <w:szCs w:val="24"/>
                <w:lang w:eastAsia="zh-CN"/>
              </w:rPr>
              <w:t>3</w:t>
            </w:r>
            <w:r>
              <w:rPr>
                <w:color w:val="auto"/>
                <w:spacing w:val="-5"/>
                <w:sz w:val="24"/>
                <w:szCs w:val="24"/>
                <w:lang w:eastAsia="zh-CN"/>
              </w:rPr>
              <w:t>个的；</w:t>
            </w:r>
          </w:p>
          <w:p w14:paraId="54635EA7">
            <w:pPr>
              <w:pStyle w:val="23"/>
              <w:numPr>
                <w:ilvl w:val="0"/>
                <w:numId w:val="0"/>
              </w:numPr>
              <w:spacing w:before="27" w:line="229" w:lineRule="auto"/>
              <w:ind w:left="52" w:leftChars="0" w:right="2281" w:rightChars="0"/>
              <w:rPr>
                <w:color w:val="auto"/>
                <w:sz w:val="24"/>
                <w:szCs w:val="24"/>
                <w:lang w:eastAsia="zh-CN"/>
              </w:rPr>
            </w:pPr>
            <w:r>
              <w:rPr>
                <w:rFonts w:ascii="Times New Roman" w:hAnsi="Times New Roman" w:eastAsia="Times New Roman" w:cs="Times New Roman"/>
                <w:color w:val="auto"/>
                <w:spacing w:val="-1"/>
                <w:sz w:val="24"/>
                <w:szCs w:val="24"/>
                <w:lang w:eastAsia="zh-CN"/>
              </w:rPr>
              <w:t>2.</w:t>
            </w:r>
            <w:r>
              <w:rPr>
                <w:color w:val="auto"/>
                <w:spacing w:val="-1"/>
                <w:sz w:val="24"/>
                <w:szCs w:val="24"/>
                <w:lang w:eastAsia="zh-CN"/>
              </w:rPr>
              <w:t>其他：</w:t>
            </w:r>
            <w:r>
              <w:rPr>
                <w:rFonts w:hint="eastAsia" w:ascii="宋体" w:hAnsi="宋体" w:eastAsia="宋体" w:cs="宋体"/>
                <w:color w:val="auto"/>
                <w:sz w:val="24"/>
                <w:szCs w:val="24"/>
                <w:u w:val="single"/>
              </w:rPr>
              <w:t xml:space="preserve">  /</w:t>
            </w:r>
            <w:r>
              <w:rPr>
                <w:color w:val="auto"/>
                <w:spacing w:val="-1"/>
                <w:sz w:val="24"/>
                <w:szCs w:val="24"/>
                <w:lang w:eastAsia="zh-CN"/>
              </w:rPr>
              <w:t>。</w:t>
            </w:r>
          </w:p>
        </w:tc>
      </w:tr>
      <w:tr w14:paraId="19287F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0" w:hRule="atLeast"/>
        </w:trPr>
        <w:tc>
          <w:tcPr>
            <w:tcW w:w="1080" w:type="dxa"/>
            <w:vAlign w:val="center"/>
          </w:tcPr>
          <w:p w14:paraId="786BBF1B">
            <w:pPr>
              <w:spacing w:before="69" w:line="188" w:lineRule="auto"/>
              <w:ind w:left="232"/>
              <w:jc w:val="center"/>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2"/>
                <w:sz w:val="24"/>
                <w:szCs w:val="24"/>
              </w:rPr>
              <w:t>4.2.5</w:t>
            </w:r>
          </w:p>
        </w:tc>
        <w:tc>
          <w:tcPr>
            <w:tcW w:w="1305" w:type="dxa"/>
            <w:vAlign w:val="center"/>
          </w:tcPr>
          <w:p w14:paraId="19701702">
            <w:pPr>
              <w:pStyle w:val="23"/>
              <w:spacing w:before="78" w:line="228" w:lineRule="auto"/>
              <w:ind w:right="44"/>
              <w:jc w:val="both"/>
              <w:rPr>
                <w:color w:val="auto"/>
                <w:sz w:val="24"/>
                <w:szCs w:val="24"/>
                <w:lang w:eastAsia="zh-CN"/>
              </w:rPr>
            </w:pPr>
            <w:r>
              <w:rPr>
                <w:color w:val="auto"/>
                <w:spacing w:val="-6"/>
                <w:sz w:val="24"/>
                <w:szCs w:val="24"/>
                <w:lang w:eastAsia="zh-CN"/>
              </w:rPr>
              <w:t>电子投标文件的</w:t>
            </w:r>
            <w:r>
              <w:rPr>
                <w:color w:val="auto"/>
                <w:spacing w:val="-3"/>
                <w:sz w:val="24"/>
                <w:szCs w:val="24"/>
                <w:lang w:eastAsia="zh-CN"/>
              </w:rPr>
              <w:t>拒收情形</w:t>
            </w:r>
          </w:p>
        </w:tc>
        <w:tc>
          <w:tcPr>
            <w:tcW w:w="7229" w:type="dxa"/>
          </w:tcPr>
          <w:p w14:paraId="37F580AC">
            <w:pPr>
              <w:pStyle w:val="23"/>
              <w:spacing w:before="53" w:line="228" w:lineRule="auto"/>
              <w:ind w:left="33" w:right="30" w:firstLine="19"/>
              <w:rPr>
                <w:color w:val="auto"/>
                <w:sz w:val="24"/>
                <w:szCs w:val="24"/>
                <w:lang w:eastAsia="zh-CN"/>
              </w:rPr>
            </w:pPr>
            <w:r>
              <w:rPr>
                <w:rFonts w:ascii="Times New Roman" w:hAnsi="Times New Roman" w:eastAsia="Times New Roman" w:cs="Times New Roman"/>
                <w:color w:val="auto"/>
                <w:spacing w:val="4"/>
                <w:sz w:val="24"/>
                <w:szCs w:val="24"/>
                <w:lang w:eastAsia="zh-CN"/>
              </w:rPr>
              <w:t>1.</w:t>
            </w:r>
            <w:r>
              <w:rPr>
                <w:color w:val="auto"/>
                <w:spacing w:val="4"/>
                <w:sz w:val="24"/>
                <w:szCs w:val="24"/>
                <w:lang w:eastAsia="zh-CN"/>
              </w:rPr>
              <w:t>投标截止时间后送达（上传）的投标文件、未按招标文</w:t>
            </w:r>
            <w:r>
              <w:rPr>
                <w:color w:val="auto"/>
                <w:spacing w:val="-2"/>
                <w:sz w:val="24"/>
                <w:szCs w:val="24"/>
                <w:lang w:eastAsia="zh-CN"/>
              </w:rPr>
              <w:t>件要求上传的；</w:t>
            </w:r>
          </w:p>
          <w:p w14:paraId="0C090719">
            <w:pPr>
              <w:pStyle w:val="23"/>
              <w:spacing w:before="29" w:line="228" w:lineRule="auto"/>
              <w:ind w:left="33" w:right="580" w:hanging="4"/>
              <w:rPr>
                <w:color w:val="auto"/>
                <w:spacing w:val="-7"/>
                <w:sz w:val="24"/>
                <w:szCs w:val="24"/>
                <w:lang w:eastAsia="zh-CN"/>
              </w:rPr>
            </w:pPr>
            <w:r>
              <w:rPr>
                <w:rFonts w:ascii="Times New Roman" w:hAnsi="Times New Roman" w:eastAsia="Times New Roman" w:cs="Times New Roman"/>
                <w:color w:val="auto"/>
                <w:spacing w:val="-7"/>
                <w:sz w:val="24"/>
                <w:szCs w:val="24"/>
                <w:lang w:eastAsia="zh-CN"/>
              </w:rPr>
              <w:t>2.</w:t>
            </w:r>
            <w:r>
              <w:rPr>
                <w:color w:val="auto"/>
                <w:spacing w:val="-7"/>
                <w:sz w:val="24"/>
                <w:szCs w:val="24"/>
                <w:lang w:eastAsia="zh-CN"/>
              </w:rPr>
              <w:t>投标人未按规定加密的投标文件，应当拒收并提示。</w:t>
            </w:r>
          </w:p>
          <w:p w14:paraId="04913DDC">
            <w:pPr>
              <w:pStyle w:val="23"/>
              <w:spacing w:before="29" w:line="228" w:lineRule="auto"/>
              <w:ind w:left="33" w:right="580" w:hanging="4"/>
              <w:rPr>
                <w:color w:val="auto"/>
                <w:sz w:val="24"/>
                <w:szCs w:val="24"/>
                <w:lang w:eastAsia="zh-CN"/>
              </w:rPr>
            </w:pPr>
            <w:r>
              <w:rPr>
                <w:rFonts w:ascii="Times New Roman" w:hAnsi="Times New Roman" w:eastAsia="Times New Roman" w:cs="Times New Roman"/>
                <w:color w:val="auto"/>
                <w:spacing w:val="-5"/>
                <w:sz w:val="24"/>
                <w:szCs w:val="24"/>
                <w:lang w:eastAsia="zh-CN"/>
              </w:rPr>
              <w:t>3.</w:t>
            </w:r>
            <w:r>
              <w:rPr>
                <w:color w:val="auto"/>
                <w:spacing w:val="-5"/>
                <w:sz w:val="24"/>
                <w:szCs w:val="24"/>
                <w:lang w:eastAsia="zh-CN"/>
              </w:rPr>
              <w:t>存在下列情况之一的，视为拒收：</w:t>
            </w:r>
          </w:p>
          <w:p w14:paraId="548CE532">
            <w:pPr>
              <w:pStyle w:val="23"/>
              <w:spacing w:before="27" w:line="215" w:lineRule="auto"/>
              <w:ind w:left="45"/>
              <w:rPr>
                <w:color w:val="auto"/>
                <w:spacing w:val="-2"/>
                <w:sz w:val="24"/>
                <w:szCs w:val="24"/>
                <w:lang w:eastAsia="zh-CN"/>
              </w:rPr>
            </w:pPr>
            <w:r>
              <w:rPr>
                <w:color w:val="auto"/>
                <w:spacing w:val="-2"/>
                <w:sz w:val="24"/>
                <w:szCs w:val="24"/>
                <w:lang w:eastAsia="zh-CN"/>
              </w:rPr>
              <w:t>（</w:t>
            </w:r>
            <w:r>
              <w:rPr>
                <w:rFonts w:ascii="Times New Roman" w:hAnsi="Times New Roman" w:eastAsia="Times New Roman" w:cs="Times New Roman"/>
                <w:color w:val="auto"/>
                <w:spacing w:val="-2"/>
                <w:sz w:val="24"/>
                <w:szCs w:val="24"/>
                <w:lang w:eastAsia="zh-CN"/>
              </w:rPr>
              <w:t>1</w:t>
            </w:r>
            <w:r>
              <w:rPr>
                <w:color w:val="auto"/>
                <w:spacing w:val="-2"/>
                <w:sz w:val="24"/>
                <w:szCs w:val="24"/>
                <w:lang w:eastAsia="zh-CN"/>
              </w:rPr>
              <w:t>）电子投标文件无法解密的；</w:t>
            </w:r>
          </w:p>
          <w:p w14:paraId="6A67A12E">
            <w:pPr>
              <w:pStyle w:val="23"/>
              <w:spacing w:before="49" w:line="219" w:lineRule="auto"/>
              <w:ind w:left="45"/>
              <w:rPr>
                <w:color w:val="auto"/>
                <w:sz w:val="24"/>
                <w:szCs w:val="24"/>
                <w:lang w:eastAsia="zh-CN"/>
              </w:rPr>
            </w:pPr>
            <w:r>
              <w:rPr>
                <w:color w:val="auto"/>
                <w:spacing w:val="-2"/>
                <w:sz w:val="24"/>
                <w:szCs w:val="24"/>
                <w:lang w:eastAsia="zh-CN"/>
              </w:rPr>
              <w:t>（</w:t>
            </w:r>
            <w:r>
              <w:rPr>
                <w:rFonts w:ascii="Times New Roman" w:hAnsi="Times New Roman" w:eastAsia="Times New Roman" w:cs="Times New Roman"/>
                <w:color w:val="auto"/>
                <w:spacing w:val="-2"/>
                <w:sz w:val="24"/>
                <w:szCs w:val="24"/>
                <w:lang w:eastAsia="zh-CN"/>
              </w:rPr>
              <w:t>2</w:t>
            </w:r>
            <w:r>
              <w:rPr>
                <w:color w:val="auto"/>
                <w:spacing w:val="-2"/>
                <w:sz w:val="24"/>
                <w:szCs w:val="24"/>
                <w:lang w:eastAsia="zh-CN"/>
              </w:rPr>
              <w:t>）电子投标文件解密后无法正确读取的；</w:t>
            </w:r>
          </w:p>
          <w:p w14:paraId="36674D8A">
            <w:pPr>
              <w:pStyle w:val="23"/>
              <w:spacing w:before="24" w:line="219" w:lineRule="auto"/>
              <w:ind w:left="45"/>
              <w:rPr>
                <w:color w:val="auto"/>
                <w:sz w:val="24"/>
                <w:szCs w:val="24"/>
                <w:lang w:eastAsia="zh-CN"/>
              </w:rPr>
            </w:pPr>
            <w:r>
              <w:rPr>
                <w:color w:val="auto"/>
                <w:spacing w:val="-2"/>
                <w:sz w:val="24"/>
                <w:szCs w:val="24"/>
                <w:lang w:eastAsia="zh-CN"/>
              </w:rPr>
              <w:t>（</w:t>
            </w:r>
            <w:r>
              <w:rPr>
                <w:rFonts w:ascii="Times New Roman" w:hAnsi="Times New Roman" w:eastAsia="Times New Roman" w:cs="Times New Roman"/>
                <w:color w:val="auto"/>
                <w:spacing w:val="-2"/>
                <w:sz w:val="24"/>
                <w:szCs w:val="24"/>
                <w:lang w:eastAsia="zh-CN"/>
              </w:rPr>
              <w:t>3</w:t>
            </w:r>
            <w:r>
              <w:rPr>
                <w:color w:val="auto"/>
                <w:spacing w:val="-2"/>
                <w:sz w:val="24"/>
                <w:szCs w:val="24"/>
                <w:lang w:eastAsia="zh-CN"/>
              </w:rPr>
              <w:t>）电子投标文件无法导入成功的；</w:t>
            </w:r>
          </w:p>
          <w:p w14:paraId="0A936E37">
            <w:pPr>
              <w:pStyle w:val="23"/>
              <w:spacing w:before="28" w:line="220" w:lineRule="auto"/>
              <w:ind w:left="36" w:right="1900" w:firstLine="22"/>
              <w:rPr>
                <w:color w:val="auto"/>
                <w:spacing w:val="-4"/>
                <w:sz w:val="24"/>
                <w:szCs w:val="24"/>
                <w:lang w:eastAsia="zh-CN"/>
              </w:rPr>
            </w:pPr>
            <w:r>
              <w:rPr>
                <w:color w:val="auto"/>
                <w:spacing w:val="-4"/>
                <w:sz w:val="24"/>
                <w:szCs w:val="24"/>
                <w:lang w:eastAsia="zh-CN"/>
              </w:rPr>
              <w:t>□</w:t>
            </w:r>
            <w:r>
              <w:rPr>
                <w:rFonts w:ascii="Times New Roman" w:hAnsi="Times New Roman" w:eastAsia="Times New Roman" w:cs="Times New Roman"/>
                <w:color w:val="auto"/>
                <w:spacing w:val="-4"/>
                <w:sz w:val="24"/>
                <w:szCs w:val="24"/>
                <w:lang w:eastAsia="zh-CN"/>
              </w:rPr>
              <w:t>4.</w:t>
            </w:r>
            <w:r>
              <w:rPr>
                <w:color w:val="auto"/>
                <w:spacing w:val="-4"/>
                <w:sz w:val="24"/>
                <w:szCs w:val="24"/>
                <w:lang w:eastAsia="zh-CN"/>
              </w:rPr>
              <w:t>未被邀请的申请人提交的投标文件。</w:t>
            </w:r>
          </w:p>
          <w:p w14:paraId="67FBBAFA">
            <w:pPr>
              <w:pStyle w:val="23"/>
              <w:spacing w:before="28" w:line="220" w:lineRule="auto"/>
              <w:ind w:left="36" w:right="1900" w:firstLine="22"/>
              <w:rPr>
                <w:color w:val="auto"/>
                <w:sz w:val="24"/>
                <w:szCs w:val="24"/>
              </w:rPr>
            </w:pPr>
            <w:r>
              <w:rPr>
                <w:rFonts w:ascii="Times New Roman" w:hAnsi="Times New Roman" w:eastAsia="Times New Roman" w:cs="Times New Roman"/>
                <w:color w:val="auto"/>
                <w:spacing w:val="-2"/>
                <w:sz w:val="24"/>
                <w:szCs w:val="24"/>
              </w:rPr>
              <w:t>5.</w:t>
            </w:r>
            <w:r>
              <w:rPr>
                <w:color w:val="auto"/>
                <w:spacing w:val="-2"/>
                <w:sz w:val="24"/>
                <w:szCs w:val="24"/>
              </w:rPr>
              <w:t>其他：</w:t>
            </w:r>
            <w:r>
              <w:rPr>
                <w:rFonts w:ascii="Times New Roman" w:hAnsi="Times New Roman"/>
                <w:color w:val="auto"/>
              </w:rPr>
              <w:t xml:space="preserve"> </w:t>
            </w:r>
            <w:r>
              <w:rPr>
                <w:rFonts w:ascii="Times New Roman" w:hAnsi="Times New Roman"/>
                <w:color w:val="auto"/>
                <w:u w:val="single"/>
              </w:rPr>
              <w:t xml:space="preserve">     </w:t>
            </w:r>
            <w:r>
              <w:rPr>
                <w:rFonts w:hint="eastAsia" w:ascii="Times New Roman" w:hAnsi="Times New Roman"/>
                <w:color w:val="auto"/>
                <w:u w:val="single"/>
                <w:lang w:val="en-US" w:eastAsia="zh-CN"/>
              </w:rPr>
              <w:t>/</w:t>
            </w:r>
            <w:r>
              <w:rPr>
                <w:rFonts w:ascii="Times New Roman" w:hAnsi="Times New Roman"/>
                <w:color w:val="auto"/>
                <w:u w:val="single"/>
              </w:rPr>
              <w:t xml:space="preserve">   </w:t>
            </w:r>
            <w:r>
              <w:rPr>
                <w:rFonts w:hint="eastAsia" w:ascii="Times New Roman" w:hAnsi="Times New Roman"/>
                <w:color w:val="auto"/>
                <w:u w:val="single"/>
              </w:rPr>
              <w:t xml:space="preserve"> </w:t>
            </w:r>
            <w:r>
              <w:rPr>
                <w:rFonts w:ascii="Times New Roman" w:hAnsi="Times New Roman"/>
                <w:color w:val="auto"/>
                <w:u w:val="single"/>
              </w:rPr>
              <w:t xml:space="preserve">     </w:t>
            </w:r>
            <w:r>
              <w:rPr>
                <w:rFonts w:ascii="Times New Roman" w:hAnsi="宋体"/>
                <w:color w:val="auto"/>
              </w:rPr>
              <w:t>。</w:t>
            </w:r>
          </w:p>
        </w:tc>
      </w:tr>
      <w:tr w14:paraId="54122D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5" w:hRule="atLeast"/>
        </w:trPr>
        <w:tc>
          <w:tcPr>
            <w:tcW w:w="1080" w:type="dxa"/>
          </w:tcPr>
          <w:p w14:paraId="3CFAC024">
            <w:pPr>
              <w:spacing w:line="242" w:lineRule="auto"/>
              <w:rPr>
                <w:color w:val="auto"/>
              </w:rPr>
            </w:pPr>
          </w:p>
          <w:p w14:paraId="17B0DBAC">
            <w:pPr>
              <w:spacing w:line="243" w:lineRule="auto"/>
              <w:rPr>
                <w:color w:val="auto"/>
              </w:rPr>
            </w:pPr>
          </w:p>
          <w:p w14:paraId="297C2DEE">
            <w:pPr>
              <w:spacing w:before="69" w:line="188" w:lineRule="auto"/>
              <w:ind w:left="329"/>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5"/>
                <w:sz w:val="24"/>
                <w:szCs w:val="24"/>
              </w:rPr>
              <w:t>5.1</w:t>
            </w:r>
          </w:p>
        </w:tc>
        <w:tc>
          <w:tcPr>
            <w:tcW w:w="1305" w:type="dxa"/>
          </w:tcPr>
          <w:p w14:paraId="42CBDFDA">
            <w:pPr>
              <w:spacing w:line="339" w:lineRule="auto"/>
              <w:rPr>
                <w:color w:val="auto"/>
              </w:rPr>
            </w:pPr>
          </w:p>
          <w:p w14:paraId="59813351">
            <w:pPr>
              <w:pStyle w:val="23"/>
              <w:spacing w:before="78" w:line="219" w:lineRule="auto"/>
              <w:ind w:left="56"/>
              <w:rPr>
                <w:color w:val="auto"/>
                <w:sz w:val="24"/>
                <w:szCs w:val="24"/>
              </w:rPr>
            </w:pPr>
            <w:r>
              <w:rPr>
                <w:color w:val="auto"/>
                <w:spacing w:val="-3"/>
                <w:sz w:val="24"/>
                <w:szCs w:val="24"/>
              </w:rPr>
              <w:t>开标时间和地点</w:t>
            </w:r>
          </w:p>
        </w:tc>
        <w:tc>
          <w:tcPr>
            <w:tcW w:w="7229" w:type="dxa"/>
          </w:tcPr>
          <w:p w14:paraId="131386C7">
            <w:pPr>
              <w:pStyle w:val="23"/>
              <w:numPr>
                <w:ilvl w:val="0"/>
                <w:numId w:val="6"/>
              </w:numPr>
              <w:spacing w:before="294" w:line="229" w:lineRule="auto"/>
              <w:ind w:left="29" w:right="267" w:rightChars="0" w:firstLine="23"/>
              <w:rPr>
                <w:color w:val="auto"/>
                <w:spacing w:val="-4"/>
                <w:sz w:val="24"/>
                <w:szCs w:val="24"/>
                <w:lang w:eastAsia="zh-CN"/>
              </w:rPr>
            </w:pPr>
            <w:r>
              <w:rPr>
                <w:color w:val="auto"/>
                <w:spacing w:val="-4"/>
                <w:sz w:val="24"/>
                <w:szCs w:val="24"/>
                <w:lang w:eastAsia="zh-CN"/>
              </w:rPr>
              <w:t>开标时间：同电子投标文件上传截止时间。</w:t>
            </w:r>
          </w:p>
          <w:p w14:paraId="3CA79AD8">
            <w:pPr>
              <w:pStyle w:val="23"/>
              <w:numPr>
                <w:ilvl w:val="0"/>
                <w:numId w:val="0"/>
              </w:numPr>
              <w:spacing w:before="294" w:line="229" w:lineRule="auto"/>
              <w:ind w:left="52" w:leftChars="0" w:right="267" w:rightChars="0"/>
              <w:rPr>
                <w:color w:val="auto"/>
                <w:sz w:val="24"/>
                <w:szCs w:val="24"/>
                <w:lang w:eastAsia="zh-CN"/>
              </w:rPr>
            </w:pPr>
            <w:r>
              <w:rPr>
                <w:rFonts w:ascii="Times New Roman" w:hAnsi="Times New Roman" w:eastAsia="Times New Roman" w:cs="Times New Roman"/>
                <w:color w:val="auto"/>
                <w:spacing w:val="-1"/>
                <w:sz w:val="24"/>
                <w:szCs w:val="24"/>
                <w:lang w:eastAsia="zh-CN"/>
              </w:rPr>
              <w:t>2.</w:t>
            </w:r>
            <w:r>
              <w:rPr>
                <w:color w:val="auto"/>
                <w:spacing w:val="-1"/>
                <w:sz w:val="24"/>
                <w:szCs w:val="24"/>
                <w:lang w:eastAsia="zh-CN"/>
              </w:rPr>
              <w:t>开标地点：</w:t>
            </w:r>
            <w:r>
              <w:rPr>
                <w:rFonts w:hint="eastAsia" w:ascii="宋体" w:hAnsi="宋体" w:eastAsia="宋体" w:cs="宋体"/>
                <w:color w:val="auto"/>
                <w:sz w:val="24"/>
                <w:szCs w:val="24"/>
                <w:u w:val="single"/>
              </w:rPr>
              <w:t>三门县公共资源交易中心（具体开标室见四楼电子屏幕）</w:t>
            </w:r>
          </w:p>
          <w:p w14:paraId="53EFA9BD">
            <w:pPr>
              <w:pStyle w:val="23"/>
              <w:spacing w:before="26" w:line="229" w:lineRule="auto"/>
              <w:ind w:left="28" w:right="2581" w:firstLine="6"/>
              <w:rPr>
                <w:color w:val="auto"/>
                <w:spacing w:val="-1"/>
                <w:sz w:val="24"/>
                <w:szCs w:val="24"/>
                <w:lang w:eastAsia="zh-CN"/>
              </w:rPr>
            </w:pPr>
            <w:r>
              <w:rPr>
                <w:rFonts w:ascii="Times New Roman" w:hAnsi="Times New Roman" w:eastAsia="Times New Roman" w:cs="Times New Roman"/>
                <w:color w:val="auto"/>
                <w:spacing w:val="-1"/>
                <w:sz w:val="24"/>
                <w:szCs w:val="24"/>
                <w:lang w:eastAsia="zh-CN"/>
              </w:rPr>
              <w:t>3.</w:t>
            </w:r>
            <w:r>
              <w:rPr>
                <w:color w:val="auto"/>
                <w:spacing w:val="-1"/>
                <w:sz w:val="24"/>
                <w:szCs w:val="24"/>
                <w:lang w:eastAsia="zh-CN"/>
              </w:rPr>
              <w:t>开标平台：当地招投标交易平台</w:t>
            </w:r>
          </w:p>
          <w:p w14:paraId="0D8C9C22">
            <w:pPr>
              <w:pStyle w:val="23"/>
              <w:spacing w:before="26" w:line="229" w:lineRule="auto"/>
              <w:ind w:left="28" w:right="2581" w:firstLine="6"/>
              <w:rPr>
                <w:color w:val="auto"/>
                <w:sz w:val="24"/>
                <w:szCs w:val="24"/>
                <w:lang w:eastAsia="zh-CN"/>
              </w:rPr>
            </w:pPr>
            <w:r>
              <w:rPr>
                <w:rFonts w:ascii="Times New Roman" w:hAnsi="Times New Roman" w:eastAsia="Times New Roman" w:cs="Times New Roman"/>
                <w:color w:val="auto"/>
                <w:spacing w:val="-1"/>
                <w:sz w:val="24"/>
                <w:szCs w:val="24"/>
                <w:lang w:eastAsia="zh-CN"/>
              </w:rPr>
              <w:t>4.</w:t>
            </w:r>
            <w:r>
              <w:rPr>
                <w:color w:val="auto"/>
                <w:spacing w:val="-1"/>
                <w:sz w:val="24"/>
                <w:szCs w:val="24"/>
                <w:lang w:eastAsia="zh-CN"/>
              </w:rPr>
              <w:t>其他：</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w:t>
            </w:r>
          </w:p>
        </w:tc>
      </w:tr>
      <w:tr w14:paraId="1FF61F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5" w:hRule="atLeast"/>
        </w:trPr>
        <w:tc>
          <w:tcPr>
            <w:tcW w:w="1080" w:type="dxa"/>
            <w:vAlign w:val="top"/>
          </w:tcPr>
          <w:p w14:paraId="3D9C6C8E">
            <w:pPr>
              <w:spacing w:line="249" w:lineRule="auto"/>
              <w:rPr>
                <w:color w:val="auto"/>
                <w:lang w:eastAsia="zh-CN"/>
              </w:rPr>
            </w:pPr>
          </w:p>
          <w:p w14:paraId="520A3A54">
            <w:pPr>
              <w:spacing w:line="249" w:lineRule="auto"/>
              <w:rPr>
                <w:color w:val="auto"/>
                <w:lang w:eastAsia="zh-CN"/>
              </w:rPr>
            </w:pPr>
          </w:p>
          <w:p w14:paraId="02D68D91">
            <w:pPr>
              <w:spacing w:line="249" w:lineRule="auto"/>
              <w:rPr>
                <w:color w:val="auto"/>
                <w:lang w:eastAsia="zh-CN"/>
              </w:rPr>
            </w:pPr>
          </w:p>
          <w:p w14:paraId="0C35CE54">
            <w:pPr>
              <w:spacing w:line="249" w:lineRule="auto"/>
              <w:rPr>
                <w:color w:val="auto"/>
                <w:lang w:eastAsia="zh-CN"/>
              </w:rPr>
            </w:pPr>
          </w:p>
          <w:p w14:paraId="31A6152A">
            <w:pPr>
              <w:spacing w:line="249" w:lineRule="auto"/>
              <w:rPr>
                <w:color w:val="auto"/>
                <w:lang w:eastAsia="zh-CN"/>
              </w:rPr>
            </w:pPr>
          </w:p>
          <w:p w14:paraId="3F72C69C">
            <w:pPr>
              <w:spacing w:line="249" w:lineRule="auto"/>
              <w:rPr>
                <w:color w:val="auto"/>
                <w:lang w:eastAsia="zh-CN"/>
              </w:rPr>
            </w:pPr>
          </w:p>
          <w:p w14:paraId="5E5CDEC7">
            <w:pPr>
              <w:spacing w:line="249" w:lineRule="auto"/>
              <w:rPr>
                <w:color w:val="auto"/>
                <w:lang w:eastAsia="zh-CN"/>
              </w:rPr>
            </w:pPr>
          </w:p>
          <w:p w14:paraId="7B72ABDC">
            <w:pPr>
              <w:spacing w:line="249" w:lineRule="auto"/>
              <w:rPr>
                <w:color w:val="auto"/>
                <w:lang w:eastAsia="zh-CN"/>
              </w:rPr>
            </w:pPr>
          </w:p>
          <w:p w14:paraId="50615DB4">
            <w:pPr>
              <w:spacing w:line="249" w:lineRule="auto"/>
              <w:rPr>
                <w:color w:val="auto"/>
                <w:lang w:eastAsia="zh-CN"/>
              </w:rPr>
            </w:pPr>
          </w:p>
          <w:p w14:paraId="44FBF3E8">
            <w:pPr>
              <w:spacing w:line="249" w:lineRule="auto"/>
              <w:rPr>
                <w:color w:val="auto"/>
                <w:lang w:eastAsia="zh-CN"/>
              </w:rPr>
            </w:pPr>
          </w:p>
          <w:p w14:paraId="2CB33252">
            <w:pPr>
              <w:spacing w:line="250" w:lineRule="auto"/>
              <w:rPr>
                <w:color w:val="auto"/>
                <w:lang w:eastAsia="zh-CN"/>
              </w:rPr>
            </w:pPr>
          </w:p>
          <w:p w14:paraId="7106211E">
            <w:pPr>
              <w:spacing w:line="250" w:lineRule="auto"/>
              <w:rPr>
                <w:color w:val="auto"/>
                <w:lang w:eastAsia="zh-CN"/>
              </w:rPr>
            </w:pPr>
          </w:p>
          <w:p w14:paraId="31C08F8E">
            <w:pPr>
              <w:spacing w:line="250" w:lineRule="auto"/>
              <w:rPr>
                <w:color w:val="auto"/>
                <w:lang w:eastAsia="zh-CN"/>
              </w:rPr>
            </w:pPr>
          </w:p>
          <w:p w14:paraId="358721E4">
            <w:pPr>
              <w:spacing w:line="250" w:lineRule="auto"/>
              <w:rPr>
                <w:color w:val="auto"/>
                <w:lang w:eastAsia="zh-CN"/>
              </w:rPr>
            </w:pPr>
          </w:p>
          <w:p w14:paraId="585A294F">
            <w:pPr>
              <w:spacing w:line="250" w:lineRule="auto"/>
              <w:rPr>
                <w:color w:val="auto"/>
                <w:lang w:eastAsia="zh-CN"/>
              </w:rPr>
            </w:pPr>
          </w:p>
          <w:p w14:paraId="5F172647">
            <w:pPr>
              <w:spacing w:line="250" w:lineRule="auto"/>
              <w:rPr>
                <w:color w:val="auto"/>
                <w:lang w:eastAsia="zh-CN"/>
              </w:rPr>
            </w:pPr>
          </w:p>
          <w:p w14:paraId="0134B2C8">
            <w:pPr>
              <w:spacing w:line="250" w:lineRule="auto"/>
              <w:rPr>
                <w:color w:val="auto"/>
                <w:lang w:eastAsia="zh-CN"/>
              </w:rPr>
            </w:pPr>
          </w:p>
          <w:p w14:paraId="39FAE3C2">
            <w:pPr>
              <w:spacing w:line="250" w:lineRule="auto"/>
              <w:rPr>
                <w:color w:val="auto"/>
                <w:lang w:eastAsia="zh-CN"/>
              </w:rPr>
            </w:pPr>
          </w:p>
          <w:p w14:paraId="507730CF">
            <w:pPr>
              <w:spacing w:line="250" w:lineRule="auto"/>
              <w:rPr>
                <w:color w:val="auto"/>
                <w:lang w:eastAsia="zh-CN"/>
              </w:rPr>
            </w:pPr>
          </w:p>
          <w:p w14:paraId="1D161FD9">
            <w:pPr>
              <w:spacing w:before="69" w:line="188" w:lineRule="auto"/>
              <w:ind w:left="329" w:leftChars="0"/>
              <w:rPr>
                <w:rFonts w:ascii="Times New Roman" w:hAnsi="Times New Roman" w:eastAsia="Times New Roman" w:cs="Times New Roman"/>
                <w:color w:val="auto"/>
                <w:spacing w:val="-5"/>
                <w:sz w:val="24"/>
                <w:szCs w:val="24"/>
              </w:rPr>
            </w:pPr>
            <w:r>
              <w:rPr>
                <w:rFonts w:ascii="Times New Roman" w:hAnsi="Times New Roman" w:eastAsia="Times New Roman" w:cs="Times New Roman"/>
                <w:color w:val="auto"/>
                <w:spacing w:val="-5"/>
                <w:sz w:val="24"/>
                <w:szCs w:val="24"/>
              </w:rPr>
              <w:t>5.2</w:t>
            </w:r>
          </w:p>
        </w:tc>
        <w:tc>
          <w:tcPr>
            <w:tcW w:w="1305" w:type="dxa"/>
            <w:vAlign w:val="top"/>
          </w:tcPr>
          <w:p w14:paraId="25125255">
            <w:pPr>
              <w:spacing w:line="251" w:lineRule="auto"/>
              <w:rPr>
                <w:color w:val="auto"/>
              </w:rPr>
            </w:pPr>
          </w:p>
          <w:p w14:paraId="7B5489D2">
            <w:pPr>
              <w:spacing w:line="251" w:lineRule="auto"/>
              <w:rPr>
                <w:color w:val="auto"/>
              </w:rPr>
            </w:pPr>
          </w:p>
          <w:p w14:paraId="2C7B0AD3">
            <w:pPr>
              <w:spacing w:line="252" w:lineRule="auto"/>
              <w:rPr>
                <w:color w:val="auto"/>
              </w:rPr>
            </w:pPr>
          </w:p>
          <w:p w14:paraId="10A8CE1B">
            <w:pPr>
              <w:spacing w:line="252" w:lineRule="auto"/>
              <w:rPr>
                <w:color w:val="auto"/>
              </w:rPr>
            </w:pPr>
          </w:p>
          <w:p w14:paraId="7F1C861C">
            <w:pPr>
              <w:spacing w:line="252" w:lineRule="auto"/>
              <w:rPr>
                <w:color w:val="auto"/>
              </w:rPr>
            </w:pPr>
          </w:p>
          <w:p w14:paraId="0FFBE2DF">
            <w:pPr>
              <w:spacing w:line="252" w:lineRule="auto"/>
              <w:rPr>
                <w:color w:val="auto"/>
              </w:rPr>
            </w:pPr>
          </w:p>
          <w:p w14:paraId="309EC752">
            <w:pPr>
              <w:spacing w:line="252" w:lineRule="auto"/>
              <w:rPr>
                <w:color w:val="auto"/>
              </w:rPr>
            </w:pPr>
          </w:p>
          <w:p w14:paraId="02F3061A">
            <w:pPr>
              <w:spacing w:line="252" w:lineRule="auto"/>
              <w:rPr>
                <w:color w:val="auto"/>
              </w:rPr>
            </w:pPr>
          </w:p>
          <w:p w14:paraId="2ACEC2DD">
            <w:pPr>
              <w:spacing w:line="252" w:lineRule="auto"/>
              <w:rPr>
                <w:color w:val="auto"/>
              </w:rPr>
            </w:pPr>
          </w:p>
          <w:p w14:paraId="7DFEEDCD">
            <w:pPr>
              <w:spacing w:line="252" w:lineRule="auto"/>
              <w:rPr>
                <w:color w:val="auto"/>
              </w:rPr>
            </w:pPr>
          </w:p>
          <w:p w14:paraId="4276166A">
            <w:pPr>
              <w:spacing w:line="252" w:lineRule="auto"/>
              <w:rPr>
                <w:color w:val="auto"/>
              </w:rPr>
            </w:pPr>
          </w:p>
          <w:p w14:paraId="543246D0">
            <w:pPr>
              <w:spacing w:line="252" w:lineRule="auto"/>
              <w:rPr>
                <w:color w:val="auto"/>
              </w:rPr>
            </w:pPr>
          </w:p>
          <w:p w14:paraId="797F7CF1">
            <w:pPr>
              <w:spacing w:line="252" w:lineRule="auto"/>
              <w:rPr>
                <w:color w:val="auto"/>
              </w:rPr>
            </w:pPr>
          </w:p>
          <w:p w14:paraId="6B1727B7">
            <w:pPr>
              <w:spacing w:line="252" w:lineRule="auto"/>
              <w:rPr>
                <w:color w:val="auto"/>
              </w:rPr>
            </w:pPr>
          </w:p>
          <w:p w14:paraId="20C85DBA">
            <w:pPr>
              <w:spacing w:line="252" w:lineRule="auto"/>
              <w:rPr>
                <w:color w:val="auto"/>
              </w:rPr>
            </w:pPr>
          </w:p>
          <w:p w14:paraId="56D3576C">
            <w:pPr>
              <w:spacing w:line="252" w:lineRule="auto"/>
              <w:rPr>
                <w:color w:val="auto"/>
              </w:rPr>
            </w:pPr>
          </w:p>
          <w:p w14:paraId="2927AF73">
            <w:pPr>
              <w:spacing w:line="252" w:lineRule="auto"/>
              <w:rPr>
                <w:color w:val="auto"/>
              </w:rPr>
            </w:pPr>
          </w:p>
          <w:p w14:paraId="446632BB">
            <w:pPr>
              <w:spacing w:line="252" w:lineRule="auto"/>
              <w:rPr>
                <w:color w:val="auto"/>
              </w:rPr>
            </w:pPr>
          </w:p>
          <w:p w14:paraId="36AED88E">
            <w:pPr>
              <w:pStyle w:val="23"/>
              <w:spacing w:before="78" w:line="230" w:lineRule="auto"/>
              <w:ind w:right="44" w:rightChars="0"/>
              <w:rPr>
                <w:color w:val="auto"/>
                <w:spacing w:val="-3"/>
                <w:sz w:val="24"/>
                <w:szCs w:val="24"/>
              </w:rPr>
            </w:pPr>
            <w:r>
              <w:rPr>
                <w:color w:val="auto"/>
                <w:spacing w:val="-3"/>
                <w:sz w:val="24"/>
                <w:szCs w:val="24"/>
              </w:rPr>
              <w:t>开标程序和评标</w:t>
            </w:r>
            <w:r>
              <w:rPr>
                <w:color w:val="auto"/>
                <w:spacing w:val="-5"/>
                <w:sz w:val="24"/>
                <w:szCs w:val="24"/>
              </w:rPr>
              <w:t>程序</w:t>
            </w:r>
          </w:p>
        </w:tc>
        <w:tc>
          <w:tcPr>
            <w:tcW w:w="7229" w:type="dxa"/>
            <w:vAlign w:val="top"/>
          </w:tcPr>
          <w:p w14:paraId="0163E22B">
            <w:pPr>
              <w:pStyle w:val="23"/>
              <w:spacing w:before="27" w:line="233" w:lineRule="auto"/>
              <w:ind w:left="35" w:right="27" w:firstLine="514" w:firstLineChars="209"/>
              <w:jc w:val="both"/>
              <w:rPr>
                <w:color w:val="auto"/>
                <w:sz w:val="24"/>
                <w:szCs w:val="24"/>
                <w:lang w:eastAsia="zh-CN"/>
              </w:rPr>
            </w:pPr>
            <w:r>
              <w:rPr>
                <w:color w:val="auto"/>
                <w:spacing w:val="3"/>
                <w:sz w:val="24"/>
                <w:szCs w:val="24"/>
                <w:lang w:eastAsia="zh-CN"/>
              </w:rPr>
              <w:t>资信商务评估法：先确定评审区间，再进行商务标评审，结束后再进行资信标评审，最后再进行资格审查并推</w:t>
            </w:r>
            <w:r>
              <w:rPr>
                <w:color w:val="auto"/>
                <w:spacing w:val="-2"/>
                <w:sz w:val="24"/>
                <w:szCs w:val="24"/>
                <w:lang w:eastAsia="zh-CN"/>
              </w:rPr>
              <w:t>荐中标候选人。</w:t>
            </w:r>
          </w:p>
          <w:p w14:paraId="7DD8A59E">
            <w:pPr>
              <w:keepNext w:val="0"/>
              <w:keepLines w:val="0"/>
              <w:pageBreakBefore w:val="0"/>
              <w:numPr>
                <w:ilvl w:val="0"/>
                <w:numId w:val="0"/>
              </w:numPr>
              <w:wordWrap/>
              <w:topLinePunct w:val="0"/>
              <w:bidi w:val="0"/>
              <w:snapToGrid/>
              <w:spacing w:line="440" w:lineRule="exact"/>
              <w:ind w:leftChars="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本项目采用不见面开标形式，所有投标人的法定代表人或委托代理人在开标当日（投标截止时间前）登录三门县公共资源交易不见面开标大厅并签到，</w:t>
            </w:r>
            <w:r>
              <w:rPr>
                <w:rFonts w:hint="eastAsia" w:ascii="宋体" w:hAnsi="宋体" w:eastAsia="宋体" w:cs="宋体"/>
                <w:b/>
                <w:color w:val="auto"/>
                <w:sz w:val="24"/>
                <w:szCs w:val="24"/>
              </w:rPr>
              <w:t>未完成签到的，将无法解密投标文件，并视为放弃投标</w:t>
            </w:r>
            <w:r>
              <w:rPr>
                <w:rFonts w:hint="eastAsia" w:ascii="宋体" w:hAnsi="宋体" w:eastAsia="宋体" w:cs="宋体"/>
                <w:color w:val="auto"/>
                <w:sz w:val="24"/>
                <w:szCs w:val="24"/>
              </w:rPr>
              <w:t>。不见面开标大厅系统登录：插入CA锁并登录交易系统—业务办理—开评标—进入不见面开标系统。</w:t>
            </w:r>
          </w:p>
          <w:p w14:paraId="54080D26">
            <w:pPr>
              <w:keepNext w:val="0"/>
              <w:keepLines w:val="0"/>
              <w:pageBreakBefore w:val="0"/>
              <w:numPr>
                <w:ilvl w:val="0"/>
                <w:numId w:val="0"/>
              </w:numPr>
              <w:wordWrap/>
              <w:topLinePunct w:val="0"/>
              <w:bidi w:val="0"/>
              <w:snapToGrid/>
              <w:spacing w:line="440" w:lineRule="exact"/>
              <w:ind w:leftChars="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招标代理开启不见面开标系统视频直播，开标全过程录像由三门县公共资源交易中心录制保存备查。</w:t>
            </w:r>
          </w:p>
          <w:p w14:paraId="64ED43C5">
            <w:pPr>
              <w:keepNext w:val="0"/>
              <w:keepLines w:val="0"/>
              <w:pageBreakBefore w:val="0"/>
              <w:numPr>
                <w:ilvl w:val="0"/>
                <w:numId w:val="0"/>
              </w:numPr>
              <w:wordWrap/>
              <w:topLinePunct w:val="0"/>
              <w:bidi w:val="0"/>
              <w:snapToGrid/>
              <w:spacing w:line="440" w:lineRule="exact"/>
              <w:ind w:leftChars="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投标截止时间到达后，各投标人自行在不见面开标系统对电子投标文件进行解密，投标文件解密时间为</w:t>
            </w:r>
            <w:r>
              <w:rPr>
                <w:rFonts w:hint="eastAsia" w:ascii="宋体" w:hAnsi="宋体" w:eastAsia="宋体" w:cs="宋体"/>
                <w:b/>
                <w:bCs/>
                <w:color w:val="auto"/>
                <w:sz w:val="24"/>
                <w:szCs w:val="24"/>
              </w:rPr>
              <w:t>40分钟</w:t>
            </w:r>
            <w:r>
              <w:rPr>
                <w:rFonts w:hint="eastAsia" w:ascii="宋体" w:hAnsi="宋体" w:eastAsia="宋体" w:cs="宋体"/>
                <w:color w:val="auto"/>
                <w:sz w:val="24"/>
                <w:szCs w:val="24"/>
              </w:rPr>
              <w:t>（时间以招标人或招标代理机构确定“开始解密”时开始计算），逾期未解密的视为投标人放弃投标。</w:t>
            </w:r>
          </w:p>
          <w:p w14:paraId="1B2CBA07">
            <w:pPr>
              <w:keepNext w:val="0"/>
              <w:keepLines w:val="0"/>
              <w:pageBreakBefore w:val="0"/>
              <w:numPr>
                <w:ilvl w:val="0"/>
                <w:numId w:val="0"/>
              </w:numPr>
              <w:wordWrap/>
              <w:topLinePunct w:val="0"/>
              <w:bidi w:val="0"/>
              <w:snapToGrid/>
              <w:spacing w:line="440" w:lineRule="exact"/>
              <w:ind w:leftChars="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招标代理现场公布解密投标人投标文件情况。</w:t>
            </w:r>
          </w:p>
          <w:p w14:paraId="1C2D9383">
            <w:pPr>
              <w:keepNext w:val="0"/>
              <w:keepLines w:val="0"/>
              <w:pageBreakBefore w:val="0"/>
              <w:numPr>
                <w:ilvl w:val="0"/>
                <w:numId w:val="0"/>
              </w:numPr>
              <w:wordWrap/>
              <w:topLinePunct w:val="0"/>
              <w:bidi w:val="0"/>
              <w:snapToGrid/>
              <w:spacing w:line="440" w:lineRule="exact"/>
              <w:ind w:leftChars="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评标委员会根据招标文件规定的程序及方法对投标文件进行评审。每个环节评审结果招标代理均在不见面开标大厅宣布。</w:t>
            </w:r>
          </w:p>
          <w:p w14:paraId="0D6D2EAE">
            <w:pPr>
              <w:keepNext w:val="0"/>
              <w:keepLines w:val="0"/>
              <w:pageBreakBefore w:val="0"/>
              <w:numPr>
                <w:ilvl w:val="0"/>
                <w:numId w:val="0"/>
              </w:numPr>
              <w:wordWrap/>
              <w:topLinePunct w:val="0"/>
              <w:bidi w:val="0"/>
              <w:snapToGrid/>
              <w:spacing w:line="440" w:lineRule="exact"/>
              <w:ind w:leftChars="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招标人代表现场抽取调整系数，抽取过程在不见面开标系统同步直播，接受招标监管机构人员监管。</w:t>
            </w:r>
          </w:p>
          <w:p w14:paraId="31818796">
            <w:pPr>
              <w:keepNext w:val="0"/>
              <w:keepLines w:val="0"/>
              <w:pageBreakBefore w:val="0"/>
              <w:numPr>
                <w:ilvl w:val="0"/>
                <w:numId w:val="0"/>
              </w:numPr>
              <w:wordWrap/>
              <w:topLinePunct w:val="0"/>
              <w:bidi w:val="0"/>
              <w:snapToGrid/>
              <w:spacing w:line="360" w:lineRule="auto"/>
              <w:ind w:leftChars="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各投标人的法定代表人或委托人代理人必须在开标、评标期间保持网络及电话畅通，若评标委员会要求投标人澄清或说明时，投标人在规定的时间（由评标委员会确定合理所需时间）以予澄清或说明，否则视为自动放弃；后果由该投标人自行承担。所有澄清或说明转换成PDF形式并签章后通过不见面开标系统传输。</w:t>
            </w:r>
          </w:p>
          <w:p w14:paraId="6ED9ABB1">
            <w:pPr>
              <w:pStyle w:val="23"/>
              <w:spacing w:before="27" w:line="360" w:lineRule="auto"/>
              <w:ind w:left="45" w:leftChars="0" w:firstLine="480" w:firstLineChars="200"/>
              <w:rPr>
                <w:rFonts w:ascii="Times New Roman" w:hAnsi="Times New Roman" w:eastAsia="Times New Roman" w:cs="Times New Roman"/>
                <w:color w:val="auto"/>
                <w:spacing w:val="-1"/>
                <w:sz w:val="24"/>
                <w:szCs w:val="24"/>
                <w:lang w:eastAsia="zh-CN"/>
              </w:rPr>
            </w:pPr>
            <w:r>
              <w:rPr>
                <w:rFonts w:hint="eastAsia" w:ascii="宋体" w:hAnsi="宋体" w:eastAsia="宋体" w:cs="宋体"/>
                <w:color w:val="auto"/>
                <w:sz w:val="24"/>
                <w:szCs w:val="24"/>
              </w:rPr>
              <w:t>注：若有异常情况或疑问的，可通过不见面开标系统音视频交互跟开标人联系，或及时咨询品茗公司，技术服务电话：章宏涛13968512856，也可加入QQ“三门交易平台交流群”（群号：146117595）进行业务咨询。</w:t>
            </w:r>
          </w:p>
        </w:tc>
      </w:tr>
      <w:tr w14:paraId="346A32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080" w:type="dxa"/>
          </w:tcPr>
          <w:p w14:paraId="3DE8BF76">
            <w:pPr>
              <w:spacing w:line="277" w:lineRule="auto"/>
              <w:rPr>
                <w:color w:val="auto"/>
              </w:rPr>
            </w:pPr>
          </w:p>
          <w:p w14:paraId="0C5ABA6A">
            <w:pPr>
              <w:spacing w:line="278" w:lineRule="auto"/>
              <w:rPr>
                <w:color w:val="auto"/>
              </w:rPr>
            </w:pPr>
          </w:p>
          <w:p w14:paraId="02047B34">
            <w:pPr>
              <w:spacing w:line="278" w:lineRule="auto"/>
              <w:rPr>
                <w:color w:val="auto"/>
              </w:rPr>
            </w:pPr>
          </w:p>
          <w:p w14:paraId="64A8979F">
            <w:pPr>
              <w:spacing w:line="278" w:lineRule="auto"/>
              <w:rPr>
                <w:color w:val="auto"/>
              </w:rPr>
            </w:pPr>
          </w:p>
          <w:p w14:paraId="1968C2FF">
            <w:pPr>
              <w:spacing w:before="69" w:line="188" w:lineRule="auto"/>
              <w:ind w:left="329"/>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5"/>
                <w:sz w:val="24"/>
                <w:szCs w:val="24"/>
              </w:rPr>
              <w:t>5.4</w:t>
            </w:r>
          </w:p>
        </w:tc>
        <w:tc>
          <w:tcPr>
            <w:tcW w:w="1305" w:type="dxa"/>
          </w:tcPr>
          <w:p w14:paraId="52619D8C">
            <w:pPr>
              <w:spacing w:line="269" w:lineRule="auto"/>
              <w:rPr>
                <w:color w:val="auto"/>
              </w:rPr>
            </w:pPr>
          </w:p>
          <w:p w14:paraId="30BF0447">
            <w:pPr>
              <w:spacing w:line="269" w:lineRule="auto"/>
              <w:rPr>
                <w:color w:val="auto"/>
              </w:rPr>
            </w:pPr>
          </w:p>
          <w:p w14:paraId="4FA9F180">
            <w:pPr>
              <w:spacing w:line="269" w:lineRule="auto"/>
              <w:rPr>
                <w:color w:val="auto"/>
              </w:rPr>
            </w:pPr>
          </w:p>
          <w:p w14:paraId="1A060029">
            <w:pPr>
              <w:spacing w:line="270" w:lineRule="auto"/>
              <w:rPr>
                <w:color w:val="auto"/>
              </w:rPr>
            </w:pPr>
          </w:p>
          <w:p w14:paraId="0B7DD99D">
            <w:pPr>
              <w:pStyle w:val="23"/>
              <w:spacing w:before="78" w:line="219" w:lineRule="auto"/>
              <w:ind w:left="166"/>
              <w:rPr>
                <w:color w:val="auto"/>
                <w:sz w:val="24"/>
                <w:szCs w:val="24"/>
              </w:rPr>
            </w:pPr>
            <w:r>
              <w:rPr>
                <w:color w:val="auto"/>
                <w:spacing w:val="-2"/>
                <w:sz w:val="24"/>
                <w:szCs w:val="24"/>
              </w:rPr>
              <w:t>特殊情况处置</w:t>
            </w:r>
          </w:p>
        </w:tc>
        <w:tc>
          <w:tcPr>
            <w:tcW w:w="7229" w:type="dxa"/>
          </w:tcPr>
          <w:p w14:paraId="652E1260">
            <w:pPr>
              <w:pStyle w:val="23"/>
              <w:numPr>
                <w:ilvl w:val="0"/>
                <w:numId w:val="7"/>
              </w:numPr>
              <w:spacing w:before="149" w:line="234" w:lineRule="auto"/>
              <w:ind w:left="36" w:right="27" w:firstLine="16"/>
              <w:rPr>
                <w:color w:val="auto"/>
                <w:spacing w:val="13"/>
                <w:sz w:val="24"/>
                <w:szCs w:val="24"/>
                <w:lang w:eastAsia="zh-CN"/>
              </w:rPr>
            </w:pPr>
            <w:r>
              <w:rPr>
                <w:color w:val="auto"/>
                <w:spacing w:val="3"/>
                <w:sz w:val="24"/>
                <w:szCs w:val="24"/>
                <w:lang w:eastAsia="zh-CN"/>
              </w:rPr>
              <w:t>因网络、系统、电力等不可抗力因素投标截止时间延期</w:t>
            </w:r>
            <w:r>
              <w:rPr>
                <w:color w:val="auto"/>
                <w:spacing w:val="13"/>
                <w:sz w:val="24"/>
                <w:szCs w:val="24"/>
                <w:lang w:eastAsia="zh-CN"/>
              </w:rPr>
              <w:t>的，需更新制作投标文件并按招标文件要求重新递交。</w:t>
            </w:r>
          </w:p>
          <w:p w14:paraId="47FD276B">
            <w:pPr>
              <w:pStyle w:val="23"/>
              <w:numPr>
                <w:ilvl w:val="0"/>
                <w:numId w:val="0"/>
              </w:numPr>
              <w:spacing w:before="149" w:line="234" w:lineRule="auto"/>
              <w:ind w:left="52" w:leftChars="0" w:right="27" w:rightChars="0"/>
              <w:rPr>
                <w:color w:val="auto"/>
                <w:sz w:val="24"/>
                <w:szCs w:val="24"/>
                <w:lang w:eastAsia="zh-CN"/>
              </w:rPr>
            </w:pPr>
            <w:r>
              <w:rPr>
                <w:rFonts w:hint="eastAsia"/>
                <w:color w:val="auto"/>
                <w:spacing w:val="5"/>
                <w:sz w:val="24"/>
                <w:szCs w:val="24"/>
                <w:lang w:eastAsia="zh-CN"/>
              </w:rPr>
              <w:t>☑</w:t>
            </w:r>
            <w:r>
              <w:rPr>
                <w:rFonts w:ascii="Times New Roman" w:hAnsi="Times New Roman" w:eastAsia="Times New Roman" w:cs="Times New Roman"/>
                <w:color w:val="auto"/>
                <w:spacing w:val="5"/>
                <w:sz w:val="24"/>
                <w:szCs w:val="24"/>
                <w:lang w:eastAsia="zh-CN"/>
              </w:rPr>
              <w:t>2.</w:t>
            </w:r>
            <w:r>
              <w:rPr>
                <w:color w:val="auto"/>
                <w:spacing w:val="5"/>
                <w:sz w:val="24"/>
                <w:szCs w:val="24"/>
                <w:lang w:eastAsia="zh-CN"/>
              </w:rPr>
              <w:t>开标特别说明，当地结合地方电子评标系统相关条款</w:t>
            </w:r>
            <w:r>
              <w:rPr>
                <w:color w:val="auto"/>
                <w:spacing w:val="-2"/>
                <w:sz w:val="24"/>
                <w:szCs w:val="24"/>
                <w:lang w:eastAsia="zh-CN"/>
              </w:rPr>
              <w:t>可进行更改。</w:t>
            </w:r>
          </w:p>
          <w:p w14:paraId="7C62C4BE">
            <w:pPr>
              <w:pStyle w:val="23"/>
              <w:spacing w:before="28" w:line="234" w:lineRule="auto"/>
              <w:ind w:left="33" w:right="27" w:firstLine="12"/>
              <w:rPr>
                <w:color w:val="auto"/>
                <w:sz w:val="24"/>
                <w:szCs w:val="24"/>
                <w:lang w:eastAsia="zh-CN"/>
              </w:rPr>
            </w:pPr>
            <w:r>
              <w:rPr>
                <w:color w:val="auto"/>
                <w:spacing w:val="5"/>
                <w:sz w:val="24"/>
                <w:szCs w:val="24"/>
                <w:lang w:eastAsia="zh-CN"/>
              </w:rPr>
              <w:t>（</w:t>
            </w:r>
            <w:r>
              <w:rPr>
                <w:rFonts w:ascii="Times New Roman" w:hAnsi="Times New Roman" w:eastAsia="Times New Roman" w:cs="Times New Roman"/>
                <w:color w:val="auto"/>
                <w:spacing w:val="5"/>
                <w:sz w:val="24"/>
                <w:szCs w:val="24"/>
                <w:lang w:eastAsia="zh-CN"/>
              </w:rPr>
              <w:t>1</w:t>
            </w:r>
            <w:r>
              <w:rPr>
                <w:color w:val="auto"/>
                <w:spacing w:val="5"/>
                <w:sz w:val="24"/>
                <w:szCs w:val="24"/>
                <w:lang w:eastAsia="zh-CN"/>
              </w:rPr>
              <w:t>）因投标人原因造成其电子投标文件未解密的，视为</w:t>
            </w:r>
            <w:r>
              <w:rPr>
                <w:color w:val="auto"/>
                <w:spacing w:val="13"/>
                <w:sz w:val="24"/>
                <w:szCs w:val="24"/>
                <w:lang w:eastAsia="zh-CN"/>
              </w:rPr>
              <w:t>撤销其投标文件；投标截止时间前未完成投标文件传输</w:t>
            </w:r>
            <w:r>
              <w:rPr>
                <w:color w:val="auto"/>
                <w:spacing w:val="3"/>
                <w:sz w:val="24"/>
                <w:szCs w:val="24"/>
                <w:lang w:eastAsia="zh-CN"/>
              </w:rPr>
              <w:t>的，视为撤回投标文件；因投标人之外的原因造成电子投</w:t>
            </w:r>
            <w:r>
              <w:rPr>
                <w:color w:val="auto"/>
                <w:spacing w:val="-1"/>
                <w:sz w:val="24"/>
                <w:szCs w:val="24"/>
                <w:lang w:eastAsia="zh-CN"/>
              </w:rPr>
              <w:t>标文件未解密的，视为撤回其投标文件。</w:t>
            </w:r>
          </w:p>
          <w:p w14:paraId="4BB2C1A2">
            <w:pPr>
              <w:pStyle w:val="23"/>
              <w:spacing w:before="28" w:line="229" w:lineRule="auto"/>
              <w:ind w:left="36" w:right="27" w:firstLine="9"/>
              <w:rPr>
                <w:color w:val="auto"/>
                <w:sz w:val="24"/>
                <w:szCs w:val="24"/>
                <w:lang w:eastAsia="zh-CN"/>
              </w:rPr>
            </w:pPr>
            <w:r>
              <w:rPr>
                <w:color w:val="auto"/>
                <w:spacing w:val="4"/>
                <w:sz w:val="24"/>
                <w:szCs w:val="24"/>
                <w:lang w:eastAsia="zh-CN"/>
              </w:rPr>
              <w:t>（</w:t>
            </w:r>
            <w:r>
              <w:rPr>
                <w:rFonts w:ascii="Times New Roman" w:hAnsi="Times New Roman" w:eastAsia="Times New Roman" w:cs="Times New Roman"/>
                <w:color w:val="auto"/>
                <w:spacing w:val="4"/>
                <w:sz w:val="24"/>
                <w:szCs w:val="24"/>
                <w:lang w:eastAsia="zh-CN"/>
              </w:rPr>
              <w:t>2</w:t>
            </w:r>
            <w:r>
              <w:rPr>
                <w:color w:val="auto"/>
                <w:spacing w:val="4"/>
                <w:sz w:val="24"/>
                <w:szCs w:val="24"/>
                <w:lang w:eastAsia="zh-CN"/>
              </w:rPr>
              <w:t>）投标人必须使用生成电子投标文件的</w:t>
            </w:r>
            <w:r>
              <w:rPr>
                <w:rFonts w:ascii="Times New Roman" w:hAnsi="Times New Roman" w:eastAsia="Times New Roman" w:cs="Times New Roman"/>
                <w:color w:val="auto"/>
                <w:sz w:val="24"/>
                <w:szCs w:val="24"/>
                <w:lang w:eastAsia="zh-CN"/>
              </w:rPr>
              <w:t>CA</w:t>
            </w:r>
            <w:r>
              <w:rPr>
                <w:color w:val="auto"/>
                <w:spacing w:val="4"/>
                <w:sz w:val="24"/>
                <w:szCs w:val="24"/>
                <w:lang w:eastAsia="zh-CN"/>
              </w:rPr>
              <w:t>数字证书解</w:t>
            </w:r>
            <w:r>
              <w:rPr>
                <w:color w:val="auto"/>
                <w:spacing w:val="-2"/>
                <w:sz w:val="24"/>
                <w:szCs w:val="24"/>
                <w:lang w:eastAsia="zh-CN"/>
              </w:rPr>
              <w:t>密电子投标文件。</w:t>
            </w:r>
          </w:p>
          <w:p w14:paraId="3B1CBCA8">
            <w:pPr>
              <w:pStyle w:val="23"/>
              <w:spacing w:before="25" w:line="219" w:lineRule="auto"/>
              <w:ind w:left="34"/>
              <w:rPr>
                <w:color w:val="auto"/>
                <w:sz w:val="24"/>
                <w:szCs w:val="24"/>
              </w:rPr>
            </w:pPr>
            <w:r>
              <w:rPr>
                <w:rFonts w:ascii="Times New Roman" w:hAnsi="Times New Roman" w:eastAsia="Times New Roman" w:cs="Times New Roman"/>
                <w:color w:val="auto"/>
                <w:spacing w:val="-1"/>
                <w:sz w:val="24"/>
                <w:szCs w:val="24"/>
              </w:rPr>
              <w:t>3.</w:t>
            </w:r>
            <w:r>
              <w:rPr>
                <w:color w:val="auto"/>
                <w:spacing w:val="-1"/>
                <w:sz w:val="24"/>
                <w:szCs w:val="24"/>
              </w:rPr>
              <w:t>其他：</w:t>
            </w:r>
            <w:r>
              <w:rPr>
                <w:color w:val="auto"/>
                <w:sz w:val="24"/>
                <w:u w:val="single"/>
              </w:rPr>
              <w:t xml:space="preserve">          </w:t>
            </w:r>
            <w:r>
              <w:rPr>
                <w:rFonts w:hint="eastAsia"/>
                <w:color w:val="auto"/>
                <w:sz w:val="24"/>
                <w:u w:val="single"/>
                <w:lang w:val="en-US" w:eastAsia="zh-CN"/>
              </w:rPr>
              <w:t>/</w:t>
            </w:r>
            <w:r>
              <w:rPr>
                <w:color w:val="auto"/>
                <w:sz w:val="24"/>
                <w:u w:val="single"/>
              </w:rPr>
              <w:t xml:space="preserve">                 </w:t>
            </w:r>
            <w:r>
              <w:rPr>
                <w:color w:val="auto"/>
                <w:sz w:val="24"/>
              </w:rPr>
              <w:t xml:space="preserve"> </w:t>
            </w:r>
            <w:r>
              <w:rPr>
                <w:rFonts w:hAnsi="宋体"/>
                <w:color w:val="auto"/>
                <w:sz w:val="24"/>
              </w:rPr>
              <w:t>。</w:t>
            </w:r>
          </w:p>
        </w:tc>
      </w:tr>
      <w:tr w14:paraId="011A6A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080" w:type="dxa"/>
          </w:tcPr>
          <w:p w14:paraId="425A3E1F">
            <w:pPr>
              <w:spacing w:line="316" w:lineRule="auto"/>
              <w:rPr>
                <w:color w:val="auto"/>
              </w:rPr>
            </w:pPr>
          </w:p>
          <w:p w14:paraId="2CEFA376">
            <w:pPr>
              <w:spacing w:before="69" w:line="188" w:lineRule="auto"/>
              <w:ind w:left="239"/>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3"/>
                <w:sz w:val="24"/>
                <w:szCs w:val="24"/>
              </w:rPr>
              <w:t>6.1.1</w:t>
            </w:r>
          </w:p>
        </w:tc>
        <w:tc>
          <w:tcPr>
            <w:tcW w:w="1305" w:type="dxa"/>
          </w:tcPr>
          <w:p w14:paraId="24F7AD60">
            <w:pPr>
              <w:pStyle w:val="23"/>
              <w:spacing w:before="191" w:line="230" w:lineRule="auto"/>
              <w:ind w:left="770" w:right="44" w:hanging="722"/>
              <w:rPr>
                <w:color w:val="auto"/>
                <w:sz w:val="24"/>
                <w:szCs w:val="24"/>
              </w:rPr>
            </w:pPr>
            <w:r>
              <w:rPr>
                <w:color w:val="auto"/>
                <w:spacing w:val="-2"/>
                <w:sz w:val="24"/>
                <w:szCs w:val="24"/>
              </w:rPr>
              <w:t>评标委员会的组</w:t>
            </w:r>
            <w:r>
              <w:rPr>
                <w:color w:val="auto"/>
                <w:sz w:val="24"/>
                <w:szCs w:val="24"/>
              </w:rPr>
              <w:t>建</w:t>
            </w:r>
          </w:p>
        </w:tc>
        <w:tc>
          <w:tcPr>
            <w:tcW w:w="7229" w:type="dxa"/>
          </w:tcPr>
          <w:p w14:paraId="45A0A240">
            <w:pPr>
              <w:pStyle w:val="23"/>
              <w:spacing w:before="190" w:line="222" w:lineRule="auto"/>
              <w:ind w:left="29" w:firstLine="4"/>
              <w:rPr>
                <w:color w:val="auto"/>
                <w:sz w:val="24"/>
                <w:szCs w:val="24"/>
                <w:lang w:eastAsia="zh-CN"/>
              </w:rPr>
            </w:pPr>
            <w:r>
              <w:rPr>
                <w:color w:val="auto"/>
                <w:spacing w:val="-9"/>
                <w:sz w:val="24"/>
                <w:szCs w:val="24"/>
                <w:lang w:eastAsia="zh-CN"/>
              </w:rPr>
              <w:t>评标委员会构成</w:t>
            </w:r>
            <w:r>
              <w:rPr>
                <w:color w:val="auto"/>
                <w:spacing w:val="5"/>
                <w:sz w:val="24"/>
                <w:szCs w:val="24"/>
                <w:lang w:eastAsia="zh-CN"/>
              </w:rPr>
              <w:t>：</w:t>
            </w:r>
            <w:r>
              <w:rPr>
                <w:rFonts w:hint="eastAsia" w:ascii="宋体" w:hAnsi="宋体" w:eastAsia="宋体" w:cs="宋体"/>
                <w:color w:val="auto"/>
                <w:sz w:val="24"/>
                <w:szCs w:val="24"/>
                <w:lang w:val="en-US"/>
              </w:rPr>
              <w:t>执行《浙江省综合性评标专家库管理办法实施细则》相关规定。</w:t>
            </w:r>
          </w:p>
        </w:tc>
      </w:tr>
      <w:tr w14:paraId="076875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1" w:hRule="atLeast"/>
        </w:trPr>
        <w:tc>
          <w:tcPr>
            <w:tcW w:w="1080" w:type="dxa"/>
            <w:vAlign w:val="center"/>
          </w:tcPr>
          <w:p w14:paraId="638B6774">
            <w:pPr>
              <w:spacing w:before="69" w:line="188" w:lineRule="auto"/>
              <w:jc w:val="center"/>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5"/>
                <w:sz w:val="24"/>
                <w:szCs w:val="24"/>
              </w:rPr>
              <w:t>6.3</w:t>
            </w:r>
          </w:p>
        </w:tc>
        <w:tc>
          <w:tcPr>
            <w:tcW w:w="1305" w:type="dxa"/>
            <w:vAlign w:val="center"/>
          </w:tcPr>
          <w:p w14:paraId="5C5EEB26">
            <w:pPr>
              <w:pStyle w:val="23"/>
              <w:spacing w:before="78" w:line="219" w:lineRule="auto"/>
              <w:jc w:val="center"/>
              <w:rPr>
                <w:color w:val="auto"/>
                <w:sz w:val="24"/>
                <w:szCs w:val="24"/>
              </w:rPr>
            </w:pPr>
            <w:r>
              <w:rPr>
                <w:color w:val="auto"/>
                <w:spacing w:val="-3"/>
                <w:sz w:val="24"/>
                <w:szCs w:val="24"/>
              </w:rPr>
              <w:t>评标办法</w:t>
            </w:r>
          </w:p>
        </w:tc>
        <w:tc>
          <w:tcPr>
            <w:tcW w:w="7229" w:type="dxa"/>
          </w:tcPr>
          <w:p w14:paraId="26B48DC1">
            <w:pPr>
              <w:pStyle w:val="23"/>
              <w:spacing w:before="78" w:line="234" w:lineRule="auto"/>
              <w:ind w:right="66"/>
              <w:jc w:val="both"/>
              <w:rPr>
                <w:color w:val="auto"/>
                <w:sz w:val="24"/>
                <w:szCs w:val="24"/>
                <w:lang w:eastAsia="zh-CN"/>
              </w:rPr>
            </w:pPr>
            <w:r>
              <w:rPr>
                <w:color w:val="auto"/>
                <w:spacing w:val="-10"/>
                <w:sz w:val="24"/>
                <w:szCs w:val="24"/>
                <w:lang w:eastAsia="zh-CN"/>
              </w:rPr>
              <w:t xml:space="preserve">资信商务评估法 </w:t>
            </w:r>
          </w:p>
        </w:tc>
      </w:tr>
      <w:tr w14:paraId="4149E0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0" w:hRule="atLeast"/>
        </w:trPr>
        <w:tc>
          <w:tcPr>
            <w:tcW w:w="1080" w:type="dxa"/>
          </w:tcPr>
          <w:p w14:paraId="350A3DCC">
            <w:pPr>
              <w:pStyle w:val="23"/>
              <w:spacing w:before="204" w:line="235" w:lineRule="auto"/>
              <w:ind w:left="142"/>
              <w:rPr>
                <w:rFonts w:ascii="Times New Roman" w:hAnsi="Times New Roman" w:eastAsia="Times New Roman" w:cs="Times New Roman"/>
                <w:color w:val="auto"/>
                <w:sz w:val="24"/>
                <w:szCs w:val="24"/>
              </w:rPr>
            </w:pPr>
            <w:r>
              <w:rPr>
                <w:rFonts w:hint="eastAsia"/>
                <w:color w:val="auto"/>
                <w:spacing w:val="-7"/>
                <w:sz w:val="24"/>
                <w:szCs w:val="24"/>
                <w:lang w:eastAsia="zh-CN"/>
              </w:rPr>
              <w:t>☑</w:t>
            </w:r>
            <w:r>
              <w:rPr>
                <w:rFonts w:ascii="Times New Roman" w:hAnsi="Times New Roman" w:eastAsia="Times New Roman" w:cs="Times New Roman"/>
                <w:color w:val="auto"/>
                <w:spacing w:val="-7"/>
                <w:sz w:val="24"/>
                <w:szCs w:val="24"/>
              </w:rPr>
              <w:t>6.3.1</w:t>
            </w:r>
          </w:p>
        </w:tc>
        <w:tc>
          <w:tcPr>
            <w:tcW w:w="1305" w:type="dxa"/>
          </w:tcPr>
          <w:p w14:paraId="0E4E6878">
            <w:pPr>
              <w:pStyle w:val="23"/>
              <w:spacing w:before="52" w:line="226" w:lineRule="auto"/>
              <w:ind w:left="534" w:right="44" w:hanging="486"/>
              <w:rPr>
                <w:color w:val="auto"/>
                <w:sz w:val="24"/>
                <w:szCs w:val="24"/>
                <w:lang w:eastAsia="zh-CN"/>
              </w:rPr>
            </w:pPr>
            <w:r>
              <w:rPr>
                <w:color w:val="auto"/>
                <w:spacing w:val="-2"/>
                <w:sz w:val="24"/>
                <w:szCs w:val="24"/>
                <w:lang w:eastAsia="zh-CN"/>
              </w:rPr>
              <w:t>评标基准价的确</w:t>
            </w:r>
            <w:r>
              <w:rPr>
                <w:color w:val="auto"/>
                <w:spacing w:val="-6"/>
                <w:sz w:val="24"/>
                <w:szCs w:val="24"/>
                <w:lang w:eastAsia="zh-CN"/>
              </w:rPr>
              <w:t>定方法</w:t>
            </w:r>
          </w:p>
        </w:tc>
        <w:tc>
          <w:tcPr>
            <w:tcW w:w="7229" w:type="dxa"/>
          </w:tcPr>
          <w:p w14:paraId="1635A575">
            <w:pPr>
              <w:pStyle w:val="23"/>
              <w:spacing w:before="205" w:line="217" w:lineRule="auto"/>
              <w:ind w:left="33"/>
              <w:rPr>
                <w:color w:val="auto"/>
                <w:sz w:val="24"/>
                <w:szCs w:val="24"/>
                <w:lang w:eastAsia="zh-CN"/>
              </w:rPr>
            </w:pPr>
            <w:r>
              <w:rPr>
                <w:color w:val="auto"/>
                <w:spacing w:val="-1"/>
                <w:sz w:val="24"/>
                <w:szCs w:val="24"/>
                <w:u w:val="single"/>
                <w:lang w:eastAsia="zh-CN"/>
              </w:rPr>
              <w:t>评标基准价＝最高投标限价×调整系数。</w:t>
            </w:r>
          </w:p>
        </w:tc>
      </w:tr>
      <w:tr w14:paraId="32BAEC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7" w:hRule="atLeast"/>
        </w:trPr>
        <w:tc>
          <w:tcPr>
            <w:tcW w:w="1080" w:type="dxa"/>
          </w:tcPr>
          <w:p w14:paraId="7FD8C11A">
            <w:pPr>
              <w:spacing w:line="241" w:lineRule="auto"/>
              <w:rPr>
                <w:color w:val="auto"/>
                <w:lang w:eastAsia="zh-CN"/>
              </w:rPr>
            </w:pPr>
          </w:p>
          <w:p w14:paraId="1641AE31">
            <w:pPr>
              <w:spacing w:line="242" w:lineRule="auto"/>
              <w:rPr>
                <w:color w:val="auto"/>
                <w:lang w:eastAsia="zh-CN"/>
              </w:rPr>
            </w:pPr>
          </w:p>
          <w:p w14:paraId="46F48E50">
            <w:pPr>
              <w:spacing w:before="69" w:line="188" w:lineRule="auto"/>
              <w:ind w:left="239"/>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3"/>
                <w:sz w:val="24"/>
                <w:szCs w:val="24"/>
              </w:rPr>
              <w:t>6.3.2</w:t>
            </w:r>
          </w:p>
        </w:tc>
        <w:tc>
          <w:tcPr>
            <w:tcW w:w="1305" w:type="dxa"/>
          </w:tcPr>
          <w:p w14:paraId="0CE94ED9">
            <w:pPr>
              <w:pStyle w:val="23"/>
              <w:spacing w:before="205" w:line="218" w:lineRule="auto"/>
              <w:ind w:left="48"/>
              <w:rPr>
                <w:color w:val="auto"/>
                <w:sz w:val="24"/>
                <w:szCs w:val="24"/>
              </w:rPr>
            </w:pPr>
            <w:r>
              <w:rPr>
                <w:color w:val="auto"/>
                <w:spacing w:val="-2"/>
                <w:sz w:val="24"/>
                <w:szCs w:val="24"/>
                <w:lang w:eastAsia="zh-CN"/>
              </w:rPr>
              <w:t>评标委员会推荐</w:t>
            </w:r>
            <w:r>
              <w:rPr>
                <w:color w:val="auto"/>
                <w:spacing w:val="-5"/>
                <w:sz w:val="24"/>
                <w:szCs w:val="24"/>
                <w:lang w:eastAsia="zh-CN"/>
              </w:rPr>
              <w:t>中标候选人的人</w:t>
            </w:r>
            <w:r>
              <w:rPr>
                <w:color w:val="auto"/>
                <w:sz w:val="24"/>
                <w:szCs w:val="24"/>
              </w:rPr>
              <w:t>数</w:t>
            </w:r>
          </w:p>
        </w:tc>
        <w:tc>
          <w:tcPr>
            <w:tcW w:w="7229" w:type="dxa"/>
            <w:vAlign w:val="center"/>
          </w:tcPr>
          <w:p w14:paraId="146633FA">
            <w:pPr>
              <w:pStyle w:val="23"/>
              <w:spacing w:before="26" w:line="213" w:lineRule="auto"/>
              <w:ind w:left="24" w:firstLine="272"/>
              <w:jc w:val="both"/>
              <w:rPr>
                <w:color w:val="auto"/>
                <w:sz w:val="25"/>
                <w:szCs w:val="25"/>
                <w:lang w:eastAsia="zh-CN"/>
              </w:rPr>
            </w:pPr>
            <w:r>
              <w:rPr>
                <w:rFonts w:hint="eastAsia" w:ascii="宋体" w:hAnsi="宋体"/>
                <w:color w:val="auto"/>
                <w:sz w:val="24"/>
                <w:szCs w:val="24"/>
                <w:lang w:eastAsia="zh-CN"/>
              </w:rPr>
              <w:t>☑</w:t>
            </w:r>
            <w:r>
              <w:rPr>
                <w:rFonts w:hint="eastAsia" w:ascii="宋体" w:hAnsi="宋体"/>
                <w:color w:val="auto"/>
                <w:sz w:val="24"/>
                <w:szCs w:val="24"/>
              </w:rPr>
              <w:t>1.</w:t>
            </w:r>
            <w:r>
              <w:rPr>
                <w:rFonts w:hint="eastAsia" w:ascii="宋体" w:hAnsi="宋体"/>
                <w:color w:val="auto"/>
                <w:sz w:val="24"/>
                <w:szCs w:val="24"/>
                <w:u w:val="single"/>
              </w:rPr>
              <w:t>推荐一名中标候选人。</w:t>
            </w:r>
          </w:p>
        </w:tc>
      </w:tr>
      <w:tr w14:paraId="52666A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06" w:hRule="atLeast"/>
        </w:trPr>
        <w:tc>
          <w:tcPr>
            <w:tcW w:w="1080" w:type="dxa"/>
          </w:tcPr>
          <w:p w14:paraId="7EFE3D8B">
            <w:pPr>
              <w:spacing w:line="259" w:lineRule="auto"/>
              <w:rPr>
                <w:color w:val="auto"/>
                <w:lang w:eastAsia="zh-CN"/>
              </w:rPr>
            </w:pPr>
          </w:p>
          <w:p w14:paraId="7C1125FD">
            <w:pPr>
              <w:spacing w:line="259" w:lineRule="auto"/>
              <w:rPr>
                <w:color w:val="auto"/>
                <w:lang w:eastAsia="zh-CN"/>
              </w:rPr>
            </w:pPr>
          </w:p>
          <w:p w14:paraId="0F53679F">
            <w:pPr>
              <w:spacing w:before="69" w:line="188" w:lineRule="auto"/>
              <w:ind w:left="237"/>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2"/>
                <w:sz w:val="24"/>
                <w:szCs w:val="24"/>
              </w:rPr>
              <w:t>7.1.1</w:t>
            </w:r>
          </w:p>
        </w:tc>
        <w:tc>
          <w:tcPr>
            <w:tcW w:w="1305" w:type="dxa"/>
          </w:tcPr>
          <w:p w14:paraId="50E7C4B6">
            <w:pPr>
              <w:spacing w:line="316" w:lineRule="auto"/>
              <w:rPr>
                <w:color w:val="auto"/>
                <w:lang w:eastAsia="zh-CN"/>
              </w:rPr>
            </w:pPr>
          </w:p>
          <w:p w14:paraId="05422DA3">
            <w:pPr>
              <w:pStyle w:val="23"/>
              <w:spacing w:before="78" w:line="228" w:lineRule="auto"/>
              <w:ind w:left="289" w:right="44" w:hanging="219"/>
              <w:rPr>
                <w:color w:val="auto"/>
                <w:sz w:val="24"/>
                <w:szCs w:val="24"/>
                <w:lang w:eastAsia="zh-CN"/>
              </w:rPr>
            </w:pPr>
            <w:r>
              <w:rPr>
                <w:color w:val="auto"/>
                <w:spacing w:val="-5"/>
                <w:sz w:val="24"/>
                <w:szCs w:val="24"/>
                <w:lang w:eastAsia="zh-CN"/>
              </w:rPr>
              <w:t>中标候选人公示</w:t>
            </w:r>
            <w:r>
              <w:rPr>
                <w:color w:val="auto"/>
                <w:spacing w:val="-2"/>
                <w:sz w:val="24"/>
                <w:szCs w:val="24"/>
                <w:lang w:eastAsia="zh-CN"/>
              </w:rPr>
              <w:t>媒介及期限</w:t>
            </w:r>
          </w:p>
        </w:tc>
        <w:tc>
          <w:tcPr>
            <w:tcW w:w="7229" w:type="dxa"/>
          </w:tcPr>
          <w:p w14:paraId="2364B798">
            <w:pPr>
              <w:widowControl/>
              <w:autoSpaceDE/>
              <w:autoSpaceDN/>
              <w:adjustRightInd/>
              <w:spacing w:line="440" w:lineRule="exact"/>
              <w:rPr>
                <w:rFonts w:ascii="宋体" w:hAnsi="宋体" w:cs="宋体"/>
                <w:sz w:val="24"/>
                <w:szCs w:val="24"/>
                <w:highlight w:val="none"/>
              </w:rPr>
            </w:pPr>
            <w:r>
              <w:rPr>
                <w:rFonts w:hint="eastAsia" w:ascii="宋体" w:hAnsi="宋体" w:cs="宋体"/>
                <w:sz w:val="24"/>
                <w:szCs w:val="24"/>
                <w:highlight w:val="none"/>
              </w:rPr>
              <w:t>公示媒介：三门县公共资源交易网（网址：http://www.sanmen.gov.cn/col/col1229610743/index.html）和浙江省公共资源交易服务平台</w:t>
            </w:r>
            <w:r>
              <w:rPr>
                <w:rFonts w:hint="eastAsia" w:ascii="宋体" w:hAnsi="宋体" w:cs="宋体"/>
                <w:sz w:val="24"/>
                <w:szCs w:val="24"/>
                <w:highlight w:val="none"/>
                <w:u w:val="single"/>
              </w:rPr>
              <w:t>https://ggzy.zj.gov.cn</w:t>
            </w:r>
            <w:r>
              <w:rPr>
                <w:rFonts w:hint="eastAsia" w:ascii="宋体" w:hAnsi="宋体" w:cs="宋体"/>
                <w:sz w:val="24"/>
                <w:szCs w:val="24"/>
                <w:highlight w:val="none"/>
              </w:rPr>
              <w:t>上发布。</w:t>
            </w:r>
          </w:p>
          <w:p w14:paraId="79E869BB">
            <w:pPr>
              <w:pStyle w:val="23"/>
              <w:spacing w:before="31" w:line="227" w:lineRule="auto"/>
              <w:ind w:left="39" w:right="25" w:firstLine="1"/>
              <w:rPr>
                <w:color w:val="auto"/>
                <w:sz w:val="24"/>
                <w:szCs w:val="24"/>
                <w:lang w:eastAsia="zh-CN"/>
              </w:rPr>
            </w:pPr>
            <w:r>
              <w:rPr>
                <w:rFonts w:hint="eastAsia" w:ascii="宋体" w:hAnsi="宋体" w:cs="宋体"/>
                <w:spacing w:val="-2"/>
                <w:sz w:val="24"/>
                <w:szCs w:val="24"/>
                <w:highlight w:val="none"/>
              </w:rPr>
              <w:t>公示期限：不少于3日。如遇国家法定休假日，应顺延至法定休假日后第一个工作日。</w:t>
            </w:r>
          </w:p>
        </w:tc>
      </w:tr>
      <w:tr w14:paraId="646AB6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82" w:hRule="atLeast"/>
        </w:trPr>
        <w:tc>
          <w:tcPr>
            <w:tcW w:w="1080" w:type="dxa"/>
          </w:tcPr>
          <w:p w14:paraId="4E2EA48E">
            <w:pPr>
              <w:spacing w:line="332" w:lineRule="auto"/>
              <w:rPr>
                <w:color w:val="auto"/>
                <w:lang w:eastAsia="zh-CN"/>
              </w:rPr>
            </w:pPr>
          </w:p>
          <w:p w14:paraId="0412C6D6">
            <w:pPr>
              <w:spacing w:line="333" w:lineRule="auto"/>
              <w:rPr>
                <w:color w:val="auto"/>
                <w:lang w:eastAsia="zh-CN"/>
              </w:rPr>
            </w:pPr>
          </w:p>
          <w:p w14:paraId="061D66F1">
            <w:pPr>
              <w:spacing w:before="103" w:line="174" w:lineRule="auto"/>
              <w:ind w:left="212"/>
              <w:rPr>
                <w:rFonts w:ascii="微软雅黑" w:hAnsi="微软雅黑" w:eastAsia="微软雅黑" w:cs="微软雅黑"/>
                <w:color w:val="auto"/>
                <w:sz w:val="24"/>
                <w:szCs w:val="24"/>
              </w:rPr>
            </w:pPr>
            <w:r>
              <w:rPr>
                <w:rFonts w:ascii="微软雅黑" w:hAnsi="微软雅黑" w:eastAsia="微软雅黑" w:cs="微软雅黑"/>
                <w:color w:val="auto"/>
                <w:spacing w:val="-3"/>
                <w:sz w:val="24"/>
                <w:szCs w:val="24"/>
              </w:rPr>
              <w:t>7.1.2</w:t>
            </w:r>
          </w:p>
        </w:tc>
        <w:tc>
          <w:tcPr>
            <w:tcW w:w="1305" w:type="dxa"/>
          </w:tcPr>
          <w:p w14:paraId="0D60EE1D">
            <w:pPr>
              <w:spacing w:line="438" w:lineRule="auto"/>
              <w:rPr>
                <w:color w:val="auto"/>
                <w:lang w:eastAsia="zh-CN"/>
              </w:rPr>
            </w:pPr>
          </w:p>
          <w:p w14:paraId="2B9C2E5E">
            <w:pPr>
              <w:pStyle w:val="23"/>
              <w:spacing w:before="78" w:line="229" w:lineRule="auto"/>
              <w:ind w:left="309" w:right="44" w:hanging="239"/>
              <w:rPr>
                <w:color w:val="auto"/>
                <w:sz w:val="24"/>
                <w:szCs w:val="24"/>
                <w:lang w:eastAsia="zh-CN"/>
              </w:rPr>
            </w:pPr>
            <w:r>
              <w:rPr>
                <w:color w:val="auto"/>
                <w:spacing w:val="-5"/>
                <w:sz w:val="24"/>
                <w:szCs w:val="24"/>
                <w:lang w:eastAsia="zh-CN"/>
              </w:rPr>
              <w:t>中标候选人公示</w:t>
            </w:r>
            <w:r>
              <w:rPr>
                <w:color w:val="auto"/>
                <w:spacing w:val="-6"/>
                <w:sz w:val="24"/>
                <w:szCs w:val="24"/>
                <w:lang w:eastAsia="zh-CN"/>
              </w:rPr>
              <w:t>的其他内容</w:t>
            </w:r>
          </w:p>
        </w:tc>
        <w:tc>
          <w:tcPr>
            <w:tcW w:w="7229" w:type="dxa"/>
          </w:tcPr>
          <w:p w14:paraId="293F2548">
            <w:pPr>
              <w:pStyle w:val="23"/>
              <w:spacing w:before="48" w:line="293" w:lineRule="auto"/>
              <w:ind w:left="35" w:right="27" w:hanging="1"/>
              <w:rPr>
                <w:color w:val="auto"/>
                <w:sz w:val="24"/>
                <w:szCs w:val="24"/>
                <w:lang w:eastAsia="zh-CN"/>
              </w:rPr>
            </w:pPr>
            <w:r>
              <w:rPr>
                <w:color w:val="auto"/>
                <w:spacing w:val="3"/>
                <w:sz w:val="24"/>
                <w:szCs w:val="24"/>
                <w:lang w:eastAsia="zh-CN"/>
              </w:rPr>
              <w:t>被否决的投标及否决原因，各评标专家（名字不予公布，以评标专家一、二等对应）针对各投标人资信标内容的评分情况，中标候选人的资信标得分依据（包括业绩、奖项</w:t>
            </w:r>
            <w:r>
              <w:rPr>
                <w:color w:val="auto"/>
                <w:spacing w:val="-2"/>
                <w:sz w:val="24"/>
                <w:szCs w:val="24"/>
                <w:lang w:eastAsia="zh-CN"/>
              </w:rPr>
              <w:t>等材料</w:t>
            </w:r>
            <w:r>
              <w:rPr>
                <w:color w:val="auto"/>
                <w:spacing w:val="8"/>
                <w:sz w:val="24"/>
                <w:szCs w:val="24"/>
                <w:lang w:eastAsia="zh-CN"/>
              </w:rPr>
              <w:t>），</w:t>
            </w:r>
            <w:r>
              <w:rPr>
                <w:color w:val="auto"/>
                <w:spacing w:val="-2"/>
                <w:sz w:val="24"/>
                <w:szCs w:val="24"/>
                <w:lang w:eastAsia="zh-CN"/>
              </w:rPr>
              <w:t>技术标等内容的评分情况。</w:t>
            </w:r>
          </w:p>
        </w:tc>
      </w:tr>
      <w:tr w14:paraId="347ED6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5" w:hRule="atLeast"/>
        </w:trPr>
        <w:tc>
          <w:tcPr>
            <w:tcW w:w="1080" w:type="dxa"/>
          </w:tcPr>
          <w:p w14:paraId="4FEB8154">
            <w:pPr>
              <w:spacing w:before="69" w:line="188" w:lineRule="auto"/>
              <w:ind w:left="237"/>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2"/>
                <w:sz w:val="24"/>
                <w:szCs w:val="24"/>
              </w:rPr>
              <w:t>7.2.1</w:t>
            </w:r>
          </w:p>
        </w:tc>
        <w:tc>
          <w:tcPr>
            <w:tcW w:w="1305" w:type="dxa"/>
          </w:tcPr>
          <w:p w14:paraId="2F5981ED">
            <w:pPr>
              <w:pStyle w:val="23"/>
              <w:spacing w:before="78" w:line="219" w:lineRule="auto"/>
              <w:rPr>
                <w:color w:val="auto"/>
                <w:sz w:val="24"/>
                <w:szCs w:val="24"/>
              </w:rPr>
            </w:pPr>
            <w:r>
              <w:rPr>
                <w:color w:val="auto"/>
                <w:spacing w:val="-2"/>
                <w:sz w:val="24"/>
                <w:szCs w:val="24"/>
              </w:rPr>
              <w:t>确定中标人</w:t>
            </w:r>
          </w:p>
        </w:tc>
        <w:tc>
          <w:tcPr>
            <w:tcW w:w="7229" w:type="dxa"/>
          </w:tcPr>
          <w:p w14:paraId="5E28C5C5">
            <w:pPr>
              <w:pStyle w:val="27"/>
              <w:keepNext w:val="0"/>
              <w:keepLines w:val="0"/>
              <w:pageBreakBefore w:val="0"/>
              <w:wordWrap/>
              <w:overflowPunct/>
              <w:bidi w:val="0"/>
              <w:snapToGrid w:val="0"/>
              <w:spacing w:line="320" w:lineRule="exact"/>
              <w:jc w:val="both"/>
              <w:rPr>
                <w:rFonts w:ascii="宋体" w:hAnsi="宋体"/>
                <w:color w:val="auto"/>
                <w:sz w:val="24"/>
                <w:szCs w:val="24"/>
              </w:rPr>
            </w:pPr>
            <w:r>
              <w:rPr>
                <w:rFonts w:hint="eastAsia" w:ascii="宋体" w:hAnsi="宋体"/>
                <w:color w:val="auto"/>
                <w:sz w:val="24"/>
                <w:szCs w:val="24"/>
                <w:lang w:eastAsia="zh-CN"/>
              </w:rPr>
              <w:t>□</w:t>
            </w:r>
            <w:r>
              <w:rPr>
                <w:rFonts w:hint="eastAsia" w:ascii="Times New Roman" w:hAnsi="宋体"/>
                <w:color w:val="auto"/>
                <w:sz w:val="24"/>
                <w:szCs w:val="24"/>
              </w:rPr>
              <w:t>授权</w:t>
            </w:r>
            <w:r>
              <w:rPr>
                <w:rFonts w:ascii="Times New Roman" w:hAnsi="宋体"/>
                <w:color w:val="auto"/>
                <w:sz w:val="24"/>
                <w:szCs w:val="24"/>
              </w:rPr>
              <w:t>评标委员会确定中标人</w:t>
            </w:r>
            <w:r>
              <w:rPr>
                <w:rFonts w:ascii="宋体" w:hAnsi="宋体"/>
                <w:color w:val="auto"/>
                <w:sz w:val="24"/>
                <w:szCs w:val="24"/>
              </w:rPr>
              <w:t>。</w:t>
            </w:r>
          </w:p>
          <w:p w14:paraId="5BC05B01">
            <w:pPr>
              <w:pStyle w:val="27"/>
              <w:keepNext w:val="0"/>
              <w:keepLines w:val="0"/>
              <w:pageBreakBefore w:val="0"/>
              <w:wordWrap/>
              <w:overflowPunct/>
              <w:bidi w:val="0"/>
              <w:snapToGrid w:val="0"/>
              <w:spacing w:line="320" w:lineRule="exact"/>
              <w:jc w:val="both"/>
              <w:rPr>
                <w:rFonts w:ascii="宋体" w:hAnsi="宋体"/>
                <w:color w:val="auto"/>
                <w:sz w:val="24"/>
                <w:szCs w:val="24"/>
              </w:rPr>
            </w:pPr>
            <w:r>
              <w:rPr>
                <w:rFonts w:hint="eastAsia" w:ascii="宋体" w:hAnsi="宋体"/>
                <w:color w:val="auto"/>
                <w:sz w:val="24"/>
                <w:szCs w:val="24"/>
                <w:lang w:eastAsia="zh-CN"/>
              </w:rPr>
              <w:t>☑</w:t>
            </w:r>
            <w:r>
              <w:rPr>
                <w:rFonts w:hint="eastAsia" w:ascii="宋体" w:hAnsi="宋体"/>
                <w:color w:val="auto"/>
                <w:sz w:val="24"/>
                <w:szCs w:val="24"/>
              </w:rPr>
              <w:t>根据评标委员会推荐，由招标人</w:t>
            </w:r>
            <w:r>
              <w:rPr>
                <w:rFonts w:ascii="Times New Roman" w:hAnsi="宋体"/>
                <w:color w:val="auto"/>
                <w:sz w:val="24"/>
                <w:szCs w:val="24"/>
              </w:rPr>
              <w:t>确定中标人</w:t>
            </w:r>
            <w:r>
              <w:rPr>
                <w:rFonts w:ascii="宋体" w:hAnsi="宋体"/>
                <w:color w:val="auto"/>
                <w:sz w:val="24"/>
                <w:szCs w:val="24"/>
              </w:rPr>
              <w:t>。</w:t>
            </w:r>
          </w:p>
          <w:p w14:paraId="1B279EE0">
            <w:pPr>
              <w:pStyle w:val="27"/>
              <w:keepNext w:val="0"/>
              <w:keepLines w:val="0"/>
              <w:pageBreakBefore w:val="0"/>
              <w:wordWrap/>
              <w:overflowPunct/>
              <w:bidi w:val="0"/>
              <w:snapToGrid w:val="0"/>
              <w:spacing w:line="320" w:lineRule="exact"/>
              <w:jc w:val="both"/>
              <w:rPr>
                <w:rFonts w:ascii="宋体" w:hAnsi="宋体"/>
                <w:color w:val="auto"/>
                <w:sz w:val="24"/>
                <w:szCs w:val="24"/>
              </w:rPr>
            </w:pPr>
            <w:r>
              <w:rPr>
                <w:rFonts w:hint="eastAsia" w:ascii="宋体" w:hAnsi="宋体"/>
                <w:color w:val="auto"/>
                <w:sz w:val="24"/>
                <w:szCs w:val="24"/>
              </w:rPr>
              <w:t>□评定分离，根据评标委员会推荐，另行组织定标会议，由定标委员会</w:t>
            </w:r>
            <w:r>
              <w:rPr>
                <w:rFonts w:ascii="Times New Roman" w:hAnsi="宋体"/>
                <w:color w:val="auto"/>
                <w:sz w:val="24"/>
                <w:szCs w:val="24"/>
              </w:rPr>
              <w:t>确定中标人</w:t>
            </w:r>
            <w:r>
              <w:rPr>
                <w:rFonts w:ascii="宋体" w:hAnsi="宋体"/>
                <w:color w:val="auto"/>
                <w:sz w:val="24"/>
                <w:szCs w:val="24"/>
              </w:rPr>
              <w:t>。</w:t>
            </w:r>
          </w:p>
          <w:p w14:paraId="1D00965F">
            <w:pPr>
              <w:pStyle w:val="23"/>
              <w:spacing w:before="51" w:line="218" w:lineRule="auto"/>
              <w:ind w:left="58"/>
              <w:rPr>
                <w:color w:val="auto"/>
                <w:sz w:val="24"/>
                <w:szCs w:val="24"/>
              </w:rPr>
            </w:pPr>
            <w:r>
              <w:rPr>
                <w:rFonts w:hint="eastAsia" w:ascii="宋体" w:hAnsi="宋体"/>
                <w:color w:val="auto"/>
                <w:sz w:val="24"/>
                <w:szCs w:val="24"/>
              </w:rPr>
              <w:t>□</w:t>
            </w:r>
            <w:r>
              <w:rPr>
                <w:rFonts w:ascii="Times New Roman" w:hAnsi="宋体"/>
                <w:color w:val="auto"/>
                <w:sz w:val="24"/>
                <w:szCs w:val="24"/>
              </w:rPr>
              <w:t>其他：</w:t>
            </w:r>
            <w:r>
              <w:rPr>
                <w:rFonts w:ascii="Times New Roman" w:hAnsi="Times New Roman"/>
                <w:color w:val="auto"/>
                <w:sz w:val="24"/>
                <w:szCs w:val="24"/>
                <w:u w:val="single"/>
              </w:rPr>
              <w:t xml:space="preserve">          </w:t>
            </w:r>
            <w:r>
              <w:rPr>
                <w:rFonts w:hint="eastAsia" w:ascii="Times New Roman" w:hAnsi="Times New Roman"/>
                <w:color w:val="auto"/>
                <w:sz w:val="24"/>
                <w:szCs w:val="24"/>
                <w:u w:val="single"/>
              </w:rPr>
              <w:t xml:space="preserve">    </w:t>
            </w:r>
            <w:r>
              <w:rPr>
                <w:rFonts w:hint="eastAsia" w:ascii="Times New Roman" w:hAnsi="Times New Roman"/>
                <w:color w:val="auto"/>
                <w:sz w:val="24"/>
                <w:szCs w:val="24"/>
                <w:u w:val="single"/>
                <w:lang w:val="en-US" w:eastAsia="zh-CN"/>
              </w:rPr>
              <w:t>/</w:t>
            </w:r>
            <w:r>
              <w:rPr>
                <w:rFonts w:hint="eastAsia" w:ascii="Times New Roman" w:hAnsi="Times New Roman"/>
                <w:color w:val="auto"/>
                <w:sz w:val="24"/>
                <w:szCs w:val="24"/>
                <w:u w:val="single"/>
              </w:rPr>
              <w:t xml:space="preserve">          </w:t>
            </w:r>
            <w:r>
              <w:rPr>
                <w:rFonts w:ascii="Times New Roman" w:hAnsi="Times New Roman"/>
                <w:color w:val="auto"/>
                <w:sz w:val="24"/>
                <w:szCs w:val="24"/>
                <w:u w:val="single"/>
              </w:rPr>
              <w:t xml:space="preserve">    </w:t>
            </w:r>
            <w:r>
              <w:rPr>
                <w:rFonts w:ascii="Times New Roman" w:hAnsi="宋体"/>
                <w:color w:val="auto"/>
                <w:sz w:val="24"/>
                <w:szCs w:val="24"/>
              </w:rPr>
              <w:t>。</w:t>
            </w:r>
          </w:p>
        </w:tc>
      </w:tr>
      <w:tr w14:paraId="00DDF6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3" w:hRule="atLeast"/>
        </w:trPr>
        <w:tc>
          <w:tcPr>
            <w:tcW w:w="1080" w:type="dxa"/>
          </w:tcPr>
          <w:p w14:paraId="39F2E049">
            <w:pPr>
              <w:spacing w:line="243" w:lineRule="auto"/>
              <w:rPr>
                <w:color w:val="auto"/>
              </w:rPr>
            </w:pPr>
          </w:p>
          <w:p w14:paraId="5E88B931">
            <w:pPr>
              <w:spacing w:line="244" w:lineRule="auto"/>
              <w:rPr>
                <w:color w:val="auto"/>
              </w:rPr>
            </w:pPr>
          </w:p>
          <w:p w14:paraId="7AB10356">
            <w:pPr>
              <w:spacing w:before="69" w:line="188" w:lineRule="auto"/>
              <w:ind w:left="326"/>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4"/>
                <w:sz w:val="24"/>
                <w:szCs w:val="24"/>
              </w:rPr>
              <w:t>7.4</w:t>
            </w:r>
          </w:p>
        </w:tc>
        <w:tc>
          <w:tcPr>
            <w:tcW w:w="1305" w:type="dxa"/>
          </w:tcPr>
          <w:p w14:paraId="58EE42DE">
            <w:pPr>
              <w:pStyle w:val="23"/>
              <w:spacing w:before="206" w:line="219" w:lineRule="auto"/>
              <w:rPr>
                <w:color w:val="auto"/>
                <w:sz w:val="24"/>
                <w:szCs w:val="24"/>
                <w:lang w:eastAsia="zh-CN"/>
              </w:rPr>
            </w:pPr>
            <w:r>
              <w:rPr>
                <w:color w:val="auto"/>
                <w:spacing w:val="-4"/>
                <w:sz w:val="24"/>
                <w:szCs w:val="24"/>
                <w:lang w:eastAsia="zh-CN"/>
              </w:rPr>
              <w:t>履约担保</w:t>
            </w:r>
            <w:r>
              <w:rPr>
                <w:color w:val="auto"/>
                <w:spacing w:val="-2"/>
                <w:sz w:val="24"/>
                <w:szCs w:val="24"/>
                <w:lang w:eastAsia="zh-CN"/>
              </w:rPr>
              <w:t>及工程款支付</w:t>
            </w:r>
          </w:p>
          <w:p w14:paraId="78C71AC5">
            <w:pPr>
              <w:pStyle w:val="23"/>
              <w:spacing w:before="25" w:line="219" w:lineRule="auto"/>
              <w:rPr>
                <w:color w:val="auto"/>
                <w:sz w:val="24"/>
                <w:szCs w:val="24"/>
                <w:lang w:eastAsia="zh-CN"/>
              </w:rPr>
            </w:pPr>
            <w:r>
              <w:rPr>
                <w:color w:val="auto"/>
                <w:spacing w:val="-6"/>
                <w:sz w:val="24"/>
                <w:szCs w:val="24"/>
                <w:lang w:eastAsia="zh-CN"/>
              </w:rPr>
              <w:t>担保</w:t>
            </w:r>
          </w:p>
        </w:tc>
        <w:tc>
          <w:tcPr>
            <w:tcW w:w="7229" w:type="dxa"/>
          </w:tcPr>
          <w:p w14:paraId="0B28D158">
            <w:pPr>
              <w:pStyle w:val="5"/>
              <w:numPr>
                <w:ilvl w:val="0"/>
                <w:numId w:val="0"/>
              </w:numPr>
              <w:spacing w:line="440" w:lineRule="exact"/>
              <w:ind w:left="425" w:leftChars="0" w:hanging="425" w:firstLineChars="0"/>
              <w:rPr>
                <w:rFonts w:ascii="宋体" w:hAnsi="宋体" w:cs="宋体"/>
                <w:sz w:val="24"/>
                <w:szCs w:val="24"/>
                <w:highlight w:val="none"/>
              </w:rPr>
            </w:pPr>
            <w:r>
              <w:rPr>
                <w:rFonts w:hint="default" w:ascii="宋体" w:hAnsi="宋体" w:eastAsia="宋体" w:cs="宋体"/>
                <w:sz w:val="24"/>
                <w:szCs w:val="24"/>
                <w:lang w:val="en-US" w:eastAsia="zh-CN" w:bidi="ar-SA"/>
              </w:rPr>
              <w:t>1.</w:t>
            </w:r>
            <w:r>
              <w:rPr>
                <w:rFonts w:hint="eastAsia" w:ascii="宋体" w:hAnsi="宋体" w:cs="宋体"/>
                <w:sz w:val="24"/>
                <w:szCs w:val="24"/>
                <w:highlight w:val="none"/>
              </w:rPr>
              <w:t>履约担保的形式：</w:t>
            </w:r>
            <w:r>
              <w:rPr>
                <w:rFonts w:hint="eastAsia" w:ascii="宋体" w:hAnsi="宋体" w:cs="宋体"/>
                <w:spacing w:val="-2"/>
                <w:sz w:val="24"/>
                <w:szCs w:val="24"/>
                <w:highlight w:val="none"/>
              </w:rPr>
              <w:t>工程保</w:t>
            </w:r>
            <w:r>
              <w:rPr>
                <w:rFonts w:hint="eastAsia" w:ascii="宋体" w:hAnsi="宋体" w:cs="宋体"/>
                <w:spacing w:val="-10"/>
                <w:sz w:val="24"/>
                <w:szCs w:val="24"/>
                <w:highlight w:val="none"/>
              </w:rPr>
              <w:t>函</w:t>
            </w:r>
            <w:r>
              <w:rPr>
                <w:rFonts w:hint="eastAsia" w:ascii="宋体" w:hAnsi="宋体" w:cs="宋体"/>
                <w:spacing w:val="-2"/>
                <w:sz w:val="24"/>
                <w:szCs w:val="24"/>
                <w:highlight w:val="none"/>
              </w:rPr>
              <w:t>（</w:t>
            </w:r>
            <w:r>
              <w:rPr>
                <w:rFonts w:hint="eastAsia" w:ascii="宋体" w:hAnsi="宋体" w:cs="宋体"/>
                <w:b/>
                <w:spacing w:val="-2"/>
                <w:sz w:val="24"/>
                <w:szCs w:val="24"/>
                <w:highlight w:val="none"/>
              </w:rPr>
              <w:t>银行保函</w:t>
            </w:r>
            <w:r>
              <w:rPr>
                <w:rFonts w:hint="eastAsia" w:ascii="宋体" w:hAnsi="宋体" w:cs="宋体"/>
                <w:b/>
                <w:spacing w:val="-11"/>
                <w:sz w:val="24"/>
                <w:szCs w:val="24"/>
                <w:highlight w:val="none"/>
              </w:rPr>
              <w:t>、</w:t>
            </w:r>
            <w:r>
              <w:rPr>
                <w:rFonts w:hint="eastAsia" w:ascii="宋体" w:hAnsi="宋体" w:cs="宋体"/>
                <w:b/>
                <w:spacing w:val="-2"/>
                <w:sz w:val="24"/>
                <w:szCs w:val="24"/>
                <w:highlight w:val="none"/>
              </w:rPr>
              <w:t>保险机构</w:t>
            </w:r>
            <w:r>
              <w:rPr>
                <w:rFonts w:hint="eastAsia" w:ascii="宋体" w:hAnsi="宋体" w:cs="宋体"/>
                <w:b/>
                <w:spacing w:val="-1"/>
                <w:sz w:val="24"/>
                <w:szCs w:val="24"/>
                <w:highlight w:val="none"/>
              </w:rPr>
              <w:t>保证</w:t>
            </w:r>
            <w:r>
              <w:rPr>
                <w:rFonts w:hint="eastAsia" w:ascii="宋体" w:hAnsi="宋体" w:cs="宋体"/>
                <w:b/>
                <w:sz w:val="24"/>
                <w:szCs w:val="24"/>
                <w:highlight w:val="none"/>
              </w:rPr>
              <w:t>保险保单，</w:t>
            </w:r>
            <w:r>
              <w:rPr>
                <w:rFonts w:hint="eastAsia" w:ascii="宋体" w:hAnsi="宋体" w:cs="宋体"/>
                <w:b/>
                <w:spacing w:val="-2"/>
                <w:sz w:val="24"/>
                <w:szCs w:val="24"/>
                <w:highlight w:val="none"/>
                <w:lang w:eastAsia="zh-CN"/>
              </w:rPr>
              <w:t>国有担保公司</w:t>
            </w:r>
            <w:r>
              <w:rPr>
                <w:rFonts w:hint="eastAsia" w:ascii="宋体" w:hAnsi="宋体" w:cs="宋体"/>
                <w:b/>
                <w:spacing w:val="-2"/>
                <w:sz w:val="24"/>
                <w:szCs w:val="24"/>
                <w:highlight w:val="none"/>
              </w:rPr>
              <w:t>保函</w:t>
            </w:r>
            <w:r>
              <w:rPr>
                <w:rFonts w:hint="eastAsia" w:ascii="宋体" w:hAnsi="宋体" w:cs="宋体"/>
                <w:sz w:val="24"/>
                <w:szCs w:val="24"/>
                <w:highlight w:val="none"/>
              </w:rPr>
              <w:t>）。</w:t>
            </w:r>
          </w:p>
          <w:p w14:paraId="36764BC4">
            <w:pPr>
              <w:numPr>
                <w:ilvl w:val="0"/>
                <w:numId w:val="0"/>
              </w:numPr>
              <w:spacing w:line="440" w:lineRule="exact"/>
              <w:ind w:left="425" w:leftChars="0" w:hanging="425" w:firstLineChars="0"/>
              <w:rPr>
                <w:rFonts w:hint="eastAsia" w:ascii="宋体" w:hAnsi="宋体" w:cs="宋体"/>
                <w:sz w:val="24"/>
                <w:szCs w:val="24"/>
                <w:highlight w:val="none"/>
                <w:lang w:eastAsia="zh-CN"/>
              </w:rPr>
            </w:pPr>
            <w:r>
              <w:rPr>
                <w:rFonts w:hint="default" w:ascii="宋体" w:hAnsi="宋体" w:cs="宋体"/>
                <w:sz w:val="24"/>
                <w:szCs w:val="24"/>
                <w:highlight w:val="none"/>
                <w:lang w:val="en-US" w:eastAsia="zh-CN"/>
              </w:rPr>
              <w:t>2.</w:t>
            </w:r>
            <w:r>
              <w:rPr>
                <w:rFonts w:hint="eastAsia" w:ascii="宋体" w:hAnsi="宋体" w:cs="宋体"/>
                <w:sz w:val="24"/>
                <w:szCs w:val="24"/>
                <w:highlight w:val="none"/>
              </w:rPr>
              <w:t>履约担保的金额：合同价的2%。</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详见第四章“合同条款及格式”专用条款3.7履约担保相关约定及附件8</w:t>
            </w:r>
            <w:r>
              <w:rPr>
                <w:rFonts w:hint="eastAsia" w:ascii="宋体" w:hAnsi="宋体" w:cs="宋体"/>
                <w:sz w:val="24"/>
                <w:szCs w:val="24"/>
                <w:highlight w:val="none"/>
                <w:lang w:eastAsia="zh-CN"/>
              </w:rPr>
              <w:t>）</w:t>
            </w:r>
          </w:p>
          <w:p w14:paraId="2B034FA4">
            <w:pPr>
              <w:pStyle w:val="23"/>
              <w:spacing w:before="50" w:line="219" w:lineRule="auto"/>
              <w:ind w:left="37"/>
              <w:rPr>
                <w:color w:val="auto"/>
                <w:sz w:val="24"/>
                <w:szCs w:val="24"/>
                <w:lang w:eastAsia="zh-CN"/>
              </w:rPr>
            </w:pPr>
            <w:r>
              <w:rPr>
                <w:rFonts w:hint="default" w:ascii="宋体" w:hAnsi="宋体" w:eastAsia="宋体" w:cs="宋体"/>
                <w:b/>
                <w:bCs/>
                <w:sz w:val="24"/>
                <w:szCs w:val="24"/>
                <w:lang w:val="en-US" w:eastAsia="zh-CN" w:bidi="ar-SA"/>
              </w:rPr>
              <w:t>3.</w:t>
            </w:r>
            <w:r>
              <w:rPr>
                <w:rFonts w:hint="eastAsia" w:ascii="宋体" w:hAnsi="宋体" w:cs="宋体"/>
                <w:b/>
                <w:bCs/>
                <w:sz w:val="24"/>
                <w:szCs w:val="24"/>
                <w:highlight w:val="none"/>
              </w:rPr>
              <w:t>民工工资支付担保的相关约定：按三人社[2019]41号《关于印发三门县建设领域民工工资管理办法（试行）的通知》及浙建[2020]7号关于在全省工程建设领域改革保证金制度的通知等相关文件执行。</w:t>
            </w:r>
          </w:p>
        </w:tc>
      </w:tr>
      <w:tr w14:paraId="11240D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60" w:hRule="atLeast"/>
        </w:trPr>
        <w:tc>
          <w:tcPr>
            <w:tcW w:w="1080" w:type="dxa"/>
          </w:tcPr>
          <w:p w14:paraId="2D54159D">
            <w:pPr>
              <w:spacing w:line="260" w:lineRule="auto"/>
              <w:rPr>
                <w:color w:val="auto"/>
                <w:lang w:eastAsia="zh-CN"/>
              </w:rPr>
            </w:pPr>
          </w:p>
          <w:p w14:paraId="2528BB59">
            <w:pPr>
              <w:spacing w:line="261" w:lineRule="auto"/>
              <w:rPr>
                <w:color w:val="auto"/>
                <w:lang w:eastAsia="zh-CN"/>
              </w:rPr>
            </w:pPr>
          </w:p>
          <w:p w14:paraId="1E8B2DF6">
            <w:pPr>
              <w:spacing w:line="261" w:lineRule="auto"/>
              <w:rPr>
                <w:color w:val="auto"/>
                <w:lang w:eastAsia="zh-CN"/>
              </w:rPr>
            </w:pPr>
          </w:p>
          <w:p w14:paraId="01EFE6D2">
            <w:pPr>
              <w:spacing w:line="261" w:lineRule="auto"/>
              <w:rPr>
                <w:color w:val="auto"/>
                <w:lang w:eastAsia="zh-CN"/>
              </w:rPr>
            </w:pPr>
          </w:p>
          <w:p w14:paraId="398FFD0D">
            <w:pPr>
              <w:spacing w:line="261" w:lineRule="auto"/>
              <w:rPr>
                <w:color w:val="auto"/>
                <w:lang w:eastAsia="zh-CN"/>
              </w:rPr>
            </w:pPr>
          </w:p>
          <w:p w14:paraId="677F4536">
            <w:pPr>
              <w:spacing w:line="261" w:lineRule="auto"/>
              <w:rPr>
                <w:color w:val="auto"/>
                <w:lang w:eastAsia="zh-CN"/>
              </w:rPr>
            </w:pPr>
          </w:p>
          <w:p w14:paraId="6C6A1018">
            <w:pPr>
              <w:spacing w:before="69" w:line="188" w:lineRule="auto"/>
              <w:ind w:left="332"/>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6"/>
                <w:sz w:val="24"/>
                <w:szCs w:val="24"/>
              </w:rPr>
              <w:t>8.1</w:t>
            </w:r>
          </w:p>
        </w:tc>
        <w:tc>
          <w:tcPr>
            <w:tcW w:w="1305" w:type="dxa"/>
          </w:tcPr>
          <w:p w14:paraId="6C00253F">
            <w:pPr>
              <w:spacing w:line="272" w:lineRule="auto"/>
              <w:rPr>
                <w:color w:val="auto"/>
              </w:rPr>
            </w:pPr>
          </w:p>
          <w:p w14:paraId="26CA988E">
            <w:pPr>
              <w:spacing w:line="272" w:lineRule="auto"/>
              <w:rPr>
                <w:color w:val="auto"/>
              </w:rPr>
            </w:pPr>
          </w:p>
          <w:p w14:paraId="505E0002">
            <w:pPr>
              <w:spacing w:line="272" w:lineRule="auto"/>
              <w:rPr>
                <w:color w:val="auto"/>
              </w:rPr>
            </w:pPr>
          </w:p>
          <w:p w14:paraId="043BB4F3">
            <w:pPr>
              <w:spacing w:line="273" w:lineRule="auto"/>
              <w:rPr>
                <w:color w:val="auto"/>
              </w:rPr>
            </w:pPr>
          </w:p>
          <w:p w14:paraId="660455B1">
            <w:pPr>
              <w:spacing w:line="273" w:lineRule="auto"/>
              <w:rPr>
                <w:color w:val="auto"/>
              </w:rPr>
            </w:pPr>
          </w:p>
          <w:p w14:paraId="6D1375E8">
            <w:pPr>
              <w:pStyle w:val="23"/>
              <w:spacing w:before="78" w:line="230" w:lineRule="auto"/>
              <w:ind w:right="44"/>
              <w:rPr>
                <w:color w:val="auto"/>
                <w:sz w:val="24"/>
                <w:szCs w:val="24"/>
              </w:rPr>
            </w:pPr>
            <w:r>
              <w:rPr>
                <w:color w:val="auto"/>
                <w:spacing w:val="-2"/>
                <w:sz w:val="24"/>
                <w:szCs w:val="24"/>
              </w:rPr>
              <w:t>重新招标其他情</w:t>
            </w:r>
            <w:r>
              <w:rPr>
                <w:color w:val="auto"/>
                <w:sz w:val="24"/>
                <w:szCs w:val="24"/>
              </w:rPr>
              <w:t>形</w:t>
            </w:r>
          </w:p>
        </w:tc>
        <w:tc>
          <w:tcPr>
            <w:tcW w:w="7229" w:type="dxa"/>
          </w:tcPr>
          <w:p w14:paraId="0D6204FE">
            <w:pPr>
              <w:numPr>
                <w:ilvl w:val="0"/>
                <w:numId w:val="0"/>
              </w:numPr>
              <w:spacing w:line="440" w:lineRule="exact"/>
              <w:ind w:left="425" w:leftChars="0" w:hanging="425" w:firstLineChars="0"/>
              <w:rPr>
                <w:rFonts w:ascii="宋体" w:hAnsi="宋体" w:cs="宋体"/>
                <w:sz w:val="24"/>
                <w:szCs w:val="24"/>
                <w:highlight w:val="none"/>
              </w:rPr>
            </w:pPr>
            <w:r>
              <w:rPr>
                <w:rFonts w:hint="default" w:ascii="宋体" w:hAnsi="宋体" w:eastAsia="宋体" w:cs="宋体"/>
                <w:sz w:val="24"/>
                <w:szCs w:val="24"/>
                <w:lang w:val="en-US" w:eastAsia="zh-CN" w:bidi="ar-SA"/>
              </w:rPr>
              <w:t>1.</w:t>
            </w:r>
            <w:r>
              <w:rPr>
                <w:rFonts w:hint="eastAsia" w:ascii="宋体" w:hAnsi="宋体" w:cs="宋体"/>
                <w:sz w:val="24"/>
                <w:szCs w:val="24"/>
                <w:highlight w:val="none"/>
              </w:rPr>
              <w:t>招标投标过程中，因项目发生变更，现有招标资格条件与项目工程规模不符的；</w:t>
            </w:r>
          </w:p>
          <w:p w14:paraId="79308FF2">
            <w:pPr>
              <w:numPr>
                <w:ilvl w:val="0"/>
                <w:numId w:val="0"/>
              </w:numPr>
              <w:spacing w:line="440" w:lineRule="exact"/>
              <w:ind w:left="425" w:leftChars="0" w:hanging="425" w:firstLineChars="0"/>
              <w:rPr>
                <w:rFonts w:ascii="宋体" w:hAnsi="宋体" w:cs="宋体"/>
                <w:sz w:val="24"/>
                <w:szCs w:val="24"/>
                <w:highlight w:val="none"/>
              </w:rPr>
            </w:pPr>
            <w:r>
              <w:rPr>
                <w:rFonts w:hint="default" w:ascii="宋体" w:hAnsi="宋体" w:eastAsia="宋体" w:cs="宋体"/>
                <w:sz w:val="24"/>
                <w:szCs w:val="24"/>
                <w:lang w:val="en-US" w:eastAsia="zh-CN" w:bidi="ar-SA"/>
              </w:rPr>
              <w:t>2.</w:t>
            </w:r>
            <w:r>
              <w:rPr>
                <w:rFonts w:hint="eastAsia" w:ascii="宋体" w:hAnsi="宋体" w:cs="宋体"/>
                <w:sz w:val="24"/>
                <w:szCs w:val="24"/>
                <w:highlight w:val="none"/>
              </w:rPr>
              <w:t>国有资金占控股或者主导地位的依法必须进行招标的项目，招标人应当确定排名第一的中标候选人为中标人，中标候选人在投标截止时间至中标通知书发出之日，参与投标资质在“浙江省建筑市场监管公共服务系统”上动态核查结果若是“不合格”状态（或者资质“合格”状态的等级低于投标要求的资质等级）、放弃中标、无正当理由拒接签合同、不按照招标文件要求提交履约保证金，或者被查实存在影响招标结果的违法违规事项等情形，不符合中标条件的，本次招标失败，重新组织招标。</w:t>
            </w:r>
          </w:p>
          <w:p w14:paraId="5A63F41A">
            <w:pPr>
              <w:pStyle w:val="23"/>
              <w:spacing w:before="27" w:line="206" w:lineRule="auto"/>
              <w:ind w:left="58"/>
              <w:rPr>
                <w:color w:val="auto"/>
                <w:sz w:val="25"/>
                <w:szCs w:val="25"/>
                <w:lang w:eastAsia="zh-CN"/>
              </w:rPr>
            </w:pPr>
            <w:r>
              <w:rPr>
                <w:rFonts w:hint="default" w:ascii="宋体" w:hAnsi="宋体" w:eastAsia="宋体" w:cs="宋体"/>
                <w:sz w:val="24"/>
                <w:szCs w:val="24"/>
                <w:lang w:val="en-US" w:eastAsia="zh-CN" w:bidi="ar-SA"/>
              </w:rPr>
              <w:t>3.</w:t>
            </w:r>
            <w:r>
              <w:rPr>
                <w:rFonts w:hint="eastAsia" w:ascii="宋体" w:hAnsi="宋体" w:cs="宋体"/>
                <w:sz w:val="24"/>
                <w:szCs w:val="24"/>
                <w:highlight w:val="none"/>
              </w:rPr>
              <w:t>法律法规规定的其他情形。</w:t>
            </w:r>
          </w:p>
        </w:tc>
      </w:tr>
      <w:tr w14:paraId="088A0B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0" w:hRule="atLeast"/>
        </w:trPr>
        <w:tc>
          <w:tcPr>
            <w:tcW w:w="1080" w:type="dxa"/>
          </w:tcPr>
          <w:p w14:paraId="7B624D67">
            <w:pPr>
              <w:spacing w:line="328" w:lineRule="auto"/>
              <w:rPr>
                <w:color w:val="auto"/>
                <w:lang w:eastAsia="zh-CN"/>
              </w:rPr>
            </w:pPr>
          </w:p>
          <w:p w14:paraId="3C12250B">
            <w:pPr>
              <w:spacing w:before="69" w:line="188" w:lineRule="auto"/>
              <w:ind w:left="332"/>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6"/>
                <w:sz w:val="24"/>
                <w:szCs w:val="24"/>
              </w:rPr>
              <w:t>8.2</w:t>
            </w:r>
          </w:p>
        </w:tc>
        <w:tc>
          <w:tcPr>
            <w:tcW w:w="1305" w:type="dxa"/>
          </w:tcPr>
          <w:p w14:paraId="335131B2">
            <w:pPr>
              <w:spacing w:line="279" w:lineRule="auto"/>
              <w:rPr>
                <w:color w:val="auto"/>
              </w:rPr>
            </w:pPr>
          </w:p>
          <w:p w14:paraId="7CAAFB20">
            <w:pPr>
              <w:pStyle w:val="23"/>
              <w:spacing w:before="78" w:line="219" w:lineRule="auto"/>
              <w:ind w:left="53"/>
              <w:rPr>
                <w:color w:val="auto"/>
                <w:sz w:val="24"/>
                <w:szCs w:val="24"/>
              </w:rPr>
            </w:pPr>
            <w:r>
              <w:rPr>
                <w:color w:val="auto"/>
                <w:spacing w:val="-2"/>
                <w:sz w:val="24"/>
                <w:szCs w:val="24"/>
              </w:rPr>
              <w:t>不再招标的情形</w:t>
            </w:r>
          </w:p>
        </w:tc>
        <w:tc>
          <w:tcPr>
            <w:tcW w:w="7229" w:type="dxa"/>
          </w:tcPr>
          <w:p w14:paraId="4EDE916B">
            <w:pPr>
              <w:pStyle w:val="23"/>
              <w:spacing w:before="49" w:line="231" w:lineRule="auto"/>
              <w:ind w:left="37" w:right="27"/>
              <w:jc w:val="both"/>
              <w:rPr>
                <w:color w:val="auto"/>
                <w:sz w:val="24"/>
                <w:szCs w:val="24"/>
                <w:lang w:eastAsia="zh-CN"/>
              </w:rPr>
            </w:pPr>
            <w:r>
              <w:rPr>
                <w:color w:val="auto"/>
                <w:spacing w:val="8"/>
                <w:sz w:val="24"/>
                <w:szCs w:val="24"/>
                <w:lang w:eastAsia="zh-CN"/>
              </w:rPr>
              <w:t>重新招标后投标人仍少于</w:t>
            </w:r>
            <w:r>
              <w:rPr>
                <w:rFonts w:ascii="Times New Roman" w:hAnsi="Times New Roman" w:eastAsia="Times New Roman" w:cs="Times New Roman"/>
                <w:color w:val="auto"/>
                <w:spacing w:val="8"/>
                <w:sz w:val="24"/>
                <w:szCs w:val="24"/>
                <w:lang w:eastAsia="zh-CN"/>
              </w:rPr>
              <w:t>3</w:t>
            </w:r>
            <w:r>
              <w:rPr>
                <w:color w:val="auto"/>
                <w:spacing w:val="8"/>
                <w:sz w:val="24"/>
                <w:szCs w:val="24"/>
                <w:lang w:eastAsia="zh-CN"/>
              </w:rPr>
              <w:t>个的，属于必须审批、核准的</w:t>
            </w:r>
            <w:r>
              <w:rPr>
                <w:color w:val="auto"/>
                <w:spacing w:val="3"/>
                <w:sz w:val="24"/>
                <w:szCs w:val="24"/>
                <w:lang w:eastAsia="zh-CN"/>
              </w:rPr>
              <w:t>工程建设项目，报经原审批、核准部门审批、核准后可以</w:t>
            </w:r>
            <w:r>
              <w:rPr>
                <w:color w:val="auto"/>
                <w:spacing w:val="-2"/>
                <w:sz w:val="24"/>
                <w:szCs w:val="24"/>
                <w:lang w:eastAsia="zh-CN"/>
              </w:rPr>
              <w:t>不再进行招标。</w:t>
            </w:r>
          </w:p>
        </w:tc>
      </w:tr>
      <w:tr w14:paraId="0B695D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5" w:hRule="atLeast"/>
        </w:trPr>
        <w:tc>
          <w:tcPr>
            <w:tcW w:w="1080" w:type="dxa"/>
          </w:tcPr>
          <w:p w14:paraId="5BD1EF44">
            <w:pPr>
              <w:spacing w:line="328" w:lineRule="auto"/>
              <w:rPr>
                <w:color w:val="auto"/>
                <w:lang w:eastAsia="zh-CN"/>
              </w:rPr>
            </w:pPr>
          </w:p>
          <w:p w14:paraId="7B5319FD">
            <w:pPr>
              <w:spacing w:before="69" w:line="188" w:lineRule="auto"/>
              <w:ind w:left="376"/>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15"/>
                <w:sz w:val="24"/>
                <w:szCs w:val="24"/>
              </w:rPr>
              <w:t>10</w:t>
            </w:r>
          </w:p>
        </w:tc>
        <w:tc>
          <w:tcPr>
            <w:tcW w:w="1305" w:type="dxa"/>
          </w:tcPr>
          <w:p w14:paraId="01114E35">
            <w:pPr>
              <w:pStyle w:val="23"/>
              <w:tabs>
                <w:tab w:val="left" w:pos="1260"/>
              </w:tabs>
              <w:spacing w:before="206" w:line="228" w:lineRule="auto"/>
              <w:ind w:right="56" w:rightChars="0"/>
              <w:rPr>
                <w:color w:val="auto"/>
                <w:sz w:val="24"/>
                <w:szCs w:val="24"/>
              </w:rPr>
            </w:pPr>
            <w:r>
              <w:rPr>
                <w:color w:val="auto"/>
                <w:spacing w:val="-4"/>
                <w:sz w:val="24"/>
                <w:szCs w:val="24"/>
              </w:rPr>
              <w:t>需要补充的</w:t>
            </w:r>
            <w:r>
              <w:rPr>
                <w:color w:val="auto"/>
                <w:spacing w:val="-3"/>
                <w:sz w:val="24"/>
                <w:szCs w:val="24"/>
              </w:rPr>
              <w:t>其他内容</w:t>
            </w:r>
          </w:p>
        </w:tc>
        <w:tc>
          <w:tcPr>
            <w:tcW w:w="7229" w:type="dxa"/>
          </w:tcPr>
          <w:p w14:paraId="61F3CE6D">
            <w:pPr>
              <w:pStyle w:val="23"/>
              <w:tabs>
                <w:tab w:val="left" w:pos="6117"/>
              </w:tabs>
              <w:spacing w:before="49" w:line="222" w:lineRule="auto"/>
              <w:ind w:left="35" w:right="27" w:hanging="2"/>
              <w:jc w:val="both"/>
              <w:rPr>
                <w:color w:val="auto"/>
                <w:sz w:val="24"/>
                <w:szCs w:val="24"/>
                <w:lang w:eastAsia="zh-CN"/>
              </w:rPr>
            </w:pPr>
            <w:r>
              <w:rPr>
                <w:color w:val="auto"/>
                <w:spacing w:val="-3"/>
                <w:sz w:val="24"/>
                <w:szCs w:val="24"/>
                <w:lang w:eastAsia="zh-CN"/>
              </w:rPr>
              <w:t>投诉受理的具体部门及电话</w:t>
            </w:r>
            <w:r>
              <w:rPr>
                <w:rFonts w:hint="eastAsia"/>
                <w:color w:val="auto"/>
                <w:spacing w:val="-3"/>
                <w:sz w:val="24"/>
                <w:szCs w:val="24"/>
                <w:u w:val="single"/>
                <w:lang w:eastAsia="zh-CN"/>
              </w:rPr>
              <w:t>：</w:t>
            </w:r>
            <w:r>
              <w:rPr>
                <w:rFonts w:hint="eastAsia" w:ascii="宋体" w:hAnsi="宋体" w:eastAsia="宋体" w:cs="宋体"/>
                <w:color w:val="auto"/>
                <w:sz w:val="24"/>
                <w:szCs w:val="24"/>
                <w:u w:val="single"/>
                <w:lang w:eastAsia="zh-CN"/>
              </w:rPr>
              <w:t>三门县住房和城乡建设局</w:t>
            </w:r>
            <w:r>
              <w:rPr>
                <w:rFonts w:hint="eastAsia" w:ascii="宋体" w:hAnsi="宋体" w:eastAsia="宋体" w:cs="宋体"/>
                <w:color w:val="auto"/>
                <w:sz w:val="24"/>
                <w:szCs w:val="24"/>
                <w:u w:val="single"/>
              </w:rPr>
              <w:t>； 0576-83333556</w:t>
            </w:r>
            <w:r>
              <w:rPr>
                <w:color w:val="auto"/>
                <w:spacing w:val="-4"/>
                <w:sz w:val="24"/>
                <w:szCs w:val="24"/>
                <w:u w:val="single"/>
                <w:lang w:eastAsia="zh-CN"/>
              </w:rPr>
              <w:t>。</w:t>
            </w:r>
          </w:p>
        </w:tc>
      </w:tr>
      <w:tr w14:paraId="7AD001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5" w:hRule="atLeast"/>
        </w:trPr>
        <w:tc>
          <w:tcPr>
            <w:tcW w:w="1080" w:type="dxa"/>
            <w:vAlign w:val="top"/>
          </w:tcPr>
          <w:p w14:paraId="50992EF7">
            <w:pPr>
              <w:spacing w:line="247" w:lineRule="auto"/>
              <w:rPr>
                <w:color w:val="auto"/>
                <w:lang w:eastAsia="zh-CN"/>
              </w:rPr>
            </w:pPr>
          </w:p>
          <w:p w14:paraId="72C1DF30">
            <w:pPr>
              <w:spacing w:line="247" w:lineRule="auto"/>
              <w:rPr>
                <w:color w:val="auto"/>
                <w:lang w:eastAsia="zh-CN"/>
              </w:rPr>
            </w:pPr>
          </w:p>
          <w:p w14:paraId="09B5818A">
            <w:pPr>
              <w:spacing w:line="247" w:lineRule="auto"/>
              <w:rPr>
                <w:color w:val="auto"/>
                <w:lang w:eastAsia="zh-CN"/>
              </w:rPr>
            </w:pPr>
          </w:p>
          <w:p w14:paraId="0D0947CD">
            <w:pPr>
              <w:spacing w:line="247" w:lineRule="auto"/>
              <w:rPr>
                <w:color w:val="auto"/>
                <w:lang w:eastAsia="zh-CN"/>
              </w:rPr>
            </w:pPr>
          </w:p>
          <w:p w14:paraId="6A5F292C">
            <w:pPr>
              <w:spacing w:line="247" w:lineRule="auto"/>
              <w:rPr>
                <w:color w:val="auto"/>
                <w:lang w:eastAsia="zh-CN"/>
              </w:rPr>
            </w:pPr>
          </w:p>
          <w:p w14:paraId="5C4A6575">
            <w:pPr>
              <w:spacing w:line="247" w:lineRule="auto"/>
              <w:rPr>
                <w:color w:val="auto"/>
                <w:lang w:eastAsia="zh-CN"/>
              </w:rPr>
            </w:pPr>
          </w:p>
          <w:p w14:paraId="40B04D37">
            <w:pPr>
              <w:spacing w:line="248" w:lineRule="auto"/>
              <w:rPr>
                <w:color w:val="auto"/>
                <w:lang w:eastAsia="zh-CN"/>
              </w:rPr>
            </w:pPr>
          </w:p>
          <w:p w14:paraId="721D789C">
            <w:pPr>
              <w:spacing w:line="248" w:lineRule="auto"/>
              <w:rPr>
                <w:color w:val="auto"/>
                <w:lang w:eastAsia="zh-CN"/>
              </w:rPr>
            </w:pPr>
          </w:p>
          <w:p w14:paraId="2EBAB7E8">
            <w:pPr>
              <w:spacing w:line="248" w:lineRule="auto"/>
              <w:rPr>
                <w:color w:val="auto"/>
                <w:lang w:eastAsia="zh-CN"/>
              </w:rPr>
            </w:pPr>
          </w:p>
          <w:p w14:paraId="4CD3432A">
            <w:pPr>
              <w:spacing w:line="248" w:lineRule="auto"/>
              <w:rPr>
                <w:color w:val="auto"/>
                <w:lang w:eastAsia="zh-CN"/>
              </w:rPr>
            </w:pPr>
          </w:p>
          <w:p w14:paraId="4151E4BC">
            <w:pPr>
              <w:spacing w:line="248" w:lineRule="auto"/>
              <w:rPr>
                <w:color w:val="auto"/>
                <w:lang w:eastAsia="zh-CN"/>
              </w:rPr>
            </w:pPr>
          </w:p>
          <w:p w14:paraId="158094A8">
            <w:pPr>
              <w:spacing w:line="248" w:lineRule="auto"/>
              <w:rPr>
                <w:color w:val="auto"/>
                <w:lang w:eastAsia="zh-CN"/>
              </w:rPr>
            </w:pPr>
          </w:p>
          <w:p w14:paraId="6950614E">
            <w:pPr>
              <w:spacing w:line="248" w:lineRule="auto"/>
              <w:rPr>
                <w:color w:val="auto"/>
                <w:lang w:eastAsia="zh-CN"/>
              </w:rPr>
            </w:pPr>
          </w:p>
          <w:p w14:paraId="1F0A710B">
            <w:pPr>
              <w:spacing w:line="248" w:lineRule="auto"/>
              <w:rPr>
                <w:color w:val="auto"/>
                <w:lang w:eastAsia="zh-CN"/>
              </w:rPr>
            </w:pPr>
          </w:p>
          <w:p w14:paraId="659F3625">
            <w:pPr>
              <w:spacing w:before="69" w:line="188" w:lineRule="auto"/>
              <w:ind w:left="285" w:leftChars="0"/>
              <w:rPr>
                <w:rFonts w:ascii="Times New Roman" w:hAnsi="Times New Roman" w:eastAsia="Times New Roman" w:cs="Times New Roman"/>
                <w:color w:val="auto"/>
                <w:spacing w:val="-15"/>
                <w:sz w:val="24"/>
                <w:szCs w:val="24"/>
              </w:rPr>
            </w:pPr>
            <w:r>
              <w:rPr>
                <w:rFonts w:ascii="Times New Roman" w:hAnsi="Times New Roman" w:eastAsia="Times New Roman" w:cs="Times New Roman"/>
                <w:color w:val="auto"/>
                <w:spacing w:val="-8"/>
                <w:sz w:val="24"/>
                <w:szCs w:val="24"/>
              </w:rPr>
              <w:t>10.1</w:t>
            </w:r>
          </w:p>
        </w:tc>
        <w:tc>
          <w:tcPr>
            <w:tcW w:w="1305" w:type="dxa"/>
            <w:vAlign w:val="top"/>
          </w:tcPr>
          <w:p w14:paraId="58EAD06C">
            <w:pPr>
              <w:spacing w:line="244" w:lineRule="auto"/>
              <w:rPr>
                <w:color w:val="auto"/>
              </w:rPr>
            </w:pPr>
          </w:p>
          <w:p w14:paraId="249E87DC">
            <w:pPr>
              <w:spacing w:line="244" w:lineRule="auto"/>
              <w:rPr>
                <w:color w:val="auto"/>
              </w:rPr>
            </w:pPr>
          </w:p>
          <w:p w14:paraId="444CE145">
            <w:pPr>
              <w:spacing w:line="244" w:lineRule="auto"/>
              <w:rPr>
                <w:color w:val="auto"/>
              </w:rPr>
            </w:pPr>
          </w:p>
          <w:p w14:paraId="5F9629D0">
            <w:pPr>
              <w:spacing w:line="244" w:lineRule="auto"/>
              <w:rPr>
                <w:color w:val="auto"/>
              </w:rPr>
            </w:pPr>
          </w:p>
          <w:p w14:paraId="58D7F557">
            <w:pPr>
              <w:spacing w:line="244" w:lineRule="auto"/>
              <w:rPr>
                <w:color w:val="auto"/>
              </w:rPr>
            </w:pPr>
          </w:p>
          <w:p w14:paraId="6CEC00C7">
            <w:pPr>
              <w:spacing w:line="244" w:lineRule="auto"/>
              <w:rPr>
                <w:color w:val="auto"/>
              </w:rPr>
            </w:pPr>
          </w:p>
          <w:p w14:paraId="0D3FC2E9">
            <w:pPr>
              <w:spacing w:line="244" w:lineRule="auto"/>
              <w:rPr>
                <w:color w:val="auto"/>
              </w:rPr>
            </w:pPr>
          </w:p>
          <w:p w14:paraId="5818487C">
            <w:pPr>
              <w:spacing w:line="244" w:lineRule="auto"/>
              <w:rPr>
                <w:color w:val="auto"/>
              </w:rPr>
            </w:pPr>
          </w:p>
          <w:p w14:paraId="1365C661">
            <w:pPr>
              <w:spacing w:line="244" w:lineRule="auto"/>
              <w:rPr>
                <w:color w:val="auto"/>
              </w:rPr>
            </w:pPr>
          </w:p>
          <w:p w14:paraId="41A366CF">
            <w:pPr>
              <w:spacing w:line="244" w:lineRule="auto"/>
              <w:rPr>
                <w:color w:val="auto"/>
              </w:rPr>
            </w:pPr>
          </w:p>
          <w:p w14:paraId="4F9E8B40">
            <w:pPr>
              <w:spacing w:line="244" w:lineRule="auto"/>
              <w:rPr>
                <w:color w:val="auto"/>
              </w:rPr>
            </w:pPr>
          </w:p>
          <w:p w14:paraId="32E1B689">
            <w:pPr>
              <w:spacing w:line="244" w:lineRule="auto"/>
              <w:rPr>
                <w:color w:val="auto"/>
              </w:rPr>
            </w:pPr>
          </w:p>
          <w:p w14:paraId="211F15EF">
            <w:pPr>
              <w:spacing w:line="244" w:lineRule="auto"/>
              <w:rPr>
                <w:color w:val="auto"/>
              </w:rPr>
            </w:pPr>
          </w:p>
          <w:p w14:paraId="772C8C38">
            <w:pPr>
              <w:spacing w:line="244" w:lineRule="auto"/>
              <w:rPr>
                <w:color w:val="auto"/>
              </w:rPr>
            </w:pPr>
          </w:p>
          <w:p w14:paraId="3983DE0B">
            <w:pPr>
              <w:pStyle w:val="23"/>
              <w:spacing w:before="78" w:line="219" w:lineRule="auto"/>
              <w:ind w:left="53" w:leftChars="0"/>
              <w:rPr>
                <w:color w:val="auto"/>
                <w:spacing w:val="-4"/>
                <w:sz w:val="24"/>
                <w:szCs w:val="24"/>
              </w:rPr>
            </w:pPr>
            <w:r>
              <w:rPr>
                <w:color w:val="auto"/>
                <w:spacing w:val="-2"/>
                <w:sz w:val="24"/>
                <w:szCs w:val="24"/>
              </w:rPr>
              <w:t>否决投标的情形</w:t>
            </w:r>
          </w:p>
        </w:tc>
        <w:tc>
          <w:tcPr>
            <w:tcW w:w="7229" w:type="dxa"/>
            <w:vAlign w:val="top"/>
          </w:tcPr>
          <w:p w14:paraId="24463077">
            <w:pPr>
              <w:pStyle w:val="23"/>
              <w:keepNext w:val="0"/>
              <w:keepLines w:val="0"/>
              <w:pageBreakBefore w:val="0"/>
              <w:widowControl w:val="0"/>
              <w:wordWrap/>
              <w:overflowPunct/>
              <w:topLinePunct w:val="0"/>
              <w:autoSpaceDE w:val="0"/>
              <w:autoSpaceDN w:val="0"/>
              <w:bidi w:val="0"/>
              <w:adjustRightInd w:val="0"/>
              <w:snapToGrid/>
              <w:spacing w:line="440" w:lineRule="exact"/>
              <w:ind w:left="34" w:right="121" w:hanging="2"/>
              <w:textAlignment w:val="auto"/>
              <w:rPr>
                <w:rFonts w:hint="eastAsia" w:ascii="宋体" w:hAnsi="宋体" w:eastAsia="宋体" w:cs="宋体"/>
                <w:spacing w:val="-1"/>
                <w:sz w:val="24"/>
                <w:szCs w:val="24"/>
                <w:highlight w:val="none"/>
                <w:lang w:eastAsia="zh-CN"/>
              </w:rPr>
            </w:pPr>
            <w:r>
              <w:rPr>
                <w:rFonts w:hint="eastAsia" w:ascii="宋体" w:hAnsi="宋体" w:eastAsia="宋体" w:cs="宋体"/>
                <w:spacing w:val="-1"/>
                <w:sz w:val="24"/>
                <w:szCs w:val="24"/>
                <w:highlight w:val="none"/>
                <w:lang w:eastAsia="zh-CN"/>
              </w:rPr>
              <w:t>1.投标文件存在以下情形之一的，由评标委员会审核并经过询问核对程序，其投标文件将被否决：</w:t>
            </w:r>
          </w:p>
          <w:p w14:paraId="0B162821">
            <w:pPr>
              <w:bidi w:val="0"/>
              <w:rPr>
                <w:b/>
                <w:bCs/>
                <w:color w:val="auto"/>
                <w:sz w:val="24"/>
                <w:szCs w:val="24"/>
                <w:lang w:eastAsia="zh-CN"/>
              </w:rPr>
            </w:pPr>
            <w:r>
              <w:rPr>
                <w:b/>
                <w:bCs/>
                <w:color w:val="auto"/>
                <w:sz w:val="24"/>
                <w:szCs w:val="24"/>
                <w:lang w:eastAsia="zh-CN"/>
              </w:rPr>
              <w:t>（1）评审区间确定内容：</w:t>
            </w:r>
          </w:p>
          <w:p w14:paraId="31FBF4D5">
            <w:pPr>
              <w:pStyle w:val="23"/>
              <w:keepNext w:val="0"/>
              <w:keepLines w:val="0"/>
              <w:pageBreakBefore w:val="0"/>
              <w:widowControl w:val="0"/>
              <w:wordWrap/>
              <w:overflowPunct/>
              <w:topLinePunct w:val="0"/>
              <w:autoSpaceDE w:val="0"/>
              <w:autoSpaceDN w:val="0"/>
              <w:bidi w:val="0"/>
              <w:adjustRightInd w:val="0"/>
              <w:snapToGrid/>
              <w:spacing w:line="440" w:lineRule="exact"/>
              <w:ind w:left="34" w:right="121" w:hanging="2"/>
              <w:textAlignment w:val="auto"/>
              <w:rPr>
                <w:rFonts w:hint="eastAsia" w:ascii="宋体" w:hAnsi="宋体" w:eastAsia="宋体" w:cs="宋体"/>
                <w:spacing w:val="-1"/>
                <w:sz w:val="24"/>
                <w:szCs w:val="24"/>
                <w:highlight w:val="none"/>
                <w:lang w:eastAsia="zh-CN"/>
              </w:rPr>
            </w:pPr>
            <w:r>
              <w:rPr>
                <w:rFonts w:hint="eastAsia" w:ascii="宋体" w:hAnsi="宋体" w:eastAsia="宋体" w:cs="宋体"/>
                <w:spacing w:val="-1"/>
                <w:sz w:val="24"/>
                <w:szCs w:val="24"/>
                <w:highlight w:val="none"/>
                <w:lang w:eastAsia="zh-CN"/>
              </w:rPr>
              <w:t>①不同投标人的投标文件检测码（或制作码、创建码）一致的。</w:t>
            </w:r>
          </w:p>
          <w:p w14:paraId="18201AC5">
            <w:pPr>
              <w:bidi w:val="0"/>
              <w:rPr>
                <w:b/>
                <w:bCs/>
                <w:color w:val="auto"/>
                <w:sz w:val="24"/>
                <w:szCs w:val="24"/>
                <w:lang w:eastAsia="zh-CN"/>
              </w:rPr>
            </w:pPr>
            <w:r>
              <w:rPr>
                <w:b/>
                <w:bCs/>
                <w:color w:val="auto"/>
                <w:sz w:val="24"/>
                <w:szCs w:val="24"/>
                <w:lang w:eastAsia="zh-CN"/>
              </w:rPr>
              <w:t>（2）资格标评审内容：</w:t>
            </w:r>
          </w:p>
          <w:p w14:paraId="5848166C">
            <w:pPr>
              <w:pStyle w:val="23"/>
              <w:keepNext w:val="0"/>
              <w:keepLines w:val="0"/>
              <w:pageBreakBefore w:val="0"/>
              <w:widowControl w:val="0"/>
              <w:wordWrap/>
              <w:overflowPunct/>
              <w:topLinePunct w:val="0"/>
              <w:autoSpaceDE w:val="0"/>
              <w:autoSpaceDN w:val="0"/>
              <w:bidi w:val="0"/>
              <w:adjustRightInd w:val="0"/>
              <w:snapToGrid/>
              <w:spacing w:line="440" w:lineRule="exact"/>
              <w:ind w:left="34" w:right="121" w:hanging="2"/>
              <w:textAlignment w:val="auto"/>
              <w:rPr>
                <w:rFonts w:hint="eastAsia" w:ascii="宋体" w:hAnsi="宋体" w:eastAsia="宋体" w:cs="宋体"/>
                <w:spacing w:val="-1"/>
                <w:sz w:val="24"/>
                <w:szCs w:val="24"/>
                <w:highlight w:val="none"/>
                <w:lang w:eastAsia="zh-CN"/>
              </w:rPr>
            </w:pPr>
            <w:r>
              <w:rPr>
                <w:rFonts w:hint="eastAsia" w:ascii="宋体" w:hAnsi="宋体" w:eastAsia="宋体" w:cs="宋体"/>
                <w:spacing w:val="-1"/>
                <w:sz w:val="24"/>
                <w:szCs w:val="24"/>
                <w:highlight w:val="none"/>
                <w:lang w:eastAsia="zh-CN"/>
              </w:rPr>
              <w:t>①投标人不满足招标文件载明的企业资质、人员资格、安全生产许可证、业绩条件（如有）的；</w:t>
            </w:r>
          </w:p>
          <w:p w14:paraId="3CE27925">
            <w:pPr>
              <w:pStyle w:val="23"/>
              <w:keepNext w:val="0"/>
              <w:keepLines w:val="0"/>
              <w:pageBreakBefore w:val="0"/>
              <w:widowControl w:val="0"/>
              <w:wordWrap/>
              <w:overflowPunct/>
              <w:topLinePunct w:val="0"/>
              <w:autoSpaceDE w:val="0"/>
              <w:autoSpaceDN w:val="0"/>
              <w:bidi w:val="0"/>
              <w:adjustRightInd w:val="0"/>
              <w:snapToGrid/>
              <w:spacing w:line="440" w:lineRule="exact"/>
              <w:ind w:left="34" w:right="121" w:hanging="2"/>
              <w:textAlignment w:val="auto"/>
              <w:rPr>
                <w:rFonts w:hint="eastAsia" w:ascii="宋体" w:hAnsi="宋体" w:eastAsia="宋体" w:cs="宋体"/>
                <w:b/>
                <w:bCs/>
                <w:spacing w:val="-1"/>
                <w:sz w:val="24"/>
                <w:szCs w:val="24"/>
                <w:highlight w:val="none"/>
                <w:lang w:eastAsia="zh-CN"/>
              </w:rPr>
            </w:pPr>
            <w:r>
              <w:rPr>
                <w:rFonts w:hint="eastAsia" w:ascii="宋体" w:hAnsi="宋体" w:eastAsia="宋体" w:cs="宋体"/>
                <w:spacing w:val="-1"/>
                <w:sz w:val="24"/>
                <w:szCs w:val="24"/>
                <w:highlight w:val="none"/>
                <w:lang w:val="en-US" w:eastAsia="zh-CN"/>
              </w:rPr>
              <w:t>企业资质动态核查：</w:t>
            </w:r>
            <w:r>
              <w:rPr>
                <w:rFonts w:hint="eastAsia" w:ascii="宋体" w:hAnsi="宋体" w:eastAsia="宋体" w:cs="宋体"/>
                <w:b/>
                <w:bCs/>
                <w:spacing w:val="-1"/>
                <w:sz w:val="24"/>
                <w:szCs w:val="24"/>
                <w:highlight w:val="none"/>
                <w:lang w:val="en-US" w:eastAsia="zh-CN"/>
              </w:rPr>
              <w:t xml:space="preserve">投标人提供的资质动态核查证明为“不合格” </w:t>
            </w:r>
          </w:p>
          <w:p w14:paraId="4832927D">
            <w:pPr>
              <w:pStyle w:val="23"/>
              <w:keepNext w:val="0"/>
              <w:keepLines w:val="0"/>
              <w:pageBreakBefore w:val="0"/>
              <w:widowControl w:val="0"/>
              <w:wordWrap/>
              <w:overflowPunct/>
              <w:topLinePunct w:val="0"/>
              <w:autoSpaceDE w:val="0"/>
              <w:autoSpaceDN w:val="0"/>
              <w:bidi w:val="0"/>
              <w:adjustRightInd w:val="0"/>
              <w:snapToGrid/>
              <w:spacing w:line="440" w:lineRule="exact"/>
              <w:ind w:left="34" w:right="121" w:hanging="2"/>
              <w:textAlignment w:val="auto"/>
              <w:rPr>
                <w:rFonts w:hint="eastAsia" w:ascii="宋体" w:hAnsi="宋体" w:eastAsia="宋体" w:cs="宋体"/>
                <w:b/>
                <w:bCs/>
                <w:spacing w:val="-1"/>
                <w:sz w:val="24"/>
                <w:szCs w:val="24"/>
                <w:highlight w:val="none"/>
                <w:lang w:eastAsia="zh-CN"/>
              </w:rPr>
            </w:pPr>
            <w:r>
              <w:rPr>
                <w:rFonts w:hint="eastAsia" w:ascii="宋体" w:hAnsi="宋体" w:eastAsia="宋体" w:cs="宋体"/>
                <w:b/>
                <w:bCs/>
                <w:spacing w:val="-1"/>
                <w:sz w:val="24"/>
                <w:szCs w:val="24"/>
                <w:highlight w:val="none"/>
                <w:lang w:val="en-US" w:eastAsia="zh-CN"/>
              </w:rPr>
              <w:t xml:space="preserve">状态的（或者资质“合格”状态的等级低于投标要求的资质等 </w:t>
            </w:r>
          </w:p>
          <w:p w14:paraId="48B561E7">
            <w:pPr>
              <w:pStyle w:val="23"/>
              <w:keepNext w:val="0"/>
              <w:keepLines w:val="0"/>
              <w:pageBreakBefore w:val="0"/>
              <w:widowControl w:val="0"/>
              <w:wordWrap/>
              <w:overflowPunct/>
              <w:topLinePunct w:val="0"/>
              <w:autoSpaceDE w:val="0"/>
              <w:autoSpaceDN w:val="0"/>
              <w:bidi w:val="0"/>
              <w:adjustRightInd w:val="0"/>
              <w:snapToGrid/>
              <w:spacing w:line="440" w:lineRule="exact"/>
              <w:ind w:left="34" w:right="121" w:hanging="2"/>
              <w:textAlignment w:val="auto"/>
              <w:rPr>
                <w:rFonts w:hint="eastAsia" w:ascii="宋体" w:hAnsi="宋体" w:eastAsia="宋体" w:cs="宋体"/>
                <w:b/>
                <w:bCs/>
                <w:spacing w:val="-1"/>
                <w:sz w:val="24"/>
                <w:szCs w:val="24"/>
                <w:highlight w:val="none"/>
                <w:lang w:eastAsia="zh-CN"/>
              </w:rPr>
            </w:pPr>
            <w:r>
              <w:rPr>
                <w:rFonts w:hint="eastAsia" w:ascii="宋体" w:hAnsi="宋体" w:eastAsia="宋体" w:cs="宋体"/>
                <w:b/>
                <w:bCs/>
                <w:spacing w:val="-1"/>
                <w:sz w:val="24"/>
                <w:szCs w:val="24"/>
                <w:highlight w:val="none"/>
                <w:lang w:val="en-US" w:eastAsia="zh-CN"/>
              </w:rPr>
              <w:t>级）或者未提供资质动态核查证明的。</w:t>
            </w:r>
          </w:p>
          <w:p w14:paraId="48488E2A">
            <w:pPr>
              <w:pStyle w:val="23"/>
              <w:keepNext w:val="0"/>
              <w:keepLines w:val="0"/>
              <w:pageBreakBefore w:val="0"/>
              <w:widowControl w:val="0"/>
              <w:wordWrap/>
              <w:overflowPunct/>
              <w:topLinePunct w:val="0"/>
              <w:autoSpaceDE w:val="0"/>
              <w:autoSpaceDN w:val="0"/>
              <w:bidi w:val="0"/>
              <w:adjustRightInd w:val="0"/>
              <w:snapToGrid/>
              <w:spacing w:line="440" w:lineRule="exact"/>
              <w:ind w:left="34" w:right="121" w:hanging="2"/>
              <w:textAlignment w:val="auto"/>
              <w:rPr>
                <w:rFonts w:hint="eastAsia" w:ascii="宋体" w:hAnsi="宋体" w:eastAsia="宋体" w:cs="宋体"/>
                <w:spacing w:val="-1"/>
                <w:sz w:val="24"/>
                <w:szCs w:val="24"/>
                <w:highlight w:val="none"/>
                <w:lang w:eastAsia="zh-CN"/>
              </w:rPr>
            </w:pPr>
            <w:r>
              <w:rPr>
                <w:rFonts w:hint="eastAsia" w:ascii="宋体" w:hAnsi="宋体" w:eastAsia="宋体" w:cs="宋体"/>
                <w:spacing w:val="-1"/>
                <w:sz w:val="24"/>
                <w:szCs w:val="24"/>
                <w:highlight w:val="none"/>
                <w:lang w:eastAsia="zh-CN"/>
              </w:rPr>
              <w:t>②投标人被有关行政监管部门依法限制投标且在限制期内的；</w:t>
            </w:r>
          </w:p>
          <w:p w14:paraId="6B83DBCE">
            <w:pPr>
              <w:pStyle w:val="23"/>
              <w:keepNext w:val="0"/>
              <w:keepLines w:val="0"/>
              <w:pageBreakBefore w:val="0"/>
              <w:widowControl w:val="0"/>
              <w:wordWrap/>
              <w:overflowPunct/>
              <w:topLinePunct w:val="0"/>
              <w:autoSpaceDE w:val="0"/>
              <w:autoSpaceDN w:val="0"/>
              <w:bidi w:val="0"/>
              <w:adjustRightInd w:val="0"/>
              <w:snapToGrid/>
              <w:spacing w:line="440" w:lineRule="exact"/>
              <w:ind w:left="34" w:right="121" w:hanging="2"/>
              <w:textAlignment w:val="auto"/>
              <w:rPr>
                <w:rFonts w:hint="eastAsia" w:ascii="宋体" w:hAnsi="宋体" w:eastAsia="宋体" w:cs="宋体"/>
                <w:spacing w:val="-1"/>
                <w:sz w:val="24"/>
                <w:szCs w:val="24"/>
                <w:highlight w:val="none"/>
                <w:lang w:eastAsia="zh-CN"/>
              </w:rPr>
            </w:pPr>
            <w:r>
              <w:rPr>
                <w:rFonts w:hint="eastAsia" w:ascii="宋体" w:hAnsi="宋体" w:eastAsia="宋体" w:cs="宋体"/>
                <w:spacing w:val="-1"/>
                <w:sz w:val="24"/>
                <w:szCs w:val="24"/>
                <w:highlight w:val="none"/>
                <w:lang w:eastAsia="zh-CN"/>
              </w:rPr>
              <w:t>③如为委托代理人，未提供有效的授权委托书的；如为法定代表人，未提供有效的法定代表人身份证明；</w:t>
            </w:r>
          </w:p>
          <w:p w14:paraId="78A1F5A3">
            <w:pPr>
              <w:pStyle w:val="23"/>
              <w:keepNext w:val="0"/>
              <w:keepLines w:val="0"/>
              <w:pageBreakBefore w:val="0"/>
              <w:widowControl w:val="0"/>
              <w:wordWrap/>
              <w:overflowPunct/>
              <w:topLinePunct w:val="0"/>
              <w:autoSpaceDE w:val="0"/>
              <w:autoSpaceDN w:val="0"/>
              <w:bidi w:val="0"/>
              <w:adjustRightInd w:val="0"/>
              <w:snapToGrid/>
              <w:spacing w:line="440" w:lineRule="exact"/>
              <w:ind w:left="34" w:right="121" w:hanging="2"/>
              <w:textAlignment w:val="auto"/>
              <w:rPr>
                <w:rFonts w:hint="eastAsia" w:ascii="宋体" w:hAnsi="宋体" w:eastAsia="宋体" w:cs="宋体"/>
                <w:spacing w:val="-1"/>
                <w:sz w:val="24"/>
                <w:szCs w:val="24"/>
                <w:highlight w:val="none"/>
                <w:lang w:eastAsia="zh-CN"/>
              </w:rPr>
            </w:pPr>
            <w:r>
              <w:rPr>
                <w:rFonts w:hint="eastAsia" w:ascii="宋体" w:hAnsi="宋体" w:eastAsia="宋体" w:cs="宋体"/>
                <w:spacing w:val="-1"/>
                <w:sz w:val="24"/>
                <w:szCs w:val="24"/>
                <w:highlight w:val="none"/>
                <w:lang w:eastAsia="zh-CN"/>
              </w:rPr>
              <w:t>④一级建造师电子证书须执行住房和城乡建设部的文件（建办市〔2021〕40号）的相关规定，一级建造师电子证书打印后，未在个人签名处手写本人签名，未手写签名或与签名图像笔迹不一致的；</w:t>
            </w:r>
          </w:p>
          <w:p w14:paraId="72FFD47E">
            <w:pPr>
              <w:pStyle w:val="23"/>
              <w:keepNext w:val="0"/>
              <w:keepLines w:val="0"/>
              <w:pageBreakBefore w:val="0"/>
              <w:widowControl w:val="0"/>
              <w:wordWrap/>
              <w:overflowPunct/>
              <w:topLinePunct w:val="0"/>
              <w:autoSpaceDE w:val="0"/>
              <w:autoSpaceDN w:val="0"/>
              <w:bidi w:val="0"/>
              <w:adjustRightInd w:val="0"/>
              <w:snapToGrid/>
              <w:spacing w:line="440" w:lineRule="exact"/>
              <w:ind w:left="34" w:right="121" w:hanging="2"/>
              <w:textAlignment w:val="auto"/>
              <w:rPr>
                <w:rFonts w:hint="eastAsia" w:ascii="宋体" w:hAnsi="宋体" w:eastAsia="宋体" w:cs="宋体"/>
                <w:spacing w:val="-1"/>
                <w:sz w:val="24"/>
                <w:szCs w:val="24"/>
                <w:highlight w:val="none"/>
                <w:lang w:eastAsia="zh-CN"/>
              </w:rPr>
            </w:pPr>
            <w:r>
              <w:rPr>
                <w:rFonts w:hint="eastAsia" w:ascii="宋体" w:hAnsi="宋体" w:eastAsia="宋体" w:cs="宋体"/>
                <w:spacing w:val="-1"/>
                <w:sz w:val="24"/>
                <w:szCs w:val="24"/>
                <w:highlight w:val="none"/>
                <w:lang w:eastAsia="zh-CN"/>
              </w:rPr>
              <w:t>⑤投标文件中要求投标人单位盖章，未经投标人盖章的；投标文件中要求法定代表人签字或盖章，既未经法定代表人签字也未盖章的；</w:t>
            </w:r>
          </w:p>
          <w:p w14:paraId="20CB99ED">
            <w:pPr>
              <w:pStyle w:val="23"/>
              <w:keepNext w:val="0"/>
              <w:keepLines w:val="0"/>
              <w:pageBreakBefore w:val="0"/>
              <w:widowControl w:val="0"/>
              <w:wordWrap/>
              <w:overflowPunct/>
              <w:topLinePunct w:val="0"/>
              <w:autoSpaceDE w:val="0"/>
              <w:autoSpaceDN w:val="0"/>
              <w:bidi w:val="0"/>
              <w:adjustRightInd w:val="0"/>
              <w:snapToGrid/>
              <w:spacing w:line="440" w:lineRule="exact"/>
              <w:ind w:left="34" w:right="121" w:hanging="2"/>
              <w:textAlignment w:val="auto"/>
              <w:rPr>
                <w:rFonts w:hint="eastAsia" w:ascii="宋体" w:hAnsi="宋体" w:eastAsia="宋体" w:cs="宋体"/>
                <w:spacing w:val="-1"/>
                <w:sz w:val="24"/>
                <w:szCs w:val="24"/>
                <w:highlight w:val="none"/>
                <w:lang w:eastAsia="zh-CN"/>
              </w:rPr>
            </w:pPr>
            <w:r>
              <w:rPr>
                <w:rFonts w:hint="eastAsia" w:ascii="宋体" w:hAnsi="宋体" w:eastAsia="宋体" w:cs="宋体"/>
                <w:spacing w:val="-1"/>
                <w:sz w:val="24"/>
                <w:szCs w:val="24"/>
                <w:highlight w:val="none"/>
                <w:lang w:eastAsia="zh-CN"/>
              </w:rPr>
              <w:t>⑥组成联合体投标的，投标文件未附联合体各方共同投标协议的；</w:t>
            </w:r>
          </w:p>
          <w:p w14:paraId="3B66CC39">
            <w:pPr>
              <w:pStyle w:val="23"/>
              <w:keepNext w:val="0"/>
              <w:keepLines w:val="0"/>
              <w:pageBreakBefore w:val="0"/>
              <w:widowControl w:val="0"/>
              <w:wordWrap/>
              <w:overflowPunct/>
              <w:topLinePunct w:val="0"/>
              <w:autoSpaceDE w:val="0"/>
              <w:autoSpaceDN w:val="0"/>
              <w:bidi w:val="0"/>
              <w:adjustRightInd w:val="0"/>
              <w:snapToGrid/>
              <w:spacing w:line="440" w:lineRule="exact"/>
              <w:ind w:left="34" w:right="121" w:hanging="2"/>
              <w:textAlignment w:val="auto"/>
              <w:rPr>
                <w:rFonts w:hint="eastAsia" w:ascii="宋体" w:hAnsi="宋体" w:eastAsia="宋体" w:cs="宋体"/>
                <w:spacing w:val="-1"/>
                <w:sz w:val="24"/>
                <w:szCs w:val="24"/>
                <w:highlight w:val="none"/>
                <w:lang w:eastAsia="zh-CN"/>
              </w:rPr>
            </w:pPr>
            <w:r>
              <w:rPr>
                <w:rFonts w:hint="eastAsia" w:ascii="宋体" w:hAnsi="宋体" w:eastAsia="宋体" w:cs="宋体"/>
                <w:spacing w:val="-1"/>
                <w:sz w:val="24"/>
                <w:szCs w:val="24"/>
                <w:highlight w:val="none"/>
                <w:lang w:eastAsia="zh-CN"/>
              </w:rPr>
              <w:t>⑦投标文件组成不符合投标人须知3.1条款的；</w:t>
            </w:r>
          </w:p>
          <w:p w14:paraId="7F992A23">
            <w:pPr>
              <w:pStyle w:val="23"/>
              <w:keepNext w:val="0"/>
              <w:keepLines w:val="0"/>
              <w:pageBreakBefore w:val="0"/>
              <w:widowControl w:val="0"/>
              <w:wordWrap/>
              <w:overflowPunct/>
              <w:topLinePunct w:val="0"/>
              <w:autoSpaceDE w:val="0"/>
              <w:autoSpaceDN w:val="0"/>
              <w:bidi w:val="0"/>
              <w:adjustRightInd w:val="0"/>
              <w:snapToGrid/>
              <w:spacing w:line="440" w:lineRule="exact"/>
              <w:ind w:left="34" w:right="121" w:hanging="2"/>
              <w:textAlignment w:val="auto"/>
              <w:rPr>
                <w:rFonts w:hint="eastAsia" w:ascii="宋体" w:hAnsi="宋体" w:eastAsia="宋体" w:cs="宋体"/>
                <w:spacing w:val="-1"/>
                <w:sz w:val="24"/>
                <w:szCs w:val="24"/>
                <w:highlight w:val="none"/>
                <w:lang w:eastAsia="zh-CN"/>
              </w:rPr>
            </w:pPr>
            <w:r>
              <w:rPr>
                <w:rFonts w:hint="eastAsia" w:ascii="宋体" w:hAnsi="宋体" w:eastAsia="宋体" w:cs="宋体"/>
                <w:spacing w:val="-1"/>
                <w:sz w:val="24"/>
                <w:szCs w:val="24"/>
                <w:highlight w:val="none"/>
                <w:lang w:eastAsia="zh-CN"/>
              </w:rPr>
              <w:t>⑧投标人不以自己的名义或投标人未按照招标文件的要求提交投标保证金（含投标保函未按本招标文件格式要求提供）或提供的投标保证金有缺陷而不能接受的；</w:t>
            </w:r>
          </w:p>
          <w:p w14:paraId="6512CCE8">
            <w:pPr>
              <w:pStyle w:val="23"/>
              <w:keepNext w:val="0"/>
              <w:keepLines w:val="0"/>
              <w:pageBreakBefore w:val="0"/>
              <w:widowControl w:val="0"/>
              <w:wordWrap/>
              <w:overflowPunct/>
              <w:topLinePunct w:val="0"/>
              <w:autoSpaceDE w:val="0"/>
              <w:autoSpaceDN w:val="0"/>
              <w:bidi w:val="0"/>
              <w:adjustRightInd w:val="0"/>
              <w:snapToGrid/>
              <w:spacing w:line="440" w:lineRule="exact"/>
              <w:ind w:left="34" w:right="121" w:hanging="2"/>
              <w:textAlignment w:val="auto"/>
              <w:rPr>
                <w:rFonts w:hint="eastAsia" w:ascii="宋体" w:hAnsi="宋体" w:eastAsia="宋体" w:cs="宋体"/>
                <w:spacing w:val="-1"/>
                <w:sz w:val="24"/>
                <w:szCs w:val="24"/>
                <w:highlight w:val="none"/>
                <w:lang w:eastAsia="zh-CN"/>
              </w:rPr>
            </w:pPr>
            <w:r>
              <w:rPr>
                <w:rFonts w:hint="eastAsia" w:ascii="宋体" w:hAnsi="宋体" w:eastAsia="宋体" w:cs="宋体"/>
                <w:spacing w:val="-1"/>
                <w:sz w:val="24"/>
                <w:szCs w:val="24"/>
                <w:highlight w:val="none"/>
                <w:lang w:eastAsia="zh-CN"/>
              </w:rPr>
              <w:t>□⑨投标人提供的纸质投标文件水印码与电子投标文件不一致的；</w:t>
            </w:r>
          </w:p>
          <w:p w14:paraId="1B119015">
            <w:pPr>
              <w:pStyle w:val="23"/>
              <w:keepNext w:val="0"/>
              <w:keepLines w:val="0"/>
              <w:pageBreakBefore w:val="0"/>
              <w:widowControl w:val="0"/>
              <w:wordWrap/>
              <w:overflowPunct/>
              <w:topLinePunct w:val="0"/>
              <w:autoSpaceDE w:val="0"/>
              <w:autoSpaceDN w:val="0"/>
              <w:bidi w:val="0"/>
              <w:adjustRightInd w:val="0"/>
              <w:snapToGrid/>
              <w:spacing w:line="440" w:lineRule="exact"/>
              <w:ind w:left="34" w:right="121" w:hanging="2"/>
              <w:textAlignment w:val="auto"/>
              <w:rPr>
                <w:rFonts w:hint="eastAsia" w:ascii="宋体" w:hAnsi="宋体" w:eastAsia="宋体" w:cs="宋体"/>
                <w:spacing w:val="-1"/>
                <w:sz w:val="24"/>
                <w:szCs w:val="24"/>
                <w:highlight w:val="none"/>
                <w:lang w:eastAsia="zh-CN"/>
              </w:rPr>
            </w:pPr>
            <w:r>
              <w:rPr>
                <w:rFonts w:hint="eastAsia" w:ascii="宋体" w:hAnsi="宋体" w:eastAsia="宋体" w:cs="宋体"/>
                <w:spacing w:val="-1"/>
                <w:sz w:val="24"/>
                <w:szCs w:val="24"/>
                <w:highlight w:val="none"/>
                <w:lang w:eastAsia="zh-CN"/>
              </w:rPr>
              <w:t>⑩投标人递交两份或多份内容不同的投标文件；</w:t>
            </w:r>
          </w:p>
          <w:p w14:paraId="6775AD01">
            <w:pPr>
              <w:pStyle w:val="23"/>
              <w:keepNext w:val="0"/>
              <w:keepLines w:val="0"/>
              <w:pageBreakBefore w:val="0"/>
              <w:widowControl w:val="0"/>
              <w:wordWrap/>
              <w:overflowPunct/>
              <w:topLinePunct w:val="0"/>
              <w:autoSpaceDE w:val="0"/>
              <w:autoSpaceDN w:val="0"/>
              <w:bidi w:val="0"/>
              <w:adjustRightInd w:val="0"/>
              <w:snapToGrid/>
              <w:spacing w:line="440" w:lineRule="exact"/>
              <w:ind w:left="34" w:right="121" w:hanging="2"/>
              <w:textAlignment w:val="auto"/>
              <w:rPr>
                <w:rFonts w:hint="eastAsia" w:ascii="宋体" w:hAnsi="宋体" w:eastAsia="宋体" w:cs="宋体"/>
                <w:spacing w:val="-1"/>
                <w:sz w:val="24"/>
                <w:szCs w:val="24"/>
                <w:highlight w:val="none"/>
                <w:lang w:eastAsia="zh-CN"/>
              </w:rPr>
            </w:pPr>
            <w:r>
              <w:rPr>
                <w:rFonts w:hint="eastAsia" w:ascii="宋体" w:hAnsi="宋体" w:eastAsia="宋体" w:cs="宋体"/>
                <w:spacing w:val="-1"/>
                <w:sz w:val="24"/>
                <w:szCs w:val="24"/>
                <w:highlight w:val="none"/>
                <w:lang w:eastAsia="zh-CN"/>
              </w:rPr>
              <w:t>⑪投标文件中投标承诺书未按要求填写；</w:t>
            </w:r>
          </w:p>
          <w:p w14:paraId="723FDB6B">
            <w:pPr>
              <w:pStyle w:val="23"/>
              <w:keepNext w:val="0"/>
              <w:keepLines w:val="0"/>
              <w:pageBreakBefore w:val="0"/>
              <w:widowControl w:val="0"/>
              <w:wordWrap/>
              <w:overflowPunct/>
              <w:topLinePunct w:val="0"/>
              <w:autoSpaceDE w:val="0"/>
              <w:autoSpaceDN w:val="0"/>
              <w:bidi w:val="0"/>
              <w:adjustRightInd w:val="0"/>
              <w:snapToGrid/>
              <w:spacing w:line="440" w:lineRule="exact"/>
              <w:ind w:left="34" w:right="121" w:hanging="2"/>
              <w:textAlignment w:val="auto"/>
              <w:rPr>
                <w:rFonts w:hint="eastAsia" w:ascii="宋体" w:hAnsi="宋体" w:eastAsia="宋体" w:cs="宋体"/>
                <w:spacing w:val="-1"/>
                <w:sz w:val="24"/>
                <w:szCs w:val="24"/>
                <w:highlight w:val="none"/>
                <w:lang w:eastAsia="zh-CN"/>
              </w:rPr>
            </w:pPr>
            <w:r>
              <w:rPr>
                <w:rFonts w:hint="eastAsia" w:ascii="宋体" w:hAnsi="宋体" w:eastAsia="宋体" w:cs="宋体"/>
                <w:spacing w:val="-1"/>
                <w:sz w:val="24"/>
                <w:szCs w:val="24"/>
                <w:highlight w:val="none"/>
                <w:lang w:eastAsia="zh-CN"/>
              </w:rPr>
              <w:t>⑫存在法律、法规、规章规定的其他否决投标的情形。</w:t>
            </w:r>
          </w:p>
          <w:p w14:paraId="236E2E80">
            <w:pPr>
              <w:pStyle w:val="23"/>
              <w:keepNext w:val="0"/>
              <w:keepLines w:val="0"/>
              <w:pageBreakBefore w:val="0"/>
              <w:widowControl w:val="0"/>
              <w:wordWrap/>
              <w:overflowPunct/>
              <w:topLinePunct w:val="0"/>
              <w:autoSpaceDE w:val="0"/>
              <w:autoSpaceDN w:val="0"/>
              <w:bidi w:val="0"/>
              <w:adjustRightInd w:val="0"/>
              <w:snapToGrid/>
              <w:spacing w:line="440" w:lineRule="exact"/>
              <w:ind w:left="34" w:right="121" w:hanging="2"/>
              <w:textAlignment w:val="auto"/>
              <w:rPr>
                <w:rFonts w:hint="eastAsia" w:ascii="宋体" w:hAnsi="宋体" w:eastAsia="宋体" w:cs="宋体"/>
                <w:b/>
                <w:bCs/>
                <w:spacing w:val="-1"/>
                <w:sz w:val="24"/>
                <w:szCs w:val="24"/>
                <w:highlight w:val="none"/>
                <w:lang w:eastAsia="zh-CN"/>
              </w:rPr>
            </w:pPr>
            <w:r>
              <w:rPr>
                <w:rFonts w:hint="eastAsia" w:ascii="宋体" w:hAnsi="宋体" w:eastAsia="宋体" w:cs="宋体"/>
                <w:b/>
                <w:bCs/>
                <w:spacing w:val="-1"/>
                <w:sz w:val="24"/>
                <w:szCs w:val="24"/>
                <w:highlight w:val="none"/>
                <w:lang w:eastAsia="zh-CN"/>
              </w:rPr>
              <w:t>（3）资信标评审内容</w:t>
            </w:r>
          </w:p>
          <w:p w14:paraId="1CC1DC82">
            <w:pPr>
              <w:pStyle w:val="23"/>
              <w:keepNext w:val="0"/>
              <w:keepLines w:val="0"/>
              <w:pageBreakBefore w:val="0"/>
              <w:widowControl w:val="0"/>
              <w:wordWrap/>
              <w:overflowPunct/>
              <w:topLinePunct w:val="0"/>
              <w:autoSpaceDE w:val="0"/>
              <w:autoSpaceDN w:val="0"/>
              <w:bidi w:val="0"/>
              <w:adjustRightInd w:val="0"/>
              <w:snapToGrid/>
              <w:spacing w:line="440" w:lineRule="exact"/>
              <w:ind w:left="34" w:right="121" w:hanging="2"/>
              <w:textAlignment w:val="auto"/>
              <w:rPr>
                <w:rFonts w:hint="eastAsia" w:ascii="宋体" w:hAnsi="宋体" w:eastAsia="宋体" w:cs="宋体"/>
                <w:spacing w:val="-1"/>
                <w:sz w:val="24"/>
                <w:szCs w:val="24"/>
                <w:highlight w:val="none"/>
                <w:lang w:eastAsia="zh-CN"/>
              </w:rPr>
            </w:pPr>
            <w:r>
              <w:rPr>
                <w:rFonts w:hint="eastAsia" w:ascii="宋体" w:hAnsi="宋体" w:eastAsia="宋体" w:cs="宋体"/>
                <w:spacing w:val="-1"/>
                <w:sz w:val="24"/>
                <w:szCs w:val="24"/>
                <w:highlight w:val="none"/>
                <w:lang w:eastAsia="zh-CN"/>
              </w:rPr>
              <w:t>①投标文件组成不符合投标人须知3.1条款的；</w:t>
            </w:r>
          </w:p>
          <w:p w14:paraId="7BB558D2">
            <w:pPr>
              <w:pStyle w:val="23"/>
              <w:keepNext w:val="0"/>
              <w:keepLines w:val="0"/>
              <w:pageBreakBefore w:val="0"/>
              <w:widowControl w:val="0"/>
              <w:wordWrap/>
              <w:overflowPunct/>
              <w:topLinePunct w:val="0"/>
              <w:autoSpaceDE w:val="0"/>
              <w:autoSpaceDN w:val="0"/>
              <w:bidi w:val="0"/>
              <w:adjustRightInd w:val="0"/>
              <w:snapToGrid/>
              <w:spacing w:line="440" w:lineRule="exact"/>
              <w:ind w:left="34" w:right="121" w:hanging="2"/>
              <w:textAlignment w:val="auto"/>
              <w:rPr>
                <w:rFonts w:hint="eastAsia" w:ascii="宋体" w:hAnsi="宋体" w:eastAsia="宋体" w:cs="宋体"/>
                <w:spacing w:val="-1"/>
                <w:sz w:val="24"/>
                <w:szCs w:val="24"/>
                <w:highlight w:val="none"/>
                <w:lang w:eastAsia="zh-CN"/>
              </w:rPr>
            </w:pPr>
            <w:r>
              <w:rPr>
                <w:rFonts w:hint="eastAsia" w:ascii="宋体" w:hAnsi="宋体" w:eastAsia="宋体" w:cs="宋体"/>
                <w:spacing w:val="-1"/>
                <w:sz w:val="24"/>
                <w:szCs w:val="24"/>
                <w:highlight w:val="none"/>
                <w:lang w:eastAsia="zh-CN"/>
              </w:rPr>
              <w:t>②投标文件中要求投标人单位盖章，未经投标人盖章的；投标文件中要求法定代表人签字或盖章，既未经法定代表人签字也未盖章的；</w:t>
            </w:r>
          </w:p>
          <w:p w14:paraId="2630C65F">
            <w:pPr>
              <w:pStyle w:val="23"/>
              <w:keepNext w:val="0"/>
              <w:keepLines w:val="0"/>
              <w:pageBreakBefore w:val="0"/>
              <w:widowControl w:val="0"/>
              <w:wordWrap/>
              <w:overflowPunct/>
              <w:topLinePunct w:val="0"/>
              <w:autoSpaceDE w:val="0"/>
              <w:autoSpaceDN w:val="0"/>
              <w:bidi w:val="0"/>
              <w:adjustRightInd w:val="0"/>
              <w:snapToGrid/>
              <w:spacing w:line="440" w:lineRule="exact"/>
              <w:ind w:left="34" w:right="121" w:hanging="2"/>
              <w:textAlignment w:val="auto"/>
              <w:rPr>
                <w:rFonts w:hint="eastAsia" w:ascii="宋体" w:hAnsi="宋体" w:eastAsia="宋体" w:cs="宋体"/>
                <w:spacing w:val="-1"/>
                <w:sz w:val="24"/>
                <w:szCs w:val="24"/>
                <w:highlight w:val="none"/>
                <w:lang w:eastAsia="zh-CN"/>
              </w:rPr>
            </w:pPr>
            <w:r>
              <w:rPr>
                <w:rFonts w:hint="eastAsia" w:ascii="宋体" w:hAnsi="宋体" w:eastAsia="宋体" w:cs="宋体"/>
                <w:spacing w:val="-1"/>
                <w:sz w:val="24"/>
                <w:szCs w:val="24"/>
                <w:highlight w:val="none"/>
                <w:lang w:eastAsia="zh-CN"/>
              </w:rPr>
              <w:t>③投标人递交两份或多份内容不同的投标文件；</w:t>
            </w:r>
          </w:p>
          <w:p w14:paraId="53EAA972">
            <w:pPr>
              <w:pStyle w:val="23"/>
              <w:keepNext w:val="0"/>
              <w:keepLines w:val="0"/>
              <w:pageBreakBefore w:val="0"/>
              <w:widowControl w:val="0"/>
              <w:wordWrap/>
              <w:overflowPunct/>
              <w:topLinePunct w:val="0"/>
              <w:autoSpaceDE w:val="0"/>
              <w:autoSpaceDN w:val="0"/>
              <w:bidi w:val="0"/>
              <w:adjustRightInd w:val="0"/>
              <w:snapToGrid/>
              <w:spacing w:line="440" w:lineRule="exact"/>
              <w:ind w:left="34" w:right="121" w:hanging="2"/>
              <w:textAlignment w:val="auto"/>
              <w:rPr>
                <w:rFonts w:hint="eastAsia" w:ascii="宋体" w:hAnsi="宋体" w:eastAsia="宋体" w:cs="宋体"/>
                <w:spacing w:val="-1"/>
                <w:sz w:val="24"/>
                <w:szCs w:val="24"/>
                <w:highlight w:val="none"/>
                <w:lang w:eastAsia="zh-CN"/>
              </w:rPr>
            </w:pPr>
            <w:r>
              <w:rPr>
                <w:rFonts w:hint="eastAsia" w:ascii="宋体" w:hAnsi="宋体" w:eastAsia="宋体" w:cs="宋体"/>
                <w:spacing w:val="-1"/>
                <w:sz w:val="24"/>
                <w:szCs w:val="24"/>
                <w:highlight w:val="none"/>
                <w:lang w:eastAsia="zh-CN"/>
              </w:rPr>
              <w:t>④存在法律、法规、规章规定的其它否决投标情形的。</w:t>
            </w:r>
          </w:p>
          <w:p w14:paraId="3BAF180B">
            <w:pPr>
              <w:pStyle w:val="23"/>
              <w:spacing w:before="233" w:line="189" w:lineRule="auto"/>
              <w:ind w:left="45"/>
              <w:rPr>
                <w:color w:val="auto"/>
                <w:sz w:val="24"/>
                <w:szCs w:val="24"/>
                <w:lang w:eastAsia="zh-CN"/>
              </w:rPr>
            </w:pPr>
            <w:r>
              <w:rPr>
                <w:b/>
                <w:bCs/>
                <w:color w:val="auto"/>
                <w:spacing w:val="-4"/>
                <w:sz w:val="24"/>
                <w:szCs w:val="24"/>
                <w:lang w:eastAsia="zh-CN"/>
              </w:rPr>
              <w:t>（</w:t>
            </w:r>
            <w:r>
              <w:rPr>
                <w:rFonts w:hint="eastAsia" w:ascii="微软雅黑" w:hAnsi="微软雅黑" w:eastAsia="微软雅黑" w:cs="微软雅黑"/>
                <w:b/>
                <w:bCs/>
                <w:color w:val="auto"/>
                <w:spacing w:val="-4"/>
                <w:sz w:val="24"/>
                <w:szCs w:val="24"/>
                <w:lang w:val="en-US" w:eastAsia="zh-CN"/>
              </w:rPr>
              <w:t>4</w:t>
            </w:r>
            <w:r>
              <w:rPr>
                <w:b/>
                <w:bCs/>
                <w:color w:val="auto"/>
                <w:spacing w:val="-4"/>
                <w:sz w:val="24"/>
                <w:szCs w:val="24"/>
                <w:lang w:eastAsia="zh-CN"/>
              </w:rPr>
              <w:t>）商务标评审内容：</w:t>
            </w:r>
          </w:p>
          <w:p w14:paraId="7AC60DE0">
            <w:pPr>
              <w:pStyle w:val="23"/>
              <w:keepNext w:val="0"/>
              <w:keepLines w:val="0"/>
              <w:pageBreakBefore w:val="0"/>
              <w:widowControl w:val="0"/>
              <w:wordWrap/>
              <w:overflowPunct/>
              <w:topLinePunct w:val="0"/>
              <w:autoSpaceDE w:val="0"/>
              <w:autoSpaceDN w:val="0"/>
              <w:bidi w:val="0"/>
              <w:adjustRightInd w:val="0"/>
              <w:snapToGrid/>
              <w:spacing w:line="440" w:lineRule="exact"/>
              <w:ind w:left="33"/>
              <w:textAlignment w:val="auto"/>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①投标报价高于最高限价的；</w:t>
            </w:r>
          </w:p>
          <w:p w14:paraId="0E7C5C2B">
            <w:pPr>
              <w:pStyle w:val="23"/>
              <w:keepNext w:val="0"/>
              <w:keepLines w:val="0"/>
              <w:pageBreakBefore w:val="0"/>
              <w:widowControl w:val="0"/>
              <w:wordWrap/>
              <w:overflowPunct/>
              <w:topLinePunct w:val="0"/>
              <w:autoSpaceDE w:val="0"/>
              <w:autoSpaceDN w:val="0"/>
              <w:bidi w:val="0"/>
              <w:adjustRightInd w:val="0"/>
              <w:snapToGrid/>
              <w:spacing w:line="440" w:lineRule="exact"/>
              <w:ind w:left="32"/>
              <w:textAlignment w:val="auto"/>
              <w:rPr>
                <w:rFonts w:hint="eastAsia" w:ascii="宋体" w:hAnsi="宋体" w:eastAsia="宋体" w:cs="宋体"/>
                <w:sz w:val="24"/>
                <w:szCs w:val="24"/>
                <w:highlight w:val="none"/>
                <w:lang w:eastAsia="zh-CN"/>
              </w:rPr>
            </w:pPr>
            <w:r>
              <w:rPr>
                <w:rFonts w:hint="eastAsia" w:ascii="宋体" w:hAnsi="宋体" w:eastAsia="宋体" w:cs="宋体"/>
                <w:spacing w:val="-7"/>
                <w:sz w:val="24"/>
                <w:szCs w:val="24"/>
                <w:highlight w:val="none"/>
                <w:lang w:eastAsia="zh-CN"/>
              </w:rPr>
              <w:t>②改变招标文件和工程量清单明确的暂列金额和暂估价的；</w:t>
            </w:r>
          </w:p>
          <w:p w14:paraId="0EF22024">
            <w:pPr>
              <w:pStyle w:val="23"/>
              <w:keepNext w:val="0"/>
              <w:keepLines w:val="0"/>
              <w:pageBreakBefore w:val="0"/>
              <w:widowControl w:val="0"/>
              <w:wordWrap/>
              <w:overflowPunct/>
              <w:topLinePunct w:val="0"/>
              <w:autoSpaceDE w:val="0"/>
              <w:autoSpaceDN w:val="0"/>
              <w:bidi w:val="0"/>
              <w:adjustRightInd w:val="0"/>
              <w:snapToGrid/>
              <w:spacing w:line="440" w:lineRule="exact"/>
              <w:ind w:left="32"/>
              <w:textAlignment w:val="auto"/>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③投标文件中投标函未按要求填写；</w:t>
            </w:r>
          </w:p>
          <w:p w14:paraId="50182EC3">
            <w:pPr>
              <w:pStyle w:val="23"/>
              <w:keepNext w:val="0"/>
              <w:keepLines w:val="0"/>
              <w:pageBreakBefore w:val="0"/>
              <w:widowControl w:val="0"/>
              <w:wordWrap/>
              <w:overflowPunct/>
              <w:topLinePunct w:val="0"/>
              <w:autoSpaceDE w:val="0"/>
              <w:autoSpaceDN w:val="0"/>
              <w:bidi w:val="0"/>
              <w:adjustRightInd w:val="0"/>
              <w:snapToGrid/>
              <w:spacing w:line="440" w:lineRule="exact"/>
              <w:ind w:left="34" w:right="121" w:hanging="2"/>
              <w:textAlignment w:val="auto"/>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④投标文件不能满足招标文件载明的工程质量、工程验收标准、施工工期、保修期要求的；</w:t>
            </w:r>
          </w:p>
          <w:p w14:paraId="313D8AC3">
            <w:pPr>
              <w:pStyle w:val="23"/>
              <w:keepNext w:val="0"/>
              <w:keepLines w:val="0"/>
              <w:pageBreakBefore w:val="0"/>
              <w:widowControl w:val="0"/>
              <w:wordWrap/>
              <w:overflowPunct/>
              <w:topLinePunct w:val="0"/>
              <w:autoSpaceDE w:val="0"/>
              <w:autoSpaceDN w:val="0"/>
              <w:bidi w:val="0"/>
              <w:adjustRightInd w:val="0"/>
              <w:snapToGrid/>
              <w:spacing w:line="440" w:lineRule="exact"/>
              <w:ind w:left="32"/>
              <w:textAlignment w:val="auto"/>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⑤规费、税金报价不符合现行规定的；</w:t>
            </w:r>
          </w:p>
          <w:p w14:paraId="3272266E">
            <w:pPr>
              <w:pStyle w:val="23"/>
              <w:keepNext w:val="0"/>
              <w:keepLines w:val="0"/>
              <w:pageBreakBefore w:val="0"/>
              <w:widowControl w:val="0"/>
              <w:wordWrap/>
              <w:overflowPunct/>
              <w:topLinePunct w:val="0"/>
              <w:autoSpaceDE w:val="0"/>
              <w:autoSpaceDN w:val="0"/>
              <w:bidi w:val="0"/>
              <w:adjustRightInd w:val="0"/>
              <w:snapToGrid/>
              <w:spacing w:line="440" w:lineRule="exact"/>
              <w:ind w:left="34" w:right="121" w:hanging="2"/>
              <w:textAlignment w:val="auto"/>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⑥改变招标文件提供的工程量清单（含分部分项工程及措施项目、其他项目清单项目的编码、项目名称、计量单位、工程数量、项目特征描述）的；</w:t>
            </w:r>
          </w:p>
          <w:p w14:paraId="0E908E6F">
            <w:pPr>
              <w:pStyle w:val="23"/>
              <w:keepNext w:val="0"/>
              <w:keepLines w:val="0"/>
              <w:pageBreakBefore w:val="0"/>
              <w:widowControl w:val="0"/>
              <w:wordWrap/>
              <w:overflowPunct/>
              <w:topLinePunct w:val="0"/>
              <w:autoSpaceDE w:val="0"/>
              <w:autoSpaceDN w:val="0"/>
              <w:bidi w:val="0"/>
              <w:adjustRightInd w:val="0"/>
              <w:snapToGrid/>
              <w:spacing w:line="440" w:lineRule="exact"/>
              <w:ind w:left="32" w:right="121"/>
              <w:textAlignment w:val="auto"/>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⑦经评标委员会认定投标人的投标报价低于成本价，且投标人对其报价不能充分说明理由，或提供的相关资料无法证明报价不低于其成本价的；</w:t>
            </w:r>
          </w:p>
          <w:p w14:paraId="108FB95E">
            <w:pPr>
              <w:pStyle w:val="23"/>
              <w:keepNext w:val="0"/>
              <w:keepLines w:val="0"/>
              <w:pageBreakBefore w:val="0"/>
              <w:widowControl w:val="0"/>
              <w:wordWrap/>
              <w:overflowPunct/>
              <w:topLinePunct w:val="0"/>
              <w:autoSpaceDE w:val="0"/>
              <w:autoSpaceDN w:val="0"/>
              <w:bidi w:val="0"/>
              <w:adjustRightInd w:val="0"/>
              <w:snapToGrid/>
              <w:spacing w:line="440" w:lineRule="exact"/>
              <w:ind w:left="32" w:right="42"/>
              <w:textAlignment w:val="auto"/>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⑧投标文件的编制人接受同一工程招标人委托编制招标文件（含招标控制价)，或接受其他投标人委托编制投标文件</w:t>
            </w:r>
            <w:r>
              <w:rPr>
                <w:rFonts w:hint="eastAsia" w:ascii="宋体" w:hAnsi="宋体" w:eastAsia="宋体" w:cs="宋体"/>
                <w:spacing w:val="-5"/>
                <w:sz w:val="24"/>
                <w:szCs w:val="24"/>
                <w:highlight w:val="none"/>
                <w:lang w:eastAsia="zh-CN"/>
              </w:rPr>
              <w:t>的；</w:t>
            </w:r>
          </w:p>
          <w:p w14:paraId="72C608E6">
            <w:pPr>
              <w:pStyle w:val="23"/>
              <w:keepNext w:val="0"/>
              <w:keepLines w:val="0"/>
              <w:pageBreakBefore w:val="0"/>
              <w:widowControl w:val="0"/>
              <w:wordWrap/>
              <w:overflowPunct/>
              <w:topLinePunct w:val="0"/>
              <w:autoSpaceDE w:val="0"/>
              <w:autoSpaceDN w:val="0"/>
              <w:bidi w:val="0"/>
              <w:adjustRightInd w:val="0"/>
              <w:snapToGrid/>
              <w:spacing w:line="440" w:lineRule="exact"/>
              <w:ind w:left="32" w:right="121"/>
              <w:textAlignment w:val="auto"/>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⑨投标文件中要求投标人单位盖章，未经投标人盖章的；投标文件中要求法定代表人签字或盖章，既未经法定代表人签字也未盖章的；</w:t>
            </w:r>
          </w:p>
          <w:p w14:paraId="1D667AA6">
            <w:pPr>
              <w:pStyle w:val="23"/>
              <w:keepNext w:val="0"/>
              <w:keepLines w:val="0"/>
              <w:pageBreakBefore w:val="0"/>
              <w:widowControl w:val="0"/>
              <w:wordWrap/>
              <w:overflowPunct/>
              <w:topLinePunct w:val="0"/>
              <w:autoSpaceDE w:val="0"/>
              <w:autoSpaceDN w:val="0"/>
              <w:bidi w:val="0"/>
              <w:adjustRightInd w:val="0"/>
              <w:snapToGrid/>
              <w:spacing w:line="440" w:lineRule="exact"/>
              <w:ind w:left="32"/>
              <w:textAlignment w:val="auto"/>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⑩投标人递交两份或多份内容不同的投标文件；</w:t>
            </w:r>
          </w:p>
          <w:p w14:paraId="4D5799B5">
            <w:pPr>
              <w:pStyle w:val="23"/>
              <w:keepNext w:val="0"/>
              <w:keepLines w:val="0"/>
              <w:pageBreakBefore w:val="0"/>
              <w:widowControl w:val="0"/>
              <w:wordWrap/>
              <w:overflowPunct/>
              <w:topLinePunct w:val="0"/>
              <w:autoSpaceDE w:val="0"/>
              <w:autoSpaceDN w:val="0"/>
              <w:bidi w:val="0"/>
              <w:adjustRightInd w:val="0"/>
              <w:snapToGrid/>
              <w:spacing w:line="440" w:lineRule="exact"/>
              <w:ind w:left="34" w:right="27" w:hanging="3"/>
              <w:textAlignment w:val="auto"/>
              <w:rPr>
                <w:rFonts w:hint="eastAsia" w:ascii="宋体" w:hAnsi="宋体" w:eastAsia="宋体" w:cs="宋体"/>
                <w:b w:val="0"/>
                <w:bCs w:val="0"/>
                <w:sz w:val="24"/>
                <w:szCs w:val="24"/>
                <w:highlight w:val="none"/>
                <w:lang w:eastAsia="zh-CN"/>
              </w:rPr>
            </w:pPr>
            <w:r>
              <w:rPr>
                <w:rFonts w:hint="eastAsia" w:ascii="宋体" w:hAnsi="宋体" w:eastAsia="宋体" w:cs="宋体"/>
                <w:spacing w:val="-2"/>
                <w:sz w:val="24"/>
                <w:szCs w:val="24"/>
                <w:highlight w:val="none"/>
                <w:lang w:eastAsia="zh-CN"/>
              </w:rPr>
              <w:t>⑪</w:t>
            </w:r>
            <w:r>
              <w:rPr>
                <w:rFonts w:hint="eastAsia" w:ascii="宋体" w:hAnsi="宋体" w:eastAsia="宋体" w:cs="宋体"/>
                <w:spacing w:val="13"/>
                <w:sz w:val="24"/>
                <w:szCs w:val="24"/>
                <w:highlight w:val="none"/>
                <w:lang w:eastAsia="zh-CN"/>
              </w:rPr>
              <w:t>在一份投标文件中对同一招标项目报有两个或以上报</w:t>
            </w:r>
            <w:r>
              <w:rPr>
                <w:rFonts w:hint="eastAsia" w:ascii="宋体" w:hAnsi="宋体" w:eastAsia="宋体" w:cs="宋体"/>
                <w:spacing w:val="-1"/>
                <w:sz w:val="24"/>
                <w:szCs w:val="24"/>
                <w:highlight w:val="none"/>
                <w:lang w:eastAsia="zh-CN"/>
              </w:rPr>
              <w:t>价，</w:t>
            </w:r>
            <w:r>
              <w:rPr>
                <w:rFonts w:hint="eastAsia" w:ascii="宋体" w:hAnsi="宋体" w:eastAsia="宋体" w:cs="宋体"/>
                <w:b w:val="0"/>
                <w:bCs w:val="0"/>
                <w:spacing w:val="-1"/>
                <w:sz w:val="24"/>
                <w:szCs w:val="24"/>
                <w:highlight w:val="none"/>
                <w:lang w:eastAsia="zh-CN"/>
              </w:rPr>
              <w:t>且未声明哪一个有效；</w:t>
            </w:r>
          </w:p>
          <w:p w14:paraId="61758DE8">
            <w:pPr>
              <w:pStyle w:val="23"/>
              <w:keepNext w:val="0"/>
              <w:keepLines w:val="0"/>
              <w:pageBreakBefore w:val="0"/>
              <w:widowControl w:val="0"/>
              <w:wordWrap/>
              <w:overflowPunct/>
              <w:topLinePunct w:val="0"/>
              <w:autoSpaceDE w:val="0"/>
              <w:autoSpaceDN w:val="0"/>
              <w:bidi w:val="0"/>
              <w:adjustRightInd w:val="0"/>
              <w:snapToGrid/>
              <w:spacing w:line="440" w:lineRule="exact"/>
              <w:ind w:left="33" w:right="27" w:hanging="2"/>
              <w:jc w:val="both"/>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color w:val="auto"/>
                <w:spacing w:val="-2"/>
                <w:sz w:val="24"/>
                <w:szCs w:val="24"/>
                <w:highlight w:val="none"/>
                <w:lang w:val="en-US" w:eastAsia="zh-CN"/>
              </w:rPr>
              <w:t>⑫</w:t>
            </w:r>
            <w:r>
              <w:rPr>
                <w:rFonts w:hint="eastAsia" w:ascii="宋体" w:hAnsi="宋体" w:eastAsia="宋体" w:cs="宋体"/>
                <w:b w:val="0"/>
                <w:bCs w:val="0"/>
                <w:color w:val="auto"/>
                <w:spacing w:val="3"/>
                <w:sz w:val="24"/>
                <w:szCs w:val="24"/>
                <w:highlight w:val="none"/>
              </w:rPr>
              <w:t>安全文明施工费用（包括安全文明施工基本费和创建安全文明施工标化工地增加费）未按照招标文件和工程</w:t>
            </w:r>
            <w:r>
              <w:rPr>
                <w:rFonts w:hint="eastAsia" w:ascii="宋体" w:hAnsi="宋体" w:eastAsia="宋体" w:cs="宋体"/>
                <w:b w:val="0"/>
                <w:bCs w:val="0"/>
                <w:spacing w:val="3"/>
                <w:sz w:val="24"/>
                <w:szCs w:val="24"/>
                <w:highlight w:val="none"/>
              </w:rPr>
              <w:t>量清</w:t>
            </w:r>
            <w:r>
              <w:rPr>
                <w:rFonts w:hint="eastAsia" w:ascii="宋体" w:hAnsi="宋体" w:eastAsia="宋体" w:cs="宋体"/>
                <w:b w:val="0"/>
                <w:bCs w:val="0"/>
                <w:spacing w:val="-2"/>
                <w:sz w:val="24"/>
                <w:szCs w:val="24"/>
                <w:highlight w:val="none"/>
              </w:rPr>
              <w:t>单要求填报的；</w:t>
            </w:r>
          </w:p>
          <w:p w14:paraId="17AE0C7E">
            <w:pPr>
              <w:pStyle w:val="23"/>
              <w:keepNext w:val="0"/>
              <w:keepLines w:val="0"/>
              <w:pageBreakBefore w:val="0"/>
              <w:widowControl w:val="0"/>
              <w:wordWrap/>
              <w:overflowPunct/>
              <w:topLinePunct w:val="0"/>
              <w:autoSpaceDE w:val="0"/>
              <w:autoSpaceDN w:val="0"/>
              <w:bidi w:val="0"/>
              <w:adjustRightInd w:val="0"/>
              <w:snapToGrid/>
              <w:spacing w:line="440" w:lineRule="exact"/>
              <w:ind w:left="31"/>
              <w:textAlignment w:val="auto"/>
              <w:rPr>
                <w:rFonts w:hint="eastAsia" w:ascii="宋体" w:hAnsi="宋体" w:eastAsia="宋体" w:cs="宋体"/>
                <w:b w:val="0"/>
                <w:bCs w:val="0"/>
                <w:sz w:val="24"/>
                <w:szCs w:val="24"/>
                <w:highlight w:val="none"/>
                <w:lang w:eastAsia="zh-CN"/>
              </w:rPr>
            </w:pPr>
            <w:r>
              <w:rPr>
                <w:rFonts w:hint="eastAsia" w:ascii="宋体" w:hAnsi="宋体" w:eastAsia="宋体" w:cs="宋体"/>
                <w:b w:val="0"/>
                <w:bCs w:val="0"/>
                <w:spacing w:val="-1"/>
                <w:sz w:val="24"/>
                <w:szCs w:val="24"/>
                <w:highlight w:val="none"/>
                <w:lang w:eastAsia="zh-CN"/>
              </w:rPr>
              <w:t>⑬存在法律、法规、规章规定的其它否决投标情况的。</w:t>
            </w:r>
          </w:p>
          <w:p w14:paraId="551F5775">
            <w:pPr>
              <w:pStyle w:val="23"/>
              <w:spacing w:before="232" w:line="190" w:lineRule="auto"/>
              <w:ind w:left="45"/>
              <w:rPr>
                <w:color w:val="auto"/>
                <w:sz w:val="24"/>
                <w:szCs w:val="24"/>
                <w:lang w:eastAsia="zh-CN"/>
              </w:rPr>
            </w:pPr>
            <w:r>
              <w:rPr>
                <w:b/>
                <w:bCs/>
                <w:color w:val="auto"/>
                <w:spacing w:val="-6"/>
                <w:sz w:val="24"/>
                <w:szCs w:val="24"/>
                <w:lang w:eastAsia="zh-CN"/>
              </w:rPr>
              <w:t>（</w:t>
            </w:r>
            <w:r>
              <w:rPr>
                <w:rFonts w:hint="eastAsia" w:ascii="微软雅黑" w:hAnsi="微软雅黑" w:eastAsia="微软雅黑" w:cs="微软雅黑"/>
                <w:b/>
                <w:bCs/>
                <w:color w:val="auto"/>
                <w:spacing w:val="-6"/>
                <w:sz w:val="24"/>
                <w:szCs w:val="24"/>
                <w:lang w:val="en-US" w:eastAsia="zh-CN"/>
              </w:rPr>
              <w:t>5</w:t>
            </w:r>
            <w:r>
              <w:rPr>
                <w:b/>
                <w:bCs/>
                <w:color w:val="auto"/>
                <w:spacing w:val="-6"/>
                <w:sz w:val="24"/>
                <w:szCs w:val="24"/>
                <w:lang w:eastAsia="zh-CN"/>
              </w:rPr>
              <w:t>）其他：</w:t>
            </w:r>
          </w:p>
          <w:p w14:paraId="69695D22">
            <w:pPr>
              <w:pStyle w:val="23"/>
              <w:keepNext w:val="0"/>
              <w:keepLines w:val="0"/>
              <w:pageBreakBefore w:val="0"/>
              <w:widowControl w:val="0"/>
              <w:wordWrap/>
              <w:overflowPunct/>
              <w:topLinePunct w:val="0"/>
              <w:autoSpaceDE w:val="0"/>
              <w:autoSpaceDN w:val="0"/>
              <w:bidi w:val="0"/>
              <w:adjustRightInd w:val="0"/>
              <w:snapToGrid/>
              <w:spacing w:line="440" w:lineRule="exact"/>
              <w:ind w:left="31"/>
              <w:textAlignment w:val="auto"/>
              <w:rPr>
                <w:rFonts w:hint="eastAsia" w:ascii="宋体" w:hAnsi="宋体" w:eastAsia="宋体" w:cs="宋体"/>
                <w:b w:val="0"/>
                <w:bCs w:val="0"/>
                <w:spacing w:val="-1"/>
                <w:sz w:val="24"/>
                <w:szCs w:val="24"/>
                <w:highlight w:val="none"/>
                <w:lang w:eastAsia="zh-CN"/>
              </w:rPr>
            </w:pPr>
            <w:r>
              <w:rPr>
                <w:rFonts w:hint="eastAsia" w:ascii="宋体" w:hAnsi="宋体" w:eastAsia="宋体" w:cs="宋体"/>
                <w:b w:val="0"/>
                <w:bCs w:val="0"/>
                <w:spacing w:val="-1"/>
                <w:sz w:val="24"/>
                <w:szCs w:val="24"/>
                <w:highlight w:val="none"/>
                <w:lang w:eastAsia="zh-CN"/>
              </w:rPr>
              <w:t>①投标人及其拟派项目负责人在本招标文件（招标公告）规定时间范围内有行贿犯罪记录的；</w:t>
            </w:r>
          </w:p>
          <w:p w14:paraId="0E6EAF58">
            <w:pPr>
              <w:pStyle w:val="23"/>
              <w:keepNext w:val="0"/>
              <w:keepLines w:val="0"/>
              <w:pageBreakBefore w:val="0"/>
              <w:widowControl w:val="0"/>
              <w:wordWrap/>
              <w:overflowPunct/>
              <w:topLinePunct w:val="0"/>
              <w:autoSpaceDE w:val="0"/>
              <w:autoSpaceDN w:val="0"/>
              <w:bidi w:val="0"/>
              <w:adjustRightInd w:val="0"/>
              <w:snapToGrid/>
              <w:spacing w:line="440" w:lineRule="exact"/>
              <w:ind w:left="31"/>
              <w:textAlignment w:val="auto"/>
              <w:rPr>
                <w:rFonts w:hint="eastAsia" w:ascii="宋体" w:hAnsi="宋体" w:eastAsia="宋体" w:cs="宋体"/>
                <w:b w:val="0"/>
                <w:bCs w:val="0"/>
                <w:spacing w:val="-1"/>
                <w:sz w:val="24"/>
                <w:szCs w:val="24"/>
                <w:highlight w:val="none"/>
                <w:lang w:eastAsia="zh-CN"/>
              </w:rPr>
            </w:pPr>
            <w:r>
              <w:rPr>
                <w:rFonts w:hint="eastAsia" w:ascii="宋体" w:hAnsi="宋体" w:eastAsia="宋体" w:cs="宋体"/>
                <w:b w:val="0"/>
                <w:bCs w:val="0"/>
                <w:spacing w:val="-1"/>
                <w:sz w:val="24"/>
                <w:szCs w:val="24"/>
                <w:highlight w:val="none"/>
                <w:lang w:eastAsia="zh-CN"/>
              </w:rPr>
              <w:t>②投标人未按投标人须知前附表10.5项，投标人须知第1.4.4条款、1.12条款和3.6条款规定执行的；</w:t>
            </w:r>
          </w:p>
          <w:p w14:paraId="3A6BC243">
            <w:pPr>
              <w:pStyle w:val="23"/>
              <w:keepNext w:val="0"/>
              <w:keepLines w:val="0"/>
              <w:pageBreakBefore w:val="0"/>
              <w:widowControl w:val="0"/>
              <w:wordWrap/>
              <w:overflowPunct/>
              <w:topLinePunct w:val="0"/>
              <w:autoSpaceDE w:val="0"/>
              <w:autoSpaceDN w:val="0"/>
              <w:bidi w:val="0"/>
              <w:adjustRightInd w:val="0"/>
              <w:snapToGrid/>
              <w:spacing w:line="440" w:lineRule="exact"/>
              <w:ind w:left="31"/>
              <w:textAlignment w:val="auto"/>
              <w:rPr>
                <w:rFonts w:hint="eastAsia" w:ascii="宋体" w:hAnsi="宋体" w:eastAsia="宋体" w:cs="宋体"/>
                <w:b w:val="0"/>
                <w:bCs w:val="0"/>
                <w:spacing w:val="-1"/>
                <w:sz w:val="24"/>
                <w:szCs w:val="24"/>
                <w:highlight w:val="none"/>
                <w:lang w:eastAsia="zh-CN"/>
              </w:rPr>
            </w:pPr>
            <w:r>
              <w:rPr>
                <w:rFonts w:hint="eastAsia" w:ascii="宋体" w:hAnsi="宋体" w:eastAsia="宋体" w:cs="宋体"/>
                <w:b w:val="0"/>
                <w:bCs w:val="0"/>
                <w:spacing w:val="-1"/>
                <w:sz w:val="24"/>
                <w:szCs w:val="24"/>
                <w:highlight w:val="none"/>
                <w:lang w:eastAsia="zh-CN"/>
              </w:rPr>
              <w:t>③存在台州市建设工程诚信投标承诺书（投标文件格式七）中串通投标行为的；</w:t>
            </w:r>
          </w:p>
          <w:p w14:paraId="140F0029">
            <w:pPr>
              <w:pStyle w:val="23"/>
              <w:keepNext w:val="0"/>
              <w:keepLines w:val="0"/>
              <w:pageBreakBefore w:val="0"/>
              <w:widowControl w:val="0"/>
              <w:wordWrap/>
              <w:overflowPunct/>
              <w:topLinePunct w:val="0"/>
              <w:autoSpaceDE w:val="0"/>
              <w:autoSpaceDN w:val="0"/>
              <w:bidi w:val="0"/>
              <w:adjustRightInd w:val="0"/>
              <w:snapToGrid/>
              <w:spacing w:line="440" w:lineRule="exact"/>
              <w:ind w:left="31"/>
              <w:textAlignment w:val="auto"/>
              <w:rPr>
                <w:rFonts w:hint="eastAsia" w:ascii="宋体" w:hAnsi="宋体" w:eastAsia="宋体" w:cs="宋体"/>
                <w:b w:val="0"/>
                <w:bCs w:val="0"/>
                <w:spacing w:val="-1"/>
                <w:sz w:val="24"/>
                <w:szCs w:val="24"/>
                <w:highlight w:val="none"/>
                <w:lang w:eastAsia="zh-CN"/>
              </w:rPr>
            </w:pPr>
            <w:r>
              <w:rPr>
                <w:rFonts w:hint="eastAsia" w:ascii="宋体" w:hAnsi="宋体" w:eastAsia="宋体" w:cs="宋体"/>
                <w:b w:val="0"/>
                <w:bCs w:val="0"/>
                <w:spacing w:val="-1"/>
                <w:sz w:val="24"/>
                <w:szCs w:val="24"/>
                <w:highlight w:val="none"/>
                <w:lang w:eastAsia="zh-CN"/>
              </w:rPr>
              <w:t>④在投标截止时间前，投标人被列入失信被执行人名单的；</w:t>
            </w:r>
          </w:p>
          <w:p w14:paraId="39F2443A">
            <w:pPr>
              <w:pStyle w:val="23"/>
              <w:keepNext w:val="0"/>
              <w:keepLines w:val="0"/>
              <w:pageBreakBefore w:val="0"/>
              <w:widowControl w:val="0"/>
              <w:wordWrap/>
              <w:overflowPunct/>
              <w:topLinePunct w:val="0"/>
              <w:autoSpaceDE w:val="0"/>
              <w:autoSpaceDN w:val="0"/>
              <w:bidi w:val="0"/>
              <w:adjustRightInd w:val="0"/>
              <w:snapToGrid/>
              <w:spacing w:line="440" w:lineRule="exact"/>
              <w:ind w:left="31"/>
              <w:textAlignment w:val="auto"/>
              <w:rPr>
                <w:rFonts w:hint="eastAsia" w:ascii="宋体" w:hAnsi="宋体" w:eastAsia="宋体" w:cs="宋体"/>
                <w:b w:val="0"/>
                <w:bCs w:val="0"/>
                <w:spacing w:val="-1"/>
                <w:sz w:val="24"/>
                <w:szCs w:val="24"/>
                <w:highlight w:val="none"/>
                <w:lang w:eastAsia="zh-CN"/>
              </w:rPr>
            </w:pPr>
            <w:r>
              <w:rPr>
                <w:rFonts w:hint="eastAsia" w:ascii="宋体" w:hAnsi="宋体" w:eastAsia="宋体" w:cs="宋体"/>
                <w:b w:val="0"/>
                <w:bCs w:val="0"/>
                <w:spacing w:val="-1"/>
                <w:sz w:val="24"/>
                <w:szCs w:val="24"/>
                <w:highlight w:val="none"/>
                <w:lang w:eastAsia="zh-CN"/>
              </w:rPr>
              <w:t>⑤投标人及其拟派项目负责人被列入建筑市场严重失信名单的、被市场监督管理机关在全国企业信用信息公示系统中列入严重违法失信企业名单的、被人力资源社会保障行政部门列入失信联合惩戒名单（有效期内）并共享至信用信息共享平台；</w:t>
            </w:r>
          </w:p>
          <w:p w14:paraId="751AD8EA">
            <w:pPr>
              <w:pStyle w:val="23"/>
              <w:keepNext w:val="0"/>
              <w:keepLines w:val="0"/>
              <w:pageBreakBefore w:val="0"/>
              <w:widowControl w:val="0"/>
              <w:wordWrap/>
              <w:overflowPunct/>
              <w:topLinePunct w:val="0"/>
              <w:autoSpaceDE w:val="0"/>
              <w:autoSpaceDN w:val="0"/>
              <w:bidi w:val="0"/>
              <w:adjustRightInd w:val="0"/>
              <w:snapToGrid/>
              <w:spacing w:line="440" w:lineRule="exact"/>
              <w:ind w:left="31"/>
              <w:textAlignment w:val="auto"/>
              <w:rPr>
                <w:rFonts w:hint="eastAsia" w:ascii="宋体" w:hAnsi="宋体" w:eastAsia="宋体" w:cs="宋体"/>
                <w:b w:val="0"/>
                <w:bCs w:val="0"/>
                <w:spacing w:val="-1"/>
                <w:sz w:val="24"/>
                <w:szCs w:val="24"/>
                <w:highlight w:val="none"/>
                <w:lang w:eastAsia="zh-CN"/>
              </w:rPr>
            </w:pPr>
            <w:r>
              <w:rPr>
                <w:rFonts w:hint="eastAsia" w:ascii="宋体" w:hAnsi="宋体" w:eastAsia="宋体" w:cs="宋体"/>
                <w:b w:val="0"/>
                <w:bCs w:val="0"/>
                <w:spacing w:val="-1"/>
                <w:sz w:val="24"/>
                <w:szCs w:val="24"/>
                <w:highlight w:val="none"/>
                <w:lang w:eastAsia="zh-CN"/>
              </w:rPr>
              <w:t>⑥法律、法规、规章规定其它应否决投标的情形。</w:t>
            </w:r>
          </w:p>
          <w:p w14:paraId="0FABBF0D">
            <w:pPr>
              <w:pStyle w:val="23"/>
              <w:keepNext w:val="0"/>
              <w:keepLines w:val="0"/>
              <w:pageBreakBefore w:val="0"/>
              <w:widowControl w:val="0"/>
              <w:wordWrap/>
              <w:overflowPunct/>
              <w:topLinePunct w:val="0"/>
              <w:autoSpaceDE w:val="0"/>
              <w:autoSpaceDN w:val="0"/>
              <w:bidi w:val="0"/>
              <w:adjustRightInd w:val="0"/>
              <w:snapToGrid/>
              <w:spacing w:line="440" w:lineRule="exact"/>
              <w:ind w:left="31"/>
              <w:textAlignment w:val="auto"/>
              <w:rPr>
                <w:color w:val="auto"/>
                <w:spacing w:val="-3"/>
                <w:sz w:val="24"/>
                <w:szCs w:val="24"/>
                <w:lang w:eastAsia="zh-CN"/>
              </w:rPr>
            </w:pPr>
            <w:r>
              <w:rPr>
                <w:rFonts w:hint="eastAsia" w:ascii="宋体" w:hAnsi="宋体" w:eastAsia="宋体" w:cs="宋体"/>
                <w:b w:val="0"/>
                <w:bCs w:val="0"/>
                <w:spacing w:val="-1"/>
                <w:sz w:val="24"/>
                <w:szCs w:val="24"/>
                <w:highlight w:val="none"/>
                <w:lang w:eastAsia="zh-CN"/>
              </w:rPr>
              <w:t>注：凡评标委员会拟作出否决投标决定的，应先向投标人进行书面询问核对。</w:t>
            </w:r>
          </w:p>
        </w:tc>
      </w:tr>
      <w:tr w14:paraId="39A6F5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 w:hRule="atLeast"/>
        </w:trPr>
        <w:tc>
          <w:tcPr>
            <w:tcW w:w="1080" w:type="dxa"/>
            <w:vAlign w:val="top"/>
          </w:tcPr>
          <w:p w14:paraId="306851D7">
            <w:pPr>
              <w:spacing w:line="241" w:lineRule="auto"/>
              <w:rPr>
                <w:color w:val="auto"/>
                <w:lang w:eastAsia="zh-CN"/>
              </w:rPr>
            </w:pPr>
          </w:p>
          <w:p w14:paraId="7DA94306">
            <w:pPr>
              <w:spacing w:line="241" w:lineRule="auto"/>
              <w:rPr>
                <w:color w:val="auto"/>
                <w:lang w:eastAsia="zh-CN"/>
              </w:rPr>
            </w:pPr>
          </w:p>
          <w:p w14:paraId="68C5887E">
            <w:pPr>
              <w:spacing w:line="241" w:lineRule="auto"/>
              <w:rPr>
                <w:color w:val="auto"/>
                <w:lang w:eastAsia="zh-CN"/>
              </w:rPr>
            </w:pPr>
          </w:p>
          <w:p w14:paraId="194ECAC6">
            <w:pPr>
              <w:spacing w:line="241" w:lineRule="auto"/>
              <w:rPr>
                <w:color w:val="auto"/>
                <w:lang w:eastAsia="zh-CN"/>
              </w:rPr>
            </w:pPr>
          </w:p>
          <w:p w14:paraId="5204CB91">
            <w:pPr>
              <w:spacing w:line="241" w:lineRule="auto"/>
              <w:rPr>
                <w:color w:val="auto"/>
                <w:lang w:eastAsia="zh-CN"/>
              </w:rPr>
            </w:pPr>
          </w:p>
          <w:p w14:paraId="1C3D3D40">
            <w:pPr>
              <w:spacing w:line="241" w:lineRule="auto"/>
              <w:rPr>
                <w:color w:val="auto"/>
                <w:lang w:eastAsia="zh-CN"/>
              </w:rPr>
            </w:pPr>
          </w:p>
          <w:p w14:paraId="1D517FC8">
            <w:pPr>
              <w:spacing w:line="242" w:lineRule="auto"/>
              <w:rPr>
                <w:color w:val="auto"/>
                <w:lang w:eastAsia="zh-CN"/>
              </w:rPr>
            </w:pPr>
          </w:p>
          <w:p w14:paraId="513A369D">
            <w:pPr>
              <w:spacing w:line="242" w:lineRule="auto"/>
              <w:rPr>
                <w:color w:val="auto"/>
                <w:lang w:eastAsia="zh-CN"/>
              </w:rPr>
            </w:pPr>
          </w:p>
          <w:p w14:paraId="7ED55011">
            <w:pPr>
              <w:spacing w:line="242" w:lineRule="auto"/>
              <w:rPr>
                <w:color w:val="auto"/>
                <w:lang w:eastAsia="zh-CN"/>
              </w:rPr>
            </w:pPr>
          </w:p>
          <w:p w14:paraId="5800541F">
            <w:pPr>
              <w:spacing w:line="242" w:lineRule="auto"/>
              <w:rPr>
                <w:color w:val="auto"/>
                <w:lang w:eastAsia="zh-CN"/>
              </w:rPr>
            </w:pPr>
          </w:p>
          <w:p w14:paraId="3055A246">
            <w:pPr>
              <w:spacing w:line="242" w:lineRule="auto"/>
              <w:rPr>
                <w:color w:val="auto"/>
                <w:lang w:eastAsia="zh-CN"/>
              </w:rPr>
            </w:pPr>
          </w:p>
          <w:p w14:paraId="56BC3D58">
            <w:pPr>
              <w:spacing w:line="242" w:lineRule="auto"/>
              <w:rPr>
                <w:color w:val="auto"/>
                <w:lang w:eastAsia="zh-CN"/>
              </w:rPr>
            </w:pPr>
          </w:p>
          <w:p w14:paraId="4E04A751">
            <w:pPr>
              <w:spacing w:line="242" w:lineRule="auto"/>
              <w:rPr>
                <w:color w:val="auto"/>
                <w:lang w:eastAsia="zh-CN"/>
              </w:rPr>
            </w:pPr>
          </w:p>
          <w:p w14:paraId="36725617">
            <w:pPr>
              <w:spacing w:line="242" w:lineRule="auto"/>
              <w:rPr>
                <w:color w:val="auto"/>
                <w:lang w:eastAsia="zh-CN"/>
              </w:rPr>
            </w:pPr>
          </w:p>
          <w:p w14:paraId="4600D5C3">
            <w:pPr>
              <w:spacing w:line="242" w:lineRule="auto"/>
              <w:rPr>
                <w:color w:val="auto"/>
                <w:lang w:eastAsia="zh-CN"/>
              </w:rPr>
            </w:pPr>
          </w:p>
          <w:p w14:paraId="4CA98438">
            <w:pPr>
              <w:spacing w:line="242" w:lineRule="auto"/>
              <w:rPr>
                <w:color w:val="auto"/>
                <w:lang w:eastAsia="zh-CN"/>
              </w:rPr>
            </w:pPr>
          </w:p>
          <w:p w14:paraId="7C96AD9D">
            <w:pPr>
              <w:spacing w:line="242" w:lineRule="auto"/>
              <w:rPr>
                <w:color w:val="auto"/>
                <w:lang w:eastAsia="zh-CN"/>
              </w:rPr>
            </w:pPr>
          </w:p>
          <w:p w14:paraId="333E8FE1">
            <w:pPr>
              <w:spacing w:line="242" w:lineRule="auto"/>
              <w:rPr>
                <w:color w:val="auto"/>
                <w:lang w:eastAsia="zh-CN"/>
              </w:rPr>
            </w:pPr>
          </w:p>
          <w:p w14:paraId="6164BFA9">
            <w:pPr>
              <w:spacing w:before="69" w:line="188" w:lineRule="auto"/>
              <w:ind w:left="285" w:leftChars="0"/>
              <w:rPr>
                <w:rFonts w:ascii="Times New Roman" w:hAnsi="Times New Roman" w:eastAsia="Times New Roman" w:cs="Times New Roman"/>
                <w:color w:val="auto"/>
                <w:spacing w:val="-8"/>
                <w:sz w:val="24"/>
                <w:szCs w:val="24"/>
              </w:rPr>
            </w:pPr>
            <w:r>
              <w:rPr>
                <w:rFonts w:ascii="Times New Roman" w:hAnsi="Times New Roman" w:eastAsia="Times New Roman" w:cs="Times New Roman"/>
                <w:color w:val="auto"/>
                <w:spacing w:val="-8"/>
                <w:sz w:val="24"/>
                <w:szCs w:val="24"/>
              </w:rPr>
              <w:t>10.2</w:t>
            </w:r>
          </w:p>
        </w:tc>
        <w:tc>
          <w:tcPr>
            <w:tcW w:w="1305" w:type="dxa"/>
            <w:vAlign w:val="top"/>
          </w:tcPr>
          <w:p w14:paraId="156A73CE">
            <w:pPr>
              <w:spacing w:line="252" w:lineRule="auto"/>
              <w:rPr>
                <w:color w:val="auto"/>
              </w:rPr>
            </w:pPr>
          </w:p>
          <w:p w14:paraId="23CB6F06">
            <w:pPr>
              <w:spacing w:line="253" w:lineRule="auto"/>
              <w:rPr>
                <w:color w:val="auto"/>
              </w:rPr>
            </w:pPr>
          </w:p>
          <w:p w14:paraId="75C26858">
            <w:pPr>
              <w:spacing w:line="253" w:lineRule="auto"/>
              <w:rPr>
                <w:color w:val="auto"/>
              </w:rPr>
            </w:pPr>
          </w:p>
          <w:p w14:paraId="5672427D">
            <w:pPr>
              <w:spacing w:line="253" w:lineRule="auto"/>
              <w:rPr>
                <w:color w:val="auto"/>
              </w:rPr>
            </w:pPr>
          </w:p>
          <w:p w14:paraId="31BABDEB">
            <w:pPr>
              <w:spacing w:line="253" w:lineRule="auto"/>
              <w:rPr>
                <w:color w:val="auto"/>
              </w:rPr>
            </w:pPr>
          </w:p>
          <w:p w14:paraId="1BD09F94">
            <w:pPr>
              <w:spacing w:line="253" w:lineRule="auto"/>
              <w:rPr>
                <w:color w:val="auto"/>
              </w:rPr>
            </w:pPr>
          </w:p>
          <w:p w14:paraId="4AA89341">
            <w:pPr>
              <w:spacing w:line="253" w:lineRule="auto"/>
              <w:rPr>
                <w:color w:val="auto"/>
              </w:rPr>
            </w:pPr>
          </w:p>
          <w:p w14:paraId="0735CC36">
            <w:pPr>
              <w:spacing w:line="253" w:lineRule="auto"/>
              <w:rPr>
                <w:color w:val="auto"/>
              </w:rPr>
            </w:pPr>
          </w:p>
          <w:p w14:paraId="640F8848">
            <w:pPr>
              <w:spacing w:line="253" w:lineRule="auto"/>
              <w:rPr>
                <w:color w:val="auto"/>
              </w:rPr>
            </w:pPr>
          </w:p>
          <w:p w14:paraId="21F4C2AA">
            <w:pPr>
              <w:spacing w:line="253" w:lineRule="auto"/>
              <w:rPr>
                <w:color w:val="auto"/>
              </w:rPr>
            </w:pPr>
          </w:p>
          <w:p w14:paraId="3B8115B2">
            <w:pPr>
              <w:spacing w:line="253" w:lineRule="auto"/>
              <w:rPr>
                <w:color w:val="auto"/>
              </w:rPr>
            </w:pPr>
          </w:p>
          <w:p w14:paraId="795CD017">
            <w:pPr>
              <w:spacing w:line="253" w:lineRule="auto"/>
              <w:rPr>
                <w:color w:val="auto"/>
              </w:rPr>
            </w:pPr>
          </w:p>
          <w:p w14:paraId="619F2B16">
            <w:pPr>
              <w:spacing w:line="253" w:lineRule="auto"/>
              <w:rPr>
                <w:color w:val="auto"/>
              </w:rPr>
            </w:pPr>
          </w:p>
          <w:p w14:paraId="21F3EDD3">
            <w:pPr>
              <w:spacing w:line="253" w:lineRule="auto"/>
              <w:rPr>
                <w:color w:val="auto"/>
              </w:rPr>
            </w:pPr>
          </w:p>
          <w:p w14:paraId="1EE063F2">
            <w:pPr>
              <w:spacing w:line="253" w:lineRule="auto"/>
              <w:rPr>
                <w:color w:val="auto"/>
              </w:rPr>
            </w:pPr>
          </w:p>
          <w:p w14:paraId="3D6DA05C">
            <w:pPr>
              <w:spacing w:line="253" w:lineRule="auto"/>
              <w:rPr>
                <w:color w:val="auto"/>
              </w:rPr>
            </w:pPr>
          </w:p>
          <w:p w14:paraId="65ECE65F">
            <w:pPr>
              <w:spacing w:line="253" w:lineRule="auto"/>
              <w:rPr>
                <w:color w:val="auto"/>
              </w:rPr>
            </w:pPr>
          </w:p>
          <w:p w14:paraId="00D1A2A4">
            <w:pPr>
              <w:pStyle w:val="23"/>
              <w:spacing w:before="78" w:line="219" w:lineRule="auto"/>
              <w:ind w:left="34" w:leftChars="0"/>
              <w:rPr>
                <w:color w:val="auto"/>
                <w:spacing w:val="-2"/>
                <w:sz w:val="24"/>
                <w:szCs w:val="24"/>
              </w:rPr>
            </w:pPr>
            <w:r>
              <w:rPr>
                <w:color w:val="auto"/>
                <w:spacing w:val="-3"/>
                <w:sz w:val="24"/>
                <w:szCs w:val="24"/>
              </w:rPr>
              <w:t>异议与投诉</w:t>
            </w:r>
          </w:p>
        </w:tc>
        <w:tc>
          <w:tcPr>
            <w:tcW w:w="7229" w:type="dxa"/>
            <w:vAlign w:val="top"/>
          </w:tcPr>
          <w:p w14:paraId="53FBB774">
            <w:pPr>
              <w:pStyle w:val="23"/>
              <w:spacing w:before="49" w:line="219" w:lineRule="auto"/>
              <w:ind w:left="52"/>
              <w:rPr>
                <w:color w:val="auto"/>
                <w:sz w:val="24"/>
                <w:szCs w:val="24"/>
                <w:lang w:eastAsia="zh-CN"/>
              </w:rPr>
            </w:pPr>
            <w:r>
              <w:rPr>
                <w:rFonts w:ascii="Times New Roman" w:hAnsi="Times New Roman" w:eastAsia="Times New Roman" w:cs="Times New Roman"/>
                <w:color w:val="auto"/>
                <w:spacing w:val="-6"/>
                <w:sz w:val="24"/>
                <w:szCs w:val="24"/>
                <w:lang w:eastAsia="zh-CN"/>
              </w:rPr>
              <w:t>1.</w:t>
            </w:r>
            <w:r>
              <w:rPr>
                <w:color w:val="auto"/>
                <w:spacing w:val="-6"/>
                <w:sz w:val="24"/>
                <w:szCs w:val="24"/>
                <w:lang w:eastAsia="zh-CN"/>
              </w:rPr>
              <w:t>异议：</w:t>
            </w:r>
          </w:p>
          <w:p w14:paraId="1D253131">
            <w:pPr>
              <w:pStyle w:val="23"/>
              <w:keepNext w:val="0"/>
              <w:keepLines w:val="0"/>
              <w:pageBreakBefore w:val="0"/>
              <w:widowControl w:val="0"/>
              <w:wordWrap/>
              <w:overflowPunct/>
              <w:topLinePunct w:val="0"/>
              <w:autoSpaceDE w:val="0"/>
              <w:autoSpaceDN w:val="0"/>
              <w:bidi w:val="0"/>
              <w:adjustRightInd w:val="0"/>
              <w:snapToGrid/>
              <w:spacing w:line="440" w:lineRule="exact"/>
              <w:ind w:left="31"/>
              <w:textAlignment w:val="auto"/>
              <w:rPr>
                <w:rFonts w:hint="eastAsia" w:ascii="宋体" w:hAnsi="宋体" w:eastAsia="宋体" w:cs="宋体"/>
                <w:b w:val="0"/>
                <w:bCs w:val="0"/>
                <w:spacing w:val="-1"/>
                <w:sz w:val="24"/>
                <w:szCs w:val="24"/>
                <w:highlight w:val="none"/>
                <w:lang w:eastAsia="zh-CN"/>
              </w:rPr>
            </w:pPr>
            <w:r>
              <w:rPr>
                <w:rFonts w:hint="eastAsia" w:ascii="宋体" w:hAnsi="宋体" w:eastAsia="宋体" w:cs="宋体"/>
                <w:b w:val="0"/>
                <w:bCs w:val="0"/>
                <w:spacing w:val="-1"/>
                <w:sz w:val="24"/>
                <w:szCs w:val="24"/>
                <w:highlight w:val="none"/>
                <w:lang w:eastAsia="zh-CN"/>
              </w:rPr>
              <w:t>（1）潜在投标人或者其他利害关系人对招标文件有异议的，应当在投标截止时间10日前以书面形式向招标人提出。招标人将在收到异议之日起3日内作出书面答复；作出答复前，暂停招标投标活动；</w:t>
            </w:r>
          </w:p>
          <w:p w14:paraId="1FB5B019">
            <w:pPr>
              <w:pStyle w:val="23"/>
              <w:keepNext w:val="0"/>
              <w:keepLines w:val="0"/>
              <w:pageBreakBefore w:val="0"/>
              <w:widowControl w:val="0"/>
              <w:wordWrap/>
              <w:overflowPunct/>
              <w:topLinePunct w:val="0"/>
              <w:autoSpaceDE w:val="0"/>
              <w:autoSpaceDN w:val="0"/>
              <w:bidi w:val="0"/>
              <w:adjustRightInd w:val="0"/>
              <w:snapToGrid/>
              <w:spacing w:line="440" w:lineRule="exact"/>
              <w:ind w:left="31"/>
              <w:textAlignment w:val="auto"/>
              <w:rPr>
                <w:rFonts w:hint="eastAsia" w:ascii="宋体" w:hAnsi="宋体" w:eastAsia="宋体" w:cs="宋体"/>
                <w:b w:val="0"/>
                <w:bCs w:val="0"/>
                <w:spacing w:val="-1"/>
                <w:sz w:val="24"/>
                <w:szCs w:val="24"/>
                <w:highlight w:val="none"/>
                <w:lang w:eastAsia="zh-CN"/>
              </w:rPr>
            </w:pPr>
            <w:r>
              <w:rPr>
                <w:rFonts w:hint="eastAsia" w:ascii="宋体" w:hAnsi="宋体" w:eastAsia="宋体" w:cs="宋体"/>
                <w:b w:val="0"/>
                <w:bCs w:val="0"/>
                <w:spacing w:val="-1"/>
                <w:sz w:val="24"/>
                <w:szCs w:val="24"/>
                <w:highlight w:val="none"/>
                <w:lang w:eastAsia="zh-CN"/>
              </w:rPr>
              <w:t>（2）投标人认为开标不符合有关规定的，应当在开标现场通过交易中心电子招投标交易平台向招标人提出异议。招标人将当场对异议给予处理或者告知处理的办法。异议和答复应记入开标记录或者制作专门记录以存档备查；</w:t>
            </w:r>
          </w:p>
          <w:p w14:paraId="04B18F7B">
            <w:pPr>
              <w:pStyle w:val="23"/>
              <w:keepNext w:val="0"/>
              <w:keepLines w:val="0"/>
              <w:pageBreakBefore w:val="0"/>
              <w:widowControl w:val="0"/>
              <w:wordWrap/>
              <w:overflowPunct/>
              <w:topLinePunct w:val="0"/>
              <w:autoSpaceDE w:val="0"/>
              <w:autoSpaceDN w:val="0"/>
              <w:bidi w:val="0"/>
              <w:adjustRightInd w:val="0"/>
              <w:snapToGrid/>
              <w:spacing w:line="440" w:lineRule="exact"/>
              <w:ind w:left="31"/>
              <w:textAlignment w:val="auto"/>
              <w:rPr>
                <w:rFonts w:hint="eastAsia" w:ascii="宋体" w:hAnsi="宋体" w:eastAsia="宋体" w:cs="宋体"/>
                <w:b w:val="0"/>
                <w:bCs w:val="0"/>
                <w:spacing w:val="-1"/>
                <w:sz w:val="24"/>
                <w:szCs w:val="24"/>
                <w:highlight w:val="none"/>
                <w:lang w:eastAsia="zh-CN"/>
              </w:rPr>
            </w:pPr>
            <w:r>
              <w:rPr>
                <w:rFonts w:hint="eastAsia" w:ascii="宋体" w:hAnsi="宋体" w:eastAsia="宋体" w:cs="宋体"/>
                <w:b w:val="0"/>
                <w:bCs w:val="0"/>
                <w:spacing w:val="-1"/>
                <w:sz w:val="24"/>
                <w:szCs w:val="24"/>
                <w:highlight w:val="none"/>
                <w:lang w:eastAsia="zh-CN"/>
              </w:rPr>
              <w:t>（3）投标人及其他利害关系人对评标结果有异议的，应当在中标候选人公示期内以书面形式向招标人提出。招标人将在收到异议之日起3日内作出书面答复；作出答复</w:t>
            </w:r>
          </w:p>
          <w:p w14:paraId="205BCFE6">
            <w:pPr>
              <w:pStyle w:val="23"/>
              <w:keepNext w:val="0"/>
              <w:keepLines w:val="0"/>
              <w:pageBreakBefore w:val="0"/>
              <w:widowControl w:val="0"/>
              <w:wordWrap/>
              <w:overflowPunct/>
              <w:topLinePunct w:val="0"/>
              <w:autoSpaceDE w:val="0"/>
              <w:autoSpaceDN w:val="0"/>
              <w:bidi w:val="0"/>
              <w:adjustRightInd w:val="0"/>
              <w:snapToGrid/>
              <w:spacing w:line="440" w:lineRule="exact"/>
              <w:ind w:left="31"/>
              <w:textAlignment w:val="auto"/>
              <w:rPr>
                <w:rFonts w:hint="eastAsia" w:ascii="宋体" w:hAnsi="宋体" w:eastAsia="宋体" w:cs="宋体"/>
                <w:b w:val="0"/>
                <w:bCs w:val="0"/>
                <w:spacing w:val="-1"/>
                <w:sz w:val="24"/>
                <w:szCs w:val="24"/>
                <w:highlight w:val="none"/>
                <w:lang w:eastAsia="zh-CN"/>
              </w:rPr>
            </w:pPr>
            <w:r>
              <w:rPr>
                <w:rFonts w:hint="eastAsia" w:ascii="宋体" w:hAnsi="宋体" w:eastAsia="宋体" w:cs="宋体"/>
                <w:b w:val="0"/>
                <w:bCs w:val="0"/>
                <w:spacing w:val="-1"/>
                <w:sz w:val="24"/>
                <w:szCs w:val="24"/>
                <w:highlight w:val="none"/>
                <w:lang w:eastAsia="zh-CN"/>
              </w:rPr>
              <w:t>前，暂停招标投标活动。</w:t>
            </w:r>
          </w:p>
          <w:p w14:paraId="2B221A0C">
            <w:pPr>
              <w:pStyle w:val="23"/>
              <w:keepNext w:val="0"/>
              <w:keepLines w:val="0"/>
              <w:pageBreakBefore w:val="0"/>
              <w:widowControl w:val="0"/>
              <w:wordWrap/>
              <w:overflowPunct/>
              <w:topLinePunct w:val="0"/>
              <w:autoSpaceDE w:val="0"/>
              <w:autoSpaceDN w:val="0"/>
              <w:bidi w:val="0"/>
              <w:adjustRightInd w:val="0"/>
              <w:snapToGrid/>
              <w:spacing w:line="440" w:lineRule="exact"/>
              <w:ind w:left="31"/>
              <w:textAlignment w:val="auto"/>
              <w:rPr>
                <w:rFonts w:hint="eastAsia" w:ascii="宋体" w:hAnsi="宋体" w:eastAsia="宋体" w:cs="宋体"/>
                <w:b w:val="0"/>
                <w:bCs w:val="0"/>
                <w:spacing w:val="-1"/>
                <w:sz w:val="24"/>
                <w:szCs w:val="24"/>
                <w:highlight w:val="none"/>
                <w:lang w:eastAsia="zh-CN"/>
              </w:rPr>
            </w:pPr>
            <w:r>
              <w:rPr>
                <w:rFonts w:hint="eastAsia" w:ascii="宋体" w:hAnsi="宋体" w:eastAsia="宋体" w:cs="宋体"/>
                <w:b w:val="0"/>
                <w:bCs w:val="0"/>
                <w:spacing w:val="-1"/>
                <w:sz w:val="24"/>
                <w:szCs w:val="24"/>
                <w:highlight w:val="none"/>
                <w:lang w:eastAsia="zh-CN"/>
              </w:rPr>
              <w:t>（</w:t>
            </w:r>
            <w:r>
              <w:rPr>
                <w:rFonts w:hint="eastAsia" w:ascii="宋体" w:hAnsi="宋体" w:eastAsia="宋体" w:cs="宋体"/>
                <w:b w:val="0"/>
                <w:bCs w:val="0"/>
                <w:spacing w:val="-1"/>
                <w:sz w:val="24"/>
                <w:szCs w:val="24"/>
                <w:highlight w:val="none"/>
                <w:lang w:val="en-US" w:eastAsia="zh-CN"/>
              </w:rPr>
              <w:t>4）</w:t>
            </w:r>
            <w:r>
              <w:rPr>
                <w:rFonts w:hint="eastAsia" w:ascii="宋体" w:hAnsi="宋体" w:eastAsia="宋体" w:cs="宋体"/>
                <w:b w:val="0"/>
                <w:bCs w:val="0"/>
                <w:spacing w:val="-1"/>
                <w:sz w:val="24"/>
                <w:szCs w:val="24"/>
                <w:highlight w:val="none"/>
                <w:lang w:eastAsia="zh-CN"/>
              </w:rPr>
              <w:t>其他：</w:t>
            </w:r>
            <w:r>
              <w:rPr>
                <w:rFonts w:hint="eastAsia" w:ascii="宋体" w:hAnsi="宋体" w:eastAsia="宋体" w:cs="宋体"/>
                <w:b w:val="0"/>
                <w:bCs w:val="0"/>
                <w:spacing w:val="-1"/>
                <w:sz w:val="24"/>
                <w:szCs w:val="24"/>
                <w:highlight w:val="none"/>
                <w:u w:val="single"/>
                <w:lang w:val="en-US" w:eastAsia="zh-CN"/>
              </w:rPr>
              <w:t>/</w:t>
            </w:r>
            <w:r>
              <w:rPr>
                <w:rFonts w:hint="eastAsia" w:ascii="宋体" w:hAnsi="宋体" w:eastAsia="宋体" w:cs="宋体"/>
                <w:b w:val="0"/>
                <w:bCs w:val="0"/>
                <w:spacing w:val="-1"/>
                <w:sz w:val="24"/>
                <w:szCs w:val="24"/>
                <w:highlight w:val="none"/>
                <w:u w:val="single"/>
                <w:lang w:eastAsia="zh-CN"/>
              </w:rPr>
              <w:t xml:space="preserve">    </w:t>
            </w:r>
            <w:r>
              <w:rPr>
                <w:rFonts w:hint="eastAsia" w:ascii="宋体" w:hAnsi="宋体" w:eastAsia="宋体" w:cs="宋体"/>
                <w:b w:val="0"/>
                <w:bCs w:val="0"/>
                <w:spacing w:val="-1"/>
                <w:sz w:val="24"/>
                <w:szCs w:val="24"/>
                <w:highlight w:val="none"/>
                <w:lang w:eastAsia="zh-CN"/>
              </w:rPr>
              <w:t>。</w:t>
            </w:r>
          </w:p>
          <w:p w14:paraId="3656C0F1">
            <w:pPr>
              <w:pStyle w:val="23"/>
              <w:numPr>
                <w:ilvl w:val="0"/>
                <w:numId w:val="0"/>
              </w:numPr>
              <w:spacing w:before="23" w:line="230" w:lineRule="auto"/>
              <w:ind w:left="44" w:leftChars="0" w:right="1000" w:rightChars="0"/>
              <w:rPr>
                <w:color w:val="auto"/>
                <w:sz w:val="24"/>
                <w:szCs w:val="24"/>
                <w:lang w:eastAsia="zh-CN"/>
              </w:rPr>
            </w:pPr>
            <w:r>
              <w:rPr>
                <w:rFonts w:ascii="Times New Roman" w:hAnsi="Times New Roman" w:eastAsia="Times New Roman" w:cs="Times New Roman"/>
                <w:color w:val="auto"/>
                <w:spacing w:val="-2"/>
                <w:sz w:val="24"/>
                <w:szCs w:val="24"/>
                <w:lang w:eastAsia="zh-CN"/>
              </w:rPr>
              <w:t>2.</w:t>
            </w:r>
            <w:r>
              <w:rPr>
                <w:color w:val="auto"/>
                <w:spacing w:val="-2"/>
                <w:sz w:val="24"/>
                <w:szCs w:val="24"/>
                <w:lang w:eastAsia="zh-CN"/>
              </w:rPr>
              <w:t>投诉：</w:t>
            </w:r>
          </w:p>
          <w:p w14:paraId="1BFB72CD">
            <w:pPr>
              <w:pStyle w:val="23"/>
              <w:keepNext w:val="0"/>
              <w:keepLines w:val="0"/>
              <w:pageBreakBefore w:val="0"/>
              <w:widowControl w:val="0"/>
              <w:wordWrap/>
              <w:overflowPunct/>
              <w:topLinePunct w:val="0"/>
              <w:autoSpaceDE w:val="0"/>
              <w:autoSpaceDN w:val="0"/>
              <w:bidi w:val="0"/>
              <w:adjustRightInd w:val="0"/>
              <w:snapToGrid/>
              <w:spacing w:line="440" w:lineRule="exact"/>
              <w:ind w:left="31"/>
              <w:textAlignment w:val="auto"/>
              <w:rPr>
                <w:rFonts w:hint="eastAsia" w:ascii="宋体" w:hAnsi="宋体" w:eastAsia="宋体" w:cs="宋体"/>
                <w:b w:val="0"/>
                <w:bCs w:val="0"/>
                <w:spacing w:val="-1"/>
                <w:sz w:val="24"/>
                <w:szCs w:val="24"/>
                <w:highlight w:val="none"/>
                <w:lang w:eastAsia="zh-CN"/>
              </w:rPr>
            </w:pPr>
            <w:r>
              <w:rPr>
                <w:rFonts w:hint="eastAsia" w:ascii="宋体" w:hAnsi="宋体" w:eastAsia="宋体" w:cs="宋体"/>
                <w:b w:val="0"/>
                <w:bCs w:val="0"/>
                <w:spacing w:val="-1"/>
                <w:sz w:val="24"/>
                <w:szCs w:val="24"/>
                <w:highlight w:val="none"/>
                <w:lang w:eastAsia="zh-CN"/>
              </w:rPr>
              <w:t>（1）投标人或者其他利害关系人认为招标投标活动不符合法律、行政法规和招标文件规定的，可以自知道或者应当知道之日起10日内向有关行政监督部门投诉。投诉应当有明确的请求和必要的证明资料，具体要求按《工程建设项目招标投标活动投诉处理办法》规定。</w:t>
            </w:r>
          </w:p>
          <w:p w14:paraId="6571866D">
            <w:pPr>
              <w:pStyle w:val="23"/>
              <w:spacing w:before="28" w:line="211" w:lineRule="auto"/>
              <w:ind w:left="45"/>
              <w:rPr>
                <w:color w:val="auto"/>
                <w:sz w:val="24"/>
                <w:szCs w:val="24"/>
                <w:lang w:eastAsia="zh-CN"/>
              </w:rPr>
            </w:pPr>
            <w:r>
              <w:rPr>
                <w:color w:val="auto"/>
                <w:spacing w:val="-6"/>
                <w:sz w:val="24"/>
                <w:szCs w:val="24"/>
                <w:lang w:eastAsia="zh-CN"/>
              </w:rPr>
              <w:t>（</w:t>
            </w:r>
            <w:r>
              <w:rPr>
                <w:rFonts w:ascii="Times New Roman" w:hAnsi="Times New Roman" w:eastAsia="Times New Roman" w:cs="Times New Roman"/>
                <w:color w:val="auto"/>
                <w:spacing w:val="-6"/>
                <w:sz w:val="24"/>
                <w:szCs w:val="24"/>
                <w:lang w:eastAsia="zh-CN"/>
              </w:rPr>
              <w:t>2</w:t>
            </w:r>
            <w:r>
              <w:rPr>
                <w:color w:val="auto"/>
                <w:spacing w:val="-6"/>
                <w:sz w:val="24"/>
                <w:szCs w:val="24"/>
                <w:lang w:eastAsia="zh-CN"/>
              </w:rPr>
              <w:t>）其他</w:t>
            </w:r>
            <w:r>
              <w:rPr>
                <w:color w:val="auto"/>
                <w:spacing w:val="11"/>
                <w:sz w:val="24"/>
                <w:szCs w:val="24"/>
                <w:lang w:eastAsia="zh-CN"/>
              </w:rPr>
              <w:t>：</w:t>
            </w:r>
            <w:r>
              <w:rPr>
                <w:rFonts w:hint="eastAsia" w:ascii="Times New Roman" w:cs="Times New Roman"/>
                <w:color w:val="auto"/>
                <w:szCs w:val="24"/>
                <w:u w:val="single"/>
                <w:lang w:val="en-US" w:eastAsia="zh-CN"/>
              </w:rPr>
              <w:t>/</w:t>
            </w:r>
            <w:r>
              <w:rPr>
                <w:rFonts w:ascii="Times New Roman" w:cs="Times New Roman"/>
                <w:color w:val="auto"/>
                <w:szCs w:val="24"/>
                <w:u w:val="single"/>
              </w:rPr>
              <w:t xml:space="preserve">    </w:t>
            </w:r>
            <w:r>
              <w:rPr>
                <w:rFonts w:ascii="Times New Roman" w:cs="Times New Roman"/>
                <w:color w:val="auto"/>
                <w:szCs w:val="24"/>
              </w:rPr>
              <w:t>。</w:t>
            </w:r>
          </w:p>
          <w:p w14:paraId="23EB1370">
            <w:pPr>
              <w:pStyle w:val="23"/>
              <w:keepNext w:val="0"/>
              <w:keepLines w:val="0"/>
              <w:pageBreakBefore w:val="0"/>
              <w:widowControl w:val="0"/>
              <w:wordWrap/>
              <w:overflowPunct/>
              <w:topLinePunct w:val="0"/>
              <w:autoSpaceDE w:val="0"/>
              <w:autoSpaceDN w:val="0"/>
              <w:bidi w:val="0"/>
              <w:adjustRightInd w:val="0"/>
              <w:snapToGrid/>
              <w:spacing w:line="440" w:lineRule="exact"/>
              <w:ind w:left="31"/>
              <w:textAlignment w:val="auto"/>
              <w:rPr>
                <w:rFonts w:hint="eastAsia" w:ascii="宋体" w:hAnsi="宋体" w:eastAsia="宋体" w:cs="宋体"/>
                <w:b w:val="0"/>
                <w:bCs w:val="0"/>
                <w:spacing w:val="-1"/>
                <w:sz w:val="24"/>
                <w:szCs w:val="24"/>
                <w:highlight w:val="none"/>
                <w:lang w:eastAsia="zh-CN"/>
              </w:rPr>
            </w:pPr>
            <w:r>
              <w:rPr>
                <w:rFonts w:ascii="Times New Roman" w:hAnsi="Times New Roman" w:eastAsia="Times New Roman" w:cs="Times New Roman"/>
                <w:color w:val="auto"/>
                <w:spacing w:val="-1"/>
                <w:sz w:val="24"/>
                <w:szCs w:val="24"/>
                <w:lang w:eastAsia="zh-CN"/>
              </w:rPr>
              <w:t>3</w:t>
            </w:r>
            <w:r>
              <w:rPr>
                <w:rFonts w:hint="eastAsia" w:ascii="宋体" w:hAnsi="宋体" w:eastAsia="宋体" w:cs="宋体"/>
                <w:b w:val="0"/>
                <w:bCs w:val="0"/>
                <w:spacing w:val="-1"/>
                <w:sz w:val="24"/>
                <w:szCs w:val="24"/>
                <w:highlight w:val="none"/>
                <w:lang w:eastAsia="zh-CN"/>
              </w:rPr>
              <w:t>.上述时限最后一日如遇国家法定节假日的，顺延至法定节假日后的第一个工作日。</w:t>
            </w:r>
          </w:p>
          <w:p w14:paraId="0DAB4E8C">
            <w:pPr>
              <w:pStyle w:val="23"/>
              <w:keepNext w:val="0"/>
              <w:keepLines w:val="0"/>
              <w:pageBreakBefore w:val="0"/>
              <w:widowControl w:val="0"/>
              <w:wordWrap/>
              <w:overflowPunct/>
              <w:topLinePunct w:val="0"/>
              <w:autoSpaceDE w:val="0"/>
              <w:autoSpaceDN w:val="0"/>
              <w:bidi w:val="0"/>
              <w:adjustRightInd w:val="0"/>
              <w:snapToGrid/>
              <w:spacing w:line="440" w:lineRule="exact"/>
              <w:ind w:left="31"/>
              <w:textAlignment w:val="auto"/>
              <w:rPr>
                <w:rFonts w:hint="eastAsia" w:ascii="宋体" w:hAnsi="宋体" w:eastAsia="宋体" w:cs="宋体"/>
                <w:b w:val="0"/>
                <w:bCs w:val="0"/>
                <w:spacing w:val="-1"/>
                <w:sz w:val="24"/>
                <w:szCs w:val="24"/>
                <w:highlight w:val="none"/>
                <w:lang w:eastAsia="zh-CN"/>
              </w:rPr>
            </w:pPr>
            <w:r>
              <w:rPr>
                <w:rFonts w:hint="eastAsia" w:ascii="宋体" w:hAnsi="宋体" w:eastAsia="宋体" w:cs="宋体"/>
                <w:b w:val="0"/>
                <w:bCs w:val="0"/>
                <w:spacing w:val="-1"/>
                <w:sz w:val="24"/>
                <w:szCs w:val="24"/>
                <w:highlight w:val="none"/>
                <w:lang w:eastAsia="zh-CN"/>
              </w:rPr>
              <w:t>提出投诉的应当知道起始时间界定为：（1）对招标文件 公告资格条件的投诉以下载招标文件的第一天为准；</w:t>
            </w:r>
          </w:p>
          <w:p w14:paraId="470C9AEF">
            <w:pPr>
              <w:pStyle w:val="23"/>
              <w:keepNext w:val="0"/>
              <w:keepLines w:val="0"/>
              <w:pageBreakBefore w:val="0"/>
              <w:widowControl w:val="0"/>
              <w:numPr>
                <w:ilvl w:val="0"/>
                <w:numId w:val="8"/>
              </w:numPr>
              <w:wordWrap/>
              <w:overflowPunct/>
              <w:topLinePunct w:val="0"/>
              <w:autoSpaceDE w:val="0"/>
              <w:autoSpaceDN w:val="0"/>
              <w:bidi w:val="0"/>
              <w:adjustRightInd w:val="0"/>
              <w:snapToGrid/>
              <w:spacing w:line="440" w:lineRule="exact"/>
              <w:ind w:left="31"/>
              <w:textAlignment w:val="auto"/>
              <w:rPr>
                <w:rFonts w:hint="eastAsia" w:ascii="宋体" w:hAnsi="宋体" w:eastAsia="宋体" w:cs="宋体"/>
                <w:b w:val="0"/>
                <w:bCs w:val="0"/>
                <w:spacing w:val="-1"/>
                <w:sz w:val="24"/>
                <w:szCs w:val="24"/>
                <w:highlight w:val="none"/>
                <w:lang w:eastAsia="zh-CN"/>
              </w:rPr>
            </w:pPr>
            <w:r>
              <w:rPr>
                <w:rFonts w:hint="eastAsia" w:ascii="宋体" w:hAnsi="宋体" w:eastAsia="宋体" w:cs="宋体"/>
                <w:b w:val="0"/>
                <w:bCs w:val="0"/>
                <w:spacing w:val="-1"/>
                <w:sz w:val="24"/>
                <w:szCs w:val="24"/>
                <w:highlight w:val="none"/>
                <w:lang w:eastAsia="zh-CN"/>
              </w:rPr>
              <w:t>对除公告资格条件外招标文件其他内容的投诉以招标文件下载最后一天为准；</w:t>
            </w:r>
          </w:p>
          <w:p w14:paraId="1F5F7332">
            <w:pPr>
              <w:pStyle w:val="23"/>
              <w:keepNext w:val="0"/>
              <w:keepLines w:val="0"/>
              <w:pageBreakBefore w:val="0"/>
              <w:widowControl w:val="0"/>
              <w:numPr>
                <w:ilvl w:val="0"/>
                <w:numId w:val="8"/>
              </w:numPr>
              <w:wordWrap/>
              <w:overflowPunct/>
              <w:topLinePunct w:val="0"/>
              <w:autoSpaceDE w:val="0"/>
              <w:autoSpaceDN w:val="0"/>
              <w:bidi w:val="0"/>
              <w:adjustRightInd w:val="0"/>
              <w:snapToGrid/>
              <w:spacing w:line="440" w:lineRule="exact"/>
              <w:ind w:left="31" w:leftChars="0" w:firstLine="0" w:firstLineChars="0"/>
              <w:textAlignment w:val="auto"/>
              <w:rPr>
                <w:rFonts w:hint="eastAsia" w:ascii="宋体" w:hAnsi="宋体" w:eastAsia="宋体" w:cs="宋体"/>
                <w:b w:val="0"/>
                <w:bCs w:val="0"/>
                <w:spacing w:val="-1"/>
                <w:sz w:val="24"/>
                <w:szCs w:val="24"/>
                <w:highlight w:val="none"/>
                <w:lang w:eastAsia="zh-CN"/>
              </w:rPr>
            </w:pPr>
            <w:r>
              <w:rPr>
                <w:rFonts w:hint="eastAsia" w:ascii="宋体" w:hAnsi="宋体" w:eastAsia="宋体" w:cs="宋体"/>
                <w:b w:val="0"/>
                <w:bCs w:val="0"/>
                <w:spacing w:val="-1"/>
                <w:sz w:val="24"/>
                <w:szCs w:val="24"/>
                <w:highlight w:val="none"/>
                <w:lang w:eastAsia="zh-CN"/>
              </w:rPr>
              <w:t>对开标的投诉以开标时 间为准；</w:t>
            </w:r>
          </w:p>
          <w:p w14:paraId="25101A1C">
            <w:pPr>
              <w:pStyle w:val="23"/>
              <w:keepNext w:val="0"/>
              <w:keepLines w:val="0"/>
              <w:pageBreakBefore w:val="0"/>
              <w:widowControl w:val="0"/>
              <w:numPr>
                <w:ilvl w:val="0"/>
                <w:numId w:val="0"/>
              </w:numPr>
              <w:wordWrap/>
              <w:overflowPunct/>
              <w:topLinePunct w:val="0"/>
              <w:autoSpaceDE w:val="0"/>
              <w:autoSpaceDN w:val="0"/>
              <w:bidi w:val="0"/>
              <w:adjustRightInd w:val="0"/>
              <w:snapToGrid/>
              <w:spacing w:line="440" w:lineRule="exact"/>
              <w:ind w:left="31" w:leftChars="0"/>
              <w:textAlignment w:val="auto"/>
              <w:rPr>
                <w:color w:val="auto"/>
                <w:spacing w:val="3"/>
                <w:sz w:val="24"/>
                <w:szCs w:val="24"/>
                <w:lang w:eastAsia="zh-CN"/>
              </w:rPr>
            </w:pPr>
            <w:r>
              <w:rPr>
                <w:rFonts w:hint="eastAsia" w:ascii="宋体" w:hAnsi="宋体" w:eastAsia="宋体" w:cs="宋体"/>
                <w:b w:val="0"/>
                <w:bCs w:val="0"/>
                <w:spacing w:val="-1"/>
                <w:sz w:val="24"/>
                <w:szCs w:val="24"/>
                <w:highlight w:val="none"/>
                <w:lang w:eastAsia="zh-CN"/>
              </w:rPr>
              <w:t>（4）对评标结果的投诉以中标候选人公示期的 起始时间为准。</w:t>
            </w:r>
          </w:p>
        </w:tc>
      </w:tr>
      <w:tr w14:paraId="7BCA8A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trPr>
        <w:tc>
          <w:tcPr>
            <w:tcW w:w="1080" w:type="dxa"/>
            <w:vAlign w:val="top"/>
          </w:tcPr>
          <w:p w14:paraId="693BBE49">
            <w:pPr>
              <w:spacing w:line="275" w:lineRule="auto"/>
              <w:rPr>
                <w:color w:val="auto"/>
              </w:rPr>
            </w:pPr>
          </w:p>
          <w:p w14:paraId="67E55FB6">
            <w:pPr>
              <w:spacing w:line="275" w:lineRule="auto"/>
              <w:rPr>
                <w:color w:val="auto"/>
              </w:rPr>
            </w:pPr>
          </w:p>
          <w:p w14:paraId="314F1790">
            <w:pPr>
              <w:spacing w:line="275" w:lineRule="auto"/>
              <w:rPr>
                <w:color w:val="auto"/>
              </w:rPr>
            </w:pPr>
          </w:p>
          <w:p w14:paraId="7FD7BD86">
            <w:pPr>
              <w:spacing w:line="276" w:lineRule="auto"/>
              <w:rPr>
                <w:color w:val="auto"/>
              </w:rPr>
            </w:pPr>
          </w:p>
          <w:p w14:paraId="2CC649C6">
            <w:pPr>
              <w:spacing w:before="69" w:line="188" w:lineRule="auto"/>
              <w:ind w:left="285" w:leftChars="0"/>
              <w:rPr>
                <w:rFonts w:ascii="Times New Roman" w:hAnsi="Times New Roman" w:eastAsia="Times New Roman" w:cs="Times New Roman"/>
                <w:color w:val="auto"/>
                <w:spacing w:val="-8"/>
                <w:sz w:val="24"/>
                <w:szCs w:val="24"/>
              </w:rPr>
            </w:pPr>
            <w:r>
              <w:rPr>
                <w:rFonts w:ascii="Times New Roman" w:hAnsi="Times New Roman" w:eastAsia="Times New Roman" w:cs="Times New Roman"/>
                <w:color w:val="auto"/>
                <w:spacing w:val="-8"/>
                <w:sz w:val="24"/>
                <w:szCs w:val="24"/>
              </w:rPr>
              <w:t>10.3</w:t>
            </w:r>
          </w:p>
        </w:tc>
        <w:tc>
          <w:tcPr>
            <w:tcW w:w="1305" w:type="dxa"/>
            <w:vAlign w:val="top"/>
          </w:tcPr>
          <w:p w14:paraId="12DAE250">
            <w:pPr>
              <w:spacing w:line="263" w:lineRule="auto"/>
              <w:rPr>
                <w:color w:val="auto"/>
              </w:rPr>
            </w:pPr>
          </w:p>
          <w:p w14:paraId="7DC03EE0">
            <w:pPr>
              <w:spacing w:line="263" w:lineRule="auto"/>
              <w:rPr>
                <w:color w:val="auto"/>
              </w:rPr>
            </w:pPr>
          </w:p>
          <w:p w14:paraId="0949BC01">
            <w:pPr>
              <w:spacing w:line="263" w:lineRule="auto"/>
              <w:rPr>
                <w:color w:val="auto"/>
              </w:rPr>
            </w:pPr>
          </w:p>
          <w:p w14:paraId="1B759FBB">
            <w:pPr>
              <w:spacing w:line="263" w:lineRule="auto"/>
              <w:rPr>
                <w:color w:val="auto"/>
              </w:rPr>
            </w:pPr>
          </w:p>
          <w:p w14:paraId="4193BC2B">
            <w:pPr>
              <w:pStyle w:val="23"/>
              <w:spacing w:before="78" w:line="219" w:lineRule="auto"/>
              <w:ind w:left="38" w:leftChars="0"/>
              <w:rPr>
                <w:color w:val="auto"/>
                <w:spacing w:val="-3"/>
                <w:sz w:val="24"/>
                <w:szCs w:val="24"/>
              </w:rPr>
            </w:pPr>
            <w:r>
              <w:rPr>
                <w:color w:val="auto"/>
                <w:spacing w:val="-4"/>
                <w:sz w:val="24"/>
                <w:szCs w:val="24"/>
              </w:rPr>
              <w:t>定标前核查</w:t>
            </w:r>
          </w:p>
        </w:tc>
        <w:tc>
          <w:tcPr>
            <w:tcW w:w="7229" w:type="dxa"/>
            <w:vAlign w:val="top"/>
          </w:tcPr>
          <w:p w14:paraId="2B094588">
            <w:pPr>
              <w:pStyle w:val="23"/>
              <w:keepNext w:val="0"/>
              <w:keepLines w:val="0"/>
              <w:pageBreakBefore w:val="0"/>
              <w:widowControl w:val="0"/>
              <w:kinsoku/>
              <w:wordWrap/>
              <w:overflowPunct/>
              <w:topLinePunct w:val="0"/>
              <w:autoSpaceDE w:val="0"/>
              <w:autoSpaceDN w:val="0"/>
              <w:bidi w:val="0"/>
              <w:adjustRightInd w:val="0"/>
              <w:snapToGrid/>
              <w:spacing w:line="440" w:lineRule="exact"/>
              <w:ind w:left="52"/>
              <w:textAlignment w:val="auto"/>
              <w:rPr>
                <w:rFonts w:hint="eastAsia" w:ascii="宋体" w:hAnsi="宋体" w:eastAsia="宋体" w:cs="宋体"/>
                <w:spacing w:val="-1"/>
                <w:sz w:val="24"/>
                <w:szCs w:val="24"/>
                <w:highlight w:val="none"/>
                <w:lang w:val="en-US" w:eastAsia="zh-CN" w:bidi="ar-SA"/>
              </w:rPr>
            </w:pPr>
            <w:r>
              <w:rPr>
                <w:rFonts w:hint="eastAsia" w:ascii="宋体" w:hAnsi="宋体" w:eastAsia="宋体" w:cs="宋体"/>
                <w:spacing w:val="-1"/>
                <w:sz w:val="24"/>
                <w:szCs w:val="24"/>
                <w:highlight w:val="none"/>
                <w:lang w:val="en-US" w:eastAsia="zh-CN" w:bidi="ar-SA"/>
              </w:rPr>
              <w:t>1.招标人定标前，将组织:</w:t>
            </w:r>
          </w:p>
          <w:p w14:paraId="14B8FC0D">
            <w:pPr>
              <w:pStyle w:val="23"/>
              <w:keepNext w:val="0"/>
              <w:keepLines w:val="0"/>
              <w:pageBreakBefore w:val="0"/>
              <w:widowControl w:val="0"/>
              <w:kinsoku/>
              <w:wordWrap/>
              <w:overflowPunct/>
              <w:topLinePunct w:val="0"/>
              <w:autoSpaceDE w:val="0"/>
              <w:autoSpaceDN w:val="0"/>
              <w:bidi w:val="0"/>
              <w:adjustRightInd w:val="0"/>
              <w:snapToGrid/>
              <w:spacing w:line="440" w:lineRule="exact"/>
              <w:ind w:left="22" w:right="55" w:firstLine="23"/>
              <w:textAlignment w:val="auto"/>
              <w:rPr>
                <w:rFonts w:hint="eastAsia" w:ascii="宋体" w:hAnsi="宋体" w:eastAsia="宋体" w:cs="宋体"/>
                <w:spacing w:val="-1"/>
                <w:sz w:val="24"/>
                <w:szCs w:val="24"/>
                <w:highlight w:val="none"/>
                <w:lang w:val="en-US" w:eastAsia="zh-CN" w:bidi="ar-SA"/>
              </w:rPr>
            </w:pPr>
            <w:r>
              <w:rPr>
                <w:rFonts w:hint="eastAsia" w:ascii="宋体" w:hAnsi="宋体" w:eastAsia="宋体" w:cs="宋体"/>
                <w:spacing w:val="-1"/>
                <w:sz w:val="24"/>
                <w:szCs w:val="24"/>
                <w:highlight w:val="none"/>
                <w:lang w:val="en-US" w:eastAsia="zh-CN" w:bidi="ar-SA"/>
              </w:rPr>
              <w:t>（1）核验《安全生产许可证》和有效的安全生产考核合格证书；“浙江省建筑市场监管公共服务系统”上最新资质动态核查结果处于“合格”状态。</w:t>
            </w:r>
          </w:p>
          <w:p w14:paraId="0101DDB2">
            <w:pPr>
              <w:pStyle w:val="23"/>
              <w:keepNext w:val="0"/>
              <w:keepLines w:val="0"/>
              <w:pageBreakBefore w:val="0"/>
              <w:widowControl w:val="0"/>
              <w:kinsoku/>
              <w:wordWrap/>
              <w:overflowPunct/>
              <w:topLinePunct w:val="0"/>
              <w:autoSpaceDE w:val="0"/>
              <w:autoSpaceDN w:val="0"/>
              <w:bidi w:val="0"/>
              <w:adjustRightInd w:val="0"/>
              <w:snapToGrid/>
              <w:spacing w:line="440" w:lineRule="exact"/>
              <w:ind w:left="39" w:right="241" w:firstLine="5"/>
              <w:textAlignment w:val="auto"/>
              <w:rPr>
                <w:rFonts w:hint="eastAsia" w:ascii="宋体" w:hAnsi="宋体" w:eastAsia="宋体" w:cs="宋体"/>
                <w:spacing w:val="-1"/>
                <w:sz w:val="24"/>
                <w:szCs w:val="24"/>
                <w:highlight w:val="none"/>
                <w:lang w:val="en-US" w:eastAsia="zh-CN" w:bidi="ar-SA"/>
              </w:rPr>
            </w:pPr>
            <w:r>
              <w:rPr>
                <w:rFonts w:hint="eastAsia" w:ascii="宋体" w:hAnsi="宋体" w:eastAsia="宋体" w:cs="宋体"/>
                <w:spacing w:val="-1"/>
                <w:sz w:val="24"/>
                <w:szCs w:val="24"/>
                <w:highlight w:val="none"/>
                <w:lang w:val="en-US" w:eastAsia="zh-CN" w:bidi="ar-SA"/>
              </w:rPr>
              <w:t>（2）查询拟中标人及拟派项目负责人等是否符合招标公告“（三）其他”的要求。</w:t>
            </w:r>
          </w:p>
          <w:p w14:paraId="1C1C9BA1">
            <w:pPr>
              <w:pStyle w:val="23"/>
              <w:spacing w:before="28" w:line="227" w:lineRule="auto"/>
              <w:ind w:left="33" w:leftChars="0" w:right="241" w:rightChars="0" w:firstLine="25" w:firstLineChars="0"/>
              <w:rPr>
                <w:color w:val="auto"/>
                <w:spacing w:val="-1"/>
                <w:sz w:val="24"/>
                <w:szCs w:val="24"/>
                <w:lang w:eastAsia="zh-CN"/>
              </w:rPr>
            </w:pPr>
            <w:r>
              <w:rPr>
                <w:rFonts w:hint="eastAsia" w:ascii="宋体" w:hAnsi="宋体" w:eastAsia="宋体" w:cs="宋体"/>
                <w:spacing w:val="-1"/>
                <w:sz w:val="24"/>
                <w:szCs w:val="24"/>
                <w:highlight w:val="none"/>
                <w:lang w:val="en-US" w:eastAsia="zh-CN" w:bidi="ar-SA"/>
              </w:rPr>
              <w:t>□（3）面向中小企业招标的，核验中标候选人的中小企业身份</w:t>
            </w:r>
          </w:p>
        </w:tc>
      </w:tr>
      <w:tr w14:paraId="38FB45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5" w:hRule="atLeast"/>
        </w:trPr>
        <w:tc>
          <w:tcPr>
            <w:tcW w:w="1080" w:type="dxa"/>
            <w:vAlign w:val="top"/>
          </w:tcPr>
          <w:p w14:paraId="4D0FE759">
            <w:pPr>
              <w:spacing w:line="249" w:lineRule="auto"/>
              <w:rPr>
                <w:color w:val="auto"/>
                <w:lang w:eastAsia="zh-CN"/>
              </w:rPr>
            </w:pPr>
          </w:p>
          <w:p w14:paraId="327846F0">
            <w:pPr>
              <w:spacing w:line="249" w:lineRule="auto"/>
              <w:rPr>
                <w:color w:val="auto"/>
                <w:lang w:eastAsia="zh-CN"/>
              </w:rPr>
            </w:pPr>
          </w:p>
          <w:p w14:paraId="3CF6734E">
            <w:pPr>
              <w:spacing w:line="249" w:lineRule="auto"/>
              <w:rPr>
                <w:color w:val="auto"/>
                <w:lang w:eastAsia="zh-CN"/>
              </w:rPr>
            </w:pPr>
          </w:p>
          <w:p w14:paraId="1E78B5A7">
            <w:pPr>
              <w:spacing w:line="249" w:lineRule="auto"/>
              <w:rPr>
                <w:color w:val="auto"/>
                <w:lang w:eastAsia="zh-CN"/>
              </w:rPr>
            </w:pPr>
          </w:p>
          <w:p w14:paraId="3BA98629">
            <w:pPr>
              <w:spacing w:line="249" w:lineRule="auto"/>
              <w:rPr>
                <w:color w:val="auto"/>
                <w:lang w:eastAsia="zh-CN"/>
              </w:rPr>
            </w:pPr>
          </w:p>
          <w:p w14:paraId="08FD4FB9">
            <w:pPr>
              <w:spacing w:line="249" w:lineRule="auto"/>
              <w:rPr>
                <w:color w:val="auto"/>
                <w:lang w:eastAsia="zh-CN"/>
              </w:rPr>
            </w:pPr>
          </w:p>
          <w:p w14:paraId="17E3D672">
            <w:pPr>
              <w:spacing w:line="249" w:lineRule="auto"/>
              <w:rPr>
                <w:color w:val="auto"/>
                <w:lang w:eastAsia="zh-CN"/>
              </w:rPr>
            </w:pPr>
          </w:p>
          <w:p w14:paraId="00DFF750">
            <w:pPr>
              <w:spacing w:line="249" w:lineRule="auto"/>
              <w:rPr>
                <w:color w:val="auto"/>
                <w:lang w:eastAsia="zh-CN"/>
              </w:rPr>
            </w:pPr>
          </w:p>
          <w:p w14:paraId="25A498C3">
            <w:pPr>
              <w:spacing w:line="249" w:lineRule="auto"/>
              <w:rPr>
                <w:color w:val="auto"/>
                <w:lang w:eastAsia="zh-CN"/>
              </w:rPr>
            </w:pPr>
          </w:p>
          <w:p w14:paraId="567B0A3C">
            <w:pPr>
              <w:spacing w:line="249" w:lineRule="auto"/>
              <w:rPr>
                <w:color w:val="auto"/>
                <w:lang w:eastAsia="zh-CN"/>
              </w:rPr>
            </w:pPr>
          </w:p>
          <w:p w14:paraId="78298D27">
            <w:pPr>
              <w:spacing w:line="249" w:lineRule="auto"/>
              <w:rPr>
                <w:color w:val="auto"/>
                <w:lang w:eastAsia="zh-CN"/>
              </w:rPr>
            </w:pPr>
          </w:p>
          <w:p w14:paraId="454BA54C">
            <w:pPr>
              <w:spacing w:line="249" w:lineRule="auto"/>
              <w:rPr>
                <w:color w:val="auto"/>
                <w:lang w:eastAsia="zh-CN"/>
              </w:rPr>
            </w:pPr>
          </w:p>
          <w:p w14:paraId="1955261E">
            <w:pPr>
              <w:spacing w:line="249" w:lineRule="auto"/>
              <w:rPr>
                <w:color w:val="auto"/>
                <w:lang w:eastAsia="zh-CN"/>
              </w:rPr>
            </w:pPr>
          </w:p>
          <w:p w14:paraId="0F80FEB5">
            <w:pPr>
              <w:spacing w:line="250" w:lineRule="auto"/>
              <w:rPr>
                <w:color w:val="auto"/>
                <w:lang w:eastAsia="zh-CN"/>
              </w:rPr>
            </w:pPr>
          </w:p>
          <w:p w14:paraId="7A37E291">
            <w:pPr>
              <w:spacing w:line="250" w:lineRule="auto"/>
              <w:rPr>
                <w:color w:val="auto"/>
                <w:lang w:eastAsia="zh-CN"/>
              </w:rPr>
            </w:pPr>
          </w:p>
          <w:p w14:paraId="7401FAA0">
            <w:pPr>
              <w:spacing w:line="250" w:lineRule="auto"/>
              <w:rPr>
                <w:color w:val="auto"/>
                <w:lang w:eastAsia="zh-CN"/>
              </w:rPr>
            </w:pPr>
          </w:p>
          <w:p w14:paraId="28394F35">
            <w:pPr>
              <w:spacing w:line="250" w:lineRule="auto"/>
              <w:rPr>
                <w:color w:val="auto"/>
                <w:lang w:eastAsia="zh-CN"/>
              </w:rPr>
            </w:pPr>
          </w:p>
          <w:p w14:paraId="0BECB4FE">
            <w:pPr>
              <w:spacing w:line="250" w:lineRule="auto"/>
              <w:rPr>
                <w:color w:val="auto"/>
                <w:lang w:eastAsia="zh-CN"/>
              </w:rPr>
            </w:pPr>
          </w:p>
          <w:p w14:paraId="75B5E25E">
            <w:pPr>
              <w:spacing w:line="250" w:lineRule="auto"/>
              <w:rPr>
                <w:color w:val="auto"/>
                <w:lang w:eastAsia="zh-CN"/>
              </w:rPr>
            </w:pPr>
          </w:p>
          <w:p w14:paraId="2BF281AF">
            <w:pPr>
              <w:spacing w:line="250" w:lineRule="auto"/>
              <w:rPr>
                <w:color w:val="auto"/>
                <w:lang w:eastAsia="zh-CN"/>
              </w:rPr>
            </w:pPr>
          </w:p>
          <w:p w14:paraId="521CA2C1">
            <w:pPr>
              <w:spacing w:line="250" w:lineRule="auto"/>
              <w:rPr>
                <w:color w:val="auto"/>
                <w:lang w:eastAsia="zh-CN"/>
              </w:rPr>
            </w:pPr>
          </w:p>
          <w:p w14:paraId="01814618">
            <w:pPr>
              <w:spacing w:before="69" w:line="188" w:lineRule="auto"/>
              <w:ind w:left="285" w:leftChars="0"/>
              <w:rPr>
                <w:rFonts w:ascii="Times New Roman" w:hAnsi="Times New Roman" w:eastAsia="Times New Roman" w:cs="Times New Roman"/>
                <w:color w:val="auto"/>
                <w:spacing w:val="-8"/>
                <w:sz w:val="24"/>
                <w:szCs w:val="24"/>
              </w:rPr>
            </w:pPr>
            <w:r>
              <w:rPr>
                <w:rFonts w:ascii="Times New Roman" w:hAnsi="Times New Roman" w:eastAsia="Times New Roman" w:cs="Times New Roman"/>
                <w:color w:val="auto"/>
                <w:spacing w:val="-8"/>
                <w:sz w:val="24"/>
                <w:szCs w:val="24"/>
              </w:rPr>
              <w:t>10.4</w:t>
            </w:r>
          </w:p>
        </w:tc>
        <w:tc>
          <w:tcPr>
            <w:tcW w:w="1305" w:type="dxa"/>
            <w:vAlign w:val="top"/>
          </w:tcPr>
          <w:p w14:paraId="5622C01C">
            <w:pPr>
              <w:spacing w:line="251" w:lineRule="auto"/>
              <w:rPr>
                <w:color w:val="auto"/>
                <w:lang w:eastAsia="zh-CN"/>
              </w:rPr>
            </w:pPr>
          </w:p>
          <w:p w14:paraId="615A73C5">
            <w:pPr>
              <w:spacing w:line="251" w:lineRule="auto"/>
              <w:rPr>
                <w:color w:val="auto"/>
                <w:lang w:eastAsia="zh-CN"/>
              </w:rPr>
            </w:pPr>
          </w:p>
          <w:p w14:paraId="7828D725">
            <w:pPr>
              <w:spacing w:line="251" w:lineRule="auto"/>
              <w:rPr>
                <w:color w:val="auto"/>
                <w:lang w:eastAsia="zh-CN"/>
              </w:rPr>
            </w:pPr>
          </w:p>
          <w:p w14:paraId="6A149640">
            <w:pPr>
              <w:spacing w:line="251" w:lineRule="auto"/>
              <w:rPr>
                <w:color w:val="auto"/>
                <w:lang w:eastAsia="zh-CN"/>
              </w:rPr>
            </w:pPr>
          </w:p>
          <w:p w14:paraId="24E07B77">
            <w:pPr>
              <w:spacing w:line="251" w:lineRule="auto"/>
              <w:rPr>
                <w:color w:val="auto"/>
                <w:lang w:eastAsia="zh-CN"/>
              </w:rPr>
            </w:pPr>
          </w:p>
          <w:p w14:paraId="7FE4A3C4">
            <w:pPr>
              <w:spacing w:line="251" w:lineRule="auto"/>
              <w:rPr>
                <w:color w:val="auto"/>
                <w:lang w:eastAsia="zh-CN"/>
              </w:rPr>
            </w:pPr>
          </w:p>
          <w:p w14:paraId="2A78C4D8">
            <w:pPr>
              <w:spacing w:line="251" w:lineRule="auto"/>
              <w:rPr>
                <w:color w:val="auto"/>
                <w:lang w:eastAsia="zh-CN"/>
              </w:rPr>
            </w:pPr>
          </w:p>
          <w:p w14:paraId="4CC66320">
            <w:pPr>
              <w:spacing w:line="252" w:lineRule="auto"/>
              <w:rPr>
                <w:color w:val="auto"/>
                <w:lang w:eastAsia="zh-CN"/>
              </w:rPr>
            </w:pPr>
          </w:p>
          <w:p w14:paraId="6EB40E6B">
            <w:pPr>
              <w:spacing w:line="252" w:lineRule="auto"/>
              <w:rPr>
                <w:color w:val="auto"/>
                <w:lang w:eastAsia="zh-CN"/>
              </w:rPr>
            </w:pPr>
          </w:p>
          <w:p w14:paraId="0427CC95">
            <w:pPr>
              <w:spacing w:line="252" w:lineRule="auto"/>
              <w:rPr>
                <w:color w:val="auto"/>
                <w:lang w:eastAsia="zh-CN"/>
              </w:rPr>
            </w:pPr>
          </w:p>
          <w:p w14:paraId="4F7E888E">
            <w:pPr>
              <w:spacing w:line="252" w:lineRule="auto"/>
              <w:rPr>
                <w:color w:val="auto"/>
                <w:lang w:eastAsia="zh-CN"/>
              </w:rPr>
            </w:pPr>
          </w:p>
          <w:p w14:paraId="35922295">
            <w:pPr>
              <w:spacing w:line="252" w:lineRule="auto"/>
              <w:rPr>
                <w:color w:val="auto"/>
                <w:lang w:eastAsia="zh-CN"/>
              </w:rPr>
            </w:pPr>
          </w:p>
          <w:p w14:paraId="2D25A5D7">
            <w:pPr>
              <w:spacing w:line="252" w:lineRule="auto"/>
              <w:rPr>
                <w:color w:val="auto"/>
                <w:lang w:eastAsia="zh-CN"/>
              </w:rPr>
            </w:pPr>
          </w:p>
          <w:p w14:paraId="2C99D5B0">
            <w:pPr>
              <w:spacing w:line="252" w:lineRule="auto"/>
              <w:rPr>
                <w:color w:val="auto"/>
                <w:lang w:eastAsia="zh-CN"/>
              </w:rPr>
            </w:pPr>
          </w:p>
          <w:p w14:paraId="39DBAB08">
            <w:pPr>
              <w:spacing w:line="252" w:lineRule="auto"/>
              <w:rPr>
                <w:color w:val="auto"/>
                <w:lang w:eastAsia="zh-CN"/>
              </w:rPr>
            </w:pPr>
          </w:p>
          <w:p w14:paraId="374520D4">
            <w:pPr>
              <w:spacing w:line="252" w:lineRule="auto"/>
              <w:rPr>
                <w:color w:val="auto"/>
                <w:lang w:eastAsia="zh-CN"/>
              </w:rPr>
            </w:pPr>
          </w:p>
          <w:p w14:paraId="5DCB4FBB">
            <w:pPr>
              <w:spacing w:line="252" w:lineRule="auto"/>
              <w:rPr>
                <w:color w:val="auto"/>
                <w:lang w:eastAsia="zh-CN"/>
              </w:rPr>
            </w:pPr>
          </w:p>
          <w:p w14:paraId="1087F9B5">
            <w:pPr>
              <w:spacing w:line="252" w:lineRule="auto"/>
              <w:rPr>
                <w:color w:val="auto"/>
                <w:lang w:eastAsia="zh-CN"/>
              </w:rPr>
            </w:pPr>
          </w:p>
          <w:p w14:paraId="417E2766">
            <w:pPr>
              <w:spacing w:line="252" w:lineRule="auto"/>
              <w:rPr>
                <w:color w:val="auto"/>
                <w:lang w:eastAsia="zh-CN"/>
              </w:rPr>
            </w:pPr>
          </w:p>
          <w:p w14:paraId="2F39D17B">
            <w:pPr>
              <w:spacing w:line="252" w:lineRule="auto"/>
              <w:rPr>
                <w:color w:val="auto"/>
                <w:lang w:eastAsia="zh-CN"/>
              </w:rPr>
            </w:pPr>
          </w:p>
          <w:p w14:paraId="6954EB2D">
            <w:pPr>
              <w:pStyle w:val="23"/>
              <w:spacing w:before="78" w:line="229" w:lineRule="auto"/>
              <w:ind w:left="49" w:leftChars="0" w:right="44" w:rightChars="0"/>
              <w:rPr>
                <w:color w:val="auto"/>
                <w:spacing w:val="-3"/>
                <w:sz w:val="24"/>
                <w:szCs w:val="24"/>
              </w:rPr>
            </w:pPr>
            <w:r>
              <w:rPr>
                <w:color w:val="auto"/>
                <w:spacing w:val="-2"/>
                <w:sz w:val="24"/>
                <w:szCs w:val="24"/>
                <w:lang w:eastAsia="zh-CN"/>
              </w:rPr>
              <w:t>在建合同工程的认定及变更证明</w:t>
            </w:r>
          </w:p>
        </w:tc>
        <w:tc>
          <w:tcPr>
            <w:tcW w:w="7229" w:type="dxa"/>
            <w:vAlign w:val="top"/>
          </w:tcPr>
          <w:p w14:paraId="1D9FEE4A">
            <w:pPr>
              <w:pStyle w:val="23"/>
              <w:spacing w:before="48" w:line="219" w:lineRule="auto"/>
              <w:ind w:left="52"/>
              <w:rPr>
                <w:color w:val="auto"/>
                <w:sz w:val="24"/>
                <w:szCs w:val="24"/>
                <w:lang w:eastAsia="zh-CN"/>
              </w:rPr>
            </w:pPr>
            <w:r>
              <w:rPr>
                <w:rFonts w:ascii="Times New Roman" w:hAnsi="Times New Roman" w:eastAsia="Times New Roman" w:cs="Times New Roman"/>
                <w:color w:val="auto"/>
                <w:spacing w:val="-3"/>
                <w:sz w:val="24"/>
                <w:szCs w:val="24"/>
                <w:lang w:eastAsia="zh-CN"/>
              </w:rPr>
              <w:t>1.</w:t>
            </w:r>
            <w:r>
              <w:rPr>
                <w:color w:val="auto"/>
                <w:spacing w:val="-3"/>
                <w:sz w:val="24"/>
                <w:szCs w:val="24"/>
                <w:lang w:eastAsia="zh-CN"/>
              </w:rPr>
              <w:t>对项目负责人“有在建合同工程”的认定标准：</w:t>
            </w:r>
          </w:p>
          <w:p w14:paraId="5E4B2F71">
            <w:pPr>
              <w:pStyle w:val="23"/>
              <w:spacing w:before="27" w:line="231" w:lineRule="auto"/>
              <w:ind w:left="79" w:right="27" w:hanging="34"/>
              <w:rPr>
                <w:color w:val="auto"/>
                <w:sz w:val="24"/>
                <w:szCs w:val="24"/>
                <w:lang w:eastAsia="zh-CN"/>
              </w:rPr>
            </w:pPr>
            <w:r>
              <w:rPr>
                <w:color w:val="auto"/>
                <w:spacing w:val="7"/>
                <w:sz w:val="24"/>
                <w:szCs w:val="24"/>
                <w:lang w:eastAsia="zh-CN"/>
              </w:rPr>
              <w:t>（</w:t>
            </w:r>
            <w:r>
              <w:rPr>
                <w:rFonts w:ascii="Times New Roman" w:hAnsi="Times New Roman" w:eastAsia="Times New Roman" w:cs="Times New Roman"/>
                <w:color w:val="auto"/>
                <w:spacing w:val="7"/>
                <w:sz w:val="24"/>
                <w:szCs w:val="24"/>
                <w:lang w:eastAsia="zh-CN"/>
              </w:rPr>
              <w:t>1</w:t>
            </w:r>
            <w:r>
              <w:rPr>
                <w:color w:val="auto"/>
                <w:spacing w:val="7"/>
                <w:sz w:val="24"/>
                <w:szCs w:val="24"/>
                <w:lang w:eastAsia="zh-CN"/>
              </w:rPr>
              <w:t>）拟派项目负责人以注册建造师身份承接工程建设项</w:t>
            </w:r>
            <w:r>
              <w:rPr>
                <w:color w:val="auto"/>
                <w:spacing w:val="-19"/>
                <w:sz w:val="24"/>
                <w:szCs w:val="24"/>
                <w:lang w:eastAsia="zh-CN"/>
              </w:rPr>
              <w:t>目的。</w:t>
            </w:r>
          </w:p>
          <w:p w14:paraId="7324CE65">
            <w:pPr>
              <w:pStyle w:val="23"/>
              <w:spacing w:before="22" w:line="233" w:lineRule="auto"/>
              <w:ind w:left="32" w:right="27" w:firstLine="13"/>
              <w:rPr>
                <w:color w:val="auto"/>
                <w:sz w:val="24"/>
                <w:szCs w:val="24"/>
                <w:lang w:eastAsia="zh-CN"/>
              </w:rPr>
            </w:pPr>
            <w:r>
              <w:rPr>
                <w:color w:val="auto"/>
                <w:spacing w:val="7"/>
                <w:sz w:val="24"/>
                <w:szCs w:val="24"/>
                <w:lang w:eastAsia="zh-CN"/>
              </w:rPr>
              <w:t>（</w:t>
            </w:r>
            <w:r>
              <w:rPr>
                <w:rFonts w:ascii="Times New Roman" w:hAnsi="Times New Roman" w:eastAsia="Times New Roman" w:cs="Times New Roman"/>
                <w:color w:val="auto"/>
                <w:spacing w:val="7"/>
                <w:sz w:val="24"/>
                <w:szCs w:val="24"/>
                <w:lang w:eastAsia="zh-CN"/>
              </w:rPr>
              <w:t>2</w:t>
            </w:r>
            <w:r>
              <w:rPr>
                <w:color w:val="auto"/>
                <w:spacing w:val="7"/>
                <w:sz w:val="24"/>
                <w:szCs w:val="24"/>
                <w:lang w:eastAsia="zh-CN"/>
              </w:rPr>
              <w:t>）拟派项目负责人在投标截止时间尚有在中华人民共</w:t>
            </w:r>
            <w:r>
              <w:rPr>
                <w:color w:val="auto"/>
                <w:spacing w:val="3"/>
                <w:sz w:val="24"/>
                <w:szCs w:val="24"/>
                <w:lang w:eastAsia="zh-CN"/>
              </w:rPr>
              <w:t>和国境内其他在建合同工程建设项目中担任项目负责人的</w:t>
            </w:r>
            <w:r>
              <w:rPr>
                <w:color w:val="auto"/>
                <w:spacing w:val="-1"/>
                <w:sz w:val="24"/>
                <w:szCs w:val="24"/>
                <w:lang w:eastAsia="zh-CN"/>
              </w:rPr>
              <w:t>情形为</w:t>
            </w:r>
            <w:r>
              <w:rPr>
                <w:rFonts w:ascii="Times New Roman" w:hAnsi="Times New Roman" w:eastAsia="Times New Roman" w:cs="Times New Roman"/>
                <w:color w:val="auto"/>
                <w:spacing w:val="-1"/>
                <w:sz w:val="24"/>
                <w:szCs w:val="24"/>
                <w:lang w:eastAsia="zh-CN"/>
              </w:rPr>
              <w:t>“</w:t>
            </w:r>
            <w:r>
              <w:rPr>
                <w:color w:val="auto"/>
                <w:spacing w:val="-1"/>
                <w:sz w:val="24"/>
                <w:szCs w:val="24"/>
                <w:lang w:eastAsia="zh-CN"/>
              </w:rPr>
              <w:t>有在建合同工程</w:t>
            </w:r>
            <w:r>
              <w:rPr>
                <w:rFonts w:ascii="Times New Roman" w:hAnsi="Times New Roman" w:eastAsia="Times New Roman" w:cs="Times New Roman"/>
                <w:color w:val="auto"/>
                <w:spacing w:val="-1"/>
                <w:sz w:val="24"/>
                <w:szCs w:val="24"/>
                <w:lang w:eastAsia="zh-CN"/>
              </w:rPr>
              <w:t>”</w:t>
            </w:r>
            <w:r>
              <w:rPr>
                <w:color w:val="auto"/>
                <w:spacing w:val="-1"/>
                <w:sz w:val="24"/>
                <w:szCs w:val="24"/>
                <w:lang w:eastAsia="zh-CN"/>
              </w:rPr>
              <w:t>。</w:t>
            </w:r>
          </w:p>
          <w:p w14:paraId="3804ECE2">
            <w:pPr>
              <w:pStyle w:val="23"/>
              <w:spacing w:before="25" w:line="234" w:lineRule="auto"/>
              <w:ind w:left="33" w:right="27" w:firstLine="12"/>
              <w:rPr>
                <w:color w:val="auto"/>
                <w:sz w:val="24"/>
                <w:szCs w:val="24"/>
                <w:lang w:eastAsia="zh-CN"/>
              </w:rPr>
            </w:pPr>
            <w:r>
              <w:rPr>
                <w:color w:val="auto"/>
                <w:spacing w:val="7"/>
                <w:sz w:val="24"/>
                <w:szCs w:val="24"/>
                <w:lang w:eastAsia="zh-CN"/>
              </w:rPr>
              <w:t>（</w:t>
            </w:r>
            <w:r>
              <w:rPr>
                <w:rFonts w:ascii="Times New Roman" w:hAnsi="Times New Roman" w:eastAsia="Times New Roman" w:cs="Times New Roman"/>
                <w:color w:val="auto"/>
                <w:spacing w:val="7"/>
                <w:sz w:val="24"/>
                <w:szCs w:val="24"/>
                <w:lang w:eastAsia="zh-CN"/>
              </w:rPr>
              <w:t>3</w:t>
            </w:r>
            <w:r>
              <w:rPr>
                <w:color w:val="auto"/>
                <w:spacing w:val="7"/>
                <w:sz w:val="24"/>
                <w:szCs w:val="24"/>
                <w:lang w:eastAsia="zh-CN"/>
              </w:rPr>
              <w:t>）在建合同工程的时间界定：在建合同工程的开始时</w:t>
            </w:r>
            <w:r>
              <w:rPr>
                <w:color w:val="auto"/>
                <w:spacing w:val="3"/>
                <w:sz w:val="24"/>
                <w:szCs w:val="24"/>
                <w:lang w:eastAsia="zh-CN"/>
              </w:rPr>
              <w:t>间为合同工程中标通知书发出日期，或者不通过招标方式的则以合同签订日期为开始时间，结束时间为该合同工程</w:t>
            </w:r>
            <w:r>
              <w:rPr>
                <w:color w:val="auto"/>
                <w:spacing w:val="-1"/>
                <w:sz w:val="24"/>
                <w:szCs w:val="24"/>
                <w:lang w:eastAsia="zh-CN"/>
              </w:rPr>
              <w:t>验收合格或合同解除日期）。</w:t>
            </w:r>
          </w:p>
          <w:p w14:paraId="74495770">
            <w:pPr>
              <w:pStyle w:val="23"/>
              <w:spacing w:before="28" w:line="219" w:lineRule="auto"/>
              <w:ind w:left="59"/>
              <w:rPr>
                <w:color w:val="auto"/>
                <w:sz w:val="24"/>
                <w:szCs w:val="24"/>
                <w:lang w:eastAsia="zh-CN"/>
              </w:rPr>
            </w:pPr>
            <w:r>
              <w:rPr>
                <w:color w:val="auto"/>
                <w:spacing w:val="-3"/>
                <w:sz w:val="24"/>
                <w:szCs w:val="24"/>
                <w:lang w:eastAsia="zh-CN"/>
              </w:rPr>
              <w:t>以下情形视为“有在建合同工程”：</w:t>
            </w:r>
          </w:p>
          <w:p w14:paraId="46AAE345">
            <w:pPr>
              <w:pStyle w:val="23"/>
              <w:spacing w:before="27" w:line="232" w:lineRule="auto"/>
              <w:ind w:left="36" w:right="27" w:hanging="3"/>
              <w:rPr>
                <w:color w:val="auto"/>
                <w:sz w:val="24"/>
                <w:szCs w:val="24"/>
                <w:lang w:eastAsia="zh-CN"/>
              </w:rPr>
            </w:pPr>
            <w:r>
              <w:rPr>
                <w:color w:val="auto"/>
                <w:spacing w:val="3"/>
                <w:sz w:val="24"/>
                <w:szCs w:val="24"/>
                <w:lang w:eastAsia="zh-CN"/>
              </w:rPr>
              <w:t>拟派项目负责人在投标截止期前承接的原项目（中标通知书或合同协议书中载明项目负责人的项目）中发生项目负</w:t>
            </w:r>
            <w:r>
              <w:rPr>
                <w:color w:val="auto"/>
                <w:spacing w:val="13"/>
                <w:sz w:val="24"/>
                <w:szCs w:val="24"/>
                <w:lang w:eastAsia="zh-CN"/>
              </w:rPr>
              <w:t>责人变更的，并在投标截止时间前未通过工程竣工验收</w:t>
            </w:r>
            <w:r>
              <w:rPr>
                <w:color w:val="auto"/>
                <w:spacing w:val="-8"/>
                <w:sz w:val="24"/>
                <w:szCs w:val="24"/>
                <w:lang w:eastAsia="zh-CN"/>
              </w:rPr>
              <w:t>的，视为“有在建合同工程”。</w:t>
            </w:r>
            <w:r>
              <w:rPr>
                <w:color w:val="auto"/>
                <w:spacing w:val="-2"/>
                <w:sz w:val="24"/>
                <w:szCs w:val="24"/>
                <w:lang w:eastAsia="zh-CN"/>
              </w:rPr>
              <w:t>发生下列情形之一的除外：</w:t>
            </w:r>
          </w:p>
          <w:p w14:paraId="55F97D22">
            <w:pPr>
              <w:pStyle w:val="23"/>
              <w:spacing w:before="37" w:line="264" w:lineRule="auto"/>
              <w:ind w:left="37" w:right="27" w:firstLine="478"/>
              <w:rPr>
                <w:color w:val="auto"/>
                <w:sz w:val="24"/>
                <w:szCs w:val="24"/>
                <w:lang w:eastAsia="zh-CN"/>
              </w:rPr>
            </w:pPr>
            <w:r>
              <w:rPr>
                <w:color w:val="auto"/>
                <w:spacing w:val="3"/>
                <w:sz w:val="24"/>
                <w:szCs w:val="24"/>
                <w:lang w:eastAsia="zh-CN"/>
              </w:rPr>
              <w:t>a.原承接的项目与本工程属于同一工程相邻分段发包</w:t>
            </w:r>
            <w:r>
              <w:rPr>
                <w:color w:val="auto"/>
                <w:spacing w:val="-2"/>
                <w:sz w:val="24"/>
                <w:szCs w:val="24"/>
                <w:lang w:eastAsia="zh-CN"/>
              </w:rPr>
              <w:t>或分期施工的；</w:t>
            </w:r>
          </w:p>
          <w:p w14:paraId="010BD6A9">
            <w:pPr>
              <w:pStyle w:val="23"/>
              <w:spacing w:before="33" w:line="264" w:lineRule="auto"/>
              <w:ind w:left="45" w:right="27" w:firstLine="464"/>
              <w:rPr>
                <w:color w:val="auto"/>
                <w:sz w:val="24"/>
                <w:szCs w:val="24"/>
                <w:lang w:eastAsia="zh-CN"/>
              </w:rPr>
            </w:pPr>
            <w:r>
              <w:rPr>
                <w:color w:val="auto"/>
                <w:spacing w:val="4"/>
                <w:sz w:val="24"/>
                <w:szCs w:val="24"/>
                <w:lang w:eastAsia="zh-CN"/>
              </w:rPr>
              <w:t>b.因非承包方原因致使工程项目停工超过120天</w:t>
            </w:r>
            <w:r>
              <w:rPr>
                <w:color w:val="auto"/>
                <w:spacing w:val="-3"/>
                <w:sz w:val="24"/>
                <w:szCs w:val="24"/>
                <w:lang w:eastAsia="zh-CN"/>
              </w:rPr>
              <w:t>（含</w:t>
            </w:r>
            <w:r>
              <w:rPr>
                <w:color w:val="auto"/>
                <w:spacing w:val="7"/>
                <w:sz w:val="24"/>
                <w:szCs w:val="24"/>
                <w:lang w:eastAsia="zh-CN"/>
              </w:rPr>
              <w:t>），</w:t>
            </w:r>
            <w:r>
              <w:rPr>
                <w:color w:val="auto"/>
                <w:spacing w:val="-3"/>
                <w:sz w:val="24"/>
                <w:szCs w:val="24"/>
                <w:lang w:eastAsia="zh-CN"/>
              </w:rPr>
              <w:t>经原建设单位同意的；</w:t>
            </w:r>
          </w:p>
          <w:p w14:paraId="4AC853C4">
            <w:pPr>
              <w:pStyle w:val="23"/>
              <w:spacing w:before="34" w:line="263" w:lineRule="auto"/>
              <w:ind w:left="37" w:right="27" w:firstLine="481"/>
              <w:rPr>
                <w:color w:val="auto"/>
                <w:sz w:val="24"/>
                <w:szCs w:val="24"/>
                <w:lang w:eastAsia="zh-CN"/>
              </w:rPr>
            </w:pPr>
            <w:r>
              <w:rPr>
                <w:color w:val="auto"/>
                <w:spacing w:val="3"/>
                <w:sz w:val="24"/>
                <w:szCs w:val="24"/>
                <w:lang w:eastAsia="zh-CN"/>
              </w:rPr>
              <w:t>c.合同约定的工程已完工，承包方向建设单位提交竣</w:t>
            </w:r>
            <w:r>
              <w:rPr>
                <w:color w:val="auto"/>
                <w:spacing w:val="-1"/>
                <w:sz w:val="24"/>
                <w:szCs w:val="24"/>
                <w:lang w:eastAsia="zh-CN"/>
              </w:rPr>
              <w:t>工报告时间已超过120天（含</w:t>
            </w:r>
            <w:r>
              <w:rPr>
                <w:color w:val="auto"/>
                <w:spacing w:val="5"/>
                <w:sz w:val="24"/>
                <w:szCs w:val="24"/>
                <w:lang w:eastAsia="zh-CN"/>
              </w:rPr>
              <w:t>），</w:t>
            </w:r>
            <w:r>
              <w:rPr>
                <w:color w:val="auto"/>
                <w:spacing w:val="-1"/>
                <w:sz w:val="24"/>
                <w:szCs w:val="24"/>
                <w:lang w:eastAsia="zh-CN"/>
              </w:rPr>
              <w:t>经原建设单位同意的。</w:t>
            </w:r>
          </w:p>
          <w:p w14:paraId="05AA11C2">
            <w:pPr>
              <w:pStyle w:val="23"/>
              <w:spacing w:before="35" w:line="268" w:lineRule="auto"/>
              <w:ind w:left="33" w:right="27" w:firstLine="482"/>
              <w:rPr>
                <w:color w:val="auto"/>
                <w:sz w:val="24"/>
                <w:szCs w:val="24"/>
                <w:lang w:eastAsia="zh-CN"/>
              </w:rPr>
            </w:pPr>
            <w:r>
              <w:rPr>
                <w:color w:val="auto"/>
                <w:spacing w:val="8"/>
                <w:sz w:val="24"/>
                <w:szCs w:val="24"/>
                <w:lang w:eastAsia="zh-CN"/>
              </w:rPr>
              <w:t>如发生以上a、b、c情形的，投标人应在投标文件中</w:t>
            </w:r>
            <w:r>
              <w:rPr>
                <w:color w:val="auto"/>
                <w:spacing w:val="3"/>
                <w:sz w:val="24"/>
                <w:szCs w:val="24"/>
                <w:lang w:eastAsia="zh-CN"/>
              </w:rPr>
              <w:t>提交有关书面证明材料（以电子文档形式随资格标上传，</w:t>
            </w:r>
            <w:r>
              <w:rPr>
                <w:color w:val="auto"/>
                <w:spacing w:val="2"/>
                <w:sz w:val="24"/>
                <w:szCs w:val="24"/>
                <w:lang w:eastAsia="zh-CN"/>
              </w:rPr>
              <w:t>招标文件提供证明格式的须按照该格式提交</w:t>
            </w:r>
            <w:r>
              <w:rPr>
                <w:color w:val="auto"/>
                <w:spacing w:val="19"/>
                <w:sz w:val="24"/>
                <w:szCs w:val="24"/>
                <w:lang w:eastAsia="zh-CN"/>
              </w:rPr>
              <w:t>），</w:t>
            </w:r>
            <w:r>
              <w:rPr>
                <w:color w:val="auto"/>
                <w:spacing w:val="2"/>
                <w:sz w:val="24"/>
                <w:szCs w:val="24"/>
                <w:lang w:eastAsia="zh-CN"/>
              </w:rPr>
              <w:t>投标截止</w:t>
            </w:r>
            <w:r>
              <w:rPr>
                <w:color w:val="auto"/>
                <w:spacing w:val="-1"/>
                <w:sz w:val="24"/>
                <w:szCs w:val="24"/>
                <w:lang w:eastAsia="zh-CN"/>
              </w:rPr>
              <w:t>时间后提供的证明材料视为瞒报、漏报，将不予认可。</w:t>
            </w:r>
          </w:p>
          <w:p w14:paraId="386E4908">
            <w:pPr>
              <w:pStyle w:val="23"/>
              <w:spacing w:before="2" w:line="228" w:lineRule="auto"/>
              <w:ind w:left="35" w:right="27"/>
              <w:rPr>
                <w:color w:val="auto"/>
                <w:sz w:val="24"/>
                <w:szCs w:val="24"/>
                <w:lang w:eastAsia="zh-CN"/>
              </w:rPr>
            </w:pPr>
            <w:r>
              <w:rPr>
                <w:color w:val="auto"/>
                <w:spacing w:val="3"/>
                <w:sz w:val="24"/>
                <w:szCs w:val="24"/>
                <w:lang w:eastAsia="zh-CN"/>
              </w:rPr>
              <w:t>若是年度招标项目则以具体项目的承接作为是否已承接该</w:t>
            </w:r>
            <w:r>
              <w:rPr>
                <w:color w:val="auto"/>
                <w:spacing w:val="-2"/>
                <w:sz w:val="24"/>
                <w:szCs w:val="24"/>
                <w:lang w:eastAsia="zh-CN"/>
              </w:rPr>
              <w:t>项目的判断依据。</w:t>
            </w:r>
          </w:p>
          <w:p w14:paraId="030990F1">
            <w:pPr>
              <w:pStyle w:val="23"/>
              <w:spacing w:before="31" w:line="234" w:lineRule="auto"/>
              <w:ind w:left="33" w:leftChars="0" w:right="27" w:rightChars="0" w:firstLine="3" w:firstLineChars="0"/>
              <w:jc w:val="both"/>
              <w:rPr>
                <w:color w:val="auto"/>
                <w:spacing w:val="-1"/>
                <w:sz w:val="24"/>
                <w:szCs w:val="24"/>
                <w:lang w:eastAsia="zh-CN"/>
              </w:rPr>
            </w:pPr>
            <w:r>
              <w:rPr>
                <w:color w:val="auto"/>
                <w:spacing w:val="3"/>
                <w:sz w:val="24"/>
                <w:szCs w:val="24"/>
                <w:lang w:eastAsia="zh-CN"/>
              </w:rPr>
              <w:t>2.在建合同工程和人员信息可参照全国和浙江省建筑市场监管公共服务系统发布的信息。若全国和浙江省建筑市场监管公共服务系统上的工程和人员信息为在建状态但该工程已通过工程竣工验收的：a.已取得《工程竣工验收备案表》的，需提供由该工程备案机关在《工程竣工验收备案表》复印件上盖章确认，随资格标上传；b.未取得《工程竣工验收备案表》的，需按附件格式十五随资格标上传工程竣工验收证明。投标截止时间后提供的证明材料视为瞒</w:t>
            </w:r>
            <w:r>
              <w:rPr>
                <w:color w:val="auto"/>
                <w:spacing w:val="-1"/>
                <w:sz w:val="24"/>
                <w:szCs w:val="24"/>
                <w:lang w:eastAsia="zh-CN"/>
              </w:rPr>
              <w:t>报、漏报，将不予认可。</w:t>
            </w:r>
          </w:p>
        </w:tc>
      </w:tr>
      <w:tr w14:paraId="7A11E2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5" w:hRule="atLeast"/>
        </w:trPr>
        <w:tc>
          <w:tcPr>
            <w:tcW w:w="1080" w:type="dxa"/>
            <w:vAlign w:val="top"/>
          </w:tcPr>
          <w:p w14:paraId="2199C013">
            <w:pPr>
              <w:spacing w:line="251" w:lineRule="auto"/>
              <w:rPr>
                <w:color w:val="auto"/>
                <w:lang w:eastAsia="zh-CN"/>
              </w:rPr>
            </w:pPr>
          </w:p>
          <w:p w14:paraId="720DE5AF">
            <w:pPr>
              <w:spacing w:line="251" w:lineRule="auto"/>
              <w:rPr>
                <w:color w:val="auto"/>
                <w:lang w:eastAsia="zh-CN"/>
              </w:rPr>
            </w:pPr>
          </w:p>
          <w:p w14:paraId="6818F0F5">
            <w:pPr>
              <w:spacing w:line="251" w:lineRule="auto"/>
              <w:rPr>
                <w:color w:val="auto"/>
                <w:lang w:eastAsia="zh-CN"/>
              </w:rPr>
            </w:pPr>
          </w:p>
          <w:p w14:paraId="56A3B787">
            <w:pPr>
              <w:spacing w:line="252" w:lineRule="auto"/>
              <w:rPr>
                <w:color w:val="auto"/>
                <w:lang w:eastAsia="zh-CN"/>
              </w:rPr>
            </w:pPr>
          </w:p>
          <w:p w14:paraId="638CB786">
            <w:pPr>
              <w:spacing w:line="252" w:lineRule="auto"/>
              <w:rPr>
                <w:color w:val="auto"/>
                <w:lang w:eastAsia="zh-CN"/>
              </w:rPr>
            </w:pPr>
          </w:p>
          <w:p w14:paraId="0CB1946F">
            <w:pPr>
              <w:spacing w:before="69" w:line="188" w:lineRule="auto"/>
              <w:ind w:left="285" w:leftChars="0"/>
              <w:rPr>
                <w:rFonts w:ascii="Times New Roman" w:hAnsi="Times New Roman" w:eastAsia="Times New Roman" w:cs="Times New Roman"/>
                <w:color w:val="auto"/>
                <w:spacing w:val="-8"/>
                <w:sz w:val="24"/>
                <w:szCs w:val="24"/>
              </w:rPr>
            </w:pPr>
            <w:r>
              <w:rPr>
                <w:rFonts w:ascii="Times New Roman" w:hAnsi="Times New Roman" w:eastAsia="Times New Roman" w:cs="Times New Roman"/>
                <w:color w:val="auto"/>
                <w:spacing w:val="-8"/>
                <w:sz w:val="24"/>
                <w:szCs w:val="24"/>
              </w:rPr>
              <w:t>10.5</w:t>
            </w:r>
          </w:p>
        </w:tc>
        <w:tc>
          <w:tcPr>
            <w:tcW w:w="1305" w:type="dxa"/>
            <w:vAlign w:val="top"/>
          </w:tcPr>
          <w:p w14:paraId="1453A69F">
            <w:pPr>
              <w:spacing w:line="263" w:lineRule="auto"/>
              <w:rPr>
                <w:color w:val="auto"/>
                <w:lang w:eastAsia="zh-CN"/>
              </w:rPr>
            </w:pPr>
          </w:p>
          <w:p w14:paraId="3111CAFD">
            <w:pPr>
              <w:spacing w:line="263" w:lineRule="auto"/>
              <w:rPr>
                <w:color w:val="auto"/>
                <w:lang w:eastAsia="zh-CN"/>
              </w:rPr>
            </w:pPr>
          </w:p>
          <w:p w14:paraId="68D09097">
            <w:pPr>
              <w:spacing w:line="264" w:lineRule="auto"/>
              <w:rPr>
                <w:color w:val="auto"/>
                <w:lang w:eastAsia="zh-CN"/>
              </w:rPr>
            </w:pPr>
          </w:p>
          <w:p w14:paraId="0C0BE43F">
            <w:pPr>
              <w:spacing w:line="264" w:lineRule="auto"/>
              <w:rPr>
                <w:color w:val="auto"/>
                <w:lang w:eastAsia="zh-CN"/>
              </w:rPr>
            </w:pPr>
          </w:p>
          <w:p w14:paraId="5B249808">
            <w:pPr>
              <w:pStyle w:val="23"/>
              <w:spacing w:before="78" w:line="229" w:lineRule="auto"/>
              <w:ind w:left="48" w:leftChars="0" w:right="44" w:rightChars="0" w:firstLine="120" w:firstLineChars="0"/>
              <w:rPr>
                <w:color w:val="auto"/>
                <w:spacing w:val="-3"/>
                <w:sz w:val="24"/>
                <w:szCs w:val="24"/>
              </w:rPr>
            </w:pPr>
            <w:r>
              <w:rPr>
                <w:color w:val="auto"/>
                <w:spacing w:val="-2"/>
                <w:sz w:val="24"/>
                <w:szCs w:val="24"/>
                <w:lang w:eastAsia="zh-CN"/>
              </w:rPr>
              <w:t>投标文件的澄清、说明、补正</w:t>
            </w:r>
          </w:p>
        </w:tc>
        <w:tc>
          <w:tcPr>
            <w:tcW w:w="7229" w:type="dxa"/>
            <w:vAlign w:val="top"/>
          </w:tcPr>
          <w:p w14:paraId="56ECBA29">
            <w:pPr>
              <w:pStyle w:val="23"/>
              <w:spacing w:before="50" w:line="234" w:lineRule="auto"/>
              <w:ind w:left="33" w:right="27" w:firstLine="19"/>
              <w:jc w:val="both"/>
              <w:rPr>
                <w:color w:val="auto"/>
                <w:sz w:val="24"/>
                <w:szCs w:val="24"/>
                <w:lang w:eastAsia="zh-CN"/>
              </w:rPr>
            </w:pPr>
            <w:r>
              <w:rPr>
                <w:rFonts w:ascii="Times New Roman" w:hAnsi="Times New Roman" w:eastAsia="Times New Roman" w:cs="Times New Roman"/>
                <w:color w:val="auto"/>
                <w:spacing w:val="1"/>
                <w:sz w:val="24"/>
                <w:szCs w:val="24"/>
                <w:lang w:eastAsia="zh-CN"/>
              </w:rPr>
              <w:t>1.</w:t>
            </w:r>
            <w:r>
              <w:rPr>
                <w:color w:val="auto"/>
                <w:spacing w:val="1"/>
                <w:sz w:val="24"/>
                <w:szCs w:val="24"/>
                <w:lang w:eastAsia="zh-CN"/>
              </w:rPr>
              <w:t>澄清回复时间不得超过在发出通知后</w:t>
            </w:r>
            <w:r>
              <w:rPr>
                <w:rFonts w:hint="eastAsia"/>
                <w:color w:val="auto"/>
                <w:spacing w:val="1"/>
                <w:sz w:val="24"/>
                <w:szCs w:val="24"/>
                <w:u w:val="single"/>
                <w:lang w:val="en-US" w:eastAsia="zh-CN"/>
              </w:rPr>
              <w:t>30</w:t>
            </w:r>
            <w:r>
              <w:rPr>
                <w:color w:val="auto"/>
                <w:spacing w:val="1"/>
                <w:sz w:val="24"/>
                <w:szCs w:val="24"/>
                <w:lang w:eastAsia="zh-CN"/>
              </w:rPr>
              <w:t>分钟，投标人逾</w:t>
            </w:r>
            <w:r>
              <w:rPr>
                <w:color w:val="auto"/>
                <w:spacing w:val="3"/>
                <w:sz w:val="24"/>
                <w:szCs w:val="24"/>
                <w:lang w:eastAsia="zh-CN"/>
              </w:rPr>
              <w:t>期或未按要求澄清回复的，将视为不予回复或确认，评标委员会有权否决其投标。投标人通讯不畅通，导致不能及</w:t>
            </w:r>
            <w:r>
              <w:rPr>
                <w:color w:val="auto"/>
                <w:spacing w:val="-1"/>
                <w:sz w:val="24"/>
                <w:szCs w:val="24"/>
                <w:lang w:eastAsia="zh-CN"/>
              </w:rPr>
              <w:t>时联系的，视作为投标人不予回复或确认。</w:t>
            </w:r>
          </w:p>
          <w:p w14:paraId="740E7E98">
            <w:pPr>
              <w:pStyle w:val="23"/>
              <w:spacing w:before="25" w:line="233" w:lineRule="auto"/>
              <w:ind w:left="32" w:right="27" w:hanging="3"/>
              <w:jc w:val="both"/>
              <w:rPr>
                <w:color w:val="auto"/>
                <w:sz w:val="24"/>
                <w:szCs w:val="24"/>
                <w:lang w:eastAsia="zh-CN"/>
              </w:rPr>
            </w:pPr>
            <w:r>
              <w:rPr>
                <w:rFonts w:ascii="Times New Roman" w:hAnsi="Times New Roman" w:eastAsia="Times New Roman" w:cs="Times New Roman"/>
                <w:color w:val="auto"/>
                <w:spacing w:val="14"/>
                <w:sz w:val="24"/>
                <w:szCs w:val="24"/>
                <w:lang w:eastAsia="zh-CN"/>
              </w:rPr>
              <w:t>2.</w:t>
            </w:r>
            <w:r>
              <w:rPr>
                <w:color w:val="auto"/>
                <w:spacing w:val="14"/>
                <w:sz w:val="24"/>
                <w:szCs w:val="24"/>
                <w:lang w:eastAsia="zh-CN"/>
              </w:rPr>
              <w:t>评标委员会对投标人提交的澄清、说明或补正有疑问</w:t>
            </w:r>
            <w:r>
              <w:rPr>
                <w:color w:val="auto"/>
                <w:spacing w:val="3"/>
                <w:sz w:val="24"/>
                <w:szCs w:val="24"/>
                <w:lang w:eastAsia="zh-CN"/>
              </w:rPr>
              <w:t>的，可以要求投标人进一步澄清、说明或补正，直至满足</w:t>
            </w:r>
            <w:r>
              <w:rPr>
                <w:color w:val="auto"/>
                <w:spacing w:val="-1"/>
                <w:sz w:val="24"/>
                <w:szCs w:val="24"/>
                <w:lang w:eastAsia="zh-CN"/>
              </w:rPr>
              <w:t>评标委员会的要求。</w:t>
            </w:r>
          </w:p>
          <w:p w14:paraId="64654F74">
            <w:pPr>
              <w:pStyle w:val="23"/>
              <w:spacing w:before="25" w:line="227" w:lineRule="auto"/>
              <w:ind w:left="39" w:leftChars="0" w:right="30" w:rightChars="0" w:hanging="5" w:firstLineChars="0"/>
              <w:rPr>
                <w:color w:val="auto"/>
                <w:spacing w:val="-1"/>
                <w:sz w:val="24"/>
                <w:szCs w:val="24"/>
                <w:lang w:eastAsia="zh-CN"/>
              </w:rPr>
            </w:pPr>
            <w:r>
              <w:rPr>
                <w:rFonts w:ascii="Times New Roman" w:hAnsi="Times New Roman" w:eastAsia="Times New Roman" w:cs="Times New Roman"/>
                <w:color w:val="auto"/>
                <w:spacing w:val="5"/>
                <w:sz w:val="24"/>
                <w:szCs w:val="24"/>
                <w:lang w:eastAsia="zh-CN"/>
              </w:rPr>
              <w:t>3.</w:t>
            </w:r>
            <w:r>
              <w:rPr>
                <w:color w:val="auto"/>
                <w:spacing w:val="5"/>
                <w:sz w:val="24"/>
                <w:szCs w:val="24"/>
                <w:lang w:eastAsia="zh-CN"/>
              </w:rPr>
              <w:t>投标人拒不按照要求对投标文件进行澄清、说明或者补</w:t>
            </w:r>
            <w:r>
              <w:rPr>
                <w:color w:val="auto"/>
                <w:spacing w:val="-1"/>
                <w:sz w:val="24"/>
                <w:szCs w:val="24"/>
                <w:lang w:eastAsia="zh-CN"/>
              </w:rPr>
              <w:t>正的，评标委员会可以否决其投标。</w:t>
            </w:r>
          </w:p>
        </w:tc>
      </w:tr>
      <w:tr w14:paraId="12B7A7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5" w:hRule="atLeast"/>
        </w:trPr>
        <w:tc>
          <w:tcPr>
            <w:tcW w:w="1080" w:type="dxa"/>
            <w:vAlign w:val="center"/>
          </w:tcPr>
          <w:p w14:paraId="1E795091">
            <w:pPr>
              <w:pStyle w:val="27"/>
              <w:keepNext w:val="0"/>
              <w:keepLines w:val="0"/>
              <w:pageBreakBefore w:val="0"/>
              <w:wordWrap/>
              <w:overflowPunct/>
              <w:bidi w:val="0"/>
              <w:snapToGrid w:val="0"/>
              <w:spacing w:line="320" w:lineRule="exact"/>
              <w:jc w:val="center"/>
              <w:rPr>
                <w:rFonts w:ascii="Times New Roman" w:hAnsi="Times New Roman" w:eastAsia="Times New Roman" w:cs="Times New Roman"/>
                <w:color w:val="auto"/>
                <w:spacing w:val="-8"/>
                <w:sz w:val="24"/>
                <w:szCs w:val="24"/>
              </w:rPr>
            </w:pPr>
            <w:r>
              <w:rPr>
                <w:rFonts w:ascii="Times New Roman" w:hAnsi="Times New Roman"/>
                <w:color w:val="auto"/>
                <w:sz w:val="24"/>
                <w:szCs w:val="24"/>
              </w:rPr>
              <w:t>10.</w:t>
            </w:r>
            <w:r>
              <w:rPr>
                <w:rFonts w:hint="eastAsia" w:ascii="Times New Roman" w:hAnsi="Times New Roman"/>
                <w:color w:val="auto"/>
                <w:sz w:val="24"/>
                <w:szCs w:val="24"/>
                <w:lang w:val="en-US" w:eastAsia="zh-CN"/>
              </w:rPr>
              <w:t>6</w:t>
            </w:r>
          </w:p>
        </w:tc>
        <w:tc>
          <w:tcPr>
            <w:tcW w:w="1305" w:type="dxa"/>
            <w:vAlign w:val="center"/>
          </w:tcPr>
          <w:p w14:paraId="159ED7E0">
            <w:pPr>
              <w:pStyle w:val="27"/>
              <w:keepNext w:val="0"/>
              <w:keepLines w:val="0"/>
              <w:pageBreakBefore w:val="0"/>
              <w:wordWrap/>
              <w:overflowPunct/>
              <w:bidi w:val="0"/>
              <w:snapToGrid w:val="0"/>
              <w:spacing w:line="320" w:lineRule="exact"/>
              <w:jc w:val="center"/>
              <w:rPr>
                <w:color w:val="auto"/>
                <w:spacing w:val="-3"/>
                <w:sz w:val="24"/>
                <w:szCs w:val="24"/>
              </w:rPr>
            </w:pPr>
            <w:r>
              <w:rPr>
                <w:rFonts w:ascii="Times New Roman" w:hAnsi="宋体"/>
                <w:color w:val="auto"/>
                <w:sz w:val="24"/>
                <w:szCs w:val="24"/>
              </w:rPr>
              <w:t>特别说明</w:t>
            </w:r>
          </w:p>
        </w:tc>
        <w:tc>
          <w:tcPr>
            <w:tcW w:w="7229" w:type="dxa"/>
            <w:vAlign w:val="center"/>
          </w:tcPr>
          <w:p w14:paraId="39118F4F">
            <w:pPr>
              <w:keepNext w:val="0"/>
              <w:keepLines w:val="0"/>
              <w:pageBreakBefore w:val="0"/>
              <w:tabs>
                <w:tab w:val="left" w:pos="9360"/>
              </w:tabs>
              <w:wordWrap/>
              <w:overflowPunct/>
              <w:bidi w:val="0"/>
              <w:snapToGrid w:val="0"/>
              <w:spacing w:line="320" w:lineRule="exact"/>
              <w:jc w:val="both"/>
              <w:rPr>
                <w:rFonts w:ascii="Times New Roman" w:hAnsi="宋体"/>
                <w:iCs/>
                <w:color w:val="auto"/>
                <w:sz w:val="24"/>
                <w:szCs w:val="24"/>
              </w:rPr>
            </w:pPr>
            <w:r>
              <w:rPr>
                <w:rFonts w:ascii="Times New Roman" w:hAnsi="Times New Roman"/>
                <w:iCs/>
                <w:color w:val="auto"/>
                <w:sz w:val="24"/>
                <w:szCs w:val="24"/>
              </w:rPr>
              <w:t>1.</w:t>
            </w:r>
            <w:r>
              <w:rPr>
                <w:rFonts w:ascii="Times New Roman" w:hAnsi="宋体"/>
                <w:iCs/>
                <w:color w:val="auto"/>
                <w:sz w:val="24"/>
                <w:szCs w:val="24"/>
              </w:rPr>
              <w:t>本前附表是投标人须知正文内容的补充和细化，应当与正文内容一致。如本前附表与正文内容表述不一，以本前附表为准。</w:t>
            </w:r>
          </w:p>
          <w:p w14:paraId="3C2D6F85">
            <w:pPr>
              <w:pStyle w:val="16"/>
              <w:keepNext w:val="0"/>
              <w:keepLines w:val="0"/>
              <w:pageBreakBefore w:val="0"/>
              <w:wordWrap/>
              <w:overflowPunct/>
              <w:bidi w:val="0"/>
              <w:spacing w:line="320" w:lineRule="exact"/>
              <w:rPr>
                <w:color w:val="auto"/>
                <w:sz w:val="24"/>
                <w:szCs w:val="24"/>
              </w:rPr>
            </w:pPr>
            <w:r>
              <w:rPr>
                <w:rFonts w:ascii="Times New Roman" w:hAnsi="Times New Roman" w:eastAsia="宋体"/>
                <w:iCs/>
                <w:color w:val="auto"/>
                <w:sz w:val="24"/>
                <w:szCs w:val="24"/>
              </w:rPr>
              <w:t>2.</w:t>
            </w:r>
            <w:r>
              <w:rPr>
                <w:rFonts w:hint="eastAsia" w:ascii="Calibri" w:hAnsi="Calibri" w:eastAsia="宋体"/>
                <w:color w:val="auto"/>
                <w:sz w:val="24"/>
                <w:szCs w:val="24"/>
              </w:rPr>
              <w:t>当word招标文件与电子招标文件不一致时，以word招标文件为准。</w:t>
            </w:r>
          </w:p>
          <w:p w14:paraId="0E079BB3">
            <w:pPr>
              <w:keepNext w:val="0"/>
              <w:keepLines w:val="0"/>
              <w:pageBreakBefore w:val="0"/>
              <w:wordWrap/>
              <w:overflowPunct/>
              <w:bidi w:val="0"/>
              <w:snapToGrid w:val="0"/>
              <w:spacing w:line="320" w:lineRule="exact"/>
              <w:jc w:val="both"/>
              <w:rPr>
                <w:rFonts w:ascii="Times New Roman" w:hAnsi="Times New Roman"/>
                <w:color w:val="auto"/>
                <w:sz w:val="24"/>
                <w:szCs w:val="24"/>
              </w:rPr>
            </w:pPr>
            <w:r>
              <w:rPr>
                <w:rFonts w:hint="eastAsia"/>
                <w:color w:val="auto"/>
                <w:sz w:val="24"/>
                <w:szCs w:val="24"/>
              </w:rPr>
              <w:t>3.商务标编制：</w:t>
            </w:r>
            <w:r>
              <w:rPr>
                <w:rFonts w:ascii="Times New Roman" w:hAnsi="宋体"/>
                <w:color w:val="auto"/>
                <w:sz w:val="24"/>
                <w:szCs w:val="24"/>
              </w:rPr>
              <w:t>根据住房和城乡建设部、省建设主管部门对造价从业人员执业管理的相关法律法规规定以及《建设工程工程量清单计价规范》（</w:t>
            </w:r>
            <w:r>
              <w:rPr>
                <w:rFonts w:ascii="Times New Roman" w:hAnsi="Times New Roman"/>
                <w:color w:val="auto"/>
                <w:sz w:val="24"/>
                <w:szCs w:val="24"/>
              </w:rPr>
              <w:t>GB50500-2013</w:t>
            </w:r>
            <w:r>
              <w:rPr>
                <w:rFonts w:ascii="Times New Roman" w:hAnsi="宋体"/>
                <w:color w:val="auto"/>
                <w:sz w:val="24"/>
                <w:szCs w:val="24"/>
              </w:rPr>
              <w:t>）的规定，投标报价的编制必须遵守以下规定：</w:t>
            </w:r>
          </w:p>
          <w:p w14:paraId="01752EB8">
            <w:pPr>
              <w:keepNext w:val="0"/>
              <w:keepLines w:val="0"/>
              <w:pageBreakBefore w:val="0"/>
              <w:wordWrap/>
              <w:overflowPunct/>
              <w:bidi w:val="0"/>
              <w:snapToGrid w:val="0"/>
              <w:spacing w:line="320" w:lineRule="exact"/>
              <w:jc w:val="both"/>
              <w:rPr>
                <w:rFonts w:ascii="Times New Roman" w:hAnsi="Times New Roman"/>
                <w:color w:val="auto"/>
                <w:sz w:val="24"/>
                <w:szCs w:val="24"/>
              </w:rPr>
            </w:pPr>
            <w:r>
              <w:rPr>
                <w:rFonts w:hint="eastAsia" w:ascii="Times New Roman" w:hAnsi="Times New Roman"/>
                <w:color w:val="auto"/>
                <w:sz w:val="24"/>
                <w:szCs w:val="24"/>
              </w:rPr>
              <w:t>（1）</w:t>
            </w:r>
            <w:r>
              <w:rPr>
                <w:rFonts w:ascii="Times New Roman" w:hAnsi="宋体"/>
                <w:color w:val="auto"/>
                <w:sz w:val="24"/>
                <w:szCs w:val="24"/>
              </w:rPr>
              <w:t>投标报价应由投标人或受其委托具有相应能力的工程造价咨询人编制。</w:t>
            </w:r>
          </w:p>
          <w:p w14:paraId="684523FA">
            <w:pPr>
              <w:pStyle w:val="16"/>
              <w:keepNext w:val="0"/>
              <w:keepLines w:val="0"/>
              <w:pageBreakBefore w:val="0"/>
              <w:wordWrap/>
              <w:overflowPunct/>
              <w:bidi w:val="0"/>
              <w:spacing w:after="0" w:line="320" w:lineRule="exact"/>
              <w:rPr>
                <w:rFonts w:ascii="Times New Roman" w:hAnsi="宋体" w:eastAsia="宋体"/>
                <w:color w:val="auto"/>
                <w:sz w:val="24"/>
                <w:szCs w:val="24"/>
              </w:rPr>
            </w:pPr>
            <w:r>
              <w:rPr>
                <w:rFonts w:ascii="Times New Roman" w:hAnsi="宋体" w:eastAsia="宋体"/>
                <w:color w:val="auto"/>
                <w:sz w:val="24"/>
                <w:szCs w:val="24"/>
              </w:rPr>
              <w:t>（</w:t>
            </w:r>
            <w:r>
              <w:rPr>
                <w:rFonts w:hint="eastAsia" w:ascii="Times New Roman" w:hAnsi="宋体" w:eastAsia="宋体"/>
                <w:color w:val="auto"/>
                <w:sz w:val="24"/>
                <w:szCs w:val="24"/>
              </w:rPr>
              <w:t>2</w:t>
            </w:r>
            <w:r>
              <w:rPr>
                <w:rFonts w:ascii="Times New Roman" w:hAnsi="宋体" w:eastAsia="宋体"/>
                <w:color w:val="auto"/>
                <w:sz w:val="24"/>
                <w:szCs w:val="24"/>
              </w:rPr>
              <w:t>）投标文件的编制人不得接受同一工程招标人委托编制招标文件（含招标控制价），并不得接受其他投标人委托编制投标文件</w:t>
            </w:r>
          </w:p>
          <w:p w14:paraId="138CEF0A">
            <w:pPr>
              <w:keepNext w:val="0"/>
              <w:keepLines w:val="0"/>
              <w:pageBreakBefore w:val="0"/>
              <w:wordWrap/>
              <w:overflowPunct/>
              <w:bidi w:val="0"/>
              <w:spacing w:line="320" w:lineRule="exact"/>
              <w:rPr>
                <w:rFonts w:hint="eastAsia" w:ascii="Times New Roman" w:hAnsi="宋体"/>
                <w:color w:val="auto"/>
                <w:sz w:val="24"/>
                <w:szCs w:val="24"/>
              </w:rPr>
            </w:pPr>
            <w:r>
              <w:rPr>
                <w:rFonts w:ascii="宋体" w:hAnsi="宋体"/>
                <w:color w:val="auto"/>
                <w:sz w:val="24"/>
                <w:szCs w:val="24"/>
              </w:rPr>
              <w:t>□</w:t>
            </w:r>
            <w:r>
              <w:rPr>
                <w:rFonts w:hint="eastAsia" w:ascii="Times New Roman" w:hAnsi="宋体"/>
                <w:color w:val="auto"/>
                <w:sz w:val="24"/>
                <w:szCs w:val="24"/>
              </w:rPr>
              <w:t>3.暂估价：</w:t>
            </w:r>
          </w:p>
          <w:p w14:paraId="2BF69ADD">
            <w:pPr>
              <w:keepNext w:val="0"/>
              <w:keepLines w:val="0"/>
              <w:pageBreakBefore w:val="0"/>
              <w:tabs>
                <w:tab w:val="left" w:pos="9360"/>
              </w:tabs>
              <w:wordWrap/>
              <w:overflowPunct/>
              <w:bidi w:val="0"/>
              <w:spacing w:line="320" w:lineRule="exact"/>
              <w:rPr>
                <w:rFonts w:ascii="Times New Roman" w:hAnsi="宋体"/>
                <w:iCs/>
                <w:color w:val="auto"/>
                <w:sz w:val="24"/>
                <w:szCs w:val="24"/>
              </w:rPr>
            </w:pPr>
            <w:r>
              <w:rPr>
                <w:rFonts w:ascii="Times New Roman" w:hAnsi="宋体"/>
                <w:iCs/>
                <w:color w:val="auto"/>
                <w:sz w:val="24"/>
                <w:szCs w:val="24"/>
              </w:rPr>
              <w:t>（1） 内容</w:t>
            </w:r>
            <w:r>
              <w:rPr>
                <w:rFonts w:hint="eastAsia" w:ascii="Times New Roman" w:hAnsi="宋体"/>
                <w:iCs/>
                <w:color w:val="auto"/>
                <w:sz w:val="24"/>
                <w:szCs w:val="24"/>
              </w:rPr>
              <w:t>：</w:t>
            </w:r>
            <w:r>
              <w:rPr>
                <w:rFonts w:hint="eastAsia" w:ascii="Times New Roman" w:hAnsi="宋体"/>
                <w:iCs/>
                <w:color w:val="auto"/>
                <w:sz w:val="24"/>
                <w:szCs w:val="24"/>
                <w:u w:val="single"/>
              </w:rPr>
              <w:t xml:space="preserve">                                            </w:t>
            </w:r>
            <w:r>
              <w:rPr>
                <w:rFonts w:hint="eastAsia" w:ascii="Times New Roman" w:hAnsi="宋体"/>
                <w:iCs/>
                <w:color w:val="auto"/>
                <w:sz w:val="24"/>
                <w:szCs w:val="24"/>
              </w:rPr>
              <w:t>；</w:t>
            </w:r>
            <w:r>
              <w:rPr>
                <w:rFonts w:ascii="Times New Roman" w:hAnsi="宋体"/>
                <w:iCs/>
                <w:color w:val="auto"/>
                <w:sz w:val="24"/>
                <w:szCs w:val="24"/>
              </w:rPr>
              <w:t xml:space="preserve">  </w:t>
            </w:r>
          </w:p>
          <w:p w14:paraId="1546B111">
            <w:pPr>
              <w:keepNext w:val="0"/>
              <w:keepLines w:val="0"/>
              <w:pageBreakBefore w:val="0"/>
              <w:numPr>
                <w:ilvl w:val="0"/>
                <w:numId w:val="9"/>
              </w:numPr>
              <w:wordWrap/>
              <w:overflowPunct/>
              <w:bidi w:val="0"/>
              <w:spacing w:line="320" w:lineRule="exact"/>
              <w:rPr>
                <w:rFonts w:ascii="Times New Roman" w:hAnsi="宋体"/>
                <w:iCs/>
                <w:color w:val="auto"/>
                <w:sz w:val="24"/>
                <w:szCs w:val="24"/>
              </w:rPr>
            </w:pPr>
            <w:r>
              <w:rPr>
                <w:rFonts w:hint="eastAsia" w:ascii="Times New Roman" w:hAnsi="宋体"/>
                <w:iCs/>
                <w:color w:val="auto"/>
                <w:sz w:val="24"/>
                <w:szCs w:val="24"/>
              </w:rPr>
              <w:t>金额：</w:t>
            </w:r>
            <w:r>
              <w:rPr>
                <w:rFonts w:hint="eastAsia" w:ascii="Times New Roman" w:hAnsi="宋体"/>
                <w:iCs/>
                <w:color w:val="auto"/>
                <w:sz w:val="24"/>
                <w:szCs w:val="24"/>
                <w:u w:val="single"/>
              </w:rPr>
              <w:t xml:space="preserve">                                             </w:t>
            </w:r>
            <w:r>
              <w:rPr>
                <w:rFonts w:hint="eastAsia" w:ascii="Times New Roman" w:hAnsi="宋体"/>
                <w:iCs/>
                <w:color w:val="auto"/>
                <w:sz w:val="24"/>
                <w:szCs w:val="24"/>
              </w:rPr>
              <w:t>；</w:t>
            </w:r>
            <w:r>
              <w:rPr>
                <w:rFonts w:ascii="Times New Roman" w:hAnsi="宋体"/>
                <w:iCs/>
                <w:color w:val="auto"/>
                <w:sz w:val="24"/>
                <w:szCs w:val="24"/>
              </w:rPr>
              <w:t xml:space="preserve">  </w:t>
            </w:r>
          </w:p>
          <w:p w14:paraId="370C5320">
            <w:pPr>
              <w:keepNext w:val="0"/>
              <w:keepLines w:val="0"/>
              <w:pageBreakBefore w:val="0"/>
              <w:numPr>
                <w:ilvl w:val="0"/>
                <w:numId w:val="9"/>
              </w:numPr>
              <w:wordWrap/>
              <w:overflowPunct/>
              <w:bidi w:val="0"/>
              <w:spacing w:line="320" w:lineRule="exact"/>
              <w:rPr>
                <w:rFonts w:ascii="Times New Roman" w:hAnsi="宋体"/>
                <w:iCs/>
                <w:color w:val="auto"/>
                <w:sz w:val="24"/>
                <w:szCs w:val="24"/>
              </w:rPr>
            </w:pPr>
            <w:r>
              <w:rPr>
                <w:rFonts w:hint="eastAsia" w:ascii="Times New Roman" w:hAnsi="宋体"/>
                <w:iCs/>
                <w:color w:val="auto"/>
                <w:sz w:val="24"/>
                <w:szCs w:val="24"/>
              </w:rPr>
              <w:t>占招标控制价比例：</w:t>
            </w:r>
            <w:r>
              <w:rPr>
                <w:rFonts w:hint="eastAsia" w:ascii="Times New Roman" w:hAnsi="宋体"/>
                <w:iCs/>
                <w:color w:val="auto"/>
                <w:sz w:val="24"/>
                <w:szCs w:val="24"/>
                <w:u w:val="single"/>
              </w:rPr>
              <w:t xml:space="preserve">                     </w:t>
            </w:r>
            <w:r>
              <w:rPr>
                <w:rFonts w:hint="eastAsia" w:ascii="Times New Roman" w:hAnsi="宋体"/>
                <w:iCs/>
                <w:color w:val="auto"/>
                <w:sz w:val="24"/>
                <w:szCs w:val="24"/>
              </w:rPr>
              <w:t>；</w:t>
            </w:r>
          </w:p>
          <w:p w14:paraId="16E4C1FF">
            <w:pPr>
              <w:keepNext w:val="0"/>
              <w:keepLines w:val="0"/>
              <w:pageBreakBefore w:val="0"/>
              <w:wordWrap/>
              <w:overflowPunct/>
              <w:bidi w:val="0"/>
              <w:spacing w:line="320" w:lineRule="exact"/>
              <w:rPr>
                <w:color w:val="auto"/>
                <w:sz w:val="24"/>
                <w:szCs w:val="24"/>
              </w:rPr>
            </w:pPr>
            <w:r>
              <w:rPr>
                <w:rFonts w:ascii="宋体" w:hAnsi="宋体"/>
                <w:color w:val="auto"/>
                <w:sz w:val="24"/>
                <w:szCs w:val="24"/>
              </w:rPr>
              <w:t>□</w:t>
            </w:r>
            <w:r>
              <w:rPr>
                <w:rFonts w:ascii="Times New Roman" w:hAnsi="宋体"/>
                <w:iCs/>
                <w:color w:val="auto"/>
                <w:sz w:val="24"/>
                <w:szCs w:val="24"/>
              </w:rPr>
              <w:t>（</w:t>
            </w:r>
            <w:r>
              <w:rPr>
                <w:rFonts w:hint="eastAsia" w:ascii="Times New Roman" w:hAnsi="宋体"/>
                <w:iCs/>
                <w:color w:val="auto"/>
                <w:sz w:val="24"/>
                <w:szCs w:val="24"/>
              </w:rPr>
              <w:t>4</w:t>
            </w:r>
            <w:r>
              <w:rPr>
                <w:rFonts w:ascii="Times New Roman" w:hAnsi="宋体"/>
                <w:iCs/>
                <w:color w:val="auto"/>
                <w:sz w:val="24"/>
                <w:szCs w:val="24"/>
              </w:rPr>
              <w:t>）</w:t>
            </w:r>
            <w:r>
              <w:rPr>
                <w:rFonts w:hint="eastAsia" w:ascii="Times New Roman" w:hAnsi="宋体"/>
                <w:iCs/>
                <w:color w:val="auto"/>
                <w:sz w:val="24"/>
                <w:szCs w:val="24"/>
              </w:rPr>
              <w:t>招标计划及内容：</w:t>
            </w:r>
            <w:r>
              <w:rPr>
                <w:rFonts w:hint="eastAsia" w:ascii="Times New Roman" w:hAnsi="宋体"/>
                <w:iCs/>
                <w:color w:val="auto"/>
                <w:sz w:val="24"/>
                <w:szCs w:val="24"/>
                <w:u w:val="single"/>
              </w:rPr>
              <w:t xml:space="preserve">                     </w:t>
            </w:r>
            <w:r>
              <w:rPr>
                <w:rFonts w:hint="eastAsia" w:ascii="Times New Roman" w:hAnsi="宋体"/>
                <w:iCs/>
                <w:color w:val="auto"/>
                <w:sz w:val="24"/>
                <w:szCs w:val="24"/>
              </w:rPr>
              <w:t>。</w:t>
            </w:r>
            <w:r>
              <w:rPr>
                <w:rFonts w:ascii="Times New Roman" w:hAnsi="宋体"/>
                <w:iCs/>
                <w:color w:val="auto"/>
                <w:sz w:val="24"/>
                <w:szCs w:val="24"/>
              </w:rPr>
              <w:t xml:space="preserve">  </w:t>
            </w:r>
          </w:p>
          <w:p w14:paraId="1D492B0F">
            <w:pPr>
              <w:keepNext w:val="0"/>
              <w:keepLines w:val="0"/>
              <w:pageBreakBefore w:val="0"/>
              <w:tabs>
                <w:tab w:val="left" w:pos="9360"/>
              </w:tabs>
              <w:wordWrap/>
              <w:overflowPunct/>
              <w:bidi w:val="0"/>
              <w:spacing w:line="320" w:lineRule="exact"/>
              <w:rPr>
                <w:rFonts w:ascii="Times New Roman" w:hAnsi="Times New Roman"/>
                <w:iCs/>
                <w:color w:val="auto"/>
                <w:sz w:val="24"/>
                <w:szCs w:val="24"/>
              </w:rPr>
            </w:pPr>
            <w:r>
              <w:rPr>
                <w:rFonts w:ascii="宋体" w:hAnsi="宋体"/>
                <w:color w:val="auto"/>
                <w:sz w:val="24"/>
                <w:szCs w:val="24"/>
              </w:rPr>
              <w:t>□</w:t>
            </w:r>
            <w:r>
              <w:rPr>
                <w:rFonts w:hint="eastAsia" w:ascii="Times New Roman" w:hAnsi="Times New Roman"/>
                <w:iCs/>
                <w:color w:val="auto"/>
                <w:sz w:val="24"/>
                <w:szCs w:val="24"/>
              </w:rPr>
              <w:t>4</w:t>
            </w:r>
            <w:r>
              <w:rPr>
                <w:rFonts w:ascii="Times New Roman" w:hAnsi="Times New Roman"/>
                <w:iCs/>
                <w:color w:val="auto"/>
                <w:sz w:val="24"/>
                <w:szCs w:val="24"/>
              </w:rPr>
              <w:t>.</w:t>
            </w:r>
            <w:r>
              <w:rPr>
                <w:rFonts w:ascii="宋体" w:hAnsi="宋体"/>
                <w:iCs/>
                <w:color w:val="auto"/>
                <w:sz w:val="24"/>
                <w:szCs w:val="24"/>
              </w:rPr>
              <w:t>监测设施经费</w:t>
            </w:r>
            <w:r>
              <w:rPr>
                <w:rFonts w:ascii="Times New Roman" w:hAnsi="宋体"/>
                <w:iCs/>
                <w:color w:val="auto"/>
                <w:sz w:val="24"/>
                <w:szCs w:val="24"/>
              </w:rPr>
              <w:t>保障要求：本工程处于安装监测设施工程范围，投标人扬尘控制及在线监测设施安装、运行费用应充分考虑并列入报价，在合同签订前应向招标人提供对应的实施方案。</w:t>
            </w:r>
          </w:p>
          <w:p w14:paraId="4523FB7C">
            <w:pPr>
              <w:keepNext w:val="0"/>
              <w:keepLines w:val="0"/>
              <w:pageBreakBefore w:val="0"/>
              <w:tabs>
                <w:tab w:val="left" w:pos="9360"/>
              </w:tabs>
              <w:wordWrap/>
              <w:overflowPunct/>
              <w:bidi w:val="0"/>
              <w:snapToGrid w:val="0"/>
              <w:spacing w:line="320" w:lineRule="exact"/>
              <w:jc w:val="both"/>
              <w:rPr>
                <w:rFonts w:hint="eastAsia" w:ascii="Times New Roman" w:hAnsi="Times New Roman"/>
                <w:iCs/>
                <w:color w:val="auto"/>
                <w:sz w:val="24"/>
                <w:szCs w:val="24"/>
                <w:u w:val="single"/>
              </w:rPr>
            </w:pPr>
            <w:r>
              <w:rPr>
                <w:rFonts w:hint="eastAsia" w:ascii="Times New Roman" w:hAnsi="Times New Roman"/>
                <w:iCs/>
                <w:color w:val="auto"/>
                <w:sz w:val="24"/>
                <w:szCs w:val="24"/>
              </w:rPr>
              <w:t>5</w:t>
            </w:r>
            <w:r>
              <w:rPr>
                <w:rFonts w:ascii="Times New Roman" w:hAnsi="Times New Roman"/>
                <w:iCs/>
                <w:color w:val="auto"/>
                <w:sz w:val="24"/>
                <w:szCs w:val="24"/>
              </w:rPr>
              <w:t>.</w:t>
            </w:r>
            <w:r>
              <w:rPr>
                <w:rFonts w:ascii="Times New Roman" w:hAnsi="宋体"/>
                <w:iCs/>
                <w:color w:val="auto"/>
                <w:sz w:val="24"/>
                <w:szCs w:val="24"/>
              </w:rPr>
              <w:t>建筑工人实名制管理和经费保障要求：</w:t>
            </w:r>
            <w:r>
              <w:rPr>
                <w:rFonts w:ascii="Times New Roman" w:hAnsi="Times New Roman"/>
                <w:iCs/>
                <w:color w:val="auto"/>
                <w:sz w:val="24"/>
                <w:szCs w:val="24"/>
                <w:u w:val="single"/>
              </w:rPr>
              <w:t xml:space="preserve">              </w:t>
            </w:r>
            <w:r>
              <w:rPr>
                <w:rFonts w:ascii="Times New Roman" w:hAnsi="Times New Roman"/>
                <w:iCs/>
                <w:color w:val="auto"/>
                <w:sz w:val="24"/>
                <w:szCs w:val="24"/>
              </w:rPr>
              <w:t xml:space="preserve"> </w:t>
            </w:r>
            <w:r>
              <w:rPr>
                <w:rFonts w:hint="eastAsia" w:ascii="Times New Roman" w:hAnsi="Times New Roman"/>
                <w:iCs/>
                <w:color w:val="auto"/>
                <w:sz w:val="24"/>
                <w:szCs w:val="24"/>
              </w:rPr>
              <w:t>。</w:t>
            </w:r>
          </w:p>
          <w:p w14:paraId="3AB738B3">
            <w:pPr>
              <w:keepNext w:val="0"/>
              <w:keepLines w:val="0"/>
              <w:pageBreakBefore w:val="0"/>
              <w:tabs>
                <w:tab w:val="left" w:pos="9360"/>
              </w:tabs>
              <w:wordWrap/>
              <w:overflowPunct/>
              <w:bidi w:val="0"/>
              <w:snapToGrid w:val="0"/>
              <w:spacing w:line="320" w:lineRule="exact"/>
              <w:jc w:val="both"/>
              <w:rPr>
                <w:rFonts w:ascii="Times New Roman" w:hAnsi="Times New Roman"/>
                <w:iCs/>
                <w:color w:val="auto"/>
                <w:sz w:val="24"/>
                <w:szCs w:val="24"/>
              </w:rPr>
            </w:pPr>
            <w:r>
              <w:rPr>
                <w:rFonts w:hint="eastAsia" w:ascii="Times New Roman" w:hAnsi="Times New Roman"/>
                <w:iCs/>
                <w:color w:val="auto"/>
                <w:sz w:val="24"/>
                <w:szCs w:val="24"/>
              </w:rPr>
              <w:t>6</w:t>
            </w:r>
            <w:r>
              <w:rPr>
                <w:rFonts w:ascii="Times New Roman" w:hAnsi="Times New Roman"/>
                <w:iCs/>
                <w:color w:val="auto"/>
                <w:sz w:val="24"/>
                <w:szCs w:val="24"/>
              </w:rPr>
              <w:t>.</w:t>
            </w:r>
            <w:r>
              <w:rPr>
                <w:rFonts w:ascii="Times New Roman" w:hAnsi="宋体"/>
                <w:color w:val="auto"/>
                <w:sz w:val="24"/>
                <w:szCs w:val="24"/>
              </w:rPr>
              <w:t>价款结算方式</w:t>
            </w:r>
            <w:r>
              <w:rPr>
                <w:rFonts w:ascii="Times New Roman" w:hAnsi="宋体"/>
                <w:iCs/>
                <w:color w:val="auto"/>
                <w:sz w:val="24"/>
                <w:szCs w:val="24"/>
              </w:rPr>
              <w:t>：</w:t>
            </w:r>
          </w:p>
          <w:p w14:paraId="5D4C3731">
            <w:pPr>
              <w:keepNext w:val="0"/>
              <w:keepLines w:val="0"/>
              <w:pageBreakBefore w:val="0"/>
              <w:tabs>
                <w:tab w:val="left" w:pos="9360"/>
              </w:tabs>
              <w:wordWrap/>
              <w:overflowPunct/>
              <w:bidi w:val="0"/>
              <w:snapToGrid w:val="0"/>
              <w:spacing w:line="320" w:lineRule="exact"/>
              <w:jc w:val="both"/>
              <w:rPr>
                <w:rFonts w:ascii="宋体" w:hAnsi="宋体"/>
                <w:color w:val="auto"/>
                <w:sz w:val="24"/>
                <w:szCs w:val="24"/>
              </w:rPr>
            </w:pPr>
            <w:r>
              <w:rPr>
                <w:rFonts w:hint="eastAsia" w:ascii="宋体" w:hAnsi="宋体"/>
                <w:color w:val="auto"/>
                <w:sz w:val="24"/>
                <w:szCs w:val="24"/>
                <w:lang w:eastAsia="zh-CN"/>
              </w:rPr>
              <w:t>☑</w:t>
            </w:r>
            <w:r>
              <w:rPr>
                <w:rFonts w:ascii="宋体" w:hAnsi="宋体"/>
                <w:color w:val="auto"/>
                <w:sz w:val="24"/>
                <w:szCs w:val="24"/>
              </w:rPr>
              <w:t>竣工后一次性结算</w:t>
            </w:r>
          </w:p>
          <w:p w14:paraId="7607461B">
            <w:pPr>
              <w:keepNext w:val="0"/>
              <w:keepLines w:val="0"/>
              <w:pageBreakBefore w:val="0"/>
              <w:tabs>
                <w:tab w:val="left" w:pos="9360"/>
              </w:tabs>
              <w:wordWrap/>
              <w:overflowPunct/>
              <w:bidi w:val="0"/>
              <w:snapToGrid w:val="0"/>
              <w:spacing w:line="320" w:lineRule="exact"/>
              <w:jc w:val="both"/>
              <w:rPr>
                <w:rFonts w:ascii="Times New Roman" w:hAnsi="Times New Roman"/>
                <w:color w:val="auto"/>
                <w:sz w:val="24"/>
                <w:szCs w:val="24"/>
              </w:rPr>
            </w:pPr>
            <w:r>
              <w:rPr>
                <w:rFonts w:hint="eastAsia" w:ascii="宋体" w:hAnsi="宋体"/>
                <w:color w:val="auto"/>
                <w:sz w:val="24"/>
                <w:szCs w:val="24"/>
                <w:lang w:eastAsia="zh-CN"/>
              </w:rPr>
              <w:t>□</w:t>
            </w:r>
            <w:r>
              <w:rPr>
                <w:rFonts w:ascii="宋体" w:hAnsi="宋体"/>
                <w:color w:val="auto"/>
                <w:sz w:val="24"/>
                <w:szCs w:val="24"/>
              </w:rPr>
              <w:t>施工过程分段结算：□房建</w:t>
            </w:r>
            <w:r>
              <w:rPr>
                <w:rFonts w:ascii="Times New Roman" w:hAnsi="宋体"/>
                <w:color w:val="auto"/>
                <w:sz w:val="24"/>
                <w:szCs w:val="24"/>
              </w:rPr>
              <w:t>工程分段节点</w:t>
            </w:r>
            <w:r>
              <w:rPr>
                <w:rFonts w:ascii="Times New Roman" w:hAnsi="Times New Roman"/>
                <w:color w:val="auto"/>
                <w:sz w:val="24"/>
                <w:szCs w:val="24"/>
                <w:u w:val="single"/>
              </w:rPr>
              <w:t xml:space="preserve">                </w:t>
            </w:r>
            <w:r>
              <w:rPr>
                <w:rFonts w:ascii="Times New Roman" w:hAnsi="宋体"/>
                <w:color w:val="auto"/>
                <w:sz w:val="24"/>
                <w:szCs w:val="24"/>
              </w:rPr>
              <w:t>（如可按桩基工程、地下室工程、地上主体结构工程和装饰装修工程划分，或分专业、分单项等）；</w:t>
            </w:r>
            <w:r>
              <w:rPr>
                <w:rFonts w:ascii="宋体" w:hAnsi="宋体"/>
                <w:color w:val="auto"/>
                <w:sz w:val="24"/>
                <w:szCs w:val="24"/>
              </w:rPr>
              <w:t>□市政工程分段节点按</w:t>
            </w:r>
            <w:r>
              <w:rPr>
                <w:rFonts w:ascii="宋体" w:hAnsi="宋体"/>
                <w:color w:val="auto"/>
                <w:sz w:val="24"/>
                <w:szCs w:val="24"/>
                <w:u w:val="single"/>
              </w:rPr>
              <w:t xml:space="preserve">                   </w:t>
            </w:r>
            <w:r>
              <w:rPr>
                <w:rFonts w:ascii="宋体" w:hAnsi="宋体"/>
                <w:color w:val="auto"/>
                <w:sz w:val="24"/>
                <w:szCs w:val="24"/>
              </w:rPr>
              <w:t>划分（节点划分：如道路工程、给排水燃气工程、隧道工程、河道护岸工程、综合管廊工程等市政工程可按施工段合理划分过程结算周期节点；水处理构筑物工程和生活垃圾处理工程可参照建筑工程划分过程结算周期节点；桥梁工程可按下部结构、上部结构、</w:t>
            </w:r>
            <w:r>
              <w:rPr>
                <w:rFonts w:ascii="Times New Roman" w:hAnsi="宋体"/>
                <w:color w:val="auto"/>
                <w:sz w:val="24"/>
                <w:szCs w:val="24"/>
              </w:rPr>
              <w:t>附属工程划分过程结算周期节点。）。</w:t>
            </w:r>
          </w:p>
          <w:p w14:paraId="7DC93252">
            <w:pPr>
              <w:keepNext w:val="0"/>
              <w:keepLines w:val="0"/>
              <w:pageBreakBefore w:val="0"/>
              <w:tabs>
                <w:tab w:val="left" w:pos="9360"/>
              </w:tabs>
              <w:wordWrap/>
              <w:overflowPunct/>
              <w:bidi w:val="0"/>
              <w:snapToGrid w:val="0"/>
              <w:spacing w:line="320" w:lineRule="exact"/>
              <w:jc w:val="both"/>
              <w:rPr>
                <w:rFonts w:ascii="Times New Roman" w:hAnsi="Times New Roman"/>
                <w:color w:val="auto"/>
                <w:sz w:val="24"/>
                <w:szCs w:val="24"/>
              </w:rPr>
            </w:pPr>
            <w:r>
              <w:rPr>
                <w:rFonts w:hint="eastAsia" w:ascii="Times New Roman" w:hAnsi="Times New Roman"/>
                <w:color w:val="auto"/>
                <w:sz w:val="24"/>
                <w:szCs w:val="24"/>
              </w:rPr>
              <w:t>7</w:t>
            </w:r>
            <w:r>
              <w:rPr>
                <w:rFonts w:ascii="Times New Roman" w:hAnsi="Times New Roman"/>
                <w:color w:val="auto"/>
                <w:sz w:val="24"/>
                <w:szCs w:val="24"/>
              </w:rPr>
              <w:t>.</w:t>
            </w:r>
            <w:r>
              <w:rPr>
                <w:rFonts w:ascii="Times New Roman" w:hAnsi="宋体"/>
                <w:color w:val="auto"/>
                <w:sz w:val="24"/>
                <w:szCs w:val="24"/>
              </w:rPr>
              <w:t>农民工工资保证金：</w:t>
            </w:r>
          </w:p>
          <w:p w14:paraId="2BFDF940">
            <w:pPr>
              <w:keepNext w:val="0"/>
              <w:keepLines w:val="0"/>
              <w:pageBreakBefore w:val="0"/>
              <w:tabs>
                <w:tab w:val="left" w:pos="9360"/>
              </w:tabs>
              <w:wordWrap/>
              <w:overflowPunct/>
              <w:bidi w:val="0"/>
              <w:snapToGrid w:val="0"/>
              <w:spacing w:line="320" w:lineRule="exact"/>
              <w:jc w:val="both"/>
              <w:rPr>
                <w:rFonts w:ascii="Times New Roman" w:hAnsi="宋体"/>
                <w:color w:val="auto"/>
                <w:spacing w:val="-7"/>
                <w:sz w:val="24"/>
                <w:szCs w:val="24"/>
              </w:rPr>
            </w:pPr>
            <w:r>
              <w:rPr>
                <w:rFonts w:ascii="Times New Roman" w:hAnsi="宋体"/>
                <w:color w:val="auto"/>
                <w:sz w:val="24"/>
                <w:szCs w:val="24"/>
              </w:rPr>
              <w:t>（</w:t>
            </w:r>
            <w:r>
              <w:rPr>
                <w:rFonts w:ascii="Times New Roman" w:hAnsi="Times New Roman"/>
                <w:color w:val="auto"/>
                <w:sz w:val="24"/>
                <w:szCs w:val="24"/>
              </w:rPr>
              <w:t>1</w:t>
            </w:r>
            <w:r>
              <w:rPr>
                <w:rFonts w:ascii="Times New Roman" w:hAnsi="宋体"/>
                <w:color w:val="auto"/>
                <w:sz w:val="24"/>
                <w:szCs w:val="24"/>
              </w:rPr>
              <w:t>）投标</w:t>
            </w:r>
            <w:r>
              <w:rPr>
                <w:rFonts w:ascii="Times New Roman" w:hAnsi="宋体"/>
                <w:color w:val="auto"/>
                <w:spacing w:val="-7"/>
                <w:sz w:val="24"/>
                <w:szCs w:val="24"/>
              </w:rPr>
              <w:t>人应在投标前仔细核查本企业农民工工资保证金缴纳情况，应按当地有关农民工工资保证金管理制度执行。</w:t>
            </w:r>
          </w:p>
          <w:p w14:paraId="73F8F03F">
            <w:pPr>
              <w:keepNext w:val="0"/>
              <w:keepLines w:val="0"/>
              <w:pageBreakBefore w:val="0"/>
              <w:tabs>
                <w:tab w:val="left" w:pos="9360"/>
              </w:tabs>
              <w:wordWrap/>
              <w:overflowPunct/>
              <w:bidi w:val="0"/>
              <w:snapToGrid w:val="0"/>
              <w:spacing w:line="320" w:lineRule="exact"/>
              <w:jc w:val="both"/>
              <w:rPr>
                <w:rFonts w:ascii="Times New Roman" w:hAnsi="宋体"/>
                <w:color w:val="auto"/>
                <w:sz w:val="24"/>
                <w:szCs w:val="24"/>
              </w:rPr>
            </w:pPr>
            <w:r>
              <w:rPr>
                <w:rFonts w:ascii="Times New Roman" w:hAnsi="宋体"/>
                <w:color w:val="auto"/>
                <w:sz w:val="24"/>
                <w:szCs w:val="24"/>
              </w:rPr>
              <w:t>（</w:t>
            </w:r>
            <w:r>
              <w:rPr>
                <w:rFonts w:ascii="Times New Roman" w:hAnsi="Times New Roman"/>
                <w:color w:val="auto"/>
                <w:sz w:val="24"/>
                <w:szCs w:val="24"/>
              </w:rPr>
              <w:t>2</w:t>
            </w:r>
            <w:r>
              <w:rPr>
                <w:rFonts w:ascii="Times New Roman" w:hAnsi="宋体"/>
                <w:color w:val="auto"/>
                <w:sz w:val="24"/>
                <w:szCs w:val="24"/>
              </w:rPr>
              <w:t>）农民工工资支付按照当地相关文件执行，具体在合同专用条款中明确。</w:t>
            </w:r>
          </w:p>
          <w:p w14:paraId="25DC0B48">
            <w:pPr>
              <w:keepNext w:val="0"/>
              <w:keepLines w:val="0"/>
              <w:pageBreakBefore w:val="0"/>
              <w:tabs>
                <w:tab w:val="left" w:pos="9360"/>
              </w:tabs>
              <w:wordWrap/>
              <w:overflowPunct/>
              <w:bidi w:val="0"/>
              <w:snapToGrid w:val="0"/>
              <w:spacing w:line="320" w:lineRule="exact"/>
              <w:jc w:val="both"/>
              <w:rPr>
                <w:rFonts w:hint="eastAsia" w:ascii="Times New Roman" w:hAnsi="宋体"/>
                <w:color w:val="auto"/>
                <w:sz w:val="24"/>
                <w:szCs w:val="24"/>
              </w:rPr>
            </w:pPr>
            <w:r>
              <w:rPr>
                <w:rFonts w:hint="eastAsia" w:ascii="Times New Roman" w:hAnsi="宋体"/>
                <w:color w:val="auto"/>
                <w:sz w:val="24"/>
                <w:szCs w:val="24"/>
              </w:rPr>
              <w:t>8.招标人</w:t>
            </w:r>
            <w:r>
              <w:rPr>
                <w:rFonts w:ascii="Times New Roman" w:hAnsi="宋体"/>
                <w:color w:val="auto"/>
                <w:spacing w:val="-7"/>
                <w:sz w:val="24"/>
                <w:szCs w:val="24"/>
              </w:rPr>
              <w:t>应当</w:t>
            </w:r>
            <w:r>
              <w:rPr>
                <w:rFonts w:hint="eastAsia" w:ascii="Times New Roman" w:hAnsi="宋体"/>
                <w:color w:val="auto"/>
                <w:spacing w:val="-7"/>
                <w:sz w:val="24"/>
                <w:szCs w:val="24"/>
              </w:rPr>
              <w:t>按规定</w:t>
            </w:r>
            <w:r>
              <w:rPr>
                <w:rFonts w:ascii="Times New Roman" w:hAnsi="宋体"/>
                <w:color w:val="auto"/>
                <w:spacing w:val="-7"/>
                <w:sz w:val="24"/>
                <w:szCs w:val="24"/>
              </w:rPr>
              <w:t>向</w:t>
            </w:r>
            <w:r>
              <w:rPr>
                <w:rFonts w:hint="eastAsia" w:ascii="Times New Roman" w:hAnsi="宋体"/>
                <w:color w:val="auto"/>
                <w:spacing w:val="-7"/>
                <w:sz w:val="24"/>
                <w:szCs w:val="24"/>
              </w:rPr>
              <w:t>中标人</w:t>
            </w:r>
            <w:r>
              <w:rPr>
                <w:rFonts w:ascii="Times New Roman" w:hAnsi="宋体"/>
                <w:color w:val="auto"/>
                <w:spacing w:val="-7"/>
                <w:sz w:val="24"/>
                <w:szCs w:val="24"/>
              </w:rPr>
              <w:t>提供工程款支付担保</w:t>
            </w:r>
            <w:r>
              <w:rPr>
                <w:rFonts w:hint="eastAsia" w:ascii="Times New Roman" w:hAnsi="宋体"/>
                <w:color w:val="auto"/>
                <w:spacing w:val="-7"/>
                <w:sz w:val="24"/>
                <w:szCs w:val="24"/>
              </w:rPr>
              <w:t>。</w:t>
            </w:r>
          </w:p>
          <w:p w14:paraId="3EE82604">
            <w:pPr>
              <w:keepNext w:val="0"/>
              <w:keepLines w:val="0"/>
              <w:pageBreakBefore w:val="0"/>
              <w:tabs>
                <w:tab w:val="left" w:pos="9360"/>
              </w:tabs>
              <w:wordWrap/>
              <w:overflowPunct/>
              <w:bidi w:val="0"/>
              <w:snapToGrid w:val="0"/>
              <w:spacing w:line="320" w:lineRule="exact"/>
              <w:jc w:val="both"/>
              <w:rPr>
                <w:rFonts w:ascii="Times New Roman" w:hAnsi="Times New Roman"/>
                <w:color w:val="auto"/>
                <w:sz w:val="24"/>
                <w:szCs w:val="24"/>
                <w:u w:val="single"/>
              </w:rPr>
            </w:pPr>
            <w:r>
              <w:rPr>
                <w:rFonts w:ascii="宋体" w:hAnsi="宋体"/>
                <w:color w:val="auto"/>
                <w:sz w:val="24"/>
                <w:szCs w:val="24"/>
              </w:rPr>
              <w:t>□</w:t>
            </w:r>
            <w:r>
              <w:rPr>
                <w:rFonts w:ascii="Times New Roman" w:hAnsi="Times New Roman"/>
                <w:color w:val="auto"/>
                <w:sz w:val="24"/>
                <w:szCs w:val="24"/>
                <w:lang w:val="en"/>
              </w:rPr>
              <w:t>9</w:t>
            </w:r>
            <w:r>
              <w:rPr>
                <w:rFonts w:ascii="Times New Roman" w:hAnsi="Times New Roman"/>
                <w:color w:val="auto"/>
                <w:sz w:val="24"/>
                <w:szCs w:val="24"/>
              </w:rPr>
              <w:t>.</w:t>
            </w:r>
            <w:r>
              <w:rPr>
                <w:rFonts w:ascii="宋体" w:hAnsi="宋体"/>
                <w:color w:val="auto"/>
                <w:sz w:val="24"/>
                <w:szCs w:val="24"/>
              </w:rPr>
              <w:t>实</w:t>
            </w:r>
            <w:r>
              <w:rPr>
                <w:rFonts w:ascii="Times New Roman" w:hAnsi="宋体"/>
                <w:color w:val="auto"/>
                <w:sz w:val="24"/>
                <w:szCs w:val="24"/>
              </w:rPr>
              <w:t>施</w:t>
            </w:r>
            <w:r>
              <w:rPr>
                <w:rFonts w:ascii="Times New Roman" w:hAnsi="Times New Roman"/>
                <w:color w:val="auto"/>
                <w:sz w:val="24"/>
                <w:szCs w:val="24"/>
              </w:rPr>
              <w:t>BIM</w:t>
            </w:r>
            <w:r>
              <w:rPr>
                <w:rFonts w:ascii="Times New Roman" w:hAnsi="宋体"/>
                <w:color w:val="auto"/>
                <w:sz w:val="24"/>
                <w:szCs w:val="24"/>
              </w:rPr>
              <w:t>的内容：</w:t>
            </w:r>
            <w:r>
              <w:rPr>
                <w:rFonts w:ascii="Times New Roman" w:hAnsi="Times New Roman"/>
                <w:color w:val="auto"/>
                <w:sz w:val="24"/>
                <w:szCs w:val="24"/>
                <w:u w:val="single"/>
              </w:rPr>
              <w:t xml:space="preserve">                              </w:t>
            </w:r>
            <w:r>
              <w:rPr>
                <w:rFonts w:ascii="Times New Roman" w:hAnsi="宋体"/>
                <w:color w:val="auto"/>
                <w:sz w:val="24"/>
                <w:szCs w:val="24"/>
              </w:rPr>
              <w:t>。</w:t>
            </w:r>
          </w:p>
          <w:p w14:paraId="032EBC08">
            <w:pPr>
              <w:keepNext w:val="0"/>
              <w:keepLines w:val="0"/>
              <w:pageBreakBefore w:val="0"/>
              <w:wordWrap/>
              <w:overflowPunct/>
              <w:bidi w:val="0"/>
              <w:snapToGrid w:val="0"/>
              <w:spacing w:line="320" w:lineRule="exact"/>
              <w:jc w:val="both"/>
              <w:rPr>
                <w:rFonts w:ascii="Times New Roman" w:hAnsi="宋体"/>
                <w:color w:val="auto"/>
                <w:sz w:val="24"/>
                <w:szCs w:val="24"/>
              </w:rPr>
            </w:pPr>
            <w:r>
              <w:rPr>
                <w:rFonts w:hint="eastAsia" w:ascii="宋体" w:hAnsi="宋体"/>
                <w:color w:val="auto"/>
                <w:sz w:val="24"/>
                <w:szCs w:val="24"/>
                <w:lang w:eastAsia="zh-CN"/>
              </w:rPr>
              <w:t>☑</w:t>
            </w:r>
            <w:r>
              <w:rPr>
                <w:rFonts w:ascii="Times New Roman" w:hAnsi="Times New Roman"/>
                <w:color w:val="auto"/>
                <w:sz w:val="24"/>
                <w:szCs w:val="24"/>
                <w:lang w:val="en"/>
              </w:rPr>
              <w:t>10</w:t>
            </w:r>
            <w:r>
              <w:rPr>
                <w:rFonts w:ascii="Times New Roman" w:hAnsi="Times New Roman"/>
                <w:color w:val="auto"/>
                <w:sz w:val="24"/>
                <w:szCs w:val="24"/>
              </w:rPr>
              <w:t>.</w:t>
            </w:r>
            <w:r>
              <w:rPr>
                <w:rFonts w:ascii="宋体" w:hAnsi="宋体"/>
                <w:color w:val="auto"/>
                <w:sz w:val="24"/>
                <w:szCs w:val="24"/>
              </w:rPr>
              <w:t>投标人</w:t>
            </w:r>
            <w:r>
              <w:rPr>
                <w:rFonts w:ascii="Times New Roman" w:hAnsi="宋体"/>
                <w:color w:val="auto"/>
                <w:sz w:val="24"/>
                <w:szCs w:val="24"/>
              </w:rPr>
              <w:t>存在撤销投标文件和无正当理由放弃中标、不与招标人签订书面合同等情形或被行政部门查实存在违法行为，招标人重新招标的，招标人可以拒绝投标人再次投标该项目。</w:t>
            </w:r>
          </w:p>
          <w:p w14:paraId="5B5FC435">
            <w:pPr>
              <w:keepNext w:val="0"/>
              <w:keepLines w:val="0"/>
              <w:pageBreakBefore w:val="0"/>
              <w:wordWrap/>
              <w:overflowPunct/>
              <w:bidi w:val="0"/>
              <w:snapToGrid w:val="0"/>
              <w:spacing w:line="320" w:lineRule="exact"/>
              <w:jc w:val="both"/>
              <w:rPr>
                <w:rFonts w:ascii="Times New Roman" w:hAnsi="宋体"/>
                <w:color w:val="auto"/>
                <w:sz w:val="24"/>
                <w:szCs w:val="24"/>
                <w:u w:val="single"/>
              </w:rPr>
            </w:pPr>
            <w:r>
              <w:rPr>
                <w:rFonts w:hint="eastAsia" w:ascii="Times New Roman" w:hAnsi="宋体"/>
                <w:color w:val="auto"/>
                <w:sz w:val="24"/>
                <w:szCs w:val="24"/>
              </w:rPr>
              <w:t>11.创安全文明标准化工地等级要求：</w:t>
            </w:r>
            <w:r>
              <w:rPr>
                <w:rFonts w:hint="eastAsia" w:ascii="Times New Roman" w:hAnsi="宋体"/>
                <w:color w:val="auto"/>
                <w:sz w:val="24"/>
                <w:szCs w:val="24"/>
                <w:u w:val="single"/>
              </w:rPr>
              <w:t xml:space="preserve">                        </w:t>
            </w:r>
            <w:r>
              <w:rPr>
                <w:rFonts w:hint="eastAsia" w:ascii="Times New Roman" w:hAnsi="宋体"/>
                <w:color w:val="auto"/>
                <w:sz w:val="24"/>
                <w:szCs w:val="24"/>
              </w:rPr>
              <w:t xml:space="preserve"> 。</w:t>
            </w:r>
          </w:p>
          <w:p w14:paraId="58ABF62B">
            <w:pPr>
              <w:pStyle w:val="28"/>
              <w:keepNext w:val="0"/>
              <w:keepLines w:val="0"/>
              <w:pageBreakBefore w:val="0"/>
              <w:wordWrap/>
              <w:overflowPunct/>
              <w:bidi w:val="0"/>
              <w:snapToGrid w:val="0"/>
              <w:spacing w:line="320" w:lineRule="exact"/>
              <w:jc w:val="both"/>
              <w:rPr>
                <w:rFonts w:ascii="Times New Roman" w:hAnsi="Times New Roman"/>
                <w:color w:val="auto"/>
                <w:sz w:val="24"/>
                <w:szCs w:val="24"/>
              </w:rPr>
            </w:pPr>
            <w:r>
              <w:rPr>
                <w:rFonts w:hint="eastAsia" w:ascii="Times New Roman" w:hAnsi="Times New Roman"/>
                <w:color w:val="auto"/>
                <w:sz w:val="24"/>
                <w:szCs w:val="24"/>
              </w:rPr>
              <w:t>12</w:t>
            </w:r>
            <w:r>
              <w:rPr>
                <w:rFonts w:ascii="Times New Roman" w:hAnsi="Times New Roman"/>
                <w:color w:val="auto"/>
                <w:sz w:val="24"/>
                <w:szCs w:val="24"/>
              </w:rPr>
              <w:t>.</w:t>
            </w:r>
            <w:r>
              <w:rPr>
                <w:rFonts w:ascii="Times New Roman" w:hAnsi="宋体"/>
                <w:color w:val="auto"/>
                <w:sz w:val="24"/>
                <w:szCs w:val="24"/>
              </w:rPr>
              <w:t>本招标文件项目负责人一般情况下是指</w:t>
            </w:r>
            <w:r>
              <w:rPr>
                <w:rFonts w:ascii="宋体" w:hAnsi="宋体"/>
                <w:color w:val="auto"/>
                <w:sz w:val="24"/>
                <w:szCs w:val="24"/>
              </w:rPr>
              <w:t>项目经理</w:t>
            </w:r>
            <w:r>
              <w:rPr>
                <w:rFonts w:ascii="Times New Roman" w:hAnsi="宋体"/>
                <w:color w:val="auto"/>
                <w:sz w:val="24"/>
                <w:szCs w:val="24"/>
              </w:rPr>
              <w:t>。</w:t>
            </w:r>
          </w:p>
          <w:p w14:paraId="6437EC5F">
            <w:pPr>
              <w:pStyle w:val="28"/>
              <w:keepNext w:val="0"/>
              <w:keepLines w:val="0"/>
              <w:pageBreakBefore w:val="0"/>
              <w:wordWrap/>
              <w:overflowPunct/>
              <w:bidi w:val="0"/>
              <w:snapToGrid w:val="0"/>
              <w:spacing w:line="320" w:lineRule="exact"/>
              <w:jc w:val="both"/>
              <w:rPr>
                <w:rFonts w:hint="eastAsia" w:ascii="Times New Roman" w:hAnsi="宋体"/>
                <w:color w:val="auto"/>
                <w:sz w:val="24"/>
                <w:szCs w:val="24"/>
              </w:rPr>
            </w:pPr>
            <w:r>
              <w:rPr>
                <w:rFonts w:hint="eastAsia" w:ascii="Times New Roman" w:hAnsi="宋体"/>
                <w:color w:val="auto"/>
                <w:sz w:val="24"/>
                <w:szCs w:val="24"/>
              </w:rPr>
              <w:t>13.中标价如出现《浙江省建设工程计价规则》（2018 版）（以下简称《2018 版计价规则》）所列的异常报价情形，招标人可与中标人协商确定合理单价，并在合同中明确约定。协商确定的单价仅用于工程量调整和变更后综合单价的确定。</w:t>
            </w:r>
          </w:p>
          <w:p w14:paraId="1600E6BB">
            <w:pPr>
              <w:pStyle w:val="28"/>
              <w:keepNext w:val="0"/>
              <w:keepLines w:val="0"/>
              <w:pageBreakBefore w:val="0"/>
              <w:wordWrap/>
              <w:overflowPunct/>
              <w:bidi w:val="0"/>
              <w:snapToGrid w:val="0"/>
              <w:spacing w:line="320" w:lineRule="exact"/>
              <w:jc w:val="both"/>
              <w:rPr>
                <w:rFonts w:hint="eastAsia" w:ascii="Times New Roman" w:hAnsi="宋体"/>
                <w:color w:val="auto"/>
                <w:sz w:val="24"/>
                <w:szCs w:val="24"/>
              </w:rPr>
            </w:pPr>
            <w:r>
              <w:rPr>
                <w:rFonts w:hint="eastAsia" w:ascii="Times New Roman" w:hAnsi="宋体"/>
                <w:color w:val="auto"/>
                <w:sz w:val="24"/>
                <w:szCs w:val="24"/>
              </w:rPr>
              <w:t>14.工伤保险按相关规定要求执行。</w:t>
            </w:r>
          </w:p>
          <w:p w14:paraId="702D3C58">
            <w:pPr>
              <w:pStyle w:val="28"/>
              <w:keepNext w:val="0"/>
              <w:keepLines w:val="0"/>
              <w:pageBreakBefore w:val="0"/>
              <w:wordWrap/>
              <w:overflowPunct/>
              <w:bidi w:val="0"/>
              <w:snapToGrid w:val="0"/>
              <w:spacing w:line="320" w:lineRule="exact"/>
              <w:jc w:val="both"/>
              <w:rPr>
                <w:rFonts w:hint="eastAsia" w:ascii="Times New Roman" w:hAnsi="宋体"/>
                <w:color w:val="auto"/>
                <w:sz w:val="24"/>
                <w:szCs w:val="24"/>
              </w:rPr>
            </w:pPr>
            <w:r>
              <w:rPr>
                <w:rFonts w:hint="eastAsia" w:ascii="Times New Roman" w:hAnsi="宋体"/>
                <w:color w:val="auto"/>
                <w:sz w:val="24"/>
                <w:szCs w:val="24"/>
              </w:rPr>
              <w:t>15.本招标文件信用评价执行《浙江省建筑施工企业信用评价的实施意见》 《浙江省注册建造师信用评价的实施意见》。</w:t>
            </w:r>
          </w:p>
          <w:p w14:paraId="3C22C2B1">
            <w:pPr>
              <w:pStyle w:val="28"/>
              <w:keepNext w:val="0"/>
              <w:keepLines w:val="0"/>
              <w:pageBreakBefore w:val="0"/>
              <w:wordWrap/>
              <w:overflowPunct/>
              <w:bidi w:val="0"/>
              <w:snapToGrid w:val="0"/>
              <w:spacing w:line="320" w:lineRule="exact"/>
              <w:jc w:val="both"/>
              <w:rPr>
                <w:rFonts w:ascii="Times New Roman" w:hAnsi="宋体"/>
                <w:color w:val="auto"/>
                <w:sz w:val="24"/>
                <w:szCs w:val="24"/>
              </w:rPr>
            </w:pPr>
            <w:r>
              <w:rPr>
                <w:rFonts w:hint="eastAsia" w:ascii="Times New Roman" w:hAnsi="宋体"/>
                <w:color w:val="auto"/>
                <w:sz w:val="24"/>
                <w:szCs w:val="24"/>
              </w:rPr>
              <w:t>16.投标人应在投标前自行做好“浙江省建筑市场监管公共服务系统”相关信息的维护工作，并对企业资质、人员资格、项目状况、信用评价等信息的真实性、准确性、完整性负责。</w:t>
            </w:r>
          </w:p>
          <w:p w14:paraId="6139E75A">
            <w:pPr>
              <w:keepNext w:val="0"/>
              <w:keepLines w:val="0"/>
              <w:pageBreakBefore w:val="0"/>
              <w:tabs>
                <w:tab w:val="left" w:pos="9360"/>
              </w:tabs>
              <w:wordWrap/>
              <w:overflowPunct/>
              <w:bidi w:val="0"/>
              <w:snapToGrid w:val="0"/>
              <w:spacing w:line="320" w:lineRule="exact"/>
              <w:jc w:val="both"/>
              <w:rPr>
                <w:color w:val="auto"/>
                <w:spacing w:val="-1"/>
                <w:sz w:val="24"/>
                <w:szCs w:val="24"/>
                <w:lang w:eastAsia="zh-CN"/>
              </w:rPr>
            </w:pPr>
            <w:r>
              <w:rPr>
                <w:rFonts w:ascii="Times New Roman" w:hAnsi="Times New Roman"/>
                <w:color w:val="auto"/>
                <w:sz w:val="24"/>
                <w:szCs w:val="24"/>
              </w:rPr>
              <w:t>1</w:t>
            </w:r>
            <w:r>
              <w:rPr>
                <w:rFonts w:hint="eastAsia" w:ascii="Times New Roman" w:hAnsi="Times New Roman"/>
                <w:color w:val="auto"/>
                <w:sz w:val="24"/>
                <w:szCs w:val="24"/>
              </w:rPr>
              <w:t>7</w:t>
            </w:r>
            <w:r>
              <w:rPr>
                <w:rFonts w:ascii="Times New Roman" w:hAnsi="Times New Roman"/>
                <w:color w:val="auto"/>
                <w:sz w:val="24"/>
                <w:szCs w:val="24"/>
              </w:rPr>
              <w:t>.</w:t>
            </w:r>
            <w:r>
              <w:rPr>
                <w:rFonts w:ascii="Times New Roman" w:hAnsi="宋体"/>
                <w:color w:val="auto"/>
                <w:sz w:val="24"/>
                <w:szCs w:val="24"/>
              </w:rPr>
              <w:t>其他：</w:t>
            </w:r>
            <w:r>
              <w:rPr>
                <w:rFonts w:ascii="Times New Roman" w:hAnsi="Times New Roman"/>
                <w:color w:val="auto"/>
                <w:sz w:val="24"/>
                <w:szCs w:val="24"/>
                <w:u w:val="single"/>
              </w:rPr>
              <w:t xml:space="preserve">            </w:t>
            </w:r>
            <w:r>
              <w:rPr>
                <w:rFonts w:hint="eastAsia" w:ascii="Times New Roman" w:hAnsi="Times New Roman"/>
                <w:color w:val="auto"/>
                <w:sz w:val="24"/>
                <w:szCs w:val="24"/>
                <w:u w:val="single"/>
                <w:lang w:val="en-US" w:eastAsia="zh-CN"/>
              </w:rPr>
              <w:t>/</w:t>
            </w:r>
            <w:r>
              <w:rPr>
                <w:rFonts w:ascii="Times New Roman" w:hAnsi="Times New Roman"/>
                <w:color w:val="auto"/>
                <w:sz w:val="24"/>
                <w:szCs w:val="24"/>
                <w:u w:val="single"/>
              </w:rPr>
              <w:t xml:space="preserve">           </w:t>
            </w:r>
            <w:r>
              <w:rPr>
                <w:rFonts w:ascii="Times New Roman" w:hAnsi="宋体"/>
                <w:color w:val="auto"/>
                <w:sz w:val="24"/>
                <w:szCs w:val="24"/>
              </w:rPr>
              <w:t>。</w:t>
            </w:r>
          </w:p>
        </w:tc>
      </w:tr>
      <w:tr w14:paraId="5BD6BA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5" w:hRule="atLeast"/>
        </w:trPr>
        <w:tc>
          <w:tcPr>
            <w:tcW w:w="1080" w:type="dxa"/>
            <w:shd w:val="clear" w:color="auto" w:fill="auto"/>
            <w:vAlign w:val="center"/>
          </w:tcPr>
          <w:p w14:paraId="6AFD2453">
            <w:pPr>
              <w:pStyle w:val="27"/>
              <w:keepNext w:val="0"/>
              <w:keepLines w:val="0"/>
              <w:pageBreakBefore w:val="0"/>
              <w:kinsoku w:val="0"/>
              <w:wordWrap/>
              <w:topLinePunct w:val="0"/>
              <w:bidi w:val="0"/>
              <w:snapToGrid/>
              <w:spacing w:line="440" w:lineRule="exact"/>
              <w:jc w:val="center"/>
              <w:rPr>
                <w:rFonts w:hint="eastAsia"/>
                <w:color w:val="auto"/>
                <w:sz w:val="24"/>
                <w:szCs w:val="24"/>
                <w:lang w:eastAsia="zh-CN"/>
              </w:rPr>
            </w:pPr>
            <w:r>
              <w:rPr>
                <w:rFonts w:hint="eastAsia" w:ascii="宋体" w:hAnsi="宋体" w:eastAsia="宋体" w:cs="宋体"/>
                <w:color w:val="auto"/>
                <w:sz w:val="24"/>
                <w:szCs w:val="24"/>
              </w:rPr>
              <w:t>10.</w:t>
            </w:r>
            <w:r>
              <w:rPr>
                <w:rFonts w:hint="eastAsia" w:ascii="宋体" w:hAnsi="宋体" w:cs="宋体"/>
                <w:color w:val="auto"/>
                <w:sz w:val="24"/>
                <w:szCs w:val="24"/>
                <w:lang w:val="en-US" w:eastAsia="zh-CN"/>
              </w:rPr>
              <w:t>7</w:t>
            </w:r>
          </w:p>
        </w:tc>
        <w:tc>
          <w:tcPr>
            <w:tcW w:w="1305" w:type="dxa"/>
            <w:shd w:val="clear" w:color="auto" w:fill="auto"/>
            <w:vAlign w:val="center"/>
          </w:tcPr>
          <w:p w14:paraId="0A5CA409">
            <w:pPr>
              <w:keepNext w:val="0"/>
              <w:keepLines w:val="0"/>
              <w:pageBreakBefore w:val="0"/>
              <w:wordWrap/>
              <w:topLinePunct w:val="0"/>
              <w:bidi w:val="0"/>
              <w:snapToGrid/>
              <w:spacing w:line="440" w:lineRule="exact"/>
              <w:jc w:val="center"/>
              <w:rPr>
                <w:color w:val="auto"/>
                <w:sz w:val="24"/>
                <w:szCs w:val="24"/>
              </w:rPr>
            </w:pPr>
            <w:r>
              <w:rPr>
                <w:rFonts w:hint="eastAsia" w:ascii="宋体" w:hAnsi="宋体" w:eastAsia="宋体" w:cs="宋体"/>
                <w:bCs/>
                <w:color w:val="auto"/>
                <w:sz w:val="24"/>
                <w:szCs w:val="24"/>
              </w:rPr>
              <w:t>电子投标文件编制</w:t>
            </w:r>
          </w:p>
        </w:tc>
        <w:tc>
          <w:tcPr>
            <w:tcW w:w="7229" w:type="dxa"/>
            <w:shd w:val="clear" w:color="auto" w:fill="auto"/>
            <w:vAlign w:val="center"/>
          </w:tcPr>
          <w:p w14:paraId="2E765834">
            <w:pPr>
              <w:keepNext w:val="0"/>
              <w:keepLines w:val="0"/>
              <w:pageBreakBefore w:val="0"/>
              <w:wordWrap/>
              <w:topLinePunct w:val="0"/>
              <w:bidi w:val="0"/>
              <w:snapToGrid/>
              <w:spacing w:line="440" w:lineRule="exact"/>
              <w:ind w:firstLine="470" w:firstLineChars="196"/>
              <w:rPr>
                <w:rFonts w:hint="eastAsia" w:ascii="宋体" w:hAnsi="宋体" w:eastAsia="宋体" w:cs="宋体"/>
                <w:bCs/>
                <w:color w:val="auto"/>
                <w:sz w:val="24"/>
                <w:szCs w:val="24"/>
              </w:rPr>
            </w:pPr>
            <w:r>
              <w:rPr>
                <w:rFonts w:hint="eastAsia" w:ascii="宋体" w:hAnsi="宋体" w:eastAsia="宋体" w:cs="宋体"/>
                <w:bCs/>
                <w:color w:val="auto"/>
                <w:sz w:val="24"/>
                <w:szCs w:val="24"/>
              </w:rPr>
              <w:t>本工程的投标文件必须使用投标工具安装程序（</w:t>
            </w:r>
            <w:r>
              <w:rPr>
                <w:rFonts w:hint="eastAsia" w:ascii="宋体" w:hAnsi="宋体" w:eastAsia="宋体" w:cs="宋体"/>
                <w:b w:val="0"/>
                <w:bCs w:val="0"/>
                <w:color w:val="auto"/>
                <w:sz w:val="24"/>
                <w:szCs w:val="24"/>
              </w:rPr>
              <w:t>三门施工投标工具4.5.0.</w:t>
            </w:r>
            <w:r>
              <w:rPr>
                <w:rFonts w:hint="eastAsia" w:ascii="宋体" w:hAnsi="宋体" w:eastAsia="宋体" w:cs="宋体"/>
                <w:b w:val="0"/>
                <w:bCs w:val="0"/>
                <w:color w:val="auto"/>
                <w:sz w:val="24"/>
                <w:szCs w:val="24"/>
                <w:lang w:val="en-US" w:eastAsia="zh-CN"/>
              </w:rPr>
              <w:t>7</w:t>
            </w:r>
            <w:r>
              <w:rPr>
                <w:rFonts w:hint="eastAsia" w:ascii="宋体" w:hAnsi="宋体" w:eastAsia="宋体" w:cs="宋体"/>
                <w:b w:val="0"/>
                <w:bCs w:val="0"/>
                <w:color w:val="auto"/>
                <w:sz w:val="24"/>
                <w:szCs w:val="24"/>
              </w:rPr>
              <w:t>版本</w:t>
            </w:r>
            <w:r>
              <w:rPr>
                <w:rFonts w:hint="eastAsia" w:ascii="宋体" w:hAnsi="宋体" w:eastAsia="宋体" w:cs="宋体"/>
                <w:bCs/>
                <w:color w:val="auto"/>
                <w:sz w:val="24"/>
                <w:szCs w:val="24"/>
              </w:rPr>
              <w:t>）编制，下载地址及”建设工程电子投标编制操作手册”</w:t>
            </w:r>
            <w:r>
              <w:rPr>
                <w:rFonts w:hint="eastAsia" w:ascii="宋体" w:hAnsi="宋体" w:cs="宋体"/>
                <w:bCs/>
                <w:color w:val="auto"/>
                <w:sz w:val="24"/>
                <w:szCs w:val="24"/>
                <w:lang w:val="en-US" w:eastAsia="zh-CN"/>
              </w:rPr>
              <w:t>详见三门县公共资源交易中心网站</w:t>
            </w:r>
            <w:r>
              <w:rPr>
                <w:rFonts w:hint="eastAsia" w:ascii="宋体" w:hAnsi="宋体" w:eastAsia="宋体" w:cs="宋体"/>
                <w:bCs/>
                <w:color w:val="auto"/>
                <w:sz w:val="24"/>
                <w:szCs w:val="24"/>
              </w:rPr>
              <w:t>。电子投标文件的编制和递交，应依照招标文件的规定进行。如未按招标文件要求编制、递交电子投标文件，将可能导致无效标，其后果由投标人自负。投标工具的开发商可根据投标人的要求，提供必要的培训和技术指导。</w:t>
            </w:r>
          </w:p>
          <w:p w14:paraId="2A558640">
            <w:pPr>
              <w:keepNext w:val="0"/>
              <w:keepLines w:val="0"/>
              <w:pageBreakBefore w:val="0"/>
              <w:wordWrap/>
              <w:topLinePunct w:val="0"/>
              <w:bidi w:val="0"/>
              <w:snapToGrid/>
              <w:spacing w:line="440" w:lineRule="exact"/>
              <w:ind w:firstLine="470" w:firstLineChars="196"/>
              <w:rPr>
                <w:rFonts w:hint="eastAsia" w:ascii="宋体" w:hAnsi="宋体" w:eastAsia="宋体" w:cs="宋体"/>
                <w:bCs/>
                <w:color w:val="auto"/>
                <w:sz w:val="24"/>
                <w:szCs w:val="24"/>
              </w:rPr>
            </w:pPr>
            <w:r>
              <w:rPr>
                <w:rFonts w:hint="eastAsia" w:ascii="宋体" w:hAnsi="宋体" w:eastAsia="宋体" w:cs="宋体"/>
                <w:bCs/>
                <w:color w:val="auto"/>
                <w:sz w:val="24"/>
                <w:szCs w:val="24"/>
              </w:rPr>
              <w:t>投标工具开发商：杭州品茗信息技术有限公司</w:t>
            </w:r>
          </w:p>
          <w:p w14:paraId="5295FCE3">
            <w:pPr>
              <w:keepNext w:val="0"/>
              <w:keepLines w:val="0"/>
              <w:pageBreakBefore w:val="0"/>
              <w:wordWrap/>
              <w:topLinePunct w:val="0"/>
              <w:bidi w:val="0"/>
              <w:snapToGrid/>
              <w:spacing w:line="440" w:lineRule="exact"/>
              <w:ind w:firstLine="470" w:firstLineChars="196"/>
              <w:rPr>
                <w:color w:val="auto"/>
                <w:sz w:val="24"/>
                <w:szCs w:val="24"/>
                <w:lang w:eastAsia="zh-CN"/>
              </w:rPr>
            </w:pPr>
            <w:r>
              <w:rPr>
                <w:rFonts w:hint="eastAsia" w:ascii="宋体" w:hAnsi="宋体" w:eastAsia="宋体" w:cs="宋体"/>
                <w:bCs/>
                <w:color w:val="auto"/>
                <w:sz w:val="24"/>
                <w:szCs w:val="24"/>
              </w:rPr>
              <w:t>联系电话：章宏涛13968512856， 周辉15606579820</w:t>
            </w:r>
          </w:p>
        </w:tc>
      </w:tr>
      <w:tr w14:paraId="4FDF43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5" w:hRule="atLeast"/>
        </w:trPr>
        <w:tc>
          <w:tcPr>
            <w:tcW w:w="1080" w:type="dxa"/>
            <w:shd w:val="clear" w:color="auto" w:fill="auto"/>
            <w:vAlign w:val="center"/>
          </w:tcPr>
          <w:p w14:paraId="3A5135CD">
            <w:pPr>
              <w:bidi w:val="0"/>
              <w:spacing w:line="360" w:lineRule="auto"/>
              <w:jc w:val="center"/>
              <w:rPr>
                <w:rFonts w:hint="default"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10.8</w:t>
            </w:r>
          </w:p>
        </w:tc>
        <w:tc>
          <w:tcPr>
            <w:tcW w:w="1305" w:type="dxa"/>
            <w:shd w:val="clear" w:color="auto" w:fill="auto"/>
            <w:vAlign w:val="center"/>
          </w:tcPr>
          <w:p w14:paraId="0D220548">
            <w:pPr>
              <w:pStyle w:val="27"/>
              <w:keepNext w:val="0"/>
              <w:keepLines w:val="0"/>
              <w:pageBreakBefore w:val="0"/>
              <w:kinsoku w:val="0"/>
              <w:wordWrap/>
              <w:overflowPunct w:val="0"/>
              <w:topLinePunct w:val="0"/>
              <w:bidi w:val="0"/>
              <w:snapToGrid/>
              <w:spacing w:line="440" w:lineRule="exact"/>
              <w:ind w:right="255" w:rightChars="0"/>
              <w:jc w:val="center"/>
              <w:rPr>
                <w:color w:val="auto"/>
                <w:sz w:val="24"/>
                <w:szCs w:val="24"/>
              </w:rPr>
            </w:pPr>
            <w:r>
              <w:rPr>
                <w:rFonts w:hint="eastAsia" w:ascii="宋体" w:hAnsi="宋体" w:eastAsia="宋体" w:cs="宋体"/>
                <w:b/>
                <w:bCs/>
                <w:color w:val="auto"/>
                <w:sz w:val="24"/>
                <w:szCs w:val="24"/>
              </w:rPr>
              <w:t>中标后提交投标文件份数</w:t>
            </w:r>
          </w:p>
        </w:tc>
        <w:tc>
          <w:tcPr>
            <w:tcW w:w="7229" w:type="dxa"/>
            <w:shd w:val="clear" w:color="auto" w:fill="auto"/>
            <w:vAlign w:val="top"/>
          </w:tcPr>
          <w:p w14:paraId="44242370">
            <w:pPr>
              <w:pStyle w:val="27"/>
              <w:keepNext w:val="0"/>
              <w:keepLines w:val="0"/>
              <w:pageBreakBefore w:val="0"/>
              <w:kinsoku w:val="0"/>
              <w:wordWrap/>
              <w:overflowPunct w:val="0"/>
              <w:topLinePunct w:val="0"/>
              <w:bidi w:val="0"/>
              <w:snapToGrid/>
              <w:spacing w:line="440" w:lineRule="exact"/>
              <w:ind w:firstLine="414" w:firstLineChars="0"/>
              <w:rPr>
                <w:color w:val="auto"/>
                <w:sz w:val="24"/>
                <w:szCs w:val="24"/>
                <w:lang w:eastAsia="zh-CN"/>
              </w:rPr>
            </w:pPr>
            <w:r>
              <w:rPr>
                <w:rFonts w:hint="eastAsia" w:ascii="宋体" w:hAnsi="宋体" w:eastAsia="宋体" w:cs="宋体"/>
                <w:b/>
                <w:bCs/>
                <w:color w:val="auto"/>
                <w:kern w:val="2"/>
                <w:sz w:val="24"/>
                <w:szCs w:val="24"/>
              </w:rPr>
              <w:t>中标候选人在领取中标通知书前，需向招标人提供纸质投标文件（资信标、商务标分册装订）正本各1份、副本各4份（投标工具中所有内容打印成纸质文件，纸质文件上的水印码须与上传至“电子交易平台”上的投标文件的水印码一致）。</w:t>
            </w:r>
          </w:p>
        </w:tc>
      </w:tr>
      <w:tr w14:paraId="224AB3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5" w:hRule="atLeast"/>
        </w:trPr>
        <w:tc>
          <w:tcPr>
            <w:tcW w:w="1080" w:type="dxa"/>
            <w:shd w:val="clear" w:color="auto" w:fill="auto"/>
            <w:vAlign w:val="center"/>
          </w:tcPr>
          <w:p w14:paraId="17EE5962">
            <w:pPr>
              <w:bidi w:val="0"/>
              <w:spacing w:line="360" w:lineRule="auto"/>
              <w:jc w:val="center"/>
              <w:rPr>
                <w:rFonts w:hint="default"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10.9</w:t>
            </w:r>
          </w:p>
        </w:tc>
        <w:tc>
          <w:tcPr>
            <w:tcW w:w="1305" w:type="dxa"/>
            <w:shd w:val="clear" w:color="auto" w:fill="auto"/>
            <w:vAlign w:val="center"/>
          </w:tcPr>
          <w:p w14:paraId="747DB49A">
            <w:pPr>
              <w:pStyle w:val="27"/>
              <w:keepNext w:val="0"/>
              <w:keepLines w:val="0"/>
              <w:pageBreakBefore w:val="0"/>
              <w:kinsoku w:val="0"/>
              <w:wordWrap/>
              <w:overflowPunct w:val="0"/>
              <w:topLinePunct w:val="0"/>
              <w:bidi w:val="0"/>
              <w:snapToGrid/>
              <w:spacing w:line="440" w:lineRule="exact"/>
              <w:ind w:left="141" w:leftChars="0" w:right="136" w:rightChars="0"/>
              <w:jc w:val="center"/>
              <w:rPr>
                <w:color w:val="auto"/>
                <w:sz w:val="24"/>
                <w:szCs w:val="24"/>
              </w:rPr>
            </w:pPr>
            <w:r>
              <w:rPr>
                <w:rFonts w:hint="eastAsia" w:ascii="宋体" w:hAnsi="宋体" w:eastAsia="宋体" w:cs="宋体"/>
                <w:b/>
                <w:bCs/>
                <w:color w:val="auto"/>
                <w:sz w:val="24"/>
                <w:szCs w:val="24"/>
              </w:rPr>
              <w:t>温馨提示</w:t>
            </w:r>
          </w:p>
        </w:tc>
        <w:tc>
          <w:tcPr>
            <w:tcW w:w="7229" w:type="dxa"/>
            <w:shd w:val="clear" w:color="auto" w:fill="auto"/>
            <w:vAlign w:val="top"/>
          </w:tcPr>
          <w:p w14:paraId="2A0F82E4">
            <w:pPr>
              <w:pStyle w:val="27"/>
              <w:keepNext w:val="0"/>
              <w:keepLines w:val="0"/>
              <w:pageBreakBefore w:val="0"/>
              <w:kinsoku w:val="0"/>
              <w:wordWrap/>
              <w:overflowPunct w:val="0"/>
              <w:topLinePunct w:val="0"/>
              <w:bidi w:val="0"/>
              <w:snapToGrid/>
              <w:spacing w:line="440" w:lineRule="exact"/>
              <w:ind w:firstLine="414" w:firstLineChars="0"/>
              <w:rPr>
                <w:color w:val="auto"/>
                <w:sz w:val="24"/>
                <w:szCs w:val="24"/>
                <w:lang w:eastAsia="zh-CN"/>
              </w:rPr>
            </w:pPr>
            <w:r>
              <w:rPr>
                <w:rFonts w:hint="eastAsia" w:ascii="宋体" w:hAnsi="宋体" w:eastAsia="宋体" w:cs="宋体"/>
                <w:b/>
                <w:bCs/>
                <w:color w:val="auto"/>
                <w:kern w:val="2"/>
                <w:sz w:val="24"/>
                <w:szCs w:val="24"/>
                <w:lang w:val="en-US" w:eastAsia="zh-CN" w:bidi="ar-SA"/>
              </w:rPr>
              <w:t>投标人须在递交投标保证金前在三门县工程建设电子交易平台中注册并核验通过。</w:t>
            </w:r>
          </w:p>
        </w:tc>
      </w:tr>
    </w:tbl>
    <w:p w14:paraId="4AC2CE52">
      <w:pPr>
        <w:pStyle w:val="8"/>
        <w:rPr>
          <w:color w:val="auto"/>
          <w:lang w:eastAsia="zh-CN"/>
        </w:rPr>
      </w:pPr>
    </w:p>
    <w:p w14:paraId="7D124869">
      <w:pPr>
        <w:pStyle w:val="8"/>
        <w:rPr>
          <w:color w:val="auto"/>
          <w:lang w:eastAsia="zh-CN"/>
        </w:rPr>
      </w:pPr>
    </w:p>
    <w:p w14:paraId="226F6A15">
      <w:pPr>
        <w:rPr>
          <w:color w:val="auto"/>
          <w:lang w:eastAsia="zh-CN"/>
        </w:rPr>
        <w:sectPr>
          <w:footerReference r:id="rId6" w:type="default"/>
          <w:pgSz w:w="11906" w:h="16839"/>
          <w:pgMar w:top="1418" w:right="1519" w:bottom="1147" w:left="1518" w:header="0" w:footer="960" w:gutter="0"/>
          <w:pgNumType w:fmt="decimal"/>
          <w:cols w:space="720" w:num="1"/>
          <w:docGrid w:linePitch="0" w:charSpace="0"/>
        </w:sectPr>
      </w:pPr>
    </w:p>
    <w:p w14:paraId="10419E77">
      <w:pPr>
        <w:spacing w:before="88" w:line="225" w:lineRule="auto"/>
        <w:ind w:left="3270"/>
        <w:rPr>
          <w:rFonts w:ascii="黑体" w:hAnsi="黑体" w:eastAsia="黑体" w:cs="黑体"/>
          <w:color w:val="auto"/>
          <w:sz w:val="43"/>
          <w:szCs w:val="43"/>
          <w:lang w:eastAsia="zh-CN"/>
        </w:rPr>
      </w:pPr>
      <w:r>
        <w:rPr>
          <w:rFonts w:ascii="黑体" w:hAnsi="黑体" w:eastAsia="黑体" w:cs="黑体"/>
          <w:color w:val="auto"/>
          <w:spacing w:val="6"/>
          <w:sz w:val="43"/>
          <w:szCs w:val="43"/>
          <w:lang w:eastAsia="zh-CN"/>
        </w:rPr>
        <w:t>投标人须知</w:t>
      </w:r>
    </w:p>
    <w:p w14:paraId="773F0AC6">
      <w:pPr>
        <w:keepNext w:val="0"/>
        <w:keepLines w:val="0"/>
        <w:pageBreakBefore w:val="0"/>
        <w:widowControl/>
        <w:kinsoku w:val="0"/>
        <w:wordWrap/>
        <w:overflowPunct/>
        <w:topLinePunct w:val="0"/>
        <w:autoSpaceDE w:val="0"/>
        <w:autoSpaceDN w:val="0"/>
        <w:bidi w:val="0"/>
        <w:adjustRightInd w:val="0"/>
        <w:snapToGrid w:val="0"/>
        <w:spacing w:before="163" w:line="460" w:lineRule="exact"/>
        <w:ind w:left="13"/>
        <w:textAlignment w:val="auto"/>
        <w:rPr>
          <w:rFonts w:ascii="宋体" w:hAnsi="宋体" w:eastAsia="宋体" w:cs="宋体"/>
          <w:color w:val="auto"/>
          <w:sz w:val="31"/>
          <w:szCs w:val="31"/>
          <w:lang w:eastAsia="zh-CN"/>
        </w:rPr>
      </w:pPr>
      <w:r>
        <w:rPr>
          <w:rFonts w:ascii="Times New Roman" w:hAnsi="Times New Roman" w:eastAsia="Times New Roman" w:cs="Times New Roman"/>
          <w:b/>
          <w:bCs/>
          <w:color w:val="auto"/>
          <w:sz w:val="31"/>
          <w:szCs w:val="31"/>
          <w:lang w:eastAsia="zh-CN"/>
        </w:rPr>
        <w:t>1.</w:t>
      </w:r>
      <w:r>
        <w:rPr>
          <w:rFonts w:ascii="宋体" w:hAnsi="宋体" w:eastAsia="宋体" w:cs="宋体"/>
          <w:b/>
          <w:bCs/>
          <w:color w:val="auto"/>
          <w:sz w:val="31"/>
          <w:szCs w:val="31"/>
          <w:lang w:eastAsia="zh-CN"/>
        </w:rPr>
        <w:t>总则</w:t>
      </w:r>
    </w:p>
    <w:p w14:paraId="53DAC848">
      <w:pPr>
        <w:keepNext w:val="0"/>
        <w:keepLines w:val="0"/>
        <w:pageBreakBefore w:val="0"/>
        <w:widowControl/>
        <w:kinsoku w:val="0"/>
        <w:wordWrap/>
        <w:overflowPunct/>
        <w:topLinePunct w:val="0"/>
        <w:autoSpaceDE w:val="0"/>
        <w:autoSpaceDN w:val="0"/>
        <w:bidi w:val="0"/>
        <w:adjustRightInd w:val="0"/>
        <w:snapToGrid w:val="0"/>
        <w:spacing w:before="262" w:line="460" w:lineRule="exact"/>
        <w:ind w:left="500"/>
        <w:textAlignment w:val="auto"/>
        <w:rPr>
          <w:rFonts w:ascii="宋体" w:hAnsi="宋体" w:eastAsia="宋体" w:cs="宋体"/>
          <w:color w:val="auto"/>
          <w:sz w:val="28"/>
          <w:szCs w:val="28"/>
          <w:lang w:eastAsia="zh-CN"/>
        </w:rPr>
      </w:pPr>
      <w:r>
        <w:rPr>
          <w:rFonts w:ascii="Times New Roman" w:hAnsi="Times New Roman" w:eastAsia="Times New Roman" w:cs="Times New Roman"/>
          <w:b/>
          <w:bCs/>
          <w:color w:val="auto"/>
          <w:spacing w:val="-4"/>
          <w:sz w:val="28"/>
          <w:szCs w:val="28"/>
          <w:lang w:eastAsia="zh-CN"/>
        </w:rPr>
        <w:t>1.1</w:t>
      </w:r>
      <w:r>
        <w:rPr>
          <w:rFonts w:ascii="宋体" w:hAnsi="宋体" w:eastAsia="宋体" w:cs="宋体"/>
          <w:b/>
          <w:bCs/>
          <w:color w:val="auto"/>
          <w:spacing w:val="-4"/>
          <w:sz w:val="28"/>
          <w:szCs w:val="28"/>
          <w:lang w:eastAsia="zh-CN"/>
        </w:rPr>
        <w:t>招标项目概况</w:t>
      </w:r>
    </w:p>
    <w:p w14:paraId="61C73159">
      <w:pPr>
        <w:keepNext w:val="0"/>
        <w:keepLines w:val="0"/>
        <w:pageBreakBefore w:val="0"/>
        <w:widowControl/>
        <w:kinsoku w:val="0"/>
        <w:wordWrap/>
        <w:overflowPunct/>
        <w:topLinePunct w:val="0"/>
        <w:autoSpaceDE w:val="0"/>
        <w:autoSpaceDN w:val="0"/>
        <w:bidi w:val="0"/>
        <w:adjustRightInd w:val="0"/>
        <w:snapToGrid w:val="0"/>
        <w:spacing w:before="158" w:line="460" w:lineRule="exact"/>
        <w:ind w:firstLine="466"/>
        <w:textAlignment w:val="auto"/>
        <w:rPr>
          <w:rFonts w:ascii="宋体" w:hAnsi="宋体" w:eastAsia="宋体" w:cs="宋体"/>
          <w:color w:val="auto"/>
          <w:sz w:val="24"/>
          <w:szCs w:val="24"/>
          <w:lang w:eastAsia="zh-CN"/>
        </w:rPr>
      </w:pPr>
      <w:r>
        <w:rPr>
          <w:rFonts w:ascii="宋体" w:hAnsi="宋体" w:eastAsia="宋体" w:cs="宋体"/>
          <w:color w:val="auto"/>
          <w:spacing w:val="-4"/>
          <w:sz w:val="24"/>
          <w:szCs w:val="24"/>
          <w:lang w:eastAsia="zh-CN"/>
        </w:rPr>
        <w:t>1.1.1 根据《中华人民共和国招标投标法》《中华人民共和国招标投标法实施条</w:t>
      </w:r>
      <w:r>
        <w:rPr>
          <w:rFonts w:ascii="宋体" w:hAnsi="宋体" w:eastAsia="宋体" w:cs="宋体"/>
          <w:color w:val="auto"/>
          <w:spacing w:val="2"/>
          <w:sz w:val="24"/>
          <w:szCs w:val="24"/>
          <w:lang w:eastAsia="zh-CN"/>
        </w:rPr>
        <w:t>例》等有关法律、法规和规章的规定，本招标项目已具备招标条件，现对项目施工</w:t>
      </w:r>
      <w:r>
        <w:rPr>
          <w:rFonts w:ascii="宋体" w:hAnsi="宋体" w:eastAsia="宋体" w:cs="宋体"/>
          <w:color w:val="auto"/>
          <w:spacing w:val="-2"/>
          <w:sz w:val="24"/>
          <w:szCs w:val="24"/>
          <w:lang w:eastAsia="zh-CN"/>
        </w:rPr>
        <w:t>进行招标。</w:t>
      </w:r>
    </w:p>
    <w:p w14:paraId="2650A0CC">
      <w:pPr>
        <w:keepNext w:val="0"/>
        <w:keepLines w:val="0"/>
        <w:pageBreakBefore w:val="0"/>
        <w:widowControl/>
        <w:kinsoku w:val="0"/>
        <w:wordWrap/>
        <w:overflowPunct/>
        <w:topLinePunct w:val="0"/>
        <w:autoSpaceDE w:val="0"/>
        <w:autoSpaceDN w:val="0"/>
        <w:bidi w:val="0"/>
        <w:adjustRightInd w:val="0"/>
        <w:snapToGrid w:val="0"/>
        <w:spacing w:before="27" w:line="460" w:lineRule="exact"/>
        <w:ind w:left="499"/>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1.1.2 招标人：见投标人须知前附表。</w:t>
      </w:r>
    </w:p>
    <w:p w14:paraId="4E8A4D60">
      <w:pPr>
        <w:keepNext w:val="0"/>
        <w:keepLines w:val="0"/>
        <w:pageBreakBefore w:val="0"/>
        <w:widowControl/>
        <w:kinsoku w:val="0"/>
        <w:wordWrap/>
        <w:overflowPunct/>
        <w:topLinePunct w:val="0"/>
        <w:autoSpaceDE w:val="0"/>
        <w:autoSpaceDN w:val="0"/>
        <w:bidi w:val="0"/>
        <w:adjustRightInd w:val="0"/>
        <w:snapToGrid w:val="0"/>
        <w:spacing w:before="29" w:line="460" w:lineRule="exact"/>
        <w:ind w:left="499"/>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1.1.3 招标代理机构：见投标人须知前附表。</w:t>
      </w:r>
    </w:p>
    <w:p w14:paraId="61584826">
      <w:pPr>
        <w:keepNext w:val="0"/>
        <w:keepLines w:val="0"/>
        <w:pageBreakBefore w:val="0"/>
        <w:widowControl/>
        <w:kinsoku w:val="0"/>
        <w:wordWrap/>
        <w:overflowPunct/>
        <w:topLinePunct w:val="0"/>
        <w:autoSpaceDE w:val="0"/>
        <w:autoSpaceDN w:val="0"/>
        <w:bidi w:val="0"/>
        <w:adjustRightInd w:val="0"/>
        <w:snapToGrid w:val="0"/>
        <w:spacing w:before="28" w:line="460" w:lineRule="exact"/>
        <w:ind w:left="499"/>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1.1.4 工程名称：见投标人须知前附表。</w:t>
      </w:r>
    </w:p>
    <w:p w14:paraId="4345B2E1">
      <w:pPr>
        <w:keepNext w:val="0"/>
        <w:keepLines w:val="0"/>
        <w:pageBreakBefore w:val="0"/>
        <w:widowControl/>
        <w:kinsoku w:val="0"/>
        <w:wordWrap/>
        <w:overflowPunct/>
        <w:topLinePunct w:val="0"/>
        <w:autoSpaceDE w:val="0"/>
        <w:autoSpaceDN w:val="0"/>
        <w:bidi w:val="0"/>
        <w:adjustRightInd w:val="0"/>
        <w:snapToGrid w:val="0"/>
        <w:spacing w:before="29" w:line="460" w:lineRule="exact"/>
        <w:ind w:left="499"/>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1.1.5 工程建设地点：见投标人须知前附表。</w:t>
      </w:r>
    </w:p>
    <w:p w14:paraId="5B213BC3">
      <w:pPr>
        <w:keepNext w:val="0"/>
        <w:keepLines w:val="0"/>
        <w:pageBreakBefore w:val="0"/>
        <w:widowControl/>
        <w:kinsoku w:val="0"/>
        <w:wordWrap/>
        <w:overflowPunct/>
        <w:topLinePunct w:val="0"/>
        <w:autoSpaceDE w:val="0"/>
        <w:autoSpaceDN w:val="0"/>
        <w:bidi w:val="0"/>
        <w:adjustRightInd w:val="0"/>
        <w:snapToGrid w:val="0"/>
        <w:spacing w:before="28" w:line="460" w:lineRule="exact"/>
        <w:ind w:left="499"/>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1.1.6 工程承包方式：见投标人须知前附表。</w:t>
      </w:r>
    </w:p>
    <w:p w14:paraId="29B35405">
      <w:pPr>
        <w:keepNext w:val="0"/>
        <w:keepLines w:val="0"/>
        <w:pageBreakBefore w:val="0"/>
        <w:widowControl/>
        <w:kinsoku w:val="0"/>
        <w:wordWrap/>
        <w:overflowPunct/>
        <w:topLinePunct w:val="0"/>
        <w:autoSpaceDE w:val="0"/>
        <w:autoSpaceDN w:val="0"/>
        <w:bidi w:val="0"/>
        <w:adjustRightInd w:val="0"/>
        <w:snapToGrid w:val="0"/>
        <w:spacing w:before="163" w:line="460" w:lineRule="exact"/>
        <w:ind w:left="500"/>
        <w:textAlignment w:val="auto"/>
        <w:rPr>
          <w:rFonts w:ascii="宋体" w:hAnsi="宋体" w:eastAsia="宋体" w:cs="宋体"/>
          <w:color w:val="auto"/>
          <w:sz w:val="28"/>
          <w:szCs w:val="28"/>
          <w:lang w:eastAsia="zh-CN"/>
        </w:rPr>
      </w:pPr>
      <w:r>
        <w:rPr>
          <w:rFonts w:ascii="Times New Roman" w:hAnsi="Times New Roman" w:eastAsia="Times New Roman" w:cs="Times New Roman"/>
          <w:b/>
          <w:bCs/>
          <w:color w:val="auto"/>
          <w:spacing w:val="-3"/>
          <w:sz w:val="28"/>
          <w:szCs w:val="28"/>
          <w:lang w:eastAsia="zh-CN"/>
        </w:rPr>
        <w:t>1.2</w:t>
      </w:r>
      <w:r>
        <w:rPr>
          <w:rFonts w:ascii="宋体" w:hAnsi="宋体" w:eastAsia="宋体" w:cs="宋体"/>
          <w:b/>
          <w:bCs/>
          <w:color w:val="auto"/>
          <w:spacing w:val="-3"/>
          <w:sz w:val="28"/>
          <w:szCs w:val="28"/>
          <w:lang w:eastAsia="zh-CN"/>
        </w:rPr>
        <w:t>招标项目的资金来源和落实情况</w:t>
      </w:r>
    </w:p>
    <w:p w14:paraId="63D4C0C9">
      <w:pPr>
        <w:keepNext w:val="0"/>
        <w:keepLines w:val="0"/>
        <w:pageBreakBefore w:val="0"/>
        <w:widowControl/>
        <w:kinsoku w:val="0"/>
        <w:wordWrap/>
        <w:overflowPunct/>
        <w:topLinePunct w:val="0"/>
        <w:autoSpaceDE w:val="0"/>
        <w:autoSpaceDN w:val="0"/>
        <w:bidi w:val="0"/>
        <w:adjustRightInd w:val="0"/>
        <w:snapToGrid w:val="0"/>
        <w:spacing w:before="158" w:line="460" w:lineRule="exact"/>
        <w:ind w:left="499"/>
        <w:textAlignment w:val="auto"/>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1.2.1 资金来源及比例：见投标人须</w:t>
      </w:r>
      <w:r>
        <w:rPr>
          <w:rFonts w:ascii="宋体" w:hAnsi="宋体" w:eastAsia="宋体" w:cs="宋体"/>
          <w:color w:val="auto"/>
          <w:spacing w:val="-2"/>
          <w:sz w:val="24"/>
          <w:szCs w:val="24"/>
          <w:lang w:eastAsia="zh-CN"/>
        </w:rPr>
        <w:t>知前附表。</w:t>
      </w:r>
    </w:p>
    <w:p w14:paraId="09B11D91">
      <w:pPr>
        <w:keepNext w:val="0"/>
        <w:keepLines w:val="0"/>
        <w:pageBreakBefore w:val="0"/>
        <w:widowControl/>
        <w:kinsoku w:val="0"/>
        <w:wordWrap/>
        <w:overflowPunct/>
        <w:topLinePunct w:val="0"/>
        <w:autoSpaceDE w:val="0"/>
        <w:autoSpaceDN w:val="0"/>
        <w:bidi w:val="0"/>
        <w:adjustRightInd w:val="0"/>
        <w:snapToGrid w:val="0"/>
        <w:spacing w:before="28" w:line="460" w:lineRule="exact"/>
        <w:ind w:left="499"/>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1.2.2 资金落实情况：见投标人须知前附表。</w:t>
      </w:r>
    </w:p>
    <w:p w14:paraId="5D0D6BCB">
      <w:pPr>
        <w:keepNext w:val="0"/>
        <w:keepLines w:val="0"/>
        <w:pageBreakBefore w:val="0"/>
        <w:widowControl/>
        <w:kinsoku w:val="0"/>
        <w:wordWrap/>
        <w:overflowPunct/>
        <w:topLinePunct w:val="0"/>
        <w:autoSpaceDE w:val="0"/>
        <w:autoSpaceDN w:val="0"/>
        <w:bidi w:val="0"/>
        <w:adjustRightInd w:val="0"/>
        <w:snapToGrid w:val="0"/>
        <w:spacing w:before="162" w:line="460" w:lineRule="exact"/>
        <w:ind w:left="500"/>
        <w:textAlignment w:val="auto"/>
        <w:rPr>
          <w:rFonts w:ascii="宋体" w:hAnsi="宋体" w:eastAsia="宋体" w:cs="宋体"/>
          <w:color w:val="auto"/>
          <w:sz w:val="28"/>
          <w:szCs w:val="28"/>
          <w:lang w:eastAsia="zh-CN"/>
        </w:rPr>
      </w:pPr>
      <w:r>
        <w:rPr>
          <w:rFonts w:ascii="Times New Roman" w:hAnsi="Times New Roman" w:eastAsia="Times New Roman" w:cs="Times New Roman"/>
          <w:b/>
          <w:bCs/>
          <w:color w:val="auto"/>
          <w:spacing w:val="-3"/>
          <w:sz w:val="28"/>
          <w:szCs w:val="28"/>
          <w:lang w:eastAsia="zh-CN"/>
        </w:rPr>
        <w:t>1.3</w:t>
      </w:r>
      <w:r>
        <w:rPr>
          <w:rFonts w:ascii="宋体" w:hAnsi="宋体" w:eastAsia="宋体" w:cs="宋体"/>
          <w:b/>
          <w:bCs/>
          <w:color w:val="auto"/>
          <w:spacing w:val="-3"/>
          <w:sz w:val="28"/>
          <w:szCs w:val="28"/>
          <w:lang w:eastAsia="zh-CN"/>
        </w:rPr>
        <w:t>招标范围、计划工期和质量要求</w:t>
      </w:r>
    </w:p>
    <w:p w14:paraId="6D8B0C96">
      <w:pPr>
        <w:keepNext w:val="0"/>
        <w:keepLines w:val="0"/>
        <w:pageBreakBefore w:val="0"/>
        <w:widowControl/>
        <w:kinsoku w:val="0"/>
        <w:wordWrap/>
        <w:overflowPunct/>
        <w:topLinePunct w:val="0"/>
        <w:autoSpaceDE w:val="0"/>
        <w:autoSpaceDN w:val="0"/>
        <w:bidi w:val="0"/>
        <w:adjustRightInd w:val="0"/>
        <w:snapToGrid w:val="0"/>
        <w:spacing w:before="157" w:line="460" w:lineRule="exact"/>
        <w:ind w:left="499"/>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1.3.1 招标范围：见投标人须知前附表。</w:t>
      </w:r>
    </w:p>
    <w:p w14:paraId="7588760A">
      <w:pPr>
        <w:keepNext w:val="0"/>
        <w:keepLines w:val="0"/>
        <w:pageBreakBefore w:val="0"/>
        <w:widowControl/>
        <w:kinsoku w:val="0"/>
        <w:wordWrap/>
        <w:overflowPunct/>
        <w:topLinePunct w:val="0"/>
        <w:autoSpaceDE w:val="0"/>
        <w:autoSpaceDN w:val="0"/>
        <w:bidi w:val="0"/>
        <w:adjustRightInd w:val="0"/>
        <w:snapToGrid w:val="0"/>
        <w:spacing w:before="29" w:line="460" w:lineRule="exact"/>
        <w:ind w:left="499"/>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1.3.2 计划工期：见投标人须知前附表。</w:t>
      </w:r>
    </w:p>
    <w:p w14:paraId="40E0F6B0">
      <w:pPr>
        <w:keepNext w:val="0"/>
        <w:keepLines w:val="0"/>
        <w:pageBreakBefore w:val="0"/>
        <w:widowControl/>
        <w:kinsoku w:val="0"/>
        <w:wordWrap/>
        <w:overflowPunct/>
        <w:topLinePunct w:val="0"/>
        <w:autoSpaceDE w:val="0"/>
        <w:autoSpaceDN w:val="0"/>
        <w:bidi w:val="0"/>
        <w:adjustRightInd w:val="0"/>
        <w:snapToGrid w:val="0"/>
        <w:spacing w:before="29" w:line="460" w:lineRule="exact"/>
        <w:ind w:left="499"/>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1.3.3 质量要求：见投标人须知前附表。</w:t>
      </w:r>
    </w:p>
    <w:p w14:paraId="31468D02">
      <w:pPr>
        <w:keepNext w:val="0"/>
        <w:keepLines w:val="0"/>
        <w:pageBreakBefore w:val="0"/>
        <w:widowControl/>
        <w:kinsoku w:val="0"/>
        <w:wordWrap/>
        <w:overflowPunct/>
        <w:topLinePunct w:val="0"/>
        <w:autoSpaceDE w:val="0"/>
        <w:autoSpaceDN w:val="0"/>
        <w:bidi w:val="0"/>
        <w:adjustRightInd w:val="0"/>
        <w:snapToGrid w:val="0"/>
        <w:spacing w:before="162" w:line="460" w:lineRule="exact"/>
        <w:ind w:left="500"/>
        <w:textAlignment w:val="auto"/>
        <w:rPr>
          <w:rFonts w:ascii="宋体" w:hAnsi="宋体" w:eastAsia="宋体" w:cs="宋体"/>
          <w:color w:val="auto"/>
          <w:sz w:val="28"/>
          <w:szCs w:val="28"/>
          <w:lang w:eastAsia="zh-CN"/>
        </w:rPr>
      </w:pPr>
      <w:r>
        <w:rPr>
          <w:rFonts w:ascii="Times New Roman" w:hAnsi="Times New Roman" w:eastAsia="Times New Roman" w:cs="Times New Roman"/>
          <w:b/>
          <w:bCs/>
          <w:color w:val="auto"/>
          <w:spacing w:val="-4"/>
          <w:sz w:val="28"/>
          <w:szCs w:val="28"/>
          <w:lang w:eastAsia="zh-CN"/>
        </w:rPr>
        <w:t>1.4</w:t>
      </w:r>
      <w:r>
        <w:rPr>
          <w:rFonts w:ascii="宋体" w:hAnsi="宋体" w:eastAsia="宋体" w:cs="宋体"/>
          <w:b/>
          <w:bCs/>
          <w:color w:val="auto"/>
          <w:spacing w:val="-4"/>
          <w:sz w:val="28"/>
          <w:szCs w:val="28"/>
          <w:lang w:eastAsia="zh-CN"/>
        </w:rPr>
        <w:t>投标人资格要求</w:t>
      </w:r>
    </w:p>
    <w:p w14:paraId="76C7A9FB">
      <w:pPr>
        <w:keepNext w:val="0"/>
        <w:keepLines w:val="0"/>
        <w:pageBreakBefore w:val="0"/>
        <w:widowControl/>
        <w:kinsoku w:val="0"/>
        <w:wordWrap/>
        <w:overflowPunct/>
        <w:topLinePunct w:val="0"/>
        <w:autoSpaceDE w:val="0"/>
        <w:autoSpaceDN w:val="0"/>
        <w:bidi w:val="0"/>
        <w:adjustRightInd w:val="0"/>
        <w:snapToGrid w:val="0"/>
        <w:spacing w:before="158" w:line="460" w:lineRule="exact"/>
        <w:ind w:left="500"/>
        <w:textAlignment w:val="auto"/>
        <w:rPr>
          <w:rFonts w:ascii="宋体" w:hAnsi="宋体" w:eastAsia="宋体" w:cs="宋体"/>
          <w:color w:val="auto"/>
          <w:sz w:val="24"/>
          <w:szCs w:val="24"/>
          <w:lang w:eastAsia="zh-CN"/>
        </w:rPr>
      </w:pPr>
      <w:r>
        <w:rPr>
          <w:rFonts w:ascii="Times New Roman" w:hAnsi="Times New Roman" w:eastAsia="Times New Roman" w:cs="Times New Roman"/>
          <w:color w:val="auto"/>
          <w:spacing w:val="-1"/>
          <w:sz w:val="24"/>
          <w:szCs w:val="24"/>
          <w:lang w:eastAsia="zh-CN"/>
        </w:rPr>
        <w:t xml:space="preserve">1.4.1 </w:t>
      </w:r>
      <w:r>
        <w:rPr>
          <w:rFonts w:ascii="宋体" w:hAnsi="宋体" w:eastAsia="宋体" w:cs="宋体"/>
          <w:color w:val="auto"/>
          <w:spacing w:val="-1"/>
          <w:sz w:val="24"/>
          <w:szCs w:val="24"/>
          <w:lang w:eastAsia="zh-CN"/>
        </w:rPr>
        <w:t>投标人应具备承担本招标项目资质条件、能力和信誉：</w:t>
      </w:r>
    </w:p>
    <w:p w14:paraId="232BDC76">
      <w:pPr>
        <w:keepNext w:val="0"/>
        <w:keepLines w:val="0"/>
        <w:pageBreakBefore w:val="0"/>
        <w:widowControl/>
        <w:kinsoku w:val="0"/>
        <w:wordWrap/>
        <w:overflowPunct/>
        <w:topLinePunct w:val="0"/>
        <w:autoSpaceDE w:val="0"/>
        <w:autoSpaceDN w:val="0"/>
        <w:bidi w:val="0"/>
        <w:adjustRightInd w:val="0"/>
        <w:snapToGrid w:val="0"/>
        <w:spacing w:before="29" w:line="460" w:lineRule="exact"/>
        <w:ind w:left="493"/>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w:t>
      </w:r>
      <w:r>
        <w:rPr>
          <w:rFonts w:ascii="Times New Roman" w:hAnsi="Times New Roman" w:eastAsia="Times New Roman" w:cs="Times New Roman"/>
          <w:color w:val="auto"/>
          <w:spacing w:val="-2"/>
          <w:sz w:val="24"/>
          <w:szCs w:val="24"/>
          <w:lang w:eastAsia="zh-CN"/>
        </w:rPr>
        <w:t>1</w:t>
      </w:r>
      <w:r>
        <w:rPr>
          <w:rFonts w:ascii="宋体" w:hAnsi="宋体" w:eastAsia="宋体" w:cs="宋体"/>
          <w:color w:val="auto"/>
          <w:spacing w:val="-2"/>
          <w:sz w:val="24"/>
          <w:szCs w:val="24"/>
          <w:lang w:eastAsia="zh-CN"/>
        </w:rPr>
        <w:t>）资质要求：见投标人须知前附表；</w:t>
      </w:r>
    </w:p>
    <w:p w14:paraId="035249BB">
      <w:pPr>
        <w:keepNext w:val="0"/>
        <w:keepLines w:val="0"/>
        <w:pageBreakBefore w:val="0"/>
        <w:widowControl/>
        <w:kinsoku w:val="0"/>
        <w:wordWrap/>
        <w:overflowPunct/>
        <w:topLinePunct w:val="0"/>
        <w:autoSpaceDE w:val="0"/>
        <w:autoSpaceDN w:val="0"/>
        <w:bidi w:val="0"/>
        <w:adjustRightInd w:val="0"/>
        <w:snapToGrid w:val="0"/>
        <w:spacing w:before="28" w:line="460" w:lineRule="exact"/>
        <w:ind w:left="493"/>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w:t>
      </w:r>
      <w:r>
        <w:rPr>
          <w:rFonts w:ascii="Times New Roman" w:hAnsi="Times New Roman" w:eastAsia="Times New Roman" w:cs="Times New Roman"/>
          <w:color w:val="auto"/>
          <w:spacing w:val="-2"/>
          <w:sz w:val="24"/>
          <w:szCs w:val="24"/>
          <w:lang w:eastAsia="zh-CN"/>
        </w:rPr>
        <w:t>2</w:t>
      </w:r>
      <w:r>
        <w:rPr>
          <w:rFonts w:ascii="宋体" w:hAnsi="宋体" w:eastAsia="宋体" w:cs="宋体"/>
          <w:color w:val="auto"/>
          <w:spacing w:val="-2"/>
          <w:sz w:val="24"/>
          <w:szCs w:val="24"/>
          <w:lang w:eastAsia="zh-CN"/>
        </w:rPr>
        <w:t>）业绩要求：见投标人须知前附表；</w:t>
      </w:r>
    </w:p>
    <w:p w14:paraId="783F12E0">
      <w:pPr>
        <w:keepNext w:val="0"/>
        <w:keepLines w:val="0"/>
        <w:pageBreakBefore w:val="0"/>
        <w:widowControl/>
        <w:kinsoku w:val="0"/>
        <w:wordWrap/>
        <w:overflowPunct/>
        <w:topLinePunct w:val="0"/>
        <w:autoSpaceDE w:val="0"/>
        <w:autoSpaceDN w:val="0"/>
        <w:bidi w:val="0"/>
        <w:adjustRightInd w:val="0"/>
        <w:snapToGrid w:val="0"/>
        <w:spacing w:before="29" w:line="460" w:lineRule="exact"/>
        <w:ind w:left="493"/>
        <w:textAlignment w:val="auto"/>
        <w:rPr>
          <w:rFonts w:ascii="宋体" w:hAnsi="宋体" w:eastAsia="宋体" w:cs="宋体"/>
          <w:color w:val="auto"/>
          <w:sz w:val="24"/>
          <w:szCs w:val="24"/>
          <w:lang w:eastAsia="zh-CN"/>
        </w:rPr>
      </w:pPr>
      <w:r>
        <w:rPr>
          <w:rFonts w:ascii="宋体" w:hAnsi="宋体" w:eastAsia="宋体" w:cs="宋体"/>
          <w:color w:val="auto"/>
          <w:spacing w:val="-3"/>
          <w:sz w:val="24"/>
          <w:szCs w:val="24"/>
          <w:lang w:eastAsia="zh-CN"/>
        </w:rPr>
        <w:t>（</w:t>
      </w:r>
      <w:r>
        <w:rPr>
          <w:rFonts w:ascii="Times New Roman" w:hAnsi="Times New Roman" w:eastAsia="Times New Roman" w:cs="Times New Roman"/>
          <w:color w:val="auto"/>
          <w:spacing w:val="-3"/>
          <w:sz w:val="24"/>
          <w:szCs w:val="24"/>
          <w:lang w:eastAsia="zh-CN"/>
        </w:rPr>
        <w:t>3</w:t>
      </w:r>
      <w:r>
        <w:rPr>
          <w:rFonts w:ascii="宋体" w:hAnsi="宋体" w:eastAsia="宋体" w:cs="宋体"/>
          <w:color w:val="auto"/>
          <w:spacing w:val="-3"/>
          <w:sz w:val="24"/>
          <w:szCs w:val="24"/>
          <w:lang w:eastAsia="zh-CN"/>
        </w:rPr>
        <w:t>）拟派项目负责人的资格要求：见投标人须知前附表；</w:t>
      </w:r>
    </w:p>
    <w:p w14:paraId="79EB77C3">
      <w:pPr>
        <w:keepNext w:val="0"/>
        <w:keepLines w:val="0"/>
        <w:pageBreakBefore w:val="0"/>
        <w:widowControl/>
        <w:kinsoku w:val="0"/>
        <w:wordWrap/>
        <w:overflowPunct/>
        <w:topLinePunct w:val="0"/>
        <w:autoSpaceDE w:val="0"/>
        <w:autoSpaceDN w:val="0"/>
        <w:bidi w:val="0"/>
        <w:adjustRightInd w:val="0"/>
        <w:snapToGrid w:val="0"/>
        <w:spacing w:before="28" w:line="460" w:lineRule="exact"/>
        <w:ind w:left="493"/>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w:t>
      </w:r>
      <w:r>
        <w:rPr>
          <w:rFonts w:ascii="Times New Roman" w:hAnsi="Times New Roman" w:eastAsia="Times New Roman" w:cs="Times New Roman"/>
          <w:color w:val="auto"/>
          <w:spacing w:val="-2"/>
          <w:sz w:val="24"/>
          <w:szCs w:val="24"/>
          <w:lang w:eastAsia="zh-CN"/>
        </w:rPr>
        <w:t>4</w:t>
      </w:r>
      <w:r>
        <w:rPr>
          <w:rFonts w:ascii="宋体" w:hAnsi="宋体" w:eastAsia="宋体" w:cs="宋体"/>
          <w:color w:val="auto"/>
          <w:spacing w:val="-2"/>
          <w:sz w:val="24"/>
          <w:szCs w:val="24"/>
          <w:lang w:eastAsia="zh-CN"/>
        </w:rPr>
        <w:t>）其他要求：见投标人须知前附表。</w:t>
      </w:r>
    </w:p>
    <w:p w14:paraId="5BF57D38">
      <w:pPr>
        <w:keepNext w:val="0"/>
        <w:keepLines w:val="0"/>
        <w:pageBreakBefore w:val="0"/>
        <w:widowControl/>
        <w:kinsoku w:val="0"/>
        <w:wordWrap/>
        <w:overflowPunct/>
        <w:topLinePunct w:val="0"/>
        <w:autoSpaceDE w:val="0"/>
        <w:autoSpaceDN w:val="0"/>
        <w:bidi w:val="0"/>
        <w:adjustRightInd w:val="0"/>
        <w:snapToGrid w:val="0"/>
        <w:spacing w:before="29" w:line="460" w:lineRule="exact"/>
        <w:ind w:left="1" w:right="6" w:firstLine="498"/>
        <w:textAlignment w:val="auto"/>
        <w:rPr>
          <w:rFonts w:ascii="宋体" w:hAnsi="宋体" w:eastAsia="宋体" w:cs="宋体"/>
          <w:color w:val="auto"/>
          <w:sz w:val="24"/>
          <w:szCs w:val="24"/>
          <w:lang w:eastAsia="zh-CN"/>
        </w:rPr>
      </w:pPr>
      <w:r>
        <w:rPr>
          <w:rFonts w:ascii="Times New Roman" w:hAnsi="Times New Roman" w:eastAsia="Times New Roman" w:cs="Times New Roman"/>
          <w:color w:val="auto"/>
          <w:spacing w:val="-1"/>
          <w:sz w:val="24"/>
          <w:szCs w:val="24"/>
          <w:lang w:eastAsia="zh-CN"/>
        </w:rPr>
        <w:t xml:space="preserve">1.4.2 </w:t>
      </w:r>
      <w:r>
        <w:rPr>
          <w:rFonts w:ascii="宋体" w:hAnsi="宋体" w:eastAsia="宋体" w:cs="宋体"/>
          <w:color w:val="auto"/>
          <w:spacing w:val="-1"/>
          <w:sz w:val="24"/>
          <w:szCs w:val="24"/>
          <w:lang w:eastAsia="zh-CN"/>
        </w:rPr>
        <w:t>投标人须知前附表规定接受联合体投标的，联合体除应符合本章第</w:t>
      </w:r>
      <w:r>
        <w:rPr>
          <w:rFonts w:ascii="Times New Roman" w:hAnsi="Times New Roman" w:eastAsia="Times New Roman" w:cs="Times New Roman"/>
          <w:color w:val="auto"/>
          <w:spacing w:val="-1"/>
          <w:sz w:val="24"/>
          <w:szCs w:val="24"/>
          <w:lang w:eastAsia="zh-CN"/>
        </w:rPr>
        <w:t>1.4.1</w:t>
      </w:r>
      <w:r>
        <w:rPr>
          <w:rFonts w:ascii="宋体" w:hAnsi="宋体" w:eastAsia="宋体" w:cs="宋体"/>
          <w:color w:val="auto"/>
          <w:spacing w:val="-1"/>
          <w:sz w:val="24"/>
          <w:szCs w:val="24"/>
          <w:lang w:eastAsia="zh-CN"/>
        </w:rPr>
        <w:t>项和投标人须知前附表的要求外，还应遵守以下规定：</w:t>
      </w:r>
    </w:p>
    <w:p w14:paraId="3722E127">
      <w:pPr>
        <w:keepNext w:val="0"/>
        <w:keepLines w:val="0"/>
        <w:pageBreakBefore w:val="0"/>
        <w:widowControl/>
        <w:kinsoku w:val="0"/>
        <w:wordWrap/>
        <w:overflowPunct/>
        <w:topLinePunct w:val="0"/>
        <w:autoSpaceDE w:val="0"/>
        <w:autoSpaceDN w:val="0"/>
        <w:bidi w:val="0"/>
        <w:adjustRightInd w:val="0"/>
        <w:snapToGrid w:val="0"/>
        <w:spacing w:before="30" w:line="460" w:lineRule="exact"/>
        <w:ind w:left="5" w:right="7" w:firstLine="487"/>
        <w:textAlignment w:val="auto"/>
        <w:rPr>
          <w:rFonts w:ascii="宋体" w:hAnsi="宋体" w:eastAsia="宋体" w:cs="宋体"/>
          <w:color w:val="auto"/>
          <w:sz w:val="24"/>
          <w:szCs w:val="24"/>
          <w:lang w:eastAsia="zh-CN"/>
        </w:rPr>
      </w:pPr>
      <w:r>
        <w:rPr>
          <w:rFonts w:ascii="宋体" w:hAnsi="宋体" w:eastAsia="宋体" w:cs="宋体"/>
          <w:color w:val="auto"/>
          <w:spacing w:val="5"/>
          <w:sz w:val="24"/>
          <w:szCs w:val="24"/>
          <w:lang w:eastAsia="zh-CN"/>
        </w:rPr>
        <w:t>（</w:t>
      </w:r>
      <w:r>
        <w:rPr>
          <w:rFonts w:ascii="Times New Roman" w:hAnsi="Times New Roman" w:eastAsia="Times New Roman" w:cs="Times New Roman"/>
          <w:color w:val="auto"/>
          <w:spacing w:val="5"/>
          <w:sz w:val="24"/>
          <w:szCs w:val="24"/>
          <w:lang w:eastAsia="zh-CN"/>
        </w:rPr>
        <w:t>1</w:t>
      </w:r>
      <w:r>
        <w:rPr>
          <w:rFonts w:ascii="宋体" w:hAnsi="宋体" w:eastAsia="宋体" w:cs="宋体"/>
          <w:color w:val="auto"/>
          <w:spacing w:val="5"/>
          <w:sz w:val="24"/>
          <w:szCs w:val="24"/>
          <w:lang w:eastAsia="zh-CN"/>
        </w:rPr>
        <w:t>）联合体各方应按招标文件提供的格式签订联合体协议书，明确联合体牵</w:t>
      </w:r>
      <w:r>
        <w:rPr>
          <w:rFonts w:ascii="宋体" w:hAnsi="宋体" w:eastAsia="宋体" w:cs="宋体"/>
          <w:color w:val="auto"/>
          <w:spacing w:val="-2"/>
          <w:sz w:val="24"/>
          <w:szCs w:val="24"/>
          <w:lang w:eastAsia="zh-CN"/>
        </w:rPr>
        <w:t>头人和各方权利义务；</w:t>
      </w:r>
    </w:p>
    <w:p w14:paraId="0EBED37E">
      <w:pPr>
        <w:keepNext w:val="0"/>
        <w:keepLines w:val="0"/>
        <w:pageBreakBefore w:val="0"/>
        <w:widowControl/>
        <w:kinsoku w:val="0"/>
        <w:wordWrap/>
        <w:overflowPunct/>
        <w:topLinePunct w:val="0"/>
        <w:autoSpaceDE w:val="0"/>
        <w:autoSpaceDN w:val="0"/>
        <w:bidi w:val="0"/>
        <w:adjustRightInd w:val="0"/>
        <w:snapToGrid w:val="0"/>
        <w:spacing w:before="28" w:line="460" w:lineRule="exact"/>
        <w:ind w:left="2" w:right="7" w:firstLine="490"/>
        <w:textAlignment w:val="auto"/>
        <w:rPr>
          <w:rFonts w:ascii="宋体" w:hAnsi="宋体" w:eastAsia="宋体" w:cs="宋体"/>
          <w:color w:val="auto"/>
          <w:sz w:val="24"/>
          <w:szCs w:val="24"/>
          <w:lang w:eastAsia="zh-CN"/>
        </w:rPr>
      </w:pPr>
      <w:r>
        <w:rPr>
          <w:rFonts w:ascii="宋体" w:hAnsi="宋体" w:eastAsia="宋体" w:cs="宋体"/>
          <w:color w:val="auto"/>
          <w:spacing w:val="5"/>
          <w:sz w:val="24"/>
          <w:szCs w:val="24"/>
          <w:lang w:eastAsia="zh-CN"/>
        </w:rPr>
        <w:t>（</w:t>
      </w:r>
      <w:r>
        <w:rPr>
          <w:rFonts w:ascii="Times New Roman" w:hAnsi="Times New Roman" w:eastAsia="Times New Roman" w:cs="Times New Roman"/>
          <w:color w:val="auto"/>
          <w:spacing w:val="5"/>
          <w:sz w:val="24"/>
          <w:szCs w:val="24"/>
          <w:lang w:eastAsia="zh-CN"/>
        </w:rPr>
        <w:t>2</w:t>
      </w:r>
      <w:r>
        <w:rPr>
          <w:rFonts w:ascii="宋体" w:hAnsi="宋体" w:eastAsia="宋体" w:cs="宋体"/>
          <w:color w:val="auto"/>
          <w:spacing w:val="5"/>
          <w:sz w:val="24"/>
          <w:szCs w:val="24"/>
          <w:lang w:eastAsia="zh-CN"/>
        </w:rPr>
        <w:t>）联合体的各专业资质等级，根据联合体协议约定的专业分工，分别按照</w:t>
      </w:r>
      <w:r>
        <w:rPr>
          <w:rFonts w:ascii="宋体" w:hAnsi="宋体" w:eastAsia="宋体" w:cs="宋体"/>
          <w:color w:val="auto"/>
          <w:spacing w:val="-1"/>
          <w:sz w:val="24"/>
          <w:szCs w:val="24"/>
          <w:lang w:eastAsia="zh-CN"/>
        </w:rPr>
        <w:t>承担相应专业工作的资质等级较低的单位确定；</w:t>
      </w:r>
    </w:p>
    <w:p w14:paraId="6139955C">
      <w:pPr>
        <w:keepNext w:val="0"/>
        <w:keepLines w:val="0"/>
        <w:pageBreakBefore w:val="0"/>
        <w:widowControl/>
        <w:kinsoku w:val="0"/>
        <w:wordWrap/>
        <w:overflowPunct/>
        <w:topLinePunct w:val="0"/>
        <w:autoSpaceDE w:val="0"/>
        <w:autoSpaceDN w:val="0"/>
        <w:bidi w:val="0"/>
        <w:adjustRightInd w:val="0"/>
        <w:snapToGrid w:val="0"/>
        <w:spacing w:before="27" w:line="460" w:lineRule="exact"/>
        <w:ind w:left="2" w:right="7" w:firstLine="490"/>
        <w:textAlignment w:val="auto"/>
        <w:rPr>
          <w:rFonts w:ascii="宋体" w:hAnsi="宋体" w:eastAsia="宋体" w:cs="宋体"/>
          <w:color w:val="auto"/>
          <w:sz w:val="24"/>
          <w:szCs w:val="24"/>
          <w:lang w:eastAsia="zh-CN"/>
        </w:rPr>
      </w:pPr>
      <w:r>
        <w:rPr>
          <w:rFonts w:ascii="宋体" w:hAnsi="宋体" w:eastAsia="宋体" w:cs="宋体"/>
          <w:color w:val="auto"/>
          <w:spacing w:val="11"/>
          <w:sz w:val="24"/>
          <w:szCs w:val="24"/>
          <w:lang w:eastAsia="zh-CN"/>
        </w:rPr>
        <w:t>（</w:t>
      </w:r>
      <w:r>
        <w:rPr>
          <w:rFonts w:ascii="Times New Roman" w:hAnsi="Times New Roman" w:eastAsia="Times New Roman" w:cs="Times New Roman"/>
          <w:color w:val="auto"/>
          <w:spacing w:val="11"/>
          <w:sz w:val="24"/>
          <w:szCs w:val="24"/>
          <w:lang w:eastAsia="zh-CN"/>
        </w:rPr>
        <w:t>3</w:t>
      </w:r>
      <w:r>
        <w:rPr>
          <w:rFonts w:ascii="宋体" w:hAnsi="宋体" w:eastAsia="宋体" w:cs="宋体"/>
          <w:color w:val="auto"/>
          <w:spacing w:val="11"/>
          <w:sz w:val="24"/>
          <w:szCs w:val="24"/>
          <w:lang w:eastAsia="zh-CN"/>
        </w:rPr>
        <w:t>）联合体各方不得再以自己名义单独或参加其他联合体在同一标段中投</w:t>
      </w:r>
      <w:r>
        <w:rPr>
          <w:rFonts w:ascii="宋体" w:hAnsi="宋体" w:eastAsia="宋体" w:cs="宋体"/>
          <w:color w:val="auto"/>
          <w:spacing w:val="-6"/>
          <w:sz w:val="24"/>
          <w:szCs w:val="24"/>
          <w:lang w:eastAsia="zh-CN"/>
        </w:rPr>
        <w:t>标；</w:t>
      </w:r>
    </w:p>
    <w:p w14:paraId="20B77263">
      <w:pPr>
        <w:keepNext w:val="0"/>
        <w:keepLines w:val="0"/>
        <w:pageBreakBefore w:val="0"/>
        <w:widowControl/>
        <w:kinsoku w:val="0"/>
        <w:wordWrap/>
        <w:overflowPunct/>
        <w:topLinePunct w:val="0"/>
        <w:autoSpaceDE w:val="0"/>
        <w:autoSpaceDN w:val="0"/>
        <w:bidi w:val="0"/>
        <w:adjustRightInd w:val="0"/>
        <w:snapToGrid w:val="0"/>
        <w:spacing w:before="27" w:line="460" w:lineRule="exact"/>
        <w:ind w:left="493"/>
        <w:textAlignment w:val="auto"/>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w:t>
      </w:r>
      <w:r>
        <w:rPr>
          <w:rFonts w:ascii="Times New Roman" w:hAnsi="Times New Roman" w:eastAsia="Times New Roman" w:cs="Times New Roman"/>
          <w:color w:val="auto"/>
          <w:spacing w:val="-1"/>
          <w:sz w:val="24"/>
          <w:szCs w:val="24"/>
          <w:lang w:eastAsia="zh-CN"/>
        </w:rPr>
        <w:t>4</w:t>
      </w:r>
      <w:r>
        <w:rPr>
          <w:rFonts w:ascii="宋体" w:hAnsi="宋体" w:eastAsia="宋体" w:cs="宋体"/>
          <w:color w:val="auto"/>
          <w:spacing w:val="-1"/>
          <w:sz w:val="24"/>
          <w:szCs w:val="24"/>
          <w:lang w:eastAsia="zh-CN"/>
        </w:rPr>
        <w:t>）联合体投标其他要求见投标人须知前附表。</w:t>
      </w:r>
    </w:p>
    <w:p w14:paraId="4AD6AE00">
      <w:pPr>
        <w:keepNext w:val="0"/>
        <w:keepLines w:val="0"/>
        <w:pageBreakBefore w:val="0"/>
        <w:widowControl/>
        <w:kinsoku w:val="0"/>
        <w:wordWrap/>
        <w:overflowPunct/>
        <w:topLinePunct w:val="0"/>
        <w:autoSpaceDE w:val="0"/>
        <w:autoSpaceDN w:val="0"/>
        <w:bidi w:val="0"/>
        <w:adjustRightInd w:val="0"/>
        <w:snapToGrid w:val="0"/>
        <w:spacing w:before="28" w:line="460" w:lineRule="exact"/>
        <w:ind w:left="500"/>
        <w:textAlignment w:val="auto"/>
        <w:rPr>
          <w:rFonts w:ascii="宋体" w:hAnsi="宋体" w:eastAsia="宋体" w:cs="宋体"/>
          <w:color w:val="auto"/>
          <w:sz w:val="24"/>
          <w:szCs w:val="24"/>
          <w:lang w:eastAsia="zh-CN"/>
        </w:rPr>
      </w:pPr>
      <w:r>
        <w:rPr>
          <w:rFonts w:ascii="Times New Roman" w:hAnsi="Times New Roman" w:eastAsia="Times New Roman" w:cs="Times New Roman"/>
          <w:color w:val="auto"/>
          <w:spacing w:val="-1"/>
          <w:sz w:val="24"/>
          <w:szCs w:val="24"/>
          <w:lang w:eastAsia="zh-CN"/>
        </w:rPr>
        <w:t xml:space="preserve">1.4.3 </w:t>
      </w:r>
      <w:r>
        <w:rPr>
          <w:rFonts w:ascii="宋体" w:hAnsi="宋体" w:eastAsia="宋体" w:cs="宋体"/>
          <w:color w:val="auto"/>
          <w:spacing w:val="-1"/>
          <w:sz w:val="24"/>
          <w:szCs w:val="24"/>
          <w:lang w:eastAsia="zh-CN"/>
        </w:rPr>
        <w:t>投标人的资格审查方式：见投标人须知前</w:t>
      </w:r>
      <w:r>
        <w:rPr>
          <w:rFonts w:ascii="宋体" w:hAnsi="宋体" w:eastAsia="宋体" w:cs="宋体"/>
          <w:color w:val="auto"/>
          <w:spacing w:val="-2"/>
          <w:sz w:val="24"/>
          <w:szCs w:val="24"/>
          <w:lang w:eastAsia="zh-CN"/>
        </w:rPr>
        <w:t>附表。</w:t>
      </w:r>
    </w:p>
    <w:p w14:paraId="418AE58B">
      <w:pPr>
        <w:keepNext w:val="0"/>
        <w:keepLines w:val="0"/>
        <w:pageBreakBefore w:val="0"/>
        <w:widowControl/>
        <w:kinsoku w:val="0"/>
        <w:wordWrap/>
        <w:overflowPunct/>
        <w:topLinePunct w:val="0"/>
        <w:autoSpaceDE w:val="0"/>
        <w:autoSpaceDN w:val="0"/>
        <w:bidi w:val="0"/>
        <w:adjustRightInd w:val="0"/>
        <w:snapToGrid w:val="0"/>
        <w:spacing w:before="29" w:line="460" w:lineRule="exact"/>
        <w:ind w:left="500"/>
        <w:textAlignment w:val="auto"/>
        <w:rPr>
          <w:rFonts w:ascii="宋体" w:hAnsi="宋体" w:eastAsia="宋体" w:cs="宋体"/>
          <w:color w:val="auto"/>
          <w:sz w:val="24"/>
          <w:szCs w:val="24"/>
          <w:lang w:eastAsia="zh-CN"/>
        </w:rPr>
      </w:pPr>
      <w:r>
        <w:rPr>
          <w:rFonts w:ascii="Times New Roman" w:hAnsi="Times New Roman" w:eastAsia="Times New Roman" w:cs="Times New Roman"/>
          <w:color w:val="auto"/>
          <w:spacing w:val="-2"/>
          <w:sz w:val="24"/>
          <w:szCs w:val="24"/>
          <w:lang w:eastAsia="zh-CN"/>
        </w:rPr>
        <w:t xml:space="preserve">1.4.4 </w:t>
      </w:r>
      <w:r>
        <w:rPr>
          <w:rFonts w:ascii="宋体" w:hAnsi="宋体" w:eastAsia="宋体" w:cs="宋体"/>
          <w:color w:val="auto"/>
          <w:spacing w:val="-2"/>
          <w:sz w:val="24"/>
          <w:szCs w:val="24"/>
          <w:lang w:eastAsia="zh-CN"/>
        </w:rPr>
        <w:t>投标人不得存在下列情形之一：</w:t>
      </w:r>
    </w:p>
    <w:p w14:paraId="2EB5BA3C">
      <w:pPr>
        <w:keepNext w:val="0"/>
        <w:keepLines w:val="0"/>
        <w:pageBreakBefore w:val="0"/>
        <w:widowControl/>
        <w:kinsoku w:val="0"/>
        <w:wordWrap/>
        <w:overflowPunct/>
        <w:topLinePunct w:val="0"/>
        <w:autoSpaceDE w:val="0"/>
        <w:autoSpaceDN w:val="0"/>
        <w:bidi w:val="0"/>
        <w:adjustRightInd w:val="0"/>
        <w:snapToGrid w:val="0"/>
        <w:spacing w:before="27" w:line="460" w:lineRule="exact"/>
        <w:ind w:left="493"/>
        <w:textAlignment w:val="auto"/>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w:t>
      </w:r>
      <w:r>
        <w:rPr>
          <w:rFonts w:ascii="Times New Roman" w:hAnsi="Times New Roman" w:eastAsia="Times New Roman" w:cs="Times New Roman"/>
          <w:color w:val="auto"/>
          <w:spacing w:val="-1"/>
          <w:sz w:val="24"/>
          <w:szCs w:val="24"/>
          <w:lang w:eastAsia="zh-CN"/>
        </w:rPr>
        <w:t>1</w:t>
      </w:r>
      <w:r>
        <w:rPr>
          <w:rFonts w:ascii="宋体" w:hAnsi="宋体" w:eastAsia="宋体" w:cs="宋体"/>
          <w:color w:val="auto"/>
          <w:spacing w:val="-1"/>
          <w:sz w:val="24"/>
          <w:szCs w:val="24"/>
          <w:lang w:eastAsia="zh-CN"/>
        </w:rPr>
        <w:t>）为招标人不具有独立法人资格的附属机构（单位</w:t>
      </w:r>
      <w:r>
        <w:rPr>
          <w:rFonts w:ascii="宋体" w:hAnsi="宋体" w:eastAsia="宋体" w:cs="宋体"/>
          <w:color w:val="auto"/>
          <w:spacing w:val="1"/>
          <w:sz w:val="24"/>
          <w:szCs w:val="24"/>
          <w:lang w:eastAsia="zh-CN"/>
        </w:rPr>
        <w:t>）；</w:t>
      </w:r>
    </w:p>
    <w:p w14:paraId="05AE3ED8">
      <w:pPr>
        <w:keepNext w:val="0"/>
        <w:keepLines w:val="0"/>
        <w:pageBreakBefore w:val="0"/>
        <w:widowControl/>
        <w:kinsoku w:val="0"/>
        <w:wordWrap/>
        <w:overflowPunct/>
        <w:topLinePunct w:val="0"/>
        <w:autoSpaceDE w:val="0"/>
        <w:autoSpaceDN w:val="0"/>
        <w:bidi w:val="0"/>
        <w:adjustRightInd w:val="0"/>
        <w:snapToGrid w:val="0"/>
        <w:spacing w:before="30" w:line="460" w:lineRule="exact"/>
        <w:ind w:left="2" w:right="2" w:firstLine="490"/>
        <w:textAlignment w:val="auto"/>
        <w:rPr>
          <w:rFonts w:ascii="宋体" w:hAnsi="宋体" w:eastAsia="宋体" w:cs="宋体"/>
          <w:color w:val="auto"/>
          <w:sz w:val="24"/>
          <w:szCs w:val="24"/>
          <w:lang w:eastAsia="zh-CN"/>
        </w:rPr>
      </w:pPr>
      <w:r>
        <w:rPr>
          <w:rFonts w:ascii="宋体" w:hAnsi="宋体" w:eastAsia="宋体" w:cs="宋体"/>
          <w:color w:val="auto"/>
          <w:spacing w:val="6"/>
          <w:sz w:val="24"/>
          <w:szCs w:val="24"/>
          <w:lang w:eastAsia="zh-CN"/>
        </w:rPr>
        <w:t>（</w:t>
      </w:r>
      <w:r>
        <w:rPr>
          <w:rFonts w:ascii="Times New Roman" w:hAnsi="Times New Roman" w:eastAsia="Times New Roman" w:cs="Times New Roman"/>
          <w:color w:val="auto"/>
          <w:spacing w:val="6"/>
          <w:sz w:val="24"/>
          <w:szCs w:val="24"/>
          <w:lang w:eastAsia="zh-CN"/>
        </w:rPr>
        <w:t>2</w:t>
      </w:r>
      <w:r>
        <w:rPr>
          <w:rFonts w:ascii="宋体" w:hAnsi="宋体" w:eastAsia="宋体" w:cs="宋体"/>
          <w:color w:val="auto"/>
          <w:spacing w:val="6"/>
          <w:sz w:val="24"/>
          <w:szCs w:val="24"/>
          <w:lang w:eastAsia="zh-CN"/>
        </w:rPr>
        <w:t>）为与招标人存在利害关系可能影响招标公</w:t>
      </w:r>
      <w:r>
        <w:rPr>
          <w:rFonts w:ascii="宋体" w:hAnsi="宋体" w:eastAsia="宋体" w:cs="宋体"/>
          <w:color w:val="auto"/>
          <w:spacing w:val="5"/>
          <w:sz w:val="24"/>
          <w:szCs w:val="24"/>
          <w:lang w:eastAsia="zh-CN"/>
        </w:rPr>
        <w:t>正性的法人、其他组织或者个</w:t>
      </w:r>
      <w:r>
        <w:rPr>
          <w:rFonts w:ascii="宋体" w:hAnsi="宋体" w:eastAsia="宋体" w:cs="宋体"/>
          <w:color w:val="auto"/>
          <w:spacing w:val="-6"/>
          <w:sz w:val="24"/>
          <w:szCs w:val="24"/>
          <w:lang w:eastAsia="zh-CN"/>
        </w:rPr>
        <w:t>人；</w:t>
      </w:r>
    </w:p>
    <w:p w14:paraId="0B0713E7">
      <w:pPr>
        <w:keepNext w:val="0"/>
        <w:keepLines w:val="0"/>
        <w:pageBreakBefore w:val="0"/>
        <w:widowControl/>
        <w:kinsoku w:val="0"/>
        <w:wordWrap/>
        <w:overflowPunct/>
        <w:topLinePunct w:val="0"/>
        <w:autoSpaceDE w:val="0"/>
        <w:autoSpaceDN w:val="0"/>
        <w:bidi w:val="0"/>
        <w:adjustRightInd w:val="0"/>
        <w:snapToGrid w:val="0"/>
        <w:spacing w:before="47" w:line="460" w:lineRule="exact"/>
        <w:ind w:left="505"/>
        <w:textAlignment w:val="auto"/>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w:t>
      </w:r>
      <w:r>
        <w:rPr>
          <w:rFonts w:ascii="Times New Roman" w:hAnsi="Times New Roman" w:eastAsia="Times New Roman" w:cs="Times New Roman"/>
          <w:color w:val="auto"/>
          <w:spacing w:val="-1"/>
          <w:sz w:val="24"/>
          <w:szCs w:val="24"/>
          <w:lang w:eastAsia="zh-CN"/>
        </w:rPr>
        <w:t>3</w:t>
      </w:r>
      <w:r>
        <w:rPr>
          <w:rFonts w:ascii="宋体" w:hAnsi="宋体" w:eastAsia="宋体" w:cs="宋体"/>
          <w:color w:val="auto"/>
          <w:spacing w:val="-1"/>
          <w:sz w:val="24"/>
          <w:szCs w:val="24"/>
          <w:lang w:eastAsia="zh-CN"/>
        </w:rPr>
        <w:t>）不同投标人的单位负责人为同一人或者互相存在控股、管理关系的；</w:t>
      </w:r>
    </w:p>
    <w:p w14:paraId="165B28C1">
      <w:pPr>
        <w:keepNext w:val="0"/>
        <w:keepLines w:val="0"/>
        <w:pageBreakBefore w:val="0"/>
        <w:widowControl/>
        <w:kinsoku w:val="0"/>
        <w:wordWrap/>
        <w:overflowPunct/>
        <w:topLinePunct w:val="0"/>
        <w:autoSpaceDE w:val="0"/>
        <w:autoSpaceDN w:val="0"/>
        <w:bidi w:val="0"/>
        <w:adjustRightInd w:val="0"/>
        <w:snapToGrid w:val="0"/>
        <w:spacing w:before="27" w:line="460" w:lineRule="exact"/>
        <w:ind w:left="505"/>
        <w:textAlignment w:val="auto"/>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w:t>
      </w:r>
      <w:r>
        <w:rPr>
          <w:rFonts w:ascii="Times New Roman" w:hAnsi="Times New Roman" w:eastAsia="Times New Roman" w:cs="Times New Roman"/>
          <w:color w:val="auto"/>
          <w:spacing w:val="-1"/>
          <w:sz w:val="24"/>
          <w:szCs w:val="24"/>
          <w:lang w:eastAsia="zh-CN"/>
        </w:rPr>
        <w:t>4</w:t>
      </w:r>
      <w:r>
        <w:rPr>
          <w:rFonts w:ascii="宋体" w:hAnsi="宋体" w:eastAsia="宋体" w:cs="宋体"/>
          <w:color w:val="auto"/>
          <w:spacing w:val="-1"/>
          <w:sz w:val="24"/>
          <w:szCs w:val="24"/>
          <w:lang w:eastAsia="zh-CN"/>
        </w:rPr>
        <w:t>）为本标段前期准备提供设计或咨询服务的；</w:t>
      </w:r>
    </w:p>
    <w:p w14:paraId="71F4B354">
      <w:pPr>
        <w:keepNext w:val="0"/>
        <w:keepLines w:val="0"/>
        <w:pageBreakBefore w:val="0"/>
        <w:widowControl/>
        <w:kinsoku w:val="0"/>
        <w:wordWrap/>
        <w:overflowPunct/>
        <w:topLinePunct w:val="0"/>
        <w:autoSpaceDE w:val="0"/>
        <w:autoSpaceDN w:val="0"/>
        <w:bidi w:val="0"/>
        <w:adjustRightInd w:val="0"/>
        <w:snapToGrid w:val="0"/>
        <w:spacing w:before="28" w:line="460" w:lineRule="exact"/>
        <w:ind w:left="505"/>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w:t>
      </w:r>
      <w:r>
        <w:rPr>
          <w:rFonts w:ascii="Times New Roman" w:hAnsi="Times New Roman" w:eastAsia="Times New Roman" w:cs="Times New Roman"/>
          <w:color w:val="auto"/>
          <w:spacing w:val="-2"/>
          <w:sz w:val="24"/>
          <w:szCs w:val="24"/>
          <w:lang w:eastAsia="zh-CN"/>
        </w:rPr>
        <w:t>5</w:t>
      </w:r>
      <w:r>
        <w:rPr>
          <w:rFonts w:ascii="宋体" w:hAnsi="宋体" w:eastAsia="宋体" w:cs="宋体"/>
          <w:color w:val="auto"/>
          <w:spacing w:val="-2"/>
          <w:sz w:val="24"/>
          <w:szCs w:val="24"/>
          <w:lang w:eastAsia="zh-CN"/>
        </w:rPr>
        <w:t>）为本标段的监理人；</w:t>
      </w:r>
    </w:p>
    <w:p w14:paraId="6BBAE309">
      <w:pPr>
        <w:keepNext w:val="0"/>
        <w:keepLines w:val="0"/>
        <w:pageBreakBefore w:val="0"/>
        <w:widowControl/>
        <w:kinsoku w:val="0"/>
        <w:wordWrap/>
        <w:overflowPunct/>
        <w:topLinePunct w:val="0"/>
        <w:autoSpaceDE w:val="0"/>
        <w:autoSpaceDN w:val="0"/>
        <w:bidi w:val="0"/>
        <w:adjustRightInd w:val="0"/>
        <w:snapToGrid w:val="0"/>
        <w:spacing w:before="28" w:line="460" w:lineRule="exact"/>
        <w:ind w:left="505"/>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w:t>
      </w:r>
      <w:r>
        <w:rPr>
          <w:rFonts w:ascii="Times New Roman" w:hAnsi="Times New Roman" w:eastAsia="Times New Roman" w:cs="Times New Roman"/>
          <w:color w:val="auto"/>
          <w:spacing w:val="-2"/>
          <w:sz w:val="24"/>
          <w:szCs w:val="24"/>
          <w:lang w:eastAsia="zh-CN"/>
        </w:rPr>
        <w:t>6</w:t>
      </w:r>
      <w:r>
        <w:rPr>
          <w:rFonts w:ascii="宋体" w:hAnsi="宋体" w:eastAsia="宋体" w:cs="宋体"/>
          <w:color w:val="auto"/>
          <w:spacing w:val="-2"/>
          <w:sz w:val="24"/>
          <w:szCs w:val="24"/>
          <w:lang w:eastAsia="zh-CN"/>
        </w:rPr>
        <w:t>）为本标段的代建人；</w:t>
      </w:r>
    </w:p>
    <w:p w14:paraId="37816172">
      <w:pPr>
        <w:keepNext w:val="0"/>
        <w:keepLines w:val="0"/>
        <w:pageBreakBefore w:val="0"/>
        <w:widowControl/>
        <w:kinsoku w:val="0"/>
        <w:wordWrap/>
        <w:overflowPunct/>
        <w:topLinePunct w:val="0"/>
        <w:autoSpaceDE w:val="0"/>
        <w:autoSpaceDN w:val="0"/>
        <w:bidi w:val="0"/>
        <w:adjustRightInd w:val="0"/>
        <w:snapToGrid w:val="0"/>
        <w:spacing w:before="28" w:line="460" w:lineRule="exact"/>
        <w:ind w:left="505"/>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w:t>
      </w:r>
      <w:r>
        <w:rPr>
          <w:rFonts w:ascii="Times New Roman" w:hAnsi="Times New Roman" w:eastAsia="Times New Roman" w:cs="Times New Roman"/>
          <w:color w:val="auto"/>
          <w:spacing w:val="-2"/>
          <w:sz w:val="24"/>
          <w:szCs w:val="24"/>
          <w:lang w:eastAsia="zh-CN"/>
        </w:rPr>
        <w:t>7</w:t>
      </w:r>
      <w:r>
        <w:rPr>
          <w:rFonts w:ascii="宋体" w:hAnsi="宋体" w:eastAsia="宋体" w:cs="宋体"/>
          <w:color w:val="auto"/>
          <w:spacing w:val="-2"/>
          <w:sz w:val="24"/>
          <w:szCs w:val="24"/>
          <w:lang w:eastAsia="zh-CN"/>
        </w:rPr>
        <w:t>）为本标段提供招标代理服务的；</w:t>
      </w:r>
    </w:p>
    <w:p w14:paraId="7DE73961">
      <w:pPr>
        <w:keepNext w:val="0"/>
        <w:keepLines w:val="0"/>
        <w:pageBreakBefore w:val="0"/>
        <w:widowControl/>
        <w:kinsoku w:val="0"/>
        <w:wordWrap/>
        <w:overflowPunct/>
        <w:topLinePunct w:val="0"/>
        <w:autoSpaceDE w:val="0"/>
        <w:autoSpaceDN w:val="0"/>
        <w:bidi w:val="0"/>
        <w:adjustRightInd w:val="0"/>
        <w:snapToGrid w:val="0"/>
        <w:spacing w:before="29" w:line="460" w:lineRule="exact"/>
        <w:ind w:left="505"/>
        <w:textAlignment w:val="auto"/>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w:t>
      </w:r>
      <w:r>
        <w:rPr>
          <w:rFonts w:ascii="Times New Roman" w:hAnsi="Times New Roman" w:eastAsia="Times New Roman" w:cs="Times New Roman"/>
          <w:color w:val="auto"/>
          <w:spacing w:val="-1"/>
          <w:sz w:val="24"/>
          <w:szCs w:val="24"/>
          <w:lang w:eastAsia="zh-CN"/>
        </w:rPr>
        <w:t>8</w:t>
      </w:r>
      <w:r>
        <w:rPr>
          <w:rFonts w:ascii="宋体" w:hAnsi="宋体" w:eastAsia="宋体" w:cs="宋体"/>
          <w:color w:val="auto"/>
          <w:spacing w:val="-1"/>
          <w:sz w:val="24"/>
          <w:szCs w:val="24"/>
          <w:lang w:eastAsia="zh-CN"/>
        </w:rPr>
        <w:t>）与本标段的监理人或代建人或招标代理机构同为一个法定代表人的；</w:t>
      </w:r>
    </w:p>
    <w:p w14:paraId="6CF48D42">
      <w:pPr>
        <w:keepNext w:val="0"/>
        <w:keepLines w:val="0"/>
        <w:pageBreakBefore w:val="0"/>
        <w:widowControl/>
        <w:kinsoku w:val="0"/>
        <w:wordWrap/>
        <w:overflowPunct/>
        <w:topLinePunct w:val="0"/>
        <w:autoSpaceDE w:val="0"/>
        <w:autoSpaceDN w:val="0"/>
        <w:bidi w:val="0"/>
        <w:adjustRightInd w:val="0"/>
        <w:snapToGrid w:val="0"/>
        <w:spacing w:before="28" w:line="460" w:lineRule="exact"/>
        <w:ind w:left="505"/>
        <w:textAlignment w:val="auto"/>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w:t>
      </w:r>
      <w:r>
        <w:rPr>
          <w:rFonts w:ascii="Times New Roman" w:hAnsi="Times New Roman" w:eastAsia="Times New Roman" w:cs="Times New Roman"/>
          <w:color w:val="auto"/>
          <w:spacing w:val="-1"/>
          <w:sz w:val="24"/>
          <w:szCs w:val="24"/>
          <w:lang w:eastAsia="zh-CN"/>
        </w:rPr>
        <w:t>9</w:t>
      </w:r>
      <w:r>
        <w:rPr>
          <w:rFonts w:ascii="宋体" w:hAnsi="宋体" w:eastAsia="宋体" w:cs="宋体"/>
          <w:color w:val="auto"/>
          <w:spacing w:val="-1"/>
          <w:sz w:val="24"/>
          <w:szCs w:val="24"/>
          <w:lang w:eastAsia="zh-CN"/>
        </w:rPr>
        <w:t>）与本标段的监理人或代建人或招标代理机构相互控股或参股的；</w:t>
      </w:r>
    </w:p>
    <w:p w14:paraId="164FB14E">
      <w:pPr>
        <w:keepNext w:val="0"/>
        <w:keepLines w:val="0"/>
        <w:pageBreakBefore w:val="0"/>
        <w:widowControl/>
        <w:kinsoku w:val="0"/>
        <w:wordWrap/>
        <w:overflowPunct/>
        <w:topLinePunct w:val="0"/>
        <w:autoSpaceDE w:val="0"/>
        <w:autoSpaceDN w:val="0"/>
        <w:bidi w:val="0"/>
        <w:adjustRightInd w:val="0"/>
        <w:snapToGrid w:val="0"/>
        <w:spacing w:before="29" w:line="460" w:lineRule="exact"/>
        <w:ind w:left="505"/>
        <w:textAlignment w:val="auto"/>
        <w:rPr>
          <w:rFonts w:ascii="宋体" w:hAnsi="宋体" w:eastAsia="宋体" w:cs="宋体"/>
          <w:color w:val="auto"/>
          <w:spacing w:val="-1"/>
          <w:sz w:val="24"/>
          <w:szCs w:val="24"/>
          <w:lang w:eastAsia="zh-CN"/>
        </w:rPr>
      </w:pPr>
      <w:r>
        <w:rPr>
          <w:rFonts w:ascii="宋体" w:hAnsi="宋体" w:eastAsia="宋体" w:cs="宋体"/>
          <w:color w:val="auto"/>
          <w:spacing w:val="-1"/>
          <w:sz w:val="24"/>
          <w:szCs w:val="24"/>
          <w:lang w:eastAsia="zh-CN"/>
        </w:rPr>
        <w:t>（10）与本标段的监理人或代建人或招标代理机构相互任职或工作的；</w:t>
      </w:r>
    </w:p>
    <w:p w14:paraId="5EE86D91">
      <w:pPr>
        <w:keepNext w:val="0"/>
        <w:keepLines w:val="0"/>
        <w:pageBreakBefore w:val="0"/>
        <w:widowControl/>
        <w:kinsoku w:val="0"/>
        <w:wordWrap/>
        <w:overflowPunct/>
        <w:topLinePunct w:val="0"/>
        <w:autoSpaceDE w:val="0"/>
        <w:autoSpaceDN w:val="0"/>
        <w:bidi w:val="0"/>
        <w:adjustRightInd w:val="0"/>
        <w:snapToGrid w:val="0"/>
        <w:spacing w:before="29" w:line="460" w:lineRule="exact"/>
        <w:ind w:left="505"/>
        <w:textAlignment w:val="auto"/>
        <w:rPr>
          <w:rFonts w:ascii="宋体" w:hAnsi="宋体" w:eastAsia="宋体" w:cs="宋体"/>
          <w:color w:val="auto"/>
          <w:spacing w:val="-1"/>
          <w:sz w:val="24"/>
          <w:szCs w:val="24"/>
          <w:lang w:eastAsia="zh-CN"/>
        </w:rPr>
      </w:pPr>
      <w:r>
        <w:rPr>
          <w:rFonts w:ascii="宋体" w:hAnsi="宋体" w:eastAsia="宋体" w:cs="宋体"/>
          <w:color w:val="auto"/>
          <w:spacing w:val="-1"/>
          <w:sz w:val="24"/>
          <w:szCs w:val="24"/>
          <w:lang w:eastAsia="zh-CN"/>
        </w:rPr>
        <w:t>（11）被责令停产停业、暂扣或者吊销许可证、暂扣或者吊销执照；</w:t>
      </w:r>
    </w:p>
    <w:p w14:paraId="00D6F78D">
      <w:pPr>
        <w:keepNext w:val="0"/>
        <w:keepLines w:val="0"/>
        <w:pageBreakBefore w:val="0"/>
        <w:widowControl/>
        <w:kinsoku w:val="0"/>
        <w:wordWrap/>
        <w:overflowPunct/>
        <w:topLinePunct w:val="0"/>
        <w:autoSpaceDE w:val="0"/>
        <w:autoSpaceDN w:val="0"/>
        <w:bidi w:val="0"/>
        <w:adjustRightInd w:val="0"/>
        <w:snapToGrid w:val="0"/>
        <w:spacing w:before="29" w:line="460" w:lineRule="exact"/>
        <w:ind w:left="505"/>
        <w:textAlignment w:val="auto"/>
        <w:rPr>
          <w:rFonts w:ascii="宋体" w:hAnsi="宋体" w:eastAsia="宋体" w:cs="宋体"/>
          <w:color w:val="auto"/>
          <w:spacing w:val="-1"/>
          <w:sz w:val="24"/>
          <w:szCs w:val="24"/>
          <w:lang w:eastAsia="zh-CN"/>
        </w:rPr>
      </w:pPr>
      <w:r>
        <w:rPr>
          <w:rFonts w:ascii="宋体" w:hAnsi="宋体" w:eastAsia="宋体" w:cs="宋体"/>
          <w:color w:val="auto"/>
          <w:spacing w:val="-1"/>
          <w:sz w:val="24"/>
          <w:szCs w:val="24"/>
          <w:lang w:eastAsia="zh-CN"/>
        </w:rPr>
        <w:t>（12）进入清算程序，或被宣告破产；</w:t>
      </w:r>
    </w:p>
    <w:p w14:paraId="08317989">
      <w:pPr>
        <w:keepNext w:val="0"/>
        <w:keepLines w:val="0"/>
        <w:pageBreakBefore w:val="0"/>
        <w:widowControl/>
        <w:kinsoku w:val="0"/>
        <w:wordWrap/>
        <w:overflowPunct/>
        <w:topLinePunct w:val="0"/>
        <w:autoSpaceDE w:val="0"/>
        <w:autoSpaceDN w:val="0"/>
        <w:bidi w:val="0"/>
        <w:adjustRightInd w:val="0"/>
        <w:snapToGrid w:val="0"/>
        <w:spacing w:before="29" w:line="460" w:lineRule="exact"/>
        <w:ind w:left="505"/>
        <w:textAlignment w:val="auto"/>
        <w:rPr>
          <w:rFonts w:ascii="宋体" w:hAnsi="宋体" w:eastAsia="宋体" w:cs="宋体"/>
          <w:color w:val="auto"/>
          <w:spacing w:val="-1"/>
          <w:sz w:val="24"/>
          <w:szCs w:val="24"/>
          <w:lang w:eastAsia="zh-CN"/>
        </w:rPr>
      </w:pPr>
      <w:r>
        <w:rPr>
          <w:rFonts w:ascii="宋体" w:hAnsi="宋体" w:eastAsia="宋体" w:cs="宋体"/>
          <w:color w:val="auto"/>
          <w:spacing w:val="-1"/>
          <w:sz w:val="24"/>
          <w:szCs w:val="24"/>
          <w:lang w:eastAsia="zh-CN"/>
        </w:rPr>
        <w:t>（13）被依法暂停或取消投标资格的；</w:t>
      </w:r>
    </w:p>
    <w:p w14:paraId="776D904A">
      <w:pPr>
        <w:keepNext w:val="0"/>
        <w:keepLines w:val="0"/>
        <w:pageBreakBefore w:val="0"/>
        <w:widowControl/>
        <w:kinsoku w:val="0"/>
        <w:wordWrap/>
        <w:overflowPunct/>
        <w:topLinePunct w:val="0"/>
        <w:autoSpaceDE w:val="0"/>
        <w:autoSpaceDN w:val="0"/>
        <w:bidi w:val="0"/>
        <w:adjustRightInd w:val="0"/>
        <w:snapToGrid w:val="0"/>
        <w:spacing w:before="183" w:line="460" w:lineRule="exact"/>
        <w:ind w:left="17" w:right="4" w:firstLine="487"/>
        <w:textAlignment w:val="auto"/>
        <w:rPr>
          <w:rFonts w:ascii="宋体" w:hAnsi="宋体" w:eastAsia="宋体" w:cs="宋体"/>
          <w:color w:val="auto"/>
          <w:spacing w:val="2"/>
          <w:sz w:val="24"/>
          <w:szCs w:val="24"/>
          <w:lang w:eastAsia="zh-CN"/>
        </w:rPr>
      </w:pPr>
      <w:r>
        <w:rPr>
          <w:rFonts w:ascii="宋体" w:hAnsi="宋体" w:eastAsia="宋体" w:cs="宋体"/>
          <w:color w:val="auto"/>
          <w:spacing w:val="2"/>
          <w:sz w:val="24"/>
          <w:szCs w:val="24"/>
          <w:lang w:eastAsia="zh-CN"/>
        </w:rPr>
        <w:t>（14）法律法规或投标人须知前附表规定的其他情形；</w:t>
      </w:r>
    </w:p>
    <w:p w14:paraId="38BD56BA">
      <w:pPr>
        <w:keepNext w:val="0"/>
        <w:keepLines w:val="0"/>
        <w:pageBreakBefore w:val="0"/>
        <w:widowControl/>
        <w:kinsoku w:val="0"/>
        <w:wordWrap/>
        <w:overflowPunct/>
        <w:topLinePunct w:val="0"/>
        <w:autoSpaceDE w:val="0"/>
        <w:autoSpaceDN w:val="0"/>
        <w:bidi w:val="0"/>
        <w:adjustRightInd w:val="0"/>
        <w:snapToGrid w:val="0"/>
        <w:spacing w:before="183" w:line="460" w:lineRule="exact"/>
        <w:ind w:left="17" w:right="4" w:firstLine="487"/>
        <w:textAlignment w:val="auto"/>
        <w:rPr>
          <w:rFonts w:ascii="宋体" w:hAnsi="宋体" w:eastAsia="宋体" w:cs="宋体"/>
          <w:color w:val="auto"/>
          <w:spacing w:val="2"/>
          <w:sz w:val="24"/>
          <w:szCs w:val="24"/>
          <w:lang w:eastAsia="zh-CN"/>
        </w:rPr>
      </w:pPr>
      <w:r>
        <w:rPr>
          <w:rFonts w:ascii="宋体" w:hAnsi="宋体" w:eastAsia="宋体" w:cs="宋体"/>
          <w:color w:val="auto"/>
          <w:spacing w:val="2"/>
          <w:sz w:val="24"/>
          <w:szCs w:val="24"/>
          <w:lang w:eastAsia="zh-CN"/>
        </w:rPr>
        <w:t>（15）安全生产许可证超出有效期或处于暂扣时限内的；</w:t>
      </w:r>
    </w:p>
    <w:p w14:paraId="544630C8">
      <w:pPr>
        <w:keepNext w:val="0"/>
        <w:keepLines w:val="0"/>
        <w:pageBreakBefore w:val="0"/>
        <w:widowControl/>
        <w:kinsoku w:val="0"/>
        <w:wordWrap/>
        <w:overflowPunct/>
        <w:topLinePunct w:val="0"/>
        <w:autoSpaceDE w:val="0"/>
        <w:autoSpaceDN w:val="0"/>
        <w:bidi w:val="0"/>
        <w:adjustRightInd w:val="0"/>
        <w:snapToGrid w:val="0"/>
        <w:spacing w:before="183" w:line="460" w:lineRule="exact"/>
        <w:ind w:left="17" w:right="4" w:firstLine="487"/>
        <w:textAlignment w:val="auto"/>
        <w:rPr>
          <w:rFonts w:ascii="宋体" w:hAnsi="宋体" w:eastAsia="宋体" w:cs="宋体"/>
          <w:color w:val="auto"/>
          <w:spacing w:val="2"/>
          <w:sz w:val="24"/>
          <w:szCs w:val="24"/>
          <w:lang w:eastAsia="zh-CN"/>
        </w:rPr>
      </w:pPr>
      <w:r>
        <w:rPr>
          <w:rFonts w:ascii="宋体" w:hAnsi="宋体" w:eastAsia="宋体" w:cs="宋体"/>
          <w:color w:val="auto"/>
          <w:spacing w:val="2"/>
          <w:sz w:val="24"/>
          <w:szCs w:val="24"/>
          <w:lang w:eastAsia="zh-CN"/>
        </w:rPr>
        <w:t>（16）投标人及相关管理人员（包括项目负责人）安全生产任职资格不符合相关规定；</w:t>
      </w:r>
    </w:p>
    <w:p w14:paraId="6B8A4277">
      <w:pPr>
        <w:keepNext w:val="0"/>
        <w:keepLines w:val="0"/>
        <w:pageBreakBefore w:val="0"/>
        <w:widowControl/>
        <w:kinsoku w:val="0"/>
        <w:wordWrap/>
        <w:overflowPunct/>
        <w:topLinePunct w:val="0"/>
        <w:autoSpaceDE w:val="0"/>
        <w:autoSpaceDN w:val="0"/>
        <w:bidi w:val="0"/>
        <w:adjustRightInd w:val="0"/>
        <w:snapToGrid w:val="0"/>
        <w:spacing w:before="183" w:line="460" w:lineRule="exact"/>
        <w:ind w:left="17" w:right="4" w:firstLine="487"/>
        <w:textAlignment w:val="auto"/>
        <w:rPr>
          <w:rFonts w:hint="default" w:ascii="宋体" w:hAnsi="宋体" w:eastAsia="宋体" w:cs="宋体"/>
          <w:color w:val="auto"/>
          <w:spacing w:val="2"/>
          <w:sz w:val="24"/>
          <w:szCs w:val="24"/>
          <w:lang w:val="en-US" w:eastAsia="zh-CN"/>
        </w:rPr>
      </w:pPr>
      <w:r>
        <w:rPr>
          <w:rFonts w:hint="eastAsia" w:ascii="宋体" w:hAnsi="宋体" w:eastAsia="宋体" w:cs="宋体"/>
          <w:color w:val="auto"/>
          <w:spacing w:val="2"/>
          <w:sz w:val="24"/>
          <w:szCs w:val="24"/>
          <w:lang w:eastAsia="zh-CN"/>
        </w:rPr>
        <w:t>（</w:t>
      </w:r>
      <w:r>
        <w:rPr>
          <w:rFonts w:hint="eastAsia" w:ascii="宋体" w:hAnsi="宋体" w:eastAsia="宋体" w:cs="宋体"/>
          <w:color w:val="auto"/>
          <w:spacing w:val="2"/>
          <w:sz w:val="24"/>
          <w:szCs w:val="24"/>
          <w:lang w:val="en-US" w:eastAsia="zh-CN"/>
        </w:rPr>
        <w:t>17）</w:t>
      </w:r>
      <w:r>
        <w:rPr>
          <w:rFonts w:ascii="宋体" w:hAnsi="宋体" w:eastAsia="宋体" w:cs="宋体"/>
          <w:color w:val="auto"/>
          <w:spacing w:val="2"/>
          <w:sz w:val="24"/>
          <w:szCs w:val="24"/>
          <w:lang w:eastAsia="zh-CN"/>
        </w:rPr>
        <w:t>投标人（包括法定代表人）和项目负责人其一有行贿犯罪记录的（追溯</w:t>
      </w:r>
    </w:p>
    <w:p w14:paraId="1CD991E0">
      <w:pPr>
        <w:keepNext w:val="0"/>
        <w:keepLines w:val="0"/>
        <w:pageBreakBefore w:val="0"/>
        <w:widowControl/>
        <w:kinsoku w:val="0"/>
        <w:wordWrap/>
        <w:overflowPunct/>
        <w:topLinePunct w:val="0"/>
        <w:autoSpaceDE w:val="0"/>
        <w:autoSpaceDN w:val="0"/>
        <w:bidi w:val="0"/>
        <w:adjustRightInd w:val="0"/>
        <w:snapToGrid w:val="0"/>
        <w:spacing w:before="183" w:line="460" w:lineRule="exact"/>
        <w:ind w:right="4"/>
        <w:textAlignment w:val="auto"/>
        <w:rPr>
          <w:rFonts w:ascii="宋体" w:hAnsi="宋体" w:eastAsia="宋体" w:cs="宋体"/>
          <w:color w:val="auto"/>
          <w:spacing w:val="2"/>
          <w:sz w:val="24"/>
          <w:szCs w:val="24"/>
          <w:lang w:eastAsia="zh-CN"/>
        </w:rPr>
      </w:pPr>
      <w:r>
        <w:rPr>
          <w:rFonts w:ascii="宋体" w:hAnsi="宋体" w:eastAsia="宋体" w:cs="宋体"/>
          <w:color w:val="auto"/>
          <w:spacing w:val="2"/>
          <w:sz w:val="24"/>
          <w:szCs w:val="24"/>
          <w:lang w:eastAsia="zh-CN"/>
        </w:rPr>
        <w:t>期由招标公告或投标邀请书3.11条款约定，行贿犯罪记录日期以法院判决生效日期为准）；</w:t>
      </w:r>
    </w:p>
    <w:p w14:paraId="3F2A21CC">
      <w:pPr>
        <w:keepNext w:val="0"/>
        <w:keepLines w:val="0"/>
        <w:pageBreakBefore w:val="0"/>
        <w:widowControl/>
        <w:kinsoku w:val="0"/>
        <w:wordWrap/>
        <w:overflowPunct/>
        <w:topLinePunct w:val="0"/>
        <w:autoSpaceDE w:val="0"/>
        <w:autoSpaceDN w:val="0"/>
        <w:bidi w:val="0"/>
        <w:adjustRightInd w:val="0"/>
        <w:snapToGrid w:val="0"/>
        <w:spacing w:before="183" w:line="460" w:lineRule="exact"/>
        <w:ind w:left="17" w:right="4" w:firstLine="487"/>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（18）浙江省外企业《省外企业进浙承接业务备案证明》超出有效期</w:t>
      </w:r>
      <w:r>
        <w:rPr>
          <w:rFonts w:ascii="宋体" w:hAnsi="宋体" w:eastAsia="宋体" w:cs="宋体"/>
          <w:color w:val="auto"/>
          <w:spacing w:val="1"/>
          <w:sz w:val="24"/>
          <w:szCs w:val="24"/>
          <w:lang w:eastAsia="zh-CN"/>
        </w:rPr>
        <w:t>或未能在</w:t>
      </w:r>
      <w:r>
        <w:rPr>
          <w:rFonts w:ascii="宋体" w:hAnsi="宋体" w:eastAsia="宋体" w:cs="宋体"/>
          <w:color w:val="auto"/>
          <w:spacing w:val="2"/>
          <w:sz w:val="24"/>
          <w:szCs w:val="24"/>
          <w:lang w:eastAsia="zh-CN"/>
        </w:rPr>
        <w:t>“浙江省建筑市场监管公共服务系统”对外</w:t>
      </w:r>
      <w:r>
        <w:rPr>
          <w:rFonts w:ascii="宋体" w:hAnsi="宋体" w:eastAsia="宋体" w:cs="宋体"/>
          <w:color w:val="auto"/>
          <w:spacing w:val="1"/>
          <w:sz w:val="24"/>
          <w:szCs w:val="24"/>
          <w:lang w:eastAsia="zh-CN"/>
        </w:rPr>
        <w:t>发布形成的备案信息中显示的或已注销</w:t>
      </w:r>
      <w:r>
        <w:rPr>
          <w:rFonts w:ascii="宋体" w:hAnsi="宋体" w:eastAsia="宋体" w:cs="宋体"/>
          <w:color w:val="auto"/>
          <w:spacing w:val="2"/>
          <w:sz w:val="24"/>
          <w:szCs w:val="24"/>
          <w:lang w:eastAsia="zh-CN"/>
        </w:rPr>
        <w:t>的；</w:t>
      </w:r>
    </w:p>
    <w:p w14:paraId="27F7695C">
      <w:pPr>
        <w:keepNext w:val="0"/>
        <w:keepLines w:val="0"/>
        <w:pageBreakBefore w:val="0"/>
        <w:widowControl/>
        <w:kinsoku w:val="0"/>
        <w:wordWrap/>
        <w:overflowPunct/>
        <w:topLinePunct w:val="0"/>
        <w:autoSpaceDE w:val="0"/>
        <w:autoSpaceDN w:val="0"/>
        <w:bidi w:val="0"/>
        <w:adjustRightInd w:val="0"/>
        <w:snapToGrid w:val="0"/>
        <w:spacing w:before="182" w:line="460" w:lineRule="exact"/>
        <w:ind w:left="13" w:right="7" w:firstLine="491"/>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w:t>
      </w:r>
      <w:r>
        <w:rPr>
          <w:rFonts w:ascii="Times New Roman" w:hAnsi="Times New Roman" w:eastAsia="Times New Roman" w:cs="Times New Roman"/>
          <w:color w:val="auto"/>
          <w:spacing w:val="2"/>
          <w:sz w:val="24"/>
          <w:szCs w:val="24"/>
          <w:lang w:eastAsia="zh-CN"/>
        </w:rPr>
        <w:t>19</w:t>
      </w:r>
      <w:r>
        <w:rPr>
          <w:rFonts w:ascii="宋体" w:hAnsi="宋体" w:eastAsia="宋体" w:cs="宋体"/>
          <w:color w:val="auto"/>
          <w:spacing w:val="2"/>
          <w:sz w:val="24"/>
          <w:szCs w:val="24"/>
          <w:lang w:eastAsia="zh-CN"/>
        </w:rPr>
        <w:t>）投标人（包括法定代表人）和项目负责人其一被人民法院</w:t>
      </w:r>
      <w:r>
        <w:rPr>
          <w:rFonts w:ascii="宋体" w:hAnsi="宋体" w:eastAsia="宋体" w:cs="宋体"/>
          <w:color w:val="auto"/>
          <w:spacing w:val="1"/>
          <w:sz w:val="24"/>
          <w:szCs w:val="24"/>
          <w:lang w:eastAsia="zh-CN"/>
        </w:rPr>
        <w:t>列入限制失信</w:t>
      </w:r>
      <w:r>
        <w:rPr>
          <w:rFonts w:ascii="宋体" w:hAnsi="宋体" w:eastAsia="宋体" w:cs="宋体"/>
          <w:color w:val="auto"/>
          <w:spacing w:val="-2"/>
          <w:sz w:val="24"/>
          <w:szCs w:val="24"/>
          <w:lang w:eastAsia="zh-CN"/>
        </w:rPr>
        <w:t>被执行人名单。</w:t>
      </w:r>
    </w:p>
    <w:p w14:paraId="65E3ADD5">
      <w:pPr>
        <w:keepNext w:val="0"/>
        <w:keepLines w:val="0"/>
        <w:pageBreakBefore w:val="0"/>
        <w:widowControl/>
        <w:kinsoku w:val="0"/>
        <w:wordWrap/>
        <w:overflowPunct/>
        <w:topLinePunct w:val="0"/>
        <w:autoSpaceDE w:val="0"/>
        <w:autoSpaceDN w:val="0"/>
        <w:bidi w:val="0"/>
        <w:adjustRightInd w:val="0"/>
        <w:snapToGrid w:val="0"/>
        <w:spacing w:before="240" w:line="460" w:lineRule="exact"/>
        <w:ind w:left="512"/>
        <w:textAlignment w:val="auto"/>
        <w:rPr>
          <w:rFonts w:ascii="宋体" w:hAnsi="宋体" w:eastAsia="宋体" w:cs="宋体"/>
          <w:color w:val="auto"/>
          <w:sz w:val="28"/>
          <w:szCs w:val="28"/>
          <w:lang w:eastAsia="zh-CN"/>
        </w:rPr>
      </w:pPr>
      <w:r>
        <w:rPr>
          <w:rFonts w:ascii="Times New Roman" w:hAnsi="Times New Roman" w:eastAsia="Times New Roman" w:cs="Times New Roman"/>
          <w:b/>
          <w:bCs/>
          <w:color w:val="auto"/>
          <w:spacing w:val="-4"/>
          <w:sz w:val="28"/>
          <w:szCs w:val="28"/>
          <w:lang w:eastAsia="zh-CN"/>
        </w:rPr>
        <w:t>1.5</w:t>
      </w:r>
      <w:r>
        <w:rPr>
          <w:rFonts w:ascii="宋体" w:hAnsi="宋体" w:eastAsia="宋体" w:cs="宋体"/>
          <w:b/>
          <w:bCs/>
          <w:color w:val="auto"/>
          <w:spacing w:val="-4"/>
          <w:sz w:val="28"/>
          <w:szCs w:val="28"/>
          <w:lang w:eastAsia="zh-CN"/>
        </w:rPr>
        <w:t>费用承担</w:t>
      </w:r>
    </w:p>
    <w:p w14:paraId="34A121BB">
      <w:pPr>
        <w:keepNext w:val="0"/>
        <w:keepLines w:val="0"/>
        <w:pageBreakBefore w:val="0"/>
        <w:widowControl/>
        <w:kinsoku w:val="0"/>
        <w:wordWrap/>
        <w:overflowPunct/>
        <w:topLinePunct w:val="0"/>
        <w:autoSpaceDE w:val="0"/>
        <w:autoSpaceDN w:val="0"/>
        <w:bidi w:val="0"/>
        <w:adjustRightInd w:val="0"/>
        <w:snapToGrid w:val="0"/>
        <w:spacing w:before="159" w:line="460" w:lineRule="exact"/>
        <w:ind w:left="492"/>
        <w:textAlignment w:val="auto"/>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投标人准备和参加投标活动发生的费用自理。</w:t>
      </w:r>
    </w:p>
    <w:p w14:paraId="04AF850C">
      <w:pPr>
        <w:keepNext w:val="0"/>
        <w:keepLines w:val="0"/>
        <w:pageBreakBefore w:val="0"/>
        <w:widowControl/>
        <w:kinsoku w:val="0"/>
        <w:wordWrap/>
        <w:overflowPunct/>
        <w:topLinePunct w:val="0"/>
        <w:autoSpaceDE w:val="0"/>
        <w:autoSpaceDN w:val="0"/>
        <w:bidi w:val="0"/>
        <w:adjustRightInd w:val="0"/>
        <w:snapToGrid w:val="0"/>
        <w:spacing w:before="160" w:line="460" w:lineRule="exact"/>
        <w:ind w:left="512"/>
        <w:textAlignment w:val="auto"/>
        <w:rPr>
          <w:rFonts w:ascii="宋体" w:hAnsi="宋体" w:eastAsia="宋体" w:cs="宋体"/>
          <w:color w:val="auto"/>
          <w:sz w:val="28"/>
          <w:szCs w:val="28"/>
          <w:lang w:eastAsia="zh-CN"/>
        </w:rPr>
      </w:pPr>
      <w:r>
        <w:rPr>
          <w:rFonts w:ascii="Times New Roman" w:hAnsi="Times New Roman" w:eastAsia="Times New Roman" w:cs="Times New Roman"/>
          <w:b/>
          <w:bCs/>
          <w:color w:val="auto"/>
          <w:spacing w:val="-5"/>
          <w:sz w:val="28"/>
          <w:szCs w:val="28"/>
          <w:lang w:eastAsia="zh-CN"/>
        </w:rPr>
        <w:t>1.6</w:t>
      </w:r>
      <w:r>
        <w:rPr>
          <w:rFonts w:ascii="宋体" w:hAnsi="宋体" w:eastAsia="宋体" w:cs="宋体"/>
          <w:b/>
          <w:bCs/>
          <w:color w:val="auto"/>
          <w:spacing w:val="-5"/>
          <w:sz w:val="28"/>
          <w:szCs w:val="28"/>
          <w:lang w:eastAsia="zh-CN"/>
        </w:rPr>
        <w:t>保密</w:t>
      </w:r>
    </w:p>
    <w:p w14:paraId="54F7FC10">
      <w:pPr>
        <w:keepNext w:val="0"/>
        <w:keepLines w:val="0"/>
        <w:pageBreakBefore w:val="0"/>
        <w:widowControl/>
        <w:kinsoku w:val="0"/>
        <w:wordWrap/>
        <w:overflowPunct/>
        <w:topLinePunct w:val="0"/>
        <w:autoSpaceDE w:val="0"/>
        <w:autoSpaceDN w:val="0"/>
        <w:bidi w:val="0"/>
        <w:adjustRightInd w:val="0"/>
        <w:snapToGrid w:val="0"/>
        <w:spacing w:before="158" w:line="460" w:lineRule="exact"/>
        <w:ind w:left="15" w:right="2" w:firstLine="475"/>
        <w:textAlignment w:val="auto"/>
        <w:rPr>
          <w:rFonts w:ascii="宋体" w:hAnsi="宋体" w:eastAsia="宋体" w:cs="宋体"/>
          <w:color w:val="auto"/>
          <w:sz w:val="24"/>
          <w:szCs w:val="24"/>
          <w:lang w:eastAsia="zh-CN"/>
        </w:rPr>
      </w:pPr>
      <w:r>
        <w:rPr>
          <w:rFonts w:ascii="宋体" w:hAnsi="宋体" w:eastAsia="宋体" w:cs="宋体"/>
          <w:color w:val="auto"/>
          <w:spacing w:val="10"/>
          <w:sz w:val="24"/>
          <w:szCs w:val="24"/>
          <w:lang w:eastAsia="zh-CN"/>
        </w:rPr>
        <w:t>参与招标投标活动的各方应对招标文件和投标文件中的商业</w:t>
      </w:r>
      <w:r>
        <w:rPr>
          <w:rFonts w:ascii="宋体" w:hAnsi="宋体" w:eastAsia="宋体" w:cs="宋体"/>
          <w:color w:val="auto"/>
          <w:spacing w:val="9"/>
          <w:sz w:val="24"/>
          <w:szCs w:val="24"/>
          <w:lang w:eastAsia="zh-CN"/>
        </w:rPr>
        <w:t>和技术等秘密保</w:t>
      </w:r>
      <w:r>
        <w:rPr>
          <w:rFonts w:ascii="宋体" w:hAnsi="宋体" w:eastAsia="宋体" w:cs="宋体"/>
          <w:color w:val="auto"/>
          <w:spacing w:val="-2"/>
          <w:sz w:val="24"/>
          <w:szCs w:val="24"/>
          <w:lang w:eastAsia="zh-CN"/>
        </w:rPr>
        <w:t>密，否则应承担相应的法律责任。</w:t>
      </w:r>
    </w:p>
    <w:p w14:paraId="79EE224F">
      <w:pPr>
        <w:keepNext w:val="0"/>
        <w:keepLines w:val="0"/>
        <w:pageBreakBefore w:val="0"/>
        <w:widowControl/>
        <w:kinsoku w:val="0"/>
        <w:wordWrap/>
        <w:overflowPunct/>
        <w:topLinePunct w:val="0"/>
        <w:autoSpaceDE w:val="0"/>
        <w:autoSpaceDN w:val="0"/>
        <w:bidi w:val="0"/>
        <w:adjustRightInd w:val="0"/>
        <w:snapToGrid w:val="0"/>
        <w:spacing w:before="161" w:line="460" w:lineRule="exact"/>
        <w:ind w:left="512"/>
        <w:textAlignment w:val="auto"/>
        <w:rPr>
          <w:rFonts w:ascii="宋体" w:hAnsi="宋体" w:eastAsia="宋体" w:cs="宋体"/>
          <w:color w:val="auto"/>
          <w:sz w:val="28"/>
          <w:szCs w:val="28"/>
          <w:lang w:eastAsia="zh-CN"/>
        </w:rPr>
      </w:pPr>
      <w:r>
        <w:rPr>
          <w:rFonts w:ascii="Times New Roman" w:hAnsi="Times New Roman" w:eastAsia="Times New Roman" w:cs="Times New Roman"/>
          <w:b/>
          <w:bCs/>
          <w:color w:val="auto"/>
          <w:spacing w:val="-4"/>
          <w:sz w:val="28"/>
          <w:szCs w:val="28"/>
          <w:lang w:eastAsia="zh-CN"/>
        </w:rPr>
        <w:t>1.7</w:t>
      </w:r>
      <w:r>
        <w:rPr>
          <w:rFonts w:ascii="宋体" w:hAnsi="宋体" w:eastAsia="宋体" w:cs="宋体"/>
          <w:b/>
          <w:bCs/>
          <w:color w:val="auto"/>
          <w:spacing w:val="-4"/>
          <w:sz w:val="28"/>
          <w:szCs w:val="28"/>
          <w:lang w:eastAsia="zh-CN"/>
        </w:rPr>
        <w:t>语言文字</w:t>
      </w:r>
    </w:p>
    <w:p w14:paraId="026F91A9">
      <w:pPr>
        <w:keepNext w:val="0"/>
        <w:keepLines w:val="0"/>
        <w:pageBreakBefore w:val="0"/>
        <w:widowControl/>
        <w:kinsoku w:val="0"/>
        <w:wordWrap/>
        <w:overflowPunct/>
        <w:topLinePunct w:val="0"/>
        <w:autoSpaceDE w:val="0"/>
        <w:autoSpaceDN w:val="0"/>
        <w:bidi w:val="0"/>
        <w:adjustRightInd w:val="0"/>
        <w:snapToGrid w:val="0"/>
        <w:spacing w:before="160" w:line="460" w:lineRule="exact"/>
        <w:ind w:left="12" w:firstLine="481"/>
        <w:textAlignment w:val="auto"/>
        <w:rPr>
          <w:rFonts w:ascii="宋体" w:hAnsi="宋体" w:eastAsia="宋体" w:cs="宋体"/>
          <w:color w:val="auto"/>
          <w:sz w:val="24"/>
          <w:szCs w:val="24"/>
          <w:lang w:eastAsia="zh-CN"/>
        </w:rPr>
      </w:pPr>
      <w:r>
        <w:rPr>
          <w:rFonts w:ascii="宋体" w:hAnsi="宋体" w:eastAsia="宋体" w:cs="宋体"/>
          <w:color w:val="auto"/>
          <w:spacing w:val="10"/>
          <w:sz w:val="24"/>
          <w:szCs w:val="24"/>
          <w:lang w:eastAsia="zh-CN"/>
        </w:rPr>
        <w:t>招标投标文件使用的语言文字为中文。专用术语使用外文</w:t>
      </w:r>
      <w:r>
        <w:rPr>
          <w:rFonts w:ascii="宋体" w:hAnsi="宋体" w:eastAsia="宋体" w:cs="宋体"/>
          <w:color w:val="auto"/>
          <w:spacing w:val="9"/>
          <w:sz w:val="24"/>
          <w:szCs w:val="24"/>
          <w:lang w:eastAsia="zh-CN"/>
        </w:rPr>
        <w:t>的，应附有中文注</w:t>
      </w:r>
      <w:r>
        <w:rPr>
          <w:rFonts w:ascii="宋体" w:hAnsi="宋体" w:eastAsia="宋体" w:cs="宋体"/>
          <w:color w:val="auto"/>
          <w:spacing w:val="-5"/>
          <w:sz w:val="24"/>
          <w:szCs w:val="24"/>
          <w:lang w:eastAsia="zh-CN"/>
        </w:rPr>
        <w:t>释。</w:t>
      </w:r>
    </w:p>
    <w:p w14:paraId="181EDAD8">
      <w:pPr>
        <w:keepNext w:val="0"/>
        <w:keepLines w:val="0"/>
        <w:pageBreakBefore w:val="0"/>
        <w:widowControl/>
        <w:kinsoku w:val="0"/>
        <w:wordWrap/>
        <w:overflowPunct/>
        <w:topLinePunct w:val="0"/>
        <w:autoSpaceDE w:val="0"/>
        <w:autoSpaceDN w:val="0"/>
        <w:bidi w:val="0"/>
        <w:adjustRightInd w:val="0"/>
        <w:snapToGrid w:val="0"/>
        <w:spacing w:before="161" w:line="460" w:lineRule="exact"/>
        <w:ind w:left="512"/>
        <w:textAlignment w:val="auto"/>
        <w:rPr>
          <w:rFonts w:ascii="宋体" w:hAnsi="宋体" w:eastAsia="宋体" w:cs="宋体"/>
          <w:color w:val="auto"/>
          <w:sz w:val="28"/>
          <w:szCs w:val="28"/>
          <w:lang w:eastAsia="zh-CN"/>
        </w:rPr>
      </w:pPr>
      <w:r>
        <w:rPr>
          <w:rFonts w:ascii="Times New Roman" w:hAnsi="Times New Roman" w:eastAsia="Times New Roman" w:cs="Times New Roman"/>
          <w:b/>
          <w:bCs/>
          <w:color w:val="auto"/>
          <w:spacing w:val="-4"/>
          <w:sz w:val="28"/>
          <w:szCs w:val="28"/>
          <w:lang w:eastAsia="zh-CN"/>
        </w:rPr>
        <w:t>1.8</w:t>
      </w:r>
      <w:r>
        <w:rPr>
          <w:rFonts w:ascii="宋体" w:hAnsi="宋体" w:eastAsia="宋体" w:cs="宋体"/>
          <w:b/>
          <w:bCs/>
          <w:color w:val="auto"/>
          <w:spacing w:val="-4"/>
          <w:sz w:val="28"/>
          <w:szCs w:val="28"/>
          <w:lang w:eastAsia="zh-CN"/>
        </w:rPr>
        <w:t>计量单位</w:t>
      </w:r>
    </w:p>
    <w:p w14:paraId="7FB848CF">
      <w:pPr>
        <w:keepNext w:val="0"/>
        <w:keepLines w:val="0"/>
        <w:pageBreakBefore w:val="0"/>
        <w:widowControl/>
        <w:kinsoku w:val="0"/>
        <w:wordWrap/>
        <w:overflowPunct/>
        <w:topLinePunct w:val="0"/>
        <w:autoSpaceDE w:val="0"/>
        <w:autoSpaceDN w:val="0"/>
        <w:bidi w:val="0"/>
        <w:adjustRightInd w:val="0"/>
        <w:snapToGrid w:val="0"/>
        <w:spacing w:before="157" w:line="460" w:lineRule="exact"/>
        <w:ind w:left="493"/>
        <w:textAlignment w:val="auto"/>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所有计量均采用中华人民共和国法定计量单位。</w:t>
      </w:r>
    </w:p>
    <w:p w14:paraId="52C0A4B6">
      <w:pPr>
        <w:keepNext w:val="0"/>
        <w:keepLines w:val="0"/>
        <w:pageBreakBefore w:val="0"/>
        <w:widowControl/>
        <w:kinsoku w:val="0"/>
        <w:wordWrap/>
        <w:overflowPunct/>
        <w:topLinePunct w:val="0"/>
        <w:autoSpaceDE w:val="0"/>
        <w:autoSpaceDN w:val="0"/>
        <w:bidi w:val="0"/>
        <w:adjustRightInd w:val="0"/>
        <w:snapToGrid w:val="0"/>
        <w:spacing w:before="162" w:line="460" w:lineRule="exact"/>
        <w:ind w:left="512"/>
        <w:textAlignment w:val="auto"/>
        <w:rPr>
          <w:rFonts w:ascii="宋体" w:hAnsi="宋体" w:eastAsia="宋体" w:cs="宋体"/>
          <w:color w:val="auto"/>
          <w:sz w:val="28"/>
          <w:szCs w:val="28"/>
          <w:lang w:eastAsia="zh-CN"/>
        </w:rPr>
      </w:pPr>
      <w:r>
        <w:rPr>
          <w:rFonts w:ascii="Times New Roman" w:hAnsi="Times New Roman" w:eastAsia="Times New Roman" w:cs="Times New Roman"/>
          <w:b/>
          <w:bCs/>
          <w:color w:val="auto"/>
          <w:spacing w:val="-4"/>
          <w:sz w:val="28"/>
          <w:szCs w:val="28"/>
          <w:lang w:eastAsia="zh-CN"/>
        </w:rPr>
        <w:t>1.9</w:t>
      </w:r>
      <w:r>
        <w:rPr>
          <w:rFonts w:ascii="宋体" w:hAnsi="宋体" w:eastAsia="宋体" w:cs="宋体"/>
          <w:b/>
          <w:bCs/>
          <w:color w:val="auto"/>
          <w:spacing w:val="-4"/>
          <w:sz w:val="28"/>
          <w:szCs w:val="28"/>
          <w:lang w:eastAsia="zh-CN"/>
        </w:rPr>
        <w:t>踏勘现场</w:t>
      </w:r>
    </w:p>
    <w:p w14:paraId="1A2E5304">
      <w:pPr>
        <w:keepNext w:val="0"/>
        <w:keepLines w:val="0"/>
        <w:pageBreakBefore w:val="0"/>
        <w:widowControl/>
        <w:kinsoku w:val="0"/>
        <w:wordWrap/>
        <w:overflowPunct/>
        <w:topLinePunct w:val="0"/>
        <w:autoSpaceDE w:val="0"/>
        <w:autoSpaceDN w:val="0"/>
        <w:bidi w:val="0"/>
        <w:adjustRightInd w:val="0"/>
        <w:snapToGrid w:val="0"/>
        <w:spacing w:before="47" w:line="460" w:lineRule="exact"/>
        <w:ind w:firstLine="482"/>
        <w:textAlignment w:val="auto"/>
        <w:rPr>
          <w:rFonts w:ascii="宋体" w:hAnsi="宋体" w:eastAsia="宋体" w:cs="宋体"/>
          <w:color w:val="auto"/>
          <w:sz w:val="24"/>
          <w:szCs w:val="24"/>
          <w:lang w:eastAsia="zh-CN"/>
        </w:rPr>
      </w:pPr>
      <w:r>
        <w:rPr>
          <w:rFonts w:ascii="宋体" w:hAnsi="宋体" w:eastAsia="宋体" w:cs="宋体"/>
          <w:color w:val="auto"/>
          <w:spacing w:val="-4"/>
          <w:sz w:val="24"/>
          <w:szCs w:val="24"/>
          <w:lang w:eastAsia="zh-CN"/>
        </w:rPr>
        <w:t>1.9.1 投标人须知前附表规定组织踏勘现场的，招标人按投标人须</w:t>
      </w:r>
      <w:r>
        <w:rPr>
          <w:rFonts w:ascii="宋体" w:hAnsi="宋体" w:eastAsia="宋体" w:cs="宋体"/>
          <w:color w:val="auto"/>
          <w:spacing w:val="-5"/>
          <w:sz w:val="24"/>
          <w:szCs w:val="24"/>
          <w:lang w:eastAsia="zh-CN"/>
        </w:rPr>
        <w:t>知前附表规定</w:t>
      </w:r>
      <w:r>
        <w:rPr>
          <w:rFonts w:ascii="宋体" w:hAnsi="宋体" w:eastAsia="宋体" w:cs="宋体"/>
          <w:color w:val="auto"/>
          <w:spacing w:val="-4"/>
          <w:sz w:val="24"/>
          <w:szCs w:val="24"/>
          <w:lang w:eastAsia="zh-CN"/>
        </w:rPr>
        <w:t>的时间、地点组织投标人踏勘项目现场。部分投标人未按时参加踏勘现场</w:t>
      </w:r>
      <w:r>
        <w:rPr>
          <w:rFonts w:ascii="宋体" w:hAnsi="宋体" w:eastAsia="宋体" w:cs="宋体"/>
          <w:color w:val="auto"/>
          <w:spacing w:val="-5"/>
          <w:sz w:val="24"/>
          <w:szCs w:val="24"/>
          <w:lang w:eastAsia="zh-CN"/>
        </w:rPr>
        <w:t>的，不影响</w:t>
      </w:r>
      <w:r>
        <w:rPr>
          <w:rFonts w:ascii="宋体" w:hAnsi="宋体" w:eastAsia="宋体" w:cs="宋体"/>
          <w:color w:val="auto"/>
          <w:spacing w:val="-6"/>
          <w:sz w:val="24"/>
          <w:szCs w:val="24"/>
          <w:lang w:eastAsia="zh-CN"/>
        </w:rPr>
        <w:t>踏勘现场的正常进行。</w:t>
      </w:r>
    </w:p>
    <w:p w14:paraId="6A58085F">
      <w:pPr>
        <w:keepNext w:val="0"/>
        <w:keepLines w:val="0"/>
        <w:pageBreakBefore w:val="0"/>
        <w:widowControl/>
        <w:kinsoku w:val="0"/>
        <w:wordWrap/>
        <w:overflowPunct/>
        <w:topLinePunct w:val="0"/>
        <w:autoSpaceDE w:val="0"/>
        <w:autoSpaceDN w:val="0"/>
        <w:bidi w:val="0"/>
        <w:adjustRightInd w:val="0"/>
        <w:snapToGrid w:val="0"/>
        <w:spacing w:before="27" w:line="460" w:lineRule="exact"/>
        <w:ind w:left="499"/>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1.9.2 投标人踏勘现场发生的费用自理。</w:t>
      </w:r>
    </w:p>
    <w:p w14:paraId="3D943025">
      <w:pPr>
        <w:keepNext w:val="0"/>
        <w:keepLines w:val="0"/>
        <w:pageBreakBefore w:val="0"/>
        <w:widowControl/>
        <w:kinsoku w:val="0"/>
        <w:wordWrap/>
        <w:overflowPunct/>
        <w:topLinePunct w:val="0"/>
        <w:autoSpaceDE w:val="0"/>
        <w:autoSpaceDN w:val="0"/>
        <w:bidi w:val="0"/>
        <w:adjustRightInd w:val="0"/>
        <w:snapToGrid w:val="0"/>
        <w:spacing w:before="28" w:line="460" w:lineRule="exact"/>
        <w:ind w:left="2" w:right="7" w:firstLine="496"/>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1.9.3 除招标人的原因外，投标人自行负责在</w:t>
      </w:r>
      <w:r>
        <w:rPr>
          <w:rFonts w:ascii="宋体" w:hAnsi="宋体" w:eastAsia="宋体" w:cs="宋体"/>
          <w:color w:val="auto"/>
          <w:spacing w:val="1"/>
          <w:sz w:val="24"/>
          <w:szCs w:val="24"/>
          <w:lang w:eastAsia="zh-CN"/>
        </w:rPr>
        <w:t>踏勘现场中所发生的人员伤亡和</w:t>
      </w:r>
      <w:r>
        <w:rPr>
          <w:rFonts w:ascii="宋体" w:hAnsi="宋体" w:eastAsia="宋体" w:cs="宋体"/>
          <w:color w:val="auto"/>
          <w:spacing w:val="-3"/>
          <w:sz w:val="24"/>
          <w:szCs w:val="24"/>
          <w:lang w:eastAsia="zh-CN"/>
        </w:rPr>
        <w:t>财产损失。</w:t>
      </w:r>
    </w:p>
    <w:p w14:paraId="2A1EBE32">
      <w:pPr>
        <w:keepNext w:val="0"/>
        <w:keepLines w:val="0"/>
        <w:pageBreakBefore w:val="0"/>
        <w:widowControl/>
        <w:kinsoku w:val="0"/>
        <w:wordWrap/>
        <w:overflowPunct/>
        <w:topLinePunct w:val="0"/>
        <w:autoSpaceDE w:val="0"/>
        <w:autoSpaceDN w:val="0"/>
        <w:bidi w:val="0"/>
        <w:adjustRightInd w:val="0"/>
        <w:snapToGrid w:val="0"/>
        <w:spacing w:before="28" w:line="460" w:lineRule="exact"/>
        <w:ind w:left="1" w:right="2" w:firstLine="480"/>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1.9.4 招标人在踏勘现场中介绍的工程场地和相关的周边环境情况，供投标人</w:t>
      </w:r>
      <w:r>
        <w:rPr>
          <w:rFonts w:ascii="宋体" w:hAnsi="宋体" w:eastAsia="宋体" w:cs="宋体"/>
          <w:color w:val="auto"/>
          <w:spacing w:val="-1"/>
          <w:sz w:val="24"/>
          <w:szCs w:val="24"/>
          <w:lang w:eastAsia="zh-CN"/>
        </w:rPr>
        <w:t>在编制投标文件时参考，招标人不对投标人据此作出的判断和决策</w:t>
      </w:r>
      <w:r>
        <w:rPr>
          <w:rFonts w:ascii="宋体" w:hAnsi="宋体" w:eastAsia="宋体" w:cs="宋体"/>
          <w:color w:val="auto"/>
          <w:spacing w:val="-2"/>
          <w:sz w:val="24"/>
          <w:szCs w:val="24"/>
          <w:lang w:eastAsia="zh-CN"/>
        </w:rPr>
        <w:t>负责。</w:t>
      </w:r>
    </w:p>
    <w:p w14:paraId="7FB82956">
      <w:pPr>
        <w:keepNext w:val="0"/>
        <w:keepLines w:val="0"/>
        <w:pageBreakBefore w:val="0"/>
        <w:widowControl/>
        <w:kinsoku w:val="0"/>
        <w:wordWrap/>
        <w:overflowPunct/>
        <w:topLinePunct w:val="0"/>
        <w:autoSpaceDE w:val="0"/>
        <w:autoSpaceDN w:val="0"/>
        <w:bidi w:val="0"/>
        <w:adjustRightInd w:val="0"/>
        <w:snapToGrid w:val="0"/>
        <w:spacing w:before="160" w:line="460" w:lineRule="exact"/>
        <w:ind w:left="500"/>
        <w:textAlignment w:val="auto"/>
        <w:rPr>
          <w:rFonts w:ascii="宋体" w:hAnsi="宋体" w:eastAsia="宋体" w:cs="宋体"/>
          <w:color w:val="auto"/>
          <w:sz w:val="28"/>
          <w:szCs w:val="28"/>
          <w:lang w:eastAsia="zh-CN"/>
        </w:rPr>
      </w:pPr>
      <w:r>
        <w:rPr>
          <w:rFonts w:ascii="Times New Roman" w:hAnsi="Times New Roman" w:eastAsia="Times New Roman" w:cs="Times New Roman"/>
          <w:b/>
          <w:bCs/>
          <w:color w:val="auto"/>
          <w:spacing w:val="-4"/>
          <w:sz w:val="28"/>
          <w:szCs w:val="28"/>
          <w:lang w:eastAsia="zh-CN"/>
        </w:rPr>
        <w:t>1.10</w:t>
      </w:r>
      <w:r>
        <w:rPr>
          <w:rFonts w:ascii="宋体" w:hAnsi="宋体" w:eastAsia="宋体" w:cs="宋体"/>
          <w:b/>
          <w:bCs/>
          <w:color w:val="auto"/>
          <w:spacing w:val="-4"/>
          <w:sz w:val="28"/>
          <w:szCs w:val="28"/>
          <w:lang w:eastAsia="zh-CN"/>
        </w:rPr>
        <w:t>投标预备会</w:t>
      </w:r>
    </w:p>
    <w:p w14:paraId="6047BCCE">
      <w:pPr>
        <w:keepNext w:val="0"/>
        <w:keepLines w:val="0"/>
        <w:pageBreakBefore w:val="0"/>
        <w:widowControl/>
        <w:kinsoku w:val="0"/>
        <w:wordWrap/>
        <w:overflowPunct/>
        <w:topLinePunct w:val="0"/>
        <w:autoSpaceDE w:val="0"/>
        <w:autoSpaceDN w:val="0"/>
        <w:bidi w:val="0"/>
        <w:adjustRightInd w:val="0"/>
        <w:snapToGrid w:val="0"/>
        <w:spacing w:before="159" w:line="460" w:lineRule="exact"/>
        <w:ind w:right="7" w:firstLine="498"/>
        <w:textAlignment w:val="auto"/>
        <w:rPr>
          <w:rFonts w:ascii="宋体" w:hAnsi="宋体" w:eastAsia="宋体" w:cs="宋体"/>
          <w:color w:val="auto"/>
          <w:sz w:val="24"/>
          <w:szCs w:val="24"/>
          <w:lang w:eastAsia="zh-CN"/>
        </w:rPr>
      </w:pPr>
      <w:r>
        <w:rPr>
          <w:rFonts w:ascii="宋体" w:hAnsi="宋体" w:eastAsia="宋体" w:cs="宋体"/>
          <w:color w:val="auto"/>
          <w:spacing w:val="5"/>
          <w:sz w:val="24"/>
          <w:szCs w:val="24"/>
          <w:lang w:eastAsia="zh-CN"/>
        </w:rPr>
        <w:t>1.10.1 投标人须知前附表规定召开投标预备会的，招标人按投标</w:t>
      </w:r>
      <w:r>
        <w:rPr>
          <w:rFonts w:ascii="宋体" w:hAnsi="宋体" w:eastAsia="宋体" w:cs="宋体"/>
          <w:color w:val="auto"/>
          <w:spacing w:val="4"/>
          <w:sz w:val="24"/>
          <w:szCs w:val="24"/>
          <w:lang w:eastAsia="zh-CN"/>
        </w:rPr>
        <w:t>人须知前附</w:t>
      </w:r>
      <w:r>
        <w:rPr>
          <w:rFonts w:ascii="宋体" w:hAnsi="宋体" w:eastAsia="宋体" w:cs="宋体"/>
          <w:color w:val="auto"/>
          <w:spacing w:val="-1"/>
          <w:sz w:val="24"/>
          <w:szCs w:val="24"/>
          <w:lang w:eastAsia="zh-CN"/>
        </w:rPr>
        <w:t>表规定的时间和地点召开投标预备会，澄清投标人提出的问题。</w:t>
      </w:r>
    </w:p>
    <w:p w14:paraId="40B8CD0E">
      <w:pPr>
        <w:keepNext w:val="0"/>
        <w:keepLines w:val="0"/>
        <w:pageBreakBefore w:val="0"/>
        <w:widowControl/>
        <w:kinsoku w:val="0"/>
        <w:wordWrap/>
        <w:overflowPunct/>
        <w:topLinePunct w:val="0"/>
        <w:autoSpaceDE w:val="0"/>
        <w:autoSpaceDN w:val="0"/>
        <w:bidi w:val="0"/>
        <w:adjustRightInd w:val="0"/>
        <w:snapToGrid w:val="0"/>
        <w:spacing w:before="161" w:line="460" w:lineRule="exact"/>
        <w:ind w:left="500"/>
        <w:textAlignment w:val="auto"/>
        <w:rPr>
          <w:rFonts w:ascii="宋体" w:hAnsi="宋体" w:eastAsia="宋体" w:cs="宋体"/>
          <w:color w:val="auto"/>
          <w:sz w:val="28"/>
          <w:szCs w:val="28"/>
          <w:lang w:eastAsia="zh-CN"/>
        </w:rPr>
      </w:pPr>
      <w:r>
        <w:rPr>
          <w:rFonts w:ascii="Times New Roman" w:hAnsi="Times New Roman" w:eastAsia="Times New Roman" w:cs="Times New Roman"/>
          <w:b/>
          <w:bCs/>
          <w:color w:val="auto"/>
          <w:spacing w:val="-4"/>
          <w:sz w:val="28"/>
          <w:szCs w:val="28"/>
          <w:lang w:eastAsia="zh-CN"/>
        </w:rPr>
        <w:t>1.11</w:t>
      </w:r>
      <w:r>
        <w:rPr>
          <w:rFonts w:ascii="宋体" w:hAnsi="宋体" w:eastAsia="宋体" w:cs="宋体"/>
          <w:b/>
          <w:bCs/>
          <w:color w:val="auto"/>
          <w:spacing w:val="-4"/>
          <w:sz w:val="28"/>
          <w:szCs w:val="28"/>
          <w:lang w:eastAsia="zh-CN"/>
        </w:rPr>
        <w:t>分包</w:t>
      </w:r>
    </w:p>
    <w:p w14:paraId="7AB57E21">
      <w:pPr>
        <w:keepNext w:val="0"/>
        <w:keepLines w:val="0"/>
        <w:pageBreakBefore w:val="0"/>
        <w:widowControl/>
        <w:kinsoku w:val="0"/>
        <w:wordWrap/>
        <w:overflowPunct/>
        <w:topLinePunct w:val="0"/>
        <w:autoSpaceDE w:val="0"/>
        <w:autoSpaceDN w:val="0"/>
        <w:bidi w:val="0"/>
        <w:adjustRightInd w:val="0"/>
        <w:snapToGrid w:val="0"/>
        <w:spacing w:before="159" w:line="460" w:lineRule="exact"/>
        <w:ind w:left="5" w:right="7" w:firstLine="475"/>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投标人拟在中标后将中标项目的非主体、非关键性工作进行分包的，应符合相</w:t>
      </w:r>
      <w:r>
        <w:rPr>
          <w:rFonts w:ascii="宋体" w:hAnsi="宋体" w:eastAsia="宋体" w:cs="宋体"/>
          <w:color w:val="auto"/>
          <w:spacing w:val="-2"/>
          <w:sz w:val="24"/>
          <w:szCs w:val="24"/>
          <w:lang w:eastAsia="zh-CN"/>
        </w:rPr>
        <w:t>关法律法规规定。</w:t>
      </w:r>
    </w:p>
    <w:p w14:paraId="3A76B5BD">
      <w:pPr>
        <w:keepNext w:val="0"/>
        <w:keepLines w:val="0"/>
        <w:pageBreakBefore w:val="0"/>
        <w:widowControl/>
        <w:kinsoku w:val="0"/>
        <w:wordWrap/>
        <w:overflowPunct/>
        <w:topLinePunct w:val="0"/>
        <w:autoSpaceDE w:val="0"/>
        <w:autoSpaceDN w:val="0"/>
        <w:bidi w:val="0"/>
        <w:adjustRightInd w:val="0"/>
        <w:snapToGrid w:val="0"/>
        <w:spacing w:before="161" w:line="460" w:lineRule="exact"/>
        <w:ind w:left="500"/>
        <w:textAlignment w:val="auto"/>
        <w:rPr>
          <w:rFonts w:ascii="宋体" w:hAnsi="宋体" w:eastAsia="宋体" w:cs="宋体"/>
          <w:color w:val="auto"/>
          <w:sz w:val="28"/>
          <w:szCs w:val="28"/>
          <w:lang w:eastAsia="zh-CN"/>
        </w:rPr>
      </w:pPr>
      <w:r>
        <w:rPr>
          <w:rFonts w:ascii="Times New Roman" w:hAnsi="Times New Roman" w:eastAsia="Times New Roman" w:cs="Times New Roman"/>
          <w:b/>
          <w:bCs/>
          <w:color w:val="auto"/>
          <w:spacing w:val="-4"/>
          <w:sz w:val="28"/>
          <w:szCs w:val="28"/>
          <w:lang w:eastAsia="zh-CN"/>
        </w:rPr>
        <w:t>1.12</w:t>
      </w:r>
      <w:r>
        <w:rPr>
          <w:rFonts w:ascii="宋体" w:hAnsi="宋体" w:eastAsia="宋体" w:cs="宋体"/>
          <w:b/>
          <w:bCs/>
          <w:color w:val="auto"/>
          <w:spacing w:val="-4"/>
          <w:sz w:val="28"/>
          <w:szCs w:val="28"/>
          <w:lang w:eastAsia="zh-CN"/>
        </w:rPr>
        <w:t>偏差</w:t>
      </w:r>
    </w:p>
    <w:p w14:paraId="75D83EFC">
      <w:pPr>
        <w:keepNext w:val="0"/>
        <w:keepLines w:val="0"/>
        <w:pageBreakBefore w:val="0"/>
        <w:widowControl/>
        <w:kinsoku w:val="0"/>
        <w:wordWrap/>
        <w:overflowPunct/>
        <w:topLinePunct w:val="0"/>
        <w:autoSpaceDE w:val="0"/>
        <w:autoSpaceDN w:val="0"/>
        <w:bidi w:val="0"/>
        <w:adjustRightInd w:val="0"/>
        <w:snapToGrid w:val="0"/>
        <w:spacing w:before="160" w:line="460" w:lineRule="exact"/>
        <w:ind w:right="2" w:firstLine="498"/>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1.12.1 投标文件应当对招标文件的实质性要求和条件作出满足性或更有利于招</w:t>
      </w:r>
      <w:r>
        <w:rPr>
          <w:rFonts w:ascii="宋体" w:hAnsi="宋体" w:eastAsia="宋体" w:cs="宋体"/>
          <w:color w:val="auto"/>
          <w:spacing w:val="2"/>
          <w:sz w:val="24"/>
          <w:szCs w:val="24"/>
          <w:lang w:eastAsia="zh-CN"/>
        </w:rPr>
        <w:t>标人的响应，否则，投标人的投标将被否决。实质性要求和条件见投标人须知前附</w:t>
      </w:r>
      <w:r>
        <w:rPr>
          <w:rFonts w:ascii="宋体" w:hAnsi="宋体" w:eastAsia="宋体" w:cs="宋体"/>
          <w:color w:val="auto"/>
          <w:spacing w:val="-5"/>
          <w:sz w:val="24"/>
          <w:szCs w:val="24"/>
          <w:lang w:eastAsia="zh-CN"/>
        </w:rPr>
        <w:t>表。</w:t>
      </w:r>
    </w:p>
    <w:p w14:paraId="40B85936">
      <w:pPr>
        <w:keepNext w:val="0"/>
        <w:keepLines w:val="0"/>
        <w:pageBreakBefore w:val="0"/>
        <w:widowControl/>
        <w:kinsoku w:val="0"/>
        <w:wordWrap/>
        <w:overflowPunct/>
        <w:topLinePunct w:val="0"/>
        <w:autoSpaceDE w:val="0"/>
        <w:autoSpaceDN w:val="0"/>
        <w:bidi w:val="0"/>
        <w:adjustRightInd w:val="0"/>
        <w:snapToGrid w:val="0"/>
        <w:spacing w:before="25" w:line="460" w:lineRule="exact"/>
        <w:ind w:left="1" w:right="7" w:firstLine="497"/>
        <w:textAlignment w:val="auto"/>
        <w:rPr>
          <w:rFonts w:ascii="宋体" w:hAnsi="宋体" w:eastAsia="宋体" w:cs="宋体"/>
          <w:color w:val="auto"/>
          <w:sz w:val="24"/>
          <w:szCs w:val="24"/>
          <w:lang w:eastAsia="zh-CN"/>
        </w:rPr>
      </w:pPr>
      <w:r>
        <w:rPr>
          <w:rFonts w:ascii="宋体" w:hAnsi="宋体" w:eastAsia="宋体" w:cs="宋体"/>
          <w:color w:val="auto"/>
          <w:spacing w:val="5"/>
          <w:sz w:val="24"/>
          <w:szCs w:val="24"/>
          <w:lang w:eastAsia="zh-CN"/>
        </w:rPr>
        <w:t>1.12.2 投标人须知前附表允许投标文件偏差招标文件某些要求的</w:t>
      </w:r>
      <w:r>
        <w:rPr>
          <w:rFonts w:ascii="宋体" w:hAnsi="宋体" w:eastAsia="宋体" w:cs="宋体"/>
          <w:color w:val="auto"/>
          <w:spacing w:val="4"/>
          <w:sz w:val="24"/>
          <w:szCs w:val="24"/>
          <w:lang w:eastAsia="zh-CN"/>
        </w:rPr>
        <w:t>，偏离应当</w:t>
      </w:r>
      <w:r>
        <w:rPr>
          <w:rFonts w:ascii="宋体" w:hAnsi="宋体" w:eastAsia="宋体" w:cs="宋体"/>
          <w:color w:val="auto"/>
          <w:spacing w:val="2"/>
          <w:sz w:val="24"/>
          <w:szCs w:val="24"/>
          <w:lang w:eastAsia="zh-CN"/>
        </w:rPr>
        <w:t>符合招标文件规定的偏差范围和幅度。投标人应响应评标委员会要求，对存在的细微偏差在评标结束前予以补正。拒不补正的，在详细评审时可以细微偏差作不利于</w:t>
      </w:r>
      <w:r>
        <w:rPr>
          <w:rFonts w:ascii="宋体" w:hAnsi="宋体" w:eastAsia="宋体" w:cs="宋体"/>
          <w:color w:val="auto"/>
          <w:spacing w:val="-2"/>
          <w:sz w:val="24"/>
          <w:szCs w:val="24"/>
          <w:lang w:eastAsia="zh-CN"/>
        </w:rPr>
        <w:t>该投标人的量化。</w:t>
      </w:r>
    </w:p>
    <w:p w14:paraId="6AF5AB22">
      <w:pPr>
        <w:keepNext w:val="0"/>
        <w:keepLines w:val="0"/>
        <w:pageBreakBefore w:val="0"/>
        <w:widowControl/>
        <w:kinsoku w:val="0"/>
        <w:wordWrap/>
        <w:overflowPunct/>
        <w:topLinePunct w:val="0"/>
        <w:autoSpaceDE w:val="0"/>
        <w:autoSpaceDN w:val="0"/>
        <w:bidi w:val="0"/>
        <w:adjustRightInd w:val="0"/>
        <w:snapToGrid w:val="0"/>
        <w:spacing w:before="144" w:line="460" w:lineRule="exact"/>
        <w:textAlignment w:val="auto"/>
        <w:rPr>
          <w:rFonts w:ascii="宋体" w:hAnsi="宋体" w:eastAsia="宋体" w:cs="宋体"/>
          <w:color w:val="auto"/>
          <w:sz w:val="31"/>
          <w:szCs w:val="31"/>
          <w:lang w:eastAsia="zh-CN"/>
        </w:rPr>
      </w:pPr>
      <w:r>
        <w:rPr>
          <w:rFonts w:ascii="Times New Roman" w:hAnsi="Times New Roman" w:eastAsia="Times New Roman" w:cs="Times New Roman"/>
          <w:b/>
          <w:bCs/>
          <w:color w:val="auto"/>
          <w:spacing w:val="5"/>
          <w:sz w:val="31"/>
          <w:szCs w:val="31"/>
          <w:lang w:eastAsia="zh-CN"/>
        </w:rPr>
        <w:t>2.</w:t>
      </w:r>
      <w:r>
        <w:rPr>
          <w:rFonts w:ascii="宋体" w:hAnsi="宋体" w:eastAsia="宋体" w:cs="宋体"/>
          <w:b/>
          <w:bCs/>
          <w:color w:val="auto"/>
          <w:spacing w:val="5"/>
          <w:sz w:val="31"/>
          <w:szCs w:val="31"/>
          <w:lang w:eastAsia="zh-CN"/>
        </w:rPr>
        <w:t>招标文件</w:t>
      </w:r>
    </w:p>
    <w:p w14:paraId="663776A7">
      <w:pPr>
        <w:keepNext w:val="0"/>
        <w:keepLines w:val="0"/>
        <w:pageBreakBefore w:val="0"/>
        <w:widowControl/>
        <w:kinsoku w:val="0"/>
        <w:wordWrap/>
        <w:overflowPunct/>
        <w:topLinePunct w:val="0"/>
        <w:autoSpaceDE w:val="0"/>
        <w:autoSpaceDN w:val="0"/>
        <w:bidi w:val="0"/>
        <w:adjustRightInd w:val="0"/>
        <w:snapToGrid w:val="0"/>
        <w:spacing w:before="264" w:line="460" w:lineRule="exact"/>
        <w:ind w:left="488"/>
        <w:textAlignment w:val="auto"/>
        <w:rPr>
          <w:rFonts w:ascii="宋体" w:hAnsi="宋体" w:eastAsia="宋体" w:cs="宋体"/>
          <w:color w:val="auto"/>
          <w:sz w:val="28"/>
          <w:szCs w:val="28"/>
          <w:lang w:eastAsia="zh-CN"/>
        </w:rPr>
      </w:pPr>
      <w:r>
        <w:rPr>
          <w:rFonts w:ascii="Times New Roman" w:hAnsi="Times New Roman" w:eastAsia="Times New Roman" w:cs="Times New Roman"/>
          <w:b/>
          <w:bCs/>
          <w:color w:val="auto"/>
          <w:spacing w:val="-2"/>
          <w:sz w:val="28"/>
          <w:szCs w:val="28"/>
          <w:lang w:eastAsia="zh-CN"/>
        </w:rPr>
        <w:t>2.1</w:t>
      </w:r>
      <w:r>
        <w:rPr>
          <w:rFonts w:ascii="宋体" w:hAnsi="宋体" w:eastAsia="宋体" w:cs="宋体"/>
          <w:b/>
          <w:bCs/>
          <w:color w:val="auto"/>
          <w:spacing w:val="-2"/>
          <w:sz w:val="28"/>
          <w:szCs w:val="28"/>
          <w:lang w:eastAsia="zh-CN"/>
        </w:rPr>
        <w:t>招标文件的组成</w:t>
      </w:r>
    </w:p>
    <w:p w14:paraId="7A8970C9">
      <w:pPr>
        <w:keepNext w:val="0"/>
        <w:keepLines w:val="0"/>
        <w:pageBreakBefore w:val="0"/>
        <w:widowControl/>
        <w:kinsoku w:val="0"/>
        <w:wordWrap/>
        <w:overflowPunct/>
        <w:topLinePunct w:val="0"/>
        <w:autoSpaceDE w:val="0"/>
        <w:autoSpaceDN w:val="0"/>
        <w:bidi w:val="0"/>
        <w:adjustRightInd w:val="0"/>
        <w:snapToGrid w:val="0"/>
        <w:spacing w:before="158" w:line="460" w:lineRule="exact"/>
        <w:ind w:left="482"/>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本招标文件包括：</w:t>
      </w:r>
    </w:p>
    <w:p w14:paraId="7A09FAA0">
      <w:pPr>
        <w:keepNext w:val="0"/>
        <w:keepLines w:val="0"/>
        <w:pageBreakBefore w:val="0"/>
        <w:widowControl/>
        <w:kinsoku w:val="0"/>
        <w:wordWrap/>
        <w:overflowPunct/>
        <w:topLinePunct w:val="0"/>
        <w:autoSpaceDE w:val="0"/>
        <w:autoSpaceDN w:val="0"/>
        <w:bidi w:val="0"/>
        <w:adjustRightInd w:val="0"/>
        <w:snapToGrid w:val="0"/>
        <w:spacing w:before="29" w:line="460" w:lineRule="exact"/>
        <w:ind w:left="459"/>
        <w:textAlignment w:val="auto"/>
        <w:rPr>
          <w:rFonts w:ascii="宋体" w:hAnsi="宋体" w:eastAsia="宋体" w:cs="宋体"/>
          <w:color w:val="auto"/>
          <w:sz w:val="24"/>
          <w:szCs w:val="24"/>
          <w:lang w:eastAsia="zh-CN"/>
        </w:rPr>
      </w:pPr>
      <w:r>
        <w:rPr>
          <w:rFonts w:ascii="宋体" w:hAnsi="宋体" w:eastAsia="宋体" w:cs="宋体"/>
          <w:color w:val="auto"/>
          <w:spacing w:val="-9"/>
          <w:sz w:val="24"/>
          <w:szCs w:val="24"/>
          <w:lang w:eastAsia="zh-CN"/>
        </w:rPr>
        <w:t>（</w:t>
      </w:r>
      <w:r>
        <w:rPr>
          <w:rFonts w:ascii="Times New Roman" w:hAnsi="Times New Roman" w:eastAsia="Times New Roman" w:cs="Times New Roman"/>
          <w:color w:val="auto"/>
          <w:spacing w:val="-9"/>
          <w:sz w:val="24"/>
          <w:szCs w:val="24"/>
          <w:lang w:eastAsia="zh-CN"/>
        </w:rPr>
        <w:t>1</w:t>
      </w:r>
      <w:r>
        <w:rPr>
          <w:rFonts w:ascii="宋体" w:hAnsi="宋体" w:eastAsia="宋体" w:cs="宋体"/>
          <w:color w:val="auto"/>
          <w:spacing w:val="-9"/>
          <w:sz w:val="24"/>
          <w:szCs w:val="24"/>
          <w:lang w:eastAsia="zh-CN"/>
        </w:rPr>
        <w:t>）招标公告（或投标邀请书</w:t>
      </w:r>
      <w:r>
        <w:rPr>
          <w:rFonts w:ascii="宋体" w:hAnsi="宋体" w:eastAsia="宋体" w:cs="宋体"/>
          <w:color w:val="auto"/>
          <w:spacing w:val="-5"/>
          <w:sz w:val="24"/>
          <w:szCs w:val="24"/>
          <w:lang w:eastAsia="zh-CN"/>
        </w:rPr>
        <w:t>）；</w:t>
      </w:r>
    </w:p>
    <w:p w14:paraId="02B24BFA">
      <w:pPr>
        <w:keepNext w:val="0"/>
        <w:keepLines w:val="0"/>
        <w:pageBreakBefore w:val="0"/>
        <w:widowControl/>
        <w:kinsoku w:val="0"/>
        <w:wordWrap/>
        <w:overflowPunct/>
        <w:topLinePunct w:val="0"/>
        <w:autoSpaceDE w:val="0"/>
        <w:autoSpaceDN w:val="0"/>
        <w:bidi w:val="0"/>
        <w:adjustRightInd w:val="0"/>
        <w:snapToGrid w:val="0"/>
        <w:spacing w:before="30" w:line="460" w:lineRule="exact"/>
        <w:ind w:left="459"/>
        <w:textAlignment w:val="auto"/>
        <w:rPr>
          <w:rFonts w:ascii="宋体" w:hAnsi="宋体" w:eastAsia="宋体" w:cs="宋体"/>
          <w:color w:val="auto"/>
          <w:sz w:val="24"/>
          <w:szCs w:val="24"/>
          <w:lang w:eastAsia="zh-CN"/>
        </w:rPr>
      </w:pPr>
      <w:r>
        <w:rPr>
          <w:rFonts w:ascii="宋体" w:hAnsi="宋体" w:eastAsia="宋体" w:cs="宋体"/>
          <w:color w:val="auto"/>
          <w:spacing w:val="-9"/>
          <w:sz w:val="24"/>
          <w:szCs w:val="24"/>
          <w:lang w:eastAsia="zh-CN"/>
        </w:rPr>
        <w:t>（</w:t>
      </w:r>
      <w:r>
        <w:rPr>
          <w:rFonts w:ascii="Times New Roman" w:hAnsi="Times New Roman" w:eastAsia="Times New Roman" w:cs="Times New Roman"/>
          <w:color w:val="auto"/>
          <w:spacing w:val="-9"/>
          <w:sz w:val="24"/>
          <w:szCs w:val="24"/>
          <w:lang w:eastAsia="zh-CN"/>
        </w:rPr>
        <w:t>2</w:t>
      </w:r>
      <w:r>
        <w:rPr>
          <w:rFonts w:ascii="宋体" w:hAnsi="宋体" w:eastAsia="宋体" w:cs="宋体"/>
          <w:color w:val="auto"/>
          <w:spacing w:val="-9"/>
          <w:sz w:val="24"/>
          <w:szCs w:val="24"/>
          <w:lang w:eastAsia="zh-CN"/>
        </w:rPr>
        <w:t>）投标人须知；</w:t>
      </w:r>
    </w:p>
    <w:p w14:paraId="3D74A540">
      <w:pPr>
        <w:keepNext w:val="0"/>
        <w:keepLines w:val="0"/>
        <w:pageBreakBefore w:val="0"/>
        <w:widowControl/>
        <w:kinsoku w:val="0"/>
        <w:wordWrap/>
        <w:overflowPunct/>
        <w:topLinePunct w:val="0"/>
        <w:autoSpaceDE w:val="0"/>
        <w:autoSpaceDN w:val="0"/>
        <w:bidi w:val="0"/>
        <w:adjustRightInd w:val="0"/>
        <w:snapToGrid w:val="0"/>
        <w:spacing w:before="27" w:line="460" w:lineRule="exact"/>
        <w:ind w:left="459"/>
        <w:textAlignment w:val="auto"/>
        <w:rPr>
          <w:rFonts w:ascii="宋体" w:hAnsi="宋体" w:eastAsia="宋体" w:cs="宋体"/>
          <w:color w:val="auto"/>
          <w:sz w:val="24"/>
          <w:szCs w:val="24"/>
          <w:lang w:eastAsia="zh-CN"/>
        </w:rPr>
      </w:pPr>
      <w:r>
        <w:rPr>
          <w:rFonts w:ascii="宋体" w:hAnsi="宋体" w:eastAsia="宋体" w:cs="宋体"/>
          <w:color w:val="auto"/>
          <w:spacing w:val="-9"/>
          <w:sz w:val="24"/>
          <w:szCs w:val="24"/>
          <w:lang w:eastAsia="zh-CN"/>
        </w:rPr>
        <w:t>（</w:t>
      </w:r>
      <w:r>
        <w:rPr>
          <w:rFonts w:ascii="Times New Roman" w:hAnsi="Times New Roman" w:eastAsia="Times New Roman" w:cs="Times New Roman"/>
          <w:color w:val="auto"/>
          <w:spacing w:val="-9"/>
          <w:sz w:val="24"/>
          <w:szCs w:val="24"/>
          <w:lang w:eastAsia="zh-CN"/>
        </w:rPr>
        <w:t>3</w:t>
      </w:r>
      <w:r>
        <w:rPr>
          <w:rFonts w:ascii="宋体" w:hAnsi="宋体" w:eastAsia="宋体" w:cs="宋体"/>
          <w:color w:val="auto"/>
          <w:spacing w:val="-9"/>
          <w:sz w:val="24"/>
          <w:szCs w:val="24"/>
          <w:lang w:eastAsia="zh-CN"/>
        </w:rPr>
        <w:t>）评标定标办法；</w:t>
      </w:r>
    </w:p>
    <w:p w14:paraId="02D2652D">
      <w:pPr>
        <w:keepNext w:val="0"/>
        <w:keepLines w:val="0"/>
        <w:pageBreakBefore w:val="0"/>
        <w:widowControl/>
        <w:kinsoku w:val="0"/>
        <w:wordWrap/>
        <w:overflowPunct/>
        <w:topLinePunct w:val="0"/>
        <w:autoSpaceDE w:val="0"/>
        <w:autoSpaceDN w:val="0"/>
        <w:bidi w:val="0"/>
        <w:adjustRightInd w:val="0"/>
        <w:snapToGrid w:val="0"/>
        <w:spacing w:before="27" w:line="460" w:lineRule="exact"/>
        <w:ind w:left="459"/>
        <w:textAlignment w:val="auto"/>
        <w:rPr>
          <w:rFonts w:ascii="宋体" w:hAnsi="宋体" w:eastAsia="宋体" w:cs="宋体"/>
          <w:color w:val="auto"/>
          <w:sz w:val="24"/>
          <w:szCs w:val="24"/>
          <w:lang w:eastAsia="zh-CN"/>
        </w:rPr>
      </w:pPr>
      <w:r>
        <w:rPr>
          <w:rFonts w:ascii="宋体" w:hAnsi="宋体" w:eastAsia="宋体" w:cs="宋体"/>
          <w:color w:val="auto"/>
          <w:spacing w:val="-9"/>
          <w:sz w:val="24"/>
          <w:szCs w:val="24"/>
          <w:lang w:eastAsia="zh-CN"/>
        </w:rPr>
        <w:t>（</w:t>
      </w:r>
      <w:r>
        <w:rPr>
          <w:rFonts w:ascii="Times New Roman" w:hAnsi="Times New Roman" w:eastAsia="Times New Roman" w:cs="Times New Roman"/>
          <w:color w:val="auto"/>
          <w:spacing w:val="-9"/>
          <w:sz w:val="24"/>
          <w:szCs w:val="24"/>
          <w:lang w:eastAsia="zh-CN"/>
        </w:rPr>
        <w:t>4</w:t>
      </w:r>
      <w:r>
        <w:rPr>
          <w:rFonts w:ascii="宋体" w:hAnsi="宋体" w:eastAsia="宋体" w:cs="宋体"/>
          <w:color w:val="auto"/>
          <w:spacing w:val="-9"/>
          <w:sz w:val="24"/>
          <w:szCs w:val="24"/>
          <w:lang w:eastAsia="zh-CN"/>
        </w:rPr>
        <w:t>）合同条款及格式；</w:t>
      </w:r>
    </w:p>
    <w:p w14:paraId="64E2BC7A">
      <w:pPr>
        <w:keepNext w:val="0"/>
        <w:keepLines w:val="0"/>
        <w:pageBreakBefore w:val="0"/>
        <w:widowControl/>
        <w:kinsoku w:val="0"/>
        <w:wordWrap/>
        <w:overflowPunct/>
        <w:topLinePunct w:val="0"/>
        <w:autoSpaceDE w:val="0"/>
        <w:autoSpaceDN w:val="0"/>
        <w:bidi w:val="0"/>
        <w:adjustRightInd w:val="0"/>
        <w:snapToGrid w:val="0"/>
        <w:spacing w:before="27" w:line="460" w:lineRule="exact"/>
        <w:ind w:left="459"/>
        <w:textAlignment w:val="auto"/>
        <w:rPr>
          <w:rFonts w:ascii="宋体" w:hAnsi="宋体" w:eastAsia="宋体" w:cs="宋体"/>
          <w:color w:val="auto"/>
          <w:sz w:val="24"/>
          <w:szCs w:val="24"/>
          <w:lang w:eastAsia="zh-CN"/>
        </w:rPr>
      </w:pPr>
      <w:r>
        <w:rPr>
          <w:rFonts w:ascii="宋体" w:hAnsi="宋体" w:eastAsia="宋体" w:cs="宋体"/>
          <w:color w:val="auto"/>
          <w:spacing w:val="-9"/>
          <w:sz w:val="24"/>
          <w:szCs w:val="24"/>
          <w:lang w:eastAsia="zh-CN"/>
        </w:rPr>
        <w:t>（</w:t>
      </w:r>
      <w:r>
        <w:rPr>
          <w:rFonts w:ascii="Times New Roman" w:hAnsi="Times New Roman" w:eastAsia="Times New Roman" w:cs="Times New Roman"/>
          <w:color w:val="auto"/>
          <w:spacing w:val="-9"/>
          <w:sz w:val="24"/>
          <w:szCs w:val="24"/>
          <w:lang w:eastAsia="zh-CN"/>
        </w:rPr>
        <w:t>5</w:t>
      </w:r>
      <w:r>
        <w:rPr>
          <w:rFonts w:ascii="宋体" w:hAnsi="宋体" w:eastAsia="宋体" w:cs="宋体"/>
          <w:color w:val="auto"/>
          <w:spacing w:val="-9"/>
          <w:sz w:val="24"/>
          <w:szCs w:val="24"/>
          <w:lang w:eastAsia="zh-CN"/>
        </w:rPr>
        <w:t>）工程量清单编制；</w:t>
      </w:r>
    </w:p>
    <w:p w14:paraId="37ECEF71">
      <w:pPr>
        <w:keepNext w:val="0"/>
        <w:keepLines w:val="0"/>
        <w:pageBreakBefore w:val="0"/>
        <w:widowControl/>
        <w:kinsoku w:val="0"/>
        <w:wordWrap/>
        <w:overflowPunct/>
        <w:topLinePunct w:val="0"/>
        <w:autoSpaceDE w:val="0"/>
        <w:autoSpaceDN w:val="0"/>
        <w:bidi w:val="0"/>
        <w:adjustRightInd w:val="0"/>
        <w:snapToGrid w:val="0"/>
        <w:spacing w:before="27" w:line="460" w:lineRule="exact"/>
        <w:ind w:left="459"/>
        <w:textAlignment w:val="auto"/>
        <w:rPr>
          <w:rFonts w:ascii="宋体" w:hAnsi="宋体" w:eastAsia="宋体" w:cs="宋体"/>
          <w:color w:val="auto"/>
          <w:sz w:val="24"/>
          <w:szCs w:val="24"/>
          <w:lang w:eastAsia="zh-CN"/>
        </w:rPr>
      </w:pPr>
      <w:r>
        <w:rPr>
          <w:rFonts w:ascii="宋体" w:hAnsi="宋体" w:eastAsia="宋体" w:cs="宋体"/>
          <w:color w:val="auto"/>
          <w:spacing w:val="-9"/>
          <w:sz w:val="24"/>
          <w:szCs w:val="24"/>
          <w:lang w:eastAsia="zh-CN"/>
        </w:rPr>
        <w:t>（</w:t>
      </w:r>
      <w:r>
        <w:rPr>
          <w:rFonts w:ascii="Times New Roman" w:hAnsi="Times New Roman" w:eastAsia="Times New Roman" w:cs="Times New Roman"/>
          <w:color w:val="auto"/>
          <w:spacing w:val="-9"/>
          <w:sz w:val="24"/>
          <w:szCs w:val="24"/>
          <w:lang w:eastAsia="zh-CN"/>
        </w:rPr>
        <w:t>6</w:t>
      </w:r>
      <w:r>
        <w:rPr>
          <w:rFonts w:ascii="宋体" w:hAnsi="宋体" w:eastAsia="宋体" w:cs="宋体"/>
          <w:color w:val="auto"/>
          <w:spacing w:val="-9"/>
          <w:sz w:val="24"/>
          <w:szCs w:val="24"/>
          <w:lang w:eastAsia="zh-CN"/>
        </w:rPr>
        <w:t>）技术标准和要求；</w:t>
      </w:r>
    </w:p>
    <w:p w14:paraId="3870CF44">
      <w:pPr>
        <w:keepNext w:val="0"/>
        <w:keepLines w:val="0"/>
        <w:pageBreakBefore w:val="0"/>
        <w:widowControl/>
        <w:kinsoku w:val="0"/>
        <w:wordWrap/>
        <w:overflowPunct/>
        <w:topLinePunct w:val="0"/>
        <w:autoSpaceDE w:val="0"/>
        <w:autoSpaceDN w:val="0"/>
        <w:bidi w:val="0"/>
        <w:adjustRightInd w:val="0"/>
        <w:snapToGrid w:val="0"/>
        <w:spacing w:before="29" w:line="460" w:lineRule="exact"/>
        <w:ind w:left="459"/>
        <w:textAlignment w:val="auto"/>
        <w:rPr>
          <w:rFonts w:ascii="宋体" w:hAnsi="宋体" w:eastAsia="宋体" w:cs="宋体"/>
          <w:color w:val="auto"/>
          <w:sz w:val="24"/>
          <w:szCs w:val="24"/>
          <w:lang w:eastAsia="zh-CN"/>
        </w:rPr>
      </w:pPr>
      <w:r>
        <w:rPr>
          <w:rFonts w:ascii="宋体" w:hAnsi="宋体" w:eastAsia="宋体" w:cs="宋体"/>
          <w:color w:val="auto"/>
          <w:spacing w:val="-9"/>
          <w:sz w:val="24"/>
          <w:szCs w:val="24"/>
          <w:lang w:eastAsia="zh-CN"/>
        </w:rPr>
        <w:t>（</w:t>
      </w:r>
      <w:r>
        <w:rPr>
          <w:rFonts w:ascii="Times New Roman" w:hAnsi="Times New Roman" w:eastAsia="Times New Roman" w:cs="Times New Roman"/>
          <w:color w:val="auto"/>
          <w:spacing w:val="-9"/>
          <w:sz w:val="24"/>
          <w:szCs w:val="24"/>
          <w:lang w:eastAsia="zh-CN"/>
        </w:rPr>
        <w:t>7</w:t>
      </w:r>
      <w:r>
        <w:rPr>
          <w:rFonts w:ascii="宋体" w:hAnsi="宋体" w:eastAsia="宋体" w:cs="宋体"/>
          <w:color w:val="auto"/>
          <w:spacing w:val="-9"/>
          <w:sz w:val="24"/>
          <w:szCs w:val="24"/>
          <w:lang w:eastAsia="zh-CN"/>
        </w:rPr>
        <w:t>）图纸及其他资料；</w:t>
      </w:r>
    </w:p>
    <w:p w14:paraId="2A3F64E6">
      <w:pPr>
        <w:keepNext w:val="0"/>
        <w:keepLines w:val="0"/>
        <w:pageBreakBefore w:val="0"/>
        <w:widowControl/>
        <w:kinsoku w:val="0"/>
        <w:wordWrap/>
        <w:overflowPunct/>
        <w:topLinePunct w:val="0"/>
        <w:autoSpaceDE w:val="0"/>
        <w:autoSpaceDN w:val="0"/>
        <w:bidi w:val="0"/>
        <w:adjustRightInd w:val="0"/>
        <w:snapToGrid w:val="0"/>
        <w:spacing w:before="26" w:line="460" w:lineRule="exact"/>
        <w:ind w:left="459"/>
        <w:textAlignment w:val="auto"/>
        <w:rPr>
          <w:rFonts w:ascii="宋体" w:hAnsi="宋体" w:eastAsia="宋体" w:cs="宋体"/>
          <w:color w:val="auto"/>
          <w:sz w:val="24"/>
          <w:szCs w:val="24"/>
          <w:lang w:eastAsia="zh-CN"/>
        </w:rPr>
      </w:pPr>
      <w:r>
        <w:rPr>
          <w:rFonts w:ascii="宋体" w:hAnsi="宋体" w:eastAsia="宋体" w:cs="宋体"/>
          <w:color w:val="auto"/>
          <w:spacing w:val="-9"/>
          <w:sz w:val="24"/>
          <w:szCs w:val="24"/>
          <w:lang w:eastAsia="zh-CN"/>
        </w:rPr>
        <w:t>（</w:t>
      </w:r>
      <w:r>
        <w:rPr>
          <w:rFonts w:ascii="Times New Roman" w:hAnsi="Times New Roman" w:eastAsia="Times New Roman" w:cs="Times New Roman"/>
          <w:color w:val="auto"/>
          <w:spacing w:val="-9"/>
          <w:sz w:val="24"/>
          <w:szCs w:val="24"/>
          <w:lang w:eastAsia="zh-CN"/>
        </w:rPr>
        <w:t>8</w:t>
      </w:r>
      <w:r>
        <w:rPr>
          <w:rFonts w:ascii="宋体" w:hAnsi="宋体" w:eastAsia="宋体" w:cs="宋体"/>
          <w:color w:val="auto"/>
          <w:spacing w:val="-9"/>
          <w:sz w:val="24"/>
          <w:szCs w:val="24"/>
          <w:lang w:eastAsia="zh-CN"/>
        </w:rPr>
        <w:t>）投标文件格式；</w:t>
      </w:r>
    </w:p>
    <w:p w14:paraId="1E52D17D">
      <w:pPr>
        <w:keepNext w:val="0"/>
        <w:keepLines w:val="0"/>
        <w:pageBreakBefore w:val="0"/>
        <w:widowControl/>
        <w:kinsoku w:val="0"/>
        <w:wordWrap/>
        <w:overflowPunct/>
        <w:topLinePunct w:val="0"/>
        <w:autoSpaceDE w:val="0"/>
        <w:autoSpaceDN w:val="0"/>
        <w:bidi w:val="0"/>
        <w:adjustRightInd w:val="0"/>
        <w:snapToGrid w:val="0"/>
        <w:spacing w:before="28" w:line="460" w:lineRule="exact"/>
        <w:ind w:left="459"/>
        <w:textAlignment w:val="auto"/>
        <w:rPr>
          <w:rFonts w:ascii="宋体" w:hAnsi="宋体" w:eastAsia="宋体" w:cs="宋体"/>
          <w:color w:val="auto"/>
          <w:sz w:val="24"/>
          <w:szCs w:val="24"/>
          <w:lang w:eastAsia="zh-CN"/>
        </w:rPr>
      </w:pPr>
      <w:r>
        <w:rPr>
          <w:rFonts w:ascii="宋体" w:hAnsi="宋体" w:eastAsia="宋体" w:cs="宋体"/>
          <w:color w:val="auto"/>
          <w:spacing w:val="-9"/>
          <w:sz w:val="24"/>
          <w:szCs w:val="24"/>
          <w:lang w:eastAsia="zh-CN"/>
        </w:rPr>
        <w:t>（</w:t>
      </w:r>
      <w:r>
        <w:rPr>
          <w:rFonts w:ascii="Times New Roman" w:hAnsi="Times New Roman" w:eastAsia="Times New Roman" w:cs="Times New Roman"/>
          <w:color w:val="auto"/>
          <w:spacing w:val="-9"/>
          <w:sz w:val="24"/>
          <w:szCs w:val="24"/>
          <w:lang w:eastAsia="zh-CN"/>
        </w:rPr>
        <w:t>9</w:t>
      </w:r>
      <w:r>
        <w:rPr>
          <w:rFonts w:ascii="宋体" w:hAnsi="宋体" w:eastAsia="宋体" w:cs="宋体"/>
          <w:color w:val="auto"/>
          <w:spacing w:val="-9"/>
          <w:sz w:val="24"/>
          <w:szCs w:val="24"/>
          <w:lang w:eastAsia="zh-CN"/>
        </w:rPr>
        <w:t>）投标人须知前附表规定的其他材料。</w:t>
      </w:r>
    </w:p>
    <w:p w14:paraId="014ED603">
      <w:pPr>
        <w:keepNext w:val="0"/>
        <w:keepLines w:val="0"/>
        <w:pageBreakBefore w:val="0"/>
        <w:widowControl/>
        <w:kinsoku w:val="0"/>
        <w:wordWrap/>
        <w:overflowPunct/>
        <w:topLinePunct w:val="0"/>
        <w:autoSpaceDE w:val="0"/>
        <w:autoSpaceDN w:val="0"/>
        <w:bidi w:val="0"/>
        <w:adjustRightInd w:val="0"/>
        <w:snapToGrid w:val="0"/>
        <w:spacing w:before="29" w:line="460" w:lineRule="exact"/>
        <w:ind w:left="3" w:right="6" w:firstLine="478"/>
        <w:textAlignment w:val="auto"/>
        <w:rPr>
          <w:rFonts w:ascii="宋体" w:hAnsi="宋体" w:eastAsia="宋体" w:cs="宋体"/>
          <w:color w:val="auto"/>
          <w:sz w:val="24"/>
          <w:szCs w:val="24"/>
          <w:lang w:eastAsia="zh-CN"/>
        </w:rPr>
      </w:pPr>
      <w:r>
        <w:rPr>
          <w:rFonts w:ascii="宋体" w:hAnsi="宋体" w:eastAsia="宋体" w:cs="宋体"/>
          <w:color w:val="auto"/>
          <w:sz w:val="24"/>
          <w:szCs w:val="24"/>
          <w:lang w:eastAsia="zh-CN"/>
        </w:rPr>
        <w:t>根据本章第</w:t>
      </w:r>
      <w:r>
        <w:rPr>
          <w:rFonts w:ascii="Times New Roman" w:hAnsi="Times New Roman" w:eastAsia="Times New Roman" w:cs="Times New Roman"/>
          <w:color w:val="auto"/>
          <w:sz w:val="24"/>
          <w:szCs w:val="24"/>
          <w:lang w:eastAsia="zh-CN"/>
        </w:rPr>
        <w:t>1.10</w:t>
      </w:r>
      <w:r>
        <w:rPr>
          <w:rFonts w:ascii="宋体" w:hAnsi="宋体" w:eastAsia="宋体" w:cs="宋体"/>
          <w:color w:val="auto"/>
          <w:sz w:val="24"/>
          <w:szCs w:val="24"/>
          <w:lang w:eastAsia="zh-CN"/>
        </w:rPr>
        <w:t>款、第</w:t>
      </w:r>
      <w:r>
        <w:rPr>
          <w:rFonts w:ascii="Times New Roman" w:hAnsi="Times New Roman" w:eastAsia="Times New Roman" w:cs="Times New Roman"/>
          <w:color w:val="auto"/>
          <w:sz w:val="24"/>
          <w:szCs w:val="24"/>
          <w:lang w:eastAsia="zh-CN"/>
        </w:rPr>
        <w:t>2.2</w:t>
      </w:r>
      <w:r>
        <w:rPr>
          <w:rFonts w:ascii="宋体" w:hAnsi="宋体" w:eastAsia="宋体" w:cs="宋体"/>
          <w:color w:val="auto"/>
          <w:sz w:val="24"/>
          <w:szCs w:val="24"/>
          <w:lang w:eastAsia="zh-CN"/>
        </w:rPr>
        <w:t>款和第</w:t>
      </w:r>
      <w:r>
        <w:rPr>
          <w:rFonts w:ascii="Times New Roman" w:hAnsi="Times New Roman" w:eastAsia="Times New Roman" w:cs="Times New Roman"/>
          <w:color w:val="auto"/>
          <w:sz w:val="24"/>
          <w:szCs w:val="24"/>
          <w:lang w:eastAsia="zh-CN"/>
        </w:rPr>
        <w:t>2.3</w:t>
      </w:r>
      <w:r>
        <w:rPr>
          <w:rFonts w:ascii="宋体" w:hAnsi="宋体" w:eastAsia="宋体" w:cs="宋体"/>
          <w:color w:val="auto"/>
          <w:sz w:val="24"/>
          <w:szCs w:val="24"/>
          <w:lang w:eastAsia="zh-CN"/>
        </w:rPr>
        <w:t>款对招标文件所作的</w:t>
      </w:r>
      <w:r>
        <w:rPr>
          <w:rFonts w:ascii="宋体" w:hAnsi="宋体" w:eastAsia="宋体" w:cs="宋体"/>
          <w:color w:val="auto"/>
          <w:spacing w:val="-1"/>
          <w:sz w:val="24"/>
          <w:szCs w:val="24"/>
          <w:lang w:eastAsia="zh-CN"/>
        </w:rPr>
        <w:t>澄清、修改，构成招标</w:t>
      </w:r>
      <w:r>
        <w:rPr>
          <w:rFonts w:ascii="宋体" w:hAnsi="宋体" w:eastAsia="宋体" w:cs="宋体"/>
          <w:color w:val="auto"/>
          <w:spacing w:val="-2"/>
          <w:sz w:val="24"/>
          <w:szCs w:val="24"/>
          <w:lang w:eastAsia="zh-CN"/>
        </w:rPr>
        <w:t>文件的组成部分。</w:t>
      </w:r>
    </w:p>
    <w:p w14:paraId="4197831E">
      <w:pPr>
        <w:keepNext w:val="0"/>
        <w:keepLines w:val="0"/>
        <w:pageBreakBefore w:val="0"/>
        <w:widowControl/>
        <w:kinsoku w:val="0"/>
        <w:wordWrap/>
        <w:overflowPunct/>
        <w:topLinePunct w:val="0"/>
        <w:autoSpaceDE w:val="0"/>
        <w:autoSpaceDN w:val="0"/>
        <w:bidi w:val="0"/>
        <w:adjustRightInd w:val="0"/>
        <w:snapToGrid w:val="0"/>
        <w:spacing w:before="161" w:line="460" w:lineRule="exact"/>
        <w:ind w:left="488"/>
        <w:textAlignment w:val="auto"/>
        <w:rPr>
          <w:rFonts w:ascii="宋体" w:hAnsi="宋体" w:eastAsia="宋体" w:cs="宋体"/>
          <w:color w:val="auto"/>
          <w:sz w:val="28"/>
          <w:szCs w:val="28"/>
          <w:lang w:eastAsia="zh-CN"/>
        </w:rPr>
      </w:pPr>
      <w:r>
        <w:rPr>
          <w:rFonts w:ascii="Times New Roman" w:hAnsi="Times New Roman" w:eastAsia="Times New Roman" w:cs="Times New Roman"/>
          <w:b/>
          <w:bCs/>
          <w:color w:val="auto"/>
          <w:spacing w:val="-2"/>
          <w:sz w:val="28"/>
          <w:szCs w:val="28"/>
          <w:lang w:eastAsia="zh-CN"/>
        </w:rPr>
        <w:t>2.2</w:t>
      </w:r>
      <w:r>
        <w:rPr>
          <w:rFonts w:ascii="宋体" w:hAnsi="宋体" w:eastAsia="宋体" w:cs="宋体"/>
          <w:b/>
          <w:bCs/>
          <w:color w:val="auto"/>
          <w:spacing w:val="-2"/>
          <w:sz w:val="28"/>
          <w:szCs w:val="28"/>
          <w:lang w:eastAsia="zh-CN"/>
        </w:rPr>
        <w:t>招标文件的澄清</w:t>
      </w:r>
    </w:p>
    <w:p w14:paraId="0E722460">
      <w:pPr>
        <w:keepNext w:val="0"/>
        <w:keepLines w:val="0"/>
        <w:pageBreakBefore w:val="0"/>
        <w:widowControl/>
        <w:kinsoku w:val="0"/>
        <w:wordWrap/>
        <w:overflowPunct/>
        <w:topLinePunct w:val="0"/>
        <w:autoSpaceDE w:val="0"/>
        <w:autoSpaceDN w:val="0"/>
        <w:bidi w:val="0"/>
        <w:adjustRightInd w:val="0"/>
        <w:snapToGrid w:val="0"/>
        <w:spacing w:before="159" w:line="460" w:lineRule="exact"/>
        <w:ind w:right="6"/>
        <w:jc w:val="right"/>
        <w:textAlignment w:val="auto"/>
        <w:rPr>
          <w:rFonts w:ascii="宋体" w:hAnsi="宋体" w:eastAsia="宋体" w:cs="宋体"/>
          <w:color w:val="auto"/>
          <w:sz w:val="24"/>
          <w:szCs w:val="24"/>
          <w:lang w:eastAsia="zh-CN"/>
        </w:rPr>
      </w:pPr>
      <w:r>
        <w:rPr>
          <w:rFonts w:ascii="宋体" w:hAnsi="宋体" w:eastAsia="宋体" w:cs="宋体"/>
          <w:color w:val="auto"/>
          <w:spacing w:val="9"/>
          <w:sz w:val="24"/>
          <w:szCs w:val="24"/>
          <w:lang w:eastAsia="zh-CN"/>
        </w:rPr>
        <w:t>2.2.1 投标人应仔细阅读和检查招标文件的全部内容。</w:t>
      </w:r>
      <w:r>
        <w:rPr>
          <w:rFonts w:ascii="宋体" w:hAnsi="宋体" w:eastAsia="宋体" w:cs="宋体"/>
          <w:color w:val="auto"/>
          <w:spacing w:val="8"/>
          <w:sz w:val="24"/>
          <w:szCs w:val="24"/>
          <w:lang w:eastAsia="zh-CN"/>
        </w:rPr>
        <w:t>如发现缺页或附件不</w:t>
      </w:r>
    </w:p>
    <w:p w14:paraId="797419E4">
      <w:pPr>
        <w:keepNext w:val="0"/>
        <w:keepLines w:val="0"/>
        <w:pageBreakBefore w:val="0"/>
        <w:widowControl/>
        <w:kinsoku w:val="0"/>
        <w:wordWrap/>
        <w:overflowPunct/>
        <w:topLinePunct w:val="0"/>
        <w:autoSpaceDE w:val="0"/>
        <w:autoSpaceDN w:val="0"/>
        <w:bidi w:val="0"/>
        <w:adjustRightInd w:val="0"/>
        <w:snapToGrid w:val="0"/>
        <w:spacing w:before="50" w:line="460" w:lineRule="exact"/>
        <w:ind w:left="4" w:right="115"/>
        <w:jc w:val="both"/>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全，应及时向招标人提出，以便补齐。如有疑问，应按投标人须知前附表规定的要求提疑，要求招标人对招标文件予以澄清。招标文件的澄清将按前附表规定的时间和方式发布，但不指明澄清问题的来源。当招标文件的澄清内容与招标文件相互矛</w:t>
      </w:r>
      <w:r>
        <w:rPr>
          <w:rFonts w:ascii="宋体" w:hAnsi="宋体" w:eastAsia="宋体" w:cs="宋体"/>
          <w:color w:val="auto"/>
          <w:spacing w:val="-1"/>
          <w:sz w:val="24"/>
          <w:szCs w:val="24"/>
          <w:lang w:eastAsia="zh-CN"/>
        </w:rPr>
        <w:t>盾时，以最后发出的补充文件为准。</w:t>
      </w:r>
    </w:p>
    <w:p w14:paraId="1F9CAFFD">
      <w:pPr>
        <w:keepNext w:val="0"/>
        <w:keepLines w:val="0"/>
        <w:pageBreakBefore w:val="0"/>
        <w:widowControl/>
        <w:kinsoku w:val="0"/>
        <w:wordWrap/>
        <w:overflowPunct/>
        <w:topLinePunct w:val="0"/>
        <w:autoSpaceDE w:val="0"/>
        <w:autoSpaceDN w:val="0"/>
        <w:bidi w:val="0"/>
        <w:adjustRightInd w:val="0"/>
        <w:snapToGrid w:val="0"/>
        <w:spacing w:before="162" w:line="460" w:lineRule="exact"/>
        <w:ind w:left="491"/>
        <w:textAlignment w:val="auto"/>
        <w:rPr>
          <w:rFonts w:ascii="宋体" w:hAnsi="宋体" w:eastAsia="宋体" w:cs="宋体"/>
          <w:color w:val="auto"/>
          <w:sz w:val="28"/>
          <w:szCs w:val="28"/>
          <w:lang w:eastAsia="zh-CN"/>
        </w:rPr>
      </w:pPr>
      <w:r>
        <w:rPr>
          <w:rFonts w:ascii="Times New Roman" w:hAnsi="Times New Roman" w:eastAsia="Times New Roman" w:cs="Times New Roman"/>
          <w:b/>
          <w:bCs/>
          <w:color w:val="auto"/>
          <w:spacing w:val="-2"/>
          <w:sz w:val="28"/>
          <w:szCs w:val="28"/>
          <w:lang w:eastAsia="zh-CN"/>
        </w:rPr>
        <w:t>2.3</w:t>
      </w:r>
      <w:r>
        <w:rPr>
          <w:rFonts w:ascii="宋体" w:hAnsi="宋体" w:eastAsia="宋体" w:cs="宋体"/>
          <w:b/>
          <w:bCs/>
          <w:color w:val="auto"/>
          <w:spacing w:val="-2"/>
          <w:sz w:val="28"/>
          <w:szCs w:val="28"/>
          <w:lang w:eastAsia="zh-CN"/>
        </w:rPr>
        <w:t>招标文件的修改</w:t>
      </w:r>
    </w:p>
    <w:p w14:paraId="02FB0AE2">
      <w:pPr>
        <w:keepNext w:val="0"/>
        <w:keepLines w:val="0"/>
        <w:pageBreakBefore w:val="0"/>
        <w:widowControl/>
        <w:kinsoku w:val="0"/>
        <w:wordWrap/>
        <w:overflowPunct/>
        <w:topLinePunct w:val="0"/>
        <w:autoSpaceDE w:val="0"/>
        <w:autoSpaceDN w:val="0"/>
        <w:bidi w:val="0"/>
        <w:adjustRightInd w:val="0"/>
        <w:snapToGrid w:val="0"/>
        <w:spacing w:before="157" w:line="460" w:lineRule="exact"/>
        <w:ind w:left="3" w:right="110" w:firstLine="471"/>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2.3.1 招标人以投标人须知前附表规定的形式修改招标文件，并通知所有潜在投标人。修改的内容可能影响投标文件编制的，招标人将在投标截止时间至少</w:t>
      </w:r>
      <w:r>
        <w:rPr>
          <w:rFonts w:ascii="Times New Roman" w:hAnsi="Times New Roman" w:eastAsia="Times New Roman" w:cs="Times New Roman"/>
          <w:color w:val="auto"/>
          <w:spacing w:val="2"/>
          <w:sz w:val="24"/>
          <w:szCs w:val="24"/>
          <w:lang w:eastAsia="zh-CN"/>
        </w:rPr>
        <w:t>15</w:t>
      </w:r>
      <w:r>
        <w:rPr>
          <w:rFonts w:ascii="宋体" w:hAnsi="宋体" w:eastAsia="宋体" w:cs="宋体"/>
          <w:color w:val="auto"/>
          <w:spacing w:val="2"/>
          <w:sz w:val="24"/>
          <w:szCs w:val="24"/>
          <w:lang w:eastAsia="zh-CN"/>
        </w:rPr>
        <w:t>日</w:t>
      </w:r>
      <w:r>
        <w:rPr>
          <w:rFonts w:ascii="宋体" w:hAnsi="宋体" w:eastAsia="宋体" w:cs="宋体"/>
          <w:color w:val="auto"/>
          <w:sz w:val="24"/>
          <w:szCs w:val="24"/>
          <w:lang w:eastAsia="zh-CN"/>
        </w:rPr>
        <w:t>前发布修改文件；不足</w:t>
      </w:r>
      <w:r>
        <w:rPr>
          <w:rFonts w:ascii="Times New Roman" w:hAnsi="Times New Roman" w:eastAsia="Times New Roman" w:cs="Times New Roman"/>
          <w:color w:val="auto"/>
          <w:sz w:val="24"/>
          <w:szCs w:val="24"/>
          <w:lang w:eastAsia="zh-CN"/>
        </w:rPr>
        <w:t>15</w:t>
      </w:r>
      <w:r>
        <w:rPr>
          <w:rFonts w:ascii="宋体" w:hAnsi="宋体" w:eastAsia="宋体" w:cs="宋体"/>
          <w:color w:val="auto"/>
          <w:sz w:val="24"/>
          <w:szCs w:val="24"/>
          <w:lang w:eastAsia="zh-CN"/>
        </w:rPr>
        <w:t>日的，招标人应当顺延提交</w:t>
      </w:r>
      <w:r>
        <w:rPr>
          <w:rFonts w:ascii="宋体" w:hAnsi="宋体" w:eastAsia="宋体" w:cs="宋体"/>
          <w:color w:val="auto"/>
          <w:spacing w:val="-1"/>
          <w:sz w:val="24"/>
          <w:szCs w:val="24"/>
          <w:lang w:eastAsia="zh-CN"/>
        </w:rPr>
        <w:t>投标文件的截止时间。</w:t>
      </w:r>
    </w:p>
    <w:p w14:paraId="59927DED">
      <w:pPr>
        <w:keepNext w:val="0"/>
        <w:keepLines w:val="0"/>
        <w:pageBreakBefore w:val="0"/>
        <w:widowControl/>
        <w:kinsoku w:val="0"/>
        <w:wordWrap/>
        <w:overflowPunct/>
        <w:topLinePunct w:val="0"/>
        <w:autoSpaceDE w:val="0"/>
        <w:autoSpaceDN w:val="0"/>
        <w:bidi w:val="0"/>
        <w:adjustRightInd w:val="0"/>
        <w:snapToGrid w:val="0"/>
        <w:spacing w:before="28" w:line="460" w:lineRule="exact"/>
        <w:ind w:left="4" w:right="108" w:firstLine="482"/>
        <w:textAlignment w:val="auto"/>
        <w:rPr>
          <w:rFonts w:ascii="宋体" w:hAnsi="宋体" w:eastAsia="宋体" w:cs="宋体"/>
          <w:color w:val="auto"/>
          <w:sz w:val="24"/>
          <w:szCs w:val="24"/>
          <w:lang w:eastAsia="zh-CN"/>
        </w:rPr>
      </w:pPr>
      <w:r>
        <w:rPr>
          <w:rFonts w:ascii="宋体" w:hAnsi="宋体" w:eastAsia="宋体" w:cs="宋体"/>
          <w:color w:val="auto"/>
          <w:spacing w:val="-4"/>
          <w:sz w:val="24"/>
          <w:szCs w:val="24"/>
          <w:lang w:eastAsia="zh-CN"/>
        </w:rPr>
        <w:t>2.3.2 当招标文件的修改内容与招标文件相互矛盾时，以最后发出</w:t>
      </w:r>
      <w:r>
        <w:rPr>
          <w:rFonts w:ascii="宋体" w:hAnsi="宋体" w:eastAsia="宋体" w:cs="宋体"/>
          <w:color w:val="auto"/>
          <w:spacing w:val="-5"/>
          <w:sz w:val="24"/>
          <w:szCs w:val="24"/>
          <w:lang w:eastAsia="zh-CN"/>
        </w:rPr>
        <w:t>的补充文件为准。</w:t>
      </w:r>
    </w:p>
    <w:p w14:paraId="25779606">
      <w:pPr>
        <w:keepNext w:val="0"/>
        <w:keepLines w:val="0"/>
        <w:pageBreakBefore w:val="0"/>
        <w:widowControl/>
        <w:kinsoku w:val="0"/>
        <w:wordWrap/>
        <w:overflowPunct/>
        <w:topLinePunct w:val="0"/>
        <w:autoSpaceDE w:val="0"/>
        <w:autoSpaceDN w:val="0"/>
        <w:bidi w:val="0"/>
        <w:adjustRightInd w:val="0"/>
        <w:snapToGrid w:val="0"/>
        <w:spacing w:before="143" w:line="460" w:lineRule="exact"/>
        <w:textAlignment w:val="auto"/>
        <w:rPr>
          <w:rFonts w:ascii="宋体" w:hAnsi="宋体" w:eastAsia="宋体" w:cs="宋体"/>
          <w:color w:val="auto"/>
          <w:sz w:val="31"/>
          <w:szCs w:val="31"/>
          <w:lang w:eastAsia="zh-CN"/>
        </w:rPr>
      </w:pPr>
      <w:r>
        <w:rPr>
          <w:rFonts w:ascii="Times New Roman" w:hAnsi="Times New Roman" w:eastAsia="Times New Roman" w:cs="Times New Roman"/>
          <w:b/>
          <w:bCs/>
          <w:color w:val="auto"/>
          <w:spacing w:val="5"/>
          <w:sz w:val="31"/>
          <w:szCs w:val="31"/>
          <w:lang w:eastAsia="zh-CN"/>
        </w:rPr>
        <w:t>3.</w:t>
      </w:r>
      <w:r>
        <w:rPr>
          <w:rFonts w:ascii="宋体" w:hAnsi="宋体" w:eastAsia="宋体" w:cs="宋体"/>
          <w:b/>
          <w:bCs/>
          <w:color w:val="auto"/>
          <w:spacing w:val="5"/>
          <w:sz w:val="31"/>
          <w:szCs w:val="31"/>
          <w:lang w:eastAsia="zh-CN"/>
        </w:rPr>
        <w:t>投标文件</w:t>
      </w:r>
    </w:p>
    <w:p w14:paraId="19C85034">
      <w:pPr>
        <w:keepNext w:val="0"/>
        <w:keepLines w:val="0"/>
        <w:pageBreakBefore w:val="0"/>
        <w:widowControl/>
        <w:kinsoku w:val="0"/>
        <w:wordWrap/>
        <w:overflowPunct/>
        <w:topLinePunct w:val="0"/>
        <w:autoSpaceDE w:val="0"/>
        <w:autoSpaceDN w:val="0"/>
        <w:bidi w:val="0"/>
        <w:adjustRightInd w:val="0"/>
        <w:snapToGrid w:val="0"/>
        <w:spacing w:before="264" w:line="460" w:lineRule="exact"/>
        <w:ind w:left="488"/>
        <w:textAlignment w:val="auto"/>
        <w:rPr>
          <w:rFonts w:ascii="宋体" w:hAnsi="宋体" w:eastAsia="宋体" w:cs="宋体"/>
          <w:color w:val="auto"/>
          <w:sz w:val="28"/>
          <w:szCs w:val="28"/>
          <w:lang w:eastAsia="zh-CN"/>
        </w:rPr>
      </w:pPr>
      <w:r>
        <w:rPr>
          <w:rFonts w:ascii="Times New Roman" w:hAnsi="Times New Roman" w:eastAsia="Times New Roman" w:cs="Times New Roman"/>
          <w:b/>
          <w:bCs/>
          <w:color w:val="auto"/>
          <w:spacing w:val="-2"/>
          <w:sz w:val="28"/>
          <w:szCs w:val="28"/>
          <w:lang w:eastAsia="zh-CN"/>
        </w:rPr>
        <w:t>3.1</w:t>
      </w:r>
      <w:r>
        <w:rPr>
          <w:rFonts w:ascii="宋体" w:hAnsi="宋体" w:eastAsia="宋体" w:cs="宋体"/>
          <w:b/>
          <w:bCs/>
          <w:color w:val="auto"/>
          <w:spacing w:val="-2"/>
          <w:sz w:val="28"/>
          <w:szCs w:val="28"/>
          <w:lang w:eastAsia="zh-CN"/>
        </w:rPr>
        <w:t>投标文件的组成</w:t>
      </w:r>
    </w:p>
    <w:p w14:paraId="2AD8B798">
      <w:pPr>
        <w:keepNext w:val="0"/>
        <w:keepLines w:val="0"/>
        <w:pageBreakBefore w:val="0"/>
        <w:widowControl/>
        <w:kinsoku w:val="0"/>
        <w:wordWrap/>
        <w:overflowPunct/>
        <w:topLinePunct w:val="0"/>
        <w:autoSpaceDE w:val="0"/>
        <w:autoSpaceDN w:val="0"/>
        <w:bidi w:val="0"/>
        <w:adjustRightInd w:val="0"/>
        <w:snapToGrid w:val="0"/>
        <w:spacing w:before="157" w:line="460" w:lineRule="exact"/>
        <w:ind w:left="5" w:right="115" w:firstLine="480"/>
        <w:jc w:val="both"/>
        <w:textAlignment w:val="auto"/>
        <w:rPr>
          <w:rFonts w:ascii="宋体" w:hAnsi="宋体" w:eastAsia="宋体" w:cs="宋体"/>
          <w:color w:val="auto"/>
          <w:sz w:val="24"/>
          <w:szCs w:val="24"/>
          <w:lang w:eastAsia="zh-CN"/>
        </w:rPr>
      </w:pPr>
      <w:r>
        <w:rPr>
          <w:rFonts w:ascii="宋体" w:hAnsi="宋体" w:eastAsia="宋体" w:cs="宋体"/>
          <w:color w:val="auto"/>
          <w:spacing w:val="10"/>
          <w:sz w:val="24"/>
          <w:szCs w:val="24"/>
          <w:lang w:eastAsia="zh-CN"/>
        </w:rPr>
        <w:t>技术标打分制的综合评估法、技术标通过制的</w:t>
      </w:r>
      <w:r>
        <w:rPr>
          <w:rFonts w:ascii="宋体" w:hAnsi="宋体" w:eastAsia="宋体" w:cs="宋体"/>
          <w:color w:val="auto"/>
          <w:spacing w:val="9"/>
          <w:sz w:val="24"/>
          <w:szCs w:val="24"/>
          <w:lang w:eastAsia="zh-CN"/>
        </w:rPr>
        <w:t>综合评估法的投标文件由商务标、技术标、资信标、资格标组成，资信商务评估法的投标文件由商务标、资信</w:t>
      </w:r>
      <w:r>
        <w:rPr>
          <w:rFonts w:ascii="宋体" w:hAnsi="宋体" w:eastAsia="宋体" w:cs="宋体"/>
          <w:color w:val="auto"/>
          <w:spacing w:val="-1"/>
          <w:sz w:val="24"/>
          <w:szCs w:val="24"/>
          <w:lang w:eastAsia="zh-CN"/>
        </w:rPr>
        <w:t>标、资格标组成，详见投标人须知前附表</w:t>
      </w:r>
      <w:r>
        <w:rPr>
          <w:rFonts w:ascii="Times New Roman" w:hAnsi="Times New Roman" w:eastAsia="Times New Roman" w:cs="Times New Roman"/>
          <w:color w:val="auto"/>
          <w:spacing w:val="-1"/>
          <w:sz w:val="24"/>
          <w:szCs w:val="24"/>
          <w:lang w:eastAsia="zh-CN"/>
        </w:rPr>
        <w:t>3.1</w:t>
      </w:r>
      <w:r>
        <w:rPr>
          <w:rFonts w:ascii="宋体" w:hAnsi="宋体" w:eastAsia="宋体" w:cs="宋体"/>
          <w:color w:val="auto"/>
          <w:spacing w:val="-1"/>
          <w:sz w:val="24"/>
          <w:szCs w:val="24"/>
          <w:lang w:eastAsia="zh-CN"/>
        </w:rPr>
        <w:t>。</w:t>
      </w:r>
    </w:p>
    <w:p w14:paraId="02F726E1">
      <w:pPr>
        <w:keepNext w:val="0"/>
        <w:keepLines w:val="0"/>
        <w:pageBreakBefore w:val="0"/>
        <w:widowControl/>
        <w:kinsoku w:val="0"/>
        <w:wordWrap/>
        <w:overflowPunct/>
        <w:topLinePunct w:val="0"/>
        <w:autoSpaceDE w:val="0"/>
        <w:autoSpaceDN w:val="0"/>
        <w:bidi w:val="0"/>
        <w:adjustRightInd w:val="0"/>
        <w:snapToGrid w:val="0"/>
        <w:spacing w:before="161" w:line="460" w:lineRule="exact"/>
        <w:ind w:left="488"/>
        <w:textAlignment w:val="auto"/>
        <w:rPr>
          <w:rFonts w:ascii="宋体" w:hAnsi="宋体" w:eastAsia="宋体" w:cs="宋体"/>
          <w:color w:val="auto"/>
          <w:sz w:val="28"/>
          <w:szCs w:val="28"/>
          <w:lang w:eastAsia="zh-CN"/>
        </w:rPr>
      </w:pPr>
      <w:r>
        <w:rPr>
          <w:rFonts w:ascii="Times New Roman" w:hAnsi="Times New Roman" w:eastAsia="Times New Roman" w:cs="Times New Roman"/>
          <w:b/>
          <w:bCs/>
          <w:color w:val="auto"/>
          <w:spacing w:val="-2"/>
          <w:sz w:val="28"/>
          <w:szCs w:val="28"/>
          <w:lang w:eastAsia="zh-CN"/>
        </w:rPr>
        <w:t>3.2</w:t>
      </w:r>
      <w:r>
        <w:rPr>
          <w:rFonts w:ascii="宋体" w:hAnsi="宋体" w:eastAsia="宋体" w:cs="宋体"/>
          <w:b/>
          <w:bCs/>
          <w:color w:val="auto"/>
          <w:spacing w:val="-2"/>
          <w:sz w:val="28"/>
          <w:szCs w:val="28"/>
          <w:lang w:eastAsia="zh-CN"/>
        </w:rPr>
        <w:t>投标报价</w:t>
      </w:r>
    </w:p>
    <w:p w14:paraId="5D79651D">
      <w:pPr>
        <w:keepNext w:val="0"/>
        <w:keepLines w:val="0"/>
        <w:pageBreakBefore w:val="0"/>
        <w:widowControl/>
        <w:kinsoku w:val="0"/>
        <w:wordWrap/>
        <w:overflowPunct/>
        <w:topLinePunct w:val="0"/>
        <w:autoSpaceDE w:val="0"/>
        <w:autoSpaceDN w:val="0"/>
        <w:bidi w:val="0"/>
        <w:adjustRightInd w:val="0"/>
        <w:snapToGrid w:val="0"/>
        <w:spacing w:before="160" w:line="460" w:lineRule="exact"/>
        <w:ind w:left="489"/>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3.2.1 投标人应按照第八章“投标文件格式”的要求填写投标报价。</w:t>
      </w:r>
    </w:p>
    <w:p w14:paraId="73B90398">
      <w:pPr>
        <w:keepNext w:val="0"/>
        <w:keepLines w:val="0"/>
        <w:pageBreakBefore w:val="0"/>
        <w:widowControl/>
        <w:kinsoku w:val="0"/>
        <w:wordWrap/>
        <w:overflowPunct/>
        <w:topLinePunct w:val="0"/>
        <w:autoSpaceDE w:val="0"/>
        <w:autoSpaceDN w:val="0"/>
        <w:bidi w:val="0"/>
        <w:adjustRightInd w:val="0"/>
        <w:snapToGrid w:val="0"/>
        <w:spacing w:before="28" w:line="460" w:lineRule="exact"/>
        <w:ind w:left="5" w:right="115" w:firstLine="483"/>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3.2.2 投标人在投标截止时间前修改投标函中的投标报价总额，应同时修改投</w:t>
      </w:r>
      <w:r>
        <w:rPr>
          <w:rFonts w:ascii="宋体" w:hAnsi="宋体" w:eastAsia="宋体" w:cs="宋体"/>
          <w:color w:val="auto"/>
          <w:spacing w:val="1"/>
          <w:sz w:val="24"/>
          <w:szCs w:val="24"/>
          <w:lang w:eastAsia="zh-CN"/>
        </w:rPr>
        <w:t>标文件“投标报价”中的相应报价，投标报价总额为各分项金额之和。此修改须符</w:t>
      </w:r>
      <w:r>
        <w:rPr>
          <w:rFonts w:ascii="宋体" w:hAnsi="宋体" w:eastAsia="宋体" w:cs="宋体"/>
          <w:color w:val="auto"/>
          <w:spacing w:val="-1"/>
          <w:sz w:val="24"/>
          <w:szCs w:val="24"/>
          <w:lang w:eastAsia="zh-CN"/>
        </w:rPr>
        <w:t>合本章第</w:t>
      </w:r>
      <w:r>
        <w:rPr>
          <w:rFonts w:ascii="Times New Roman" w:hAnsi="Times New Roman" w:eastAsia="Times New Roman" w:cs="Times New Roman"/>
          <w:color w:val="auto"/>
          <w:spacing w:val="-1"/>
          <w:sz w:val="24"/>
          <w:szCs w:val="24"/>
          <w:lang w:eastAsia="zh-CN"/>
        </w:rPr>
        <w:t>4.3</w:t>
      </w:r>
      <w:r>
        <w:rPr>
          <w:rFonts w:ascii="宋体" w:hAnsi="宋体" w:eastAsia="宋体" w:cs="宋体"/>
          <w:color w:val="auto"/>
          <w:spacing w:val="-1"/>
          <w:sz w:val="24"/>
          <w:szCs w:val="24"/>
          <w:lang w:eastAsia="zh-CN"/>
        </w:rPr>
        <w:t>款的有关要求。</w:t>
      </w:r>
    </w:p>
    <w:p w14:paraId="43CEA61F">
      <w:pPr>
        <w:keepNext w:val="0"/>
        <w:keepLines w:val="0"/>
        <w:pageBreakBefore w:val="0"/>
        <w:widowControl/>
        <w:kinsoku w:val="0"/>
        <w:wordWrap/>
        <w:overflowPunct/>
        <w:topLinePunct w:val="0"/>
        <w:autoSpaceDE w:val="0"/>
        <w:autoSpaceDN w:val="0"/>
        <w:bidi w:val="0"/>
        <w:adjustRightInd w:val="0"/>
        <w:snapToGrid w:val="0"/>
        <w:spacing w:before="31" w:line="460" w:lineRule="exact"/>
        <w:ind w:left="3" w:firstLine="485"/>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3.2.3 工程量清单计价方式：见投标人须知前附表，投标人应按第五章“工程</w:t>
      </w:r>
      <w:r>
        <w:rPr>
          <w:rFonts w:ascii="宋体" w:hAnsi="宋体" w:eastAsia="宋体" w:cs="宋体"/>
          <w:color w:val="auto"/>
          <w:spacing w:val="3"/>
          <w:sz w:val="24"/>
          <w:szCs w:val="24"/>
          <w:lang w:eastAsia="zh-CN"/>
        </w:rPr>
        <w:t>量清单编制”的要求填写相应表格，具体表式按招标文件第八章“投标文件格式”</w:t>
      </w:r>
      <w:r>
        <w:rPr>
          <w:rFonts w:ascii="宋体" w:hAnsi="宋体" w:eastAsia="宋体" w:cs="宋体"/>
          <w:color w:val="auto"/>
          <w:spacing w:val="-2"/>
          <w:sz w:val="24"/>
          <w:szCs w:val="24"/>
          <w:lang w:eastAsia="zh-CN"/>
        </w:rPr>
        <w:t>提供并报价。</w:t>
      </w:r>
    </w:p>
    <w:p w14:paraId="0963032E">
      <w:pPr>
        <w:keepNext w:val="0"/>
        <w:keepLines w:val="0"/>
        <w:pageBreakBefore w:val="0"/>
        <w:widowControl/>
        <w:kinsoku w:val="0"/>
        <w:wordWrap/>
        <w:overflowPunct/>
        <w:topLinePunct w:val="0"/>
        <w:autoSpaceDE w:val="0"/>
        <w:autoSpaceDN w:val="0"/>
        <w:bidi w:val="0"/>
        <w:adjustRightInd w:val="0"/>
        <w:snapToGrid w:val="0"/>
        <w:spacing w:before="28" w:line="460" w:lineRule="exact"/>
        <w:ind w:left="5" w:right="115" w:firstLine="483"/>
        <w:textAlignment w:val="auto"/>
        <w:rPr>
          <w:rFonts w:ascii="宋体" w:hAnsi="宋体" w:eastAsia="宋体" w:cs="宋体"/>
          <w:color w:val="auto"/>
          <w:sz w:val="24"/>
          <w:szCs w:val="24"/>
          <w:lang w:eastAsia="zh-CN"/>
        </w:rPr>
      </w:pPr>
      <w:r>
        <w:rPr>
          <w:rFonts w:ascii="宋体" w:hAnsi="宋体" w:eastAsia="宋体" w:cs="宋体"/>
          <w:color w:val="auto"/>
          <w:spacing w:val="9"/>
          <w:sz w:val="24"/>
          <w:szCs w:val="24"/>
          <w:lang w:eastAsia="zh-CN"/>
        </w:rPr>
        <w:t>3.2.4 招标人设有最高投标限价的，投标人的投标</w:t>
      </w:r>
      <w:r>
        <w:rPr>
          <w:rFonts w:ascii="宋体" w:hAnsi="宋体" w:eastAsia="宋体" w:cs="宋体"/>
          <w:color w:val="auto"/>
          <w:spacing w:val="8"/>
          <w:sz w:val="24"/>
          <w:szCs w:val="24"/>
          <w:lang w:eastAsia="zh-CN"/>
        </w:rPr>
        <w:t>报价不得超过最高投标限</w:t>
      </w:r>
      <w:r>
        <w:rPr>
          <w:rFonts w:ascii="宋体" w:hAnsi="宋体" w:eastAsia="宋体" w:cs="宋体"/>
          <w:color w:val="auto"/>
          <w:spacing w:val="-1"/>
          <w:sz w:val="24"/>
          <w:szCs w:val="24"/>
          <w:lang w:eastAsia="zh-CN"/>
        </w:rPr>
        <w:t>价，最高投标限价或其计算方法在投标人须知前附表中载明。</w:t>
      </w:r>
    </w:p>
    <w:p w14:paraId="3FF1F792">
      <w:pPr>
        <w:keepNext w:val="0"/>
        <w:keepLines w:val="0"/>
        <w:pageBreakBefore w:val="0"/>
        <w:widowControl/>
        <w:kinsoku w:val="0"/>
        <w:wordWrap/>
        <w:overflowPunct/>
        <w:topLinePunct w:val="0"/>
        <w:autoSpaceDE w:val="0"/>
        <w:autoSpaceDN w:val="0"/>
        <w:bidi w:val="0"/>
        <w:adjustRightInd w:val="0"/>
        <w:snapToGrid w:val="0"/>
        <w:spacing w:before="30" w:line="460" w:lineRule="exact"/>
        <w:ind w:left="489"/>
        <w:textAlignment w:val="auto"/>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3.2.5 投标报价的其他要求见投标人须知前附表。</w:t>
      </w:r>
    </w:p>
    <w:p w14:paraId="3A9DCEDD">
      <w:pPr>
        <w:keepNext w:val="0"/>
        <w:keepLines w:val="0"/>
        <w:pageBreakBefore w:val="0"/>
        <w:widowControl/>
        <w:kinsoku w:val="0"/>
        <w:wordWrap/>
        <w:overflowPunct/>
        <w:topLinePunct w:val="0"/>
        <w:autoSpaceDE w:val="0"/>
        <w:autoSpaceDN w:val="0"/>
        <w:bidi w:val="0"/>
        <w:adjustRightInd w:val="0"/>
        <w:snapToGrid w:val="0"/>
        <w:spacing w:before="163" w:line="460" w:lineRule="exact"/>
        <w:ind w:left="488"/>
        <w:textAlignment w:val="auto"/>
        <w:rPr>
          <w:rFonts w:ascii="宋体" w:hAnsi="宋体" w:eastAsia="宋体" w:cs="宋体"/>
          <w:color w:val="auto"/>
          <w:sz w:val="28"/>
          <w:szCs w:val="28"/>
          <w:lang w:eastAsia="zh-CN"/>
        </w:rPr>
      </w:pPr>
      <w:r>
        <w:rPr>
          <w:rFonts w:ascii="Times New Roman" w:hAnsi="Times New Roman" w:eastAsia="Times New Roman" w:cs="Times New Roman"/>
          <w:b/>
          <w:bCs/>
          <w:color w:val="auto"/>
          <w:spacing w:val="-2"/>
          <w:sz w:val="28"/>
          <w:szCs w:val="28"/>
          <w:lang w:eastAsia="zh-CN"/>
        </w:rPr>
        <w:t>3.3</w:t>
      </w:r>
      <w:r>
        <w:rPr>
          <w:rFonts w:ascii="宋体" w:hAnsi="宋体" w:eastAsia="宋体" w:cs="宋体"/>
          <w:b/>
          <w:bCs/>
          <w:color w:val="auto"/>
          <w:spacing w:val="-2"/>
          <w:sz w:val="28"/>
          <w:szCs w:val="28"/>
          <w:lang w:eastAsia="zh-CN"/>
        </w:rPr>
        <w:t>投标有效期</w:t>
      </w:r>
    </w:p>
    <w:p w14:paraId="067DD238">
      <w:pPr>
        <w:keepNext w:val="0"/>
        <w:keepLines w:val="0"/>
        <w:pageBreakBefore w:val="0"/>
        <w:widowControl/>
        <w:kinsoku w:val="0"/>
        <w:wordWrap/>
        <w:overflowPunct/>
        <w:topLinePunct w:val="0"/>
        <w:autoSpaceDE w:val="0"/>
        <w:autoSpaceDN w:val="0"/>
        <w:bidi w:val="0"/>
        <w:adjustRightInd w:val="0"/>
        <w:snapToGrid w:val="0"/>
        <w:spacing w:before="158" w:line="460" w:lineRule="exact"/>
        <w:ind w:left="3" w:right="115" w:firstLine="485"/>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3.3.1 在投标人须知前附表规定的投标有效期内，投标人不得要求撤销或修改</w:t>
      </w:r>
      <w:r>
        <w:rPr>
          <w:rFonts w:ascii="宋体" w:hAnsi="宋体" w:eastAsia="宋体" w:cs="宋体"/>
          <w:color w:val="auto"/>
          <w:spacing w:val="-2"/>
          <w:sz w:val="24"/>
          <w:szCs w:val="24"/>
          <w:lang w:eastAsia="zh-CN"/>
        </w:rPr>
        <w:t>其投标文件。</w:t>
      </w:r>
    </w:p>
    <w:p w14:paraId="502000AD">
      <w:pPr>
        <w:keepNext w:val="0"/>
        <w:keepLines w:val="0"/>
        <w:pageBreakBefore w:val="0"/>
        <w:widowControl/>
        <w:kinsoku w:val="0"/>
        <w:wordWrap/>
        <w:overflowPunct/>
        <w:topLinePunct w:val="0"/>
        <w:autoSpaceDE w:val="0"/>
        <w:autoSpaceDN w:val="0"/>
        <w:bidi w:val="0"/>
        <w:adjustRightInd w:val="0"/>
        <w:snapToGrid w:val="0"/>
        <w:spacing w:before="29" w:line="460" w:lineRule="exact"/>
        <w:ind w:left="23" w:right="115" w:firstLine="465"/>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3.3.2 在投标有效期内，投标人撤销投标文件的，应承担招标文件和法律规定</w:t>
      </w:r>
      <w:r>
        <w:rPr>
          <w:rFonts w:ascii="宋体" w:hAnsi="宋体" w:eastAsia="宋体" w:cs="宋体"/>
          <w:color w:val="auto"/>
          <w:spacing w:val="-8"/>
          <w:sz w:val="24"/>
          <w:szCs w:val="24"/>
          <w:lang w:eastAsia="zh-CN"/>
        </w:rPr>
        <w:t>的责任。</w:t>
      </w:r>
    </w:p>
    <w:p w14:paraId="27A4CDB9">
      <w:pPr>
        <w:keepNext w:val="0"/>
        <w:keepLines w:val="0"/>
        <w:pageBreakBefore w:val="0"/>
        <w:widowControl/>
        <w:kinsoku w:val="0"/>
        <w:wordWrap/>
        <w:overflowPunct/>
        <w:topLinePunct w:val="0"/>
        <w:autoSpaceDE w:val="0"/>
        <w:autoSpaceDN w:val="0"/>
        <w:bidi w:val="0"/>
        <w:adjustRightInd w:val="0"/>
        <w:snapToGrid w:val="0"/>
        <w:spacing w:before="26" w:line="460" w:lineRule="exact"/>
        <w:ind w:left="3" w:right="115" w:firstLine="485"/>
        <w:textAlignment w:val="auto"/>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3.3.3出现特殊情况需要延长投标有效期的，招标人以书面形式（或电子交易</w:t>
      </w:r>
      <w:r>
        <w:rPr>
          <w:rFonts w:ascii="宋体" w:hAnsi="宋体" w:eastAsia="宋体" w:cs="宋体"/>
          <w:color w:val="auto"/>
          <w:spacing w:val="2"/>
          <w:sz w:val="24"/>
          <w:szCs w:val="24"/>
          <w:lang w:eastAsia="zh-CN"/>
        </w:rPr>
        <w:t>平台）通知所有投标人延长投标有效期。投标人应予以书面答复，同意延长的，应相应延长其投标保证金的有效期，但不得要求或被允许修改其投标文件；投标人拒</w:t>
      </w:r>
      <w:r>
        <w:rPr>
          <w:rFonts w:ascii="宋体" w:hAnsi="宋体" w:eastAsia="宋体" w:cs="宋体"/>
          <w:color w:val="auto"/>
          <w:spacing w:val="-1"/>
          <w:sz w:val="24"/>
          <w:szCs w:val="24"/>
          <w:lang w:eastAsia="zh-CN"/>
        </w:rPr>
        <w:t>绝延长的，其投标失效，但投标人有权收回其投标保证金。</w:t>
      </w:r>
    </w:p>
    <w:p w14:paraId="1874B91A">
      <w:pPr>
        <w:keepNext w:val="0"/>
        <w:keepLines w:val="0"/>
        <w:pageBreakBefore w:val="0"/>
        <w:widowControl/>
        <w:kinsoku w:val="0"/>
        <w:wordWrap/>
        <w:overflowPunct/>
        <w:topLinePunct w:val="0"/>
        <w:autoSpaceDE w:val="0"/>
        <w:autoSpaceDN w:val="0"/>
        <w:bidi w:val="0"/>
        <w:adjustRightInd w:val="0"/>
        <w:snapToGrid w:val="0"/>
        <w:spacing w:before="160" w:line="460" w:lineRule="exact"/>
        <w:ind w:left="488"/>
        <w:textAlignment w:val="auto"/>
        <w:rPr>
          <w:rFonts w:ascii="宋体" w:hAnsi="宋体" w:eastAsia="宋体" w:cs="宋体"/>
          <w:color w:val="auto"/>
          <w:sz w:val="28"/>
          <w:szCs w:val="28"/>
          <w:lang w:eastAsia="zh-CN"/>
        </w:rPr>
      </w:pPr>
      <w:r>
        <w:rPr>
          <w:rFonts w:ascii="Times New Roman" w:hAnsi="Times New Roman" w:eastAsia="Times New Roman" w:cs="Times New Roman"/>
          <w:b/>
          <w:bCs/>
          <w:color w:val="auto"/>
          <w:spacing w:val="-2"/>
          <w:sz w:val="28"/>
          <w:szCs w:val="28"/>
          <w:lang w:eastAsia="zh-CN"/>
        </w:rPr>
        <w:t>3.4</w:t>
      </w:r>
      <w:r>
        <w:rPr>
          <w:rFonts w:ascii="宋体" w:hAnsi="宋体" w:eastAsia="宋体" w:cs="宋体"/>
          <w:b/>
          <w:bCs/>
          <w:color w:val="auto"/>
          <w:spacing w:val="-2"/>
          <w:sz w:val="28"/>
          <w:szCs w:val="28"/>
          <w:lang w:eastAsia="zh-CN"/>
        </w:rPr>
        <w:t>投标保证金</w:t>
      </w:r>
    </w:p>
    <w:p w14:paraId="21DCD9E3">
      <w:pPr>
        <w:keepNext w:val="0"/>
        <w:keepLines w:val="0"/>
        <w:pageBreakBefore w:val="0"/>
        <w:widowControl/>
        <w:kinsoku w:val="0"/>
        <w:wordWrap/>
        <w:overflowPunct/>
        <w:topLinePunct w:val="0"/>
        <w:autoSpaceDE w:val="0"/>
        <w:autoSpaceDN w:val="0"/>
        <w:bidi w:val="0"/>
        <w:adjustRightInd w:val="0"/>
        <w:snapToGrid w:val="0"/>
        <w:spacing w:before="158" w:line="460" w:lineRule="exact"/>
        <w:ind w:left="5" w:right="108" w:firstLine="459"/>
        <w:textAlignment w:val="auto"/>
        <w:rPr>
          <w:rFonts w:ascii="宋体" w:hAnsi="宋体" w:eastAsia="宋体" w:cs="宋体"/>
          <w:color w:val="auto"/>
          <w:sz w:val="24"/>
          <w:szCs w:val="24"/>
          <w:lang w:eastAsia="zh-CN"/>
        </w:rPr>
      </w:pPr>
      <w:r>
        <w:rPr>
          <w:rFonts w:ascii="宋体" w:hAnsi="宋体" w:eastAsia="宋体" w:cs="宋体"/>
          <w:color w:val="auto"/>
          <w:spacing w:val="-4"/>
          <w:sz w:val="24"/>
          <w:szCs w:val="24"/>
          <w:lang w:eastAsia="zh-CN"/>
        </w:rPr>
        <w:t>3.4.1 投标人在递交投标文件的同时，应按投标人须知前附表规定的金额、形式</w:t>
      </w:r>
      <w:r>
        <w:rPr>
          <w:rFonts w:ascii="宋体" w:hAnsi="宋体" w:eastAsia="宋体" w:cs="宋体"/>
          <w:color w:val="auto"/>
          <w:spacing w:val="2"/>
          <w:sz w:val="24"/>
          <w:szCs w:val="24"/>
          <w:lang w:eastAsia="zh-CN"/>
        </w:rPr>
        <w:t>递交投标保证金，并作为其投标文件的组成部分。联合体投标的由联合体牵头人递</w:t>
      </w:r>
    </w:p>
    <w:p w14:paraId="72FDAD54">
      <w:pPr>
        <w:keepNext w:val="0"/>
        <w:keepLines w:val="0"/>
        <w:pageBreakBefore w:val="0"/>
        <w:widowControl/>
        <w:kinsoku w:val="0"/>
        <w:wordWrap/>
        <w:overflowPunct/>
        <w:topLinePunct w:val="0"/>
        <w:autoSpaceDE w:val="0"/>
        <w:autoSpaceDN w:val="0"/>
        <w:bidi w:val="0"/>
        <w:adjustRightInd w:val="0"/>
        <w:snapToGrid w:val="0"/>
        <w:spacing w:before="47" w:line="460" w:lineRule="exact"/>
        <w:ind w:left="4"/>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交投标保证金，并应符合投标人须知前附表的规定。</w:t>
      </w:r>
    </w:p>
    <w:p w14:paraId="422F0B63">
      <w:pPr>
        <w:keepNext w:val="0"/>
        <w:keepLines w:val="0"/>
        <w:pageBreakBefore w:val="0"/>
        <w:widowControl/>
        <w:kinsoku w:val="0"/>
        <w:wordWrap/>
        <w:overflowPunct/>
        <w:topLinePunct w:val="0"/>
        <w:autoSpaceDE w:val="0"/>
        <w:autoSpaceDN w:val="0"/>
        <w:bidi w:val="0"/>
        <w:adjustRightInd w:val="0"/>
        <w:snapToGrid w:val="0"/>
        <w:spacing w:before="27" w:line="460" w:lineRule="exact"/>
        <w:ind w:left="2" w:firstLine="483"/>
        <w:textAlignment w:val="auto"/>
        <w:rPr>
          <w:rFonts w:ascii="宋体" w:hAnsi="宋体" w:eastAsia="宋体" w:cs="宋体"/>
          <w:color w:val="auto"/>
          <w:sz w:val="24"/>
          <w:szCs w:val="24"/>
          <w:lang w:eastAsia="zh-CN"/>
        </w:rPr>
      </w:pPr>
      <w:r>
        <w:rPr>
          <w:rFonts w:ascii="宋体" w:hAnsi="宋体" w:eastAsia="宋体" w:cs="宋体"/>
          <w:color w:val="auto"/>
          <w:spacing w:val="-4"/>
          <w:sz w:val="24"/>
          <w:szCs w:val="24"/>
          <w:lang w:eastAsia="zh-CN"/>
        </w:rPr>
        <w:t>3.4.2 投标人不按本章第</w:t>
      </w:r>
      <w:r>
        <w:rPr>
          <w:rFonts w:ascii="Times New Roman" w:hAnsi="Times New Roman" w:eastAsia="Times New Roman" w:cs="Times New Roman"/>
          <w:color w:val="auto"/>
          <w:spacing w:val="-4"/>
          <w:sz w:val="24"/>
          <w:szCs w:val="24"/>
          <w:lang w:eastAsia="zh-CN"/>
        </w:rPr>
        <w:t>3.4.1</w:t>
      </w:r>
      <w:r>
        <w:rPr>
          <w:rFonts w:ascii="宋体" w:hAnsi="宋体" w:eastAsia="宋体" w:cs="宋体"/>
          <w:color w:val="auto"/>
          <w:spacing w:val="-4"/>
          <w:sz w:val="24"/>
          <w:szCs w:val="24"/>
          <w:lang w:eastAsia="zh-CN"/>
        </w:rPr>
        <w:t>项要求递交投标保证金的，评标委员会将否决其投</w:t>
      </w:r>
      <w:r>
        <w:rPr>
          <w:rFonts w:ascii="宋体" w:hAnsi="宋体" w:eastAsia="宋体" w:cs="宋体"/>
          <w:color w:val="auto"/>
          <w:spacing w:val="-6"/>
          <w:sz w:val="24"/>
          <w:szCs w:val="24"/>
          <w:lang w:eastAsia="zh-CN"/>
        </w:rPr>
        <w:t>标。</w:t>
      </w:r>
    </w:p>
    <w:p w14:paraId="79275632">
      <w:pPr>
        <w:keepNext w:val="0"/>
        <w:keepLines w:val="0"/>
        <w:pageBreakBefore w:val="0"/>
        <w:widowControl/>
        <w:kinsoku w:val="0"/>
        <w:wordWrap/>
        <w:overflowPunct/>
        <w:topLinePunct w:val="0"/>
        <w:autoSpaceDE w:val="0"/>
        <w:autoSpaceDN w:val="0"/>
        <w:bidi w:val="0"/>
        <w:adjustRightInd w:val="0"/>
        <w:snapToGrid w:val="0"/>
        <w:spacing w:before="27" w:line="460" w:lineRule="exact"/>
        <w:ind w:left="486"/>
        <w:textAlignment w:val="auto"/>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3.4.3 投标保证金的退还：</w:t>
      </w:r>
    </w:p>
    <w:p w14:paraId="0C5B4C16">
      <w:pPr>
        <w:keepNext w:val="0"/>
        <w:keepLines w:val="0"/>
        <w:pageBreakBefore w:val="0"/>
        <w:widowControl/>
        <w:kinsoku w:val="0"/>
        <w:wordWrap/>
        <w:overflowPunct/>
        <w:topLinePunct w:val="0"/>
        <w:autoSpaceDE w:val="0"/>
        <w:autoSpaceDN w:val="0"/>
        <w:bidi w:val="0"/>
        <w:adjustRightInd w:val="0"/>
        <w:snapToGrid w:val="0"/>
        <w:spacing w:before="26" w:line="460" w:lineRule="exact"/>
        <w:ind w:left="486"/>
        <w:textAlignment w:val="auto"/>
        <w:rPr>
          <w:rFonts w:ascii="宋体" w:hAnsi="宋体" w:eastAsia="宋体" w:cs="宋体"/>
          <w:color w:val="auto"/>
          <w:sz w:val="24"/>
          <w:szCs w:val="24"/>
          <w:lang w:eastAsia="zh-CN"/>
        </w:rPr>
      </w:pPr>
      <w:r>
        <w:rPr>
          <w:color w:val="auto"/>
        </w:rPr>
        <w:fldChar w:fldCharType="begin"/>
      </w:r>
      <w:r>
        <w:rPr>
          <w:color w:val="auto"/>
        </w:rPr>
        <w:instrText xml:space="preserve"> HYPERLINK "3.4.3.1" </w:instrText>
      </w:r>
      <w:r>
        <w:rPr>
          <w:color w:val="auto"/>
        </w:rPr>
        <w:fldChar w:fldCharType="separate"/>
      </w:r>
      <w:r>
        <w:rPr>
          <w:rFonts w:ascii="宋体" w:hAnsi="宋体" w:eastAsia="宋体" w:cs="宋体"/>
          <w:color w:val="auto"/>
          <w:spacing w:val="-1"/>
          <w:sz w:val="24"/>
          <w:szCs w:val="24"/>
          <w:lang w:eastAsia="zh-CN"/>
        </w:rPr>
        <w:t>3.4.3.1</w:t>
      </w:r>
      <w:r>
        <w:rPr>
          <w:rFonts w:ascii="宋体" w:hAnsi="宋体" w:eastAsia="宋体" w:cs="宋体"/>
          <w:color w:val="auto"/>
          <w:spacing w:val="-1"/>
          <w:sz w:val="24"/>
          <w:szCs w:val="24"/>
          <w:lang w:eastAsia="zh-CN"/>
        </w:rPr>
        <w:fldChar w:fldCharType="end"/>
      </w:r>
      <w:r>
        <w:rPr>
          <w:rFonts w:ascii="宋体" w:hAnsi="宋体" w:eastAsia="宋体" w:cs="宋体"/>
          <w:color w:val="auto"/>
          <w:spacing w:val="-1"/>
          <w:sz w:val="24"/>
          <w:szCs w:val="24"/>
          <w:lang w:eastAsia="zh-CN"/>
        </w:rPr>
        <w:t xml:space="preserve"> 未中标单位的在中标通知书发出后退还。</w:t>
      </w:r>
    </w:p>
    <w:p w14:paraId="5DBC96AF">
      <w:pPr>
        <w:keepNext w:val="0"/>
        <w:keepLines w:val="0"/>
        <w:pageBreakBefore w:val="0"/>
        <w:widowControl/>
        <w:kinsoku w:val="0"/>
        <w:wordWrap/>
        <w:overflowPunct/>
        <w:topLinePunct w:val="0"/>
        <w:autoSpaceDE w:val="0"/>
        <w:autoSpaceDN w:val="0"/>
        <w:bidi w:val="0"/>
        <w:adjustRightInd w:val="0"/>
        <w:snapToGrid w:val="0"/>
        <w:spacing w:before="29" w:line="460" w:lineRule="exact"/>
        <w:ind w:left="486"/>
        <w:textAlignment w:val="auto"/>
        <w:rPr>
          <w:rFonts w:ascii="宋体" w:hAnsi="宋体" w:eastAsia="宋体" w:cs="宋体"/>
          <w:color w:val="auto"/>
          <w:sz w:val="24"/>
          <w:szCs w:val="24"/>
          <w:lang w:eastAsia="zh-CN"/>
        </w:rPr>
      </w:pPr>
      <w:r>
        <w:rPr>
          <w:color w:val="auto"/>
        </w:rPr>
        <w:fldChar w:fldCharType="begin"/>
      </w:r>
      <w:r>
        <w:rPr>
          <w:color w:val="auto"/>
        </w:rPr>
        <w:instrText xml:space="preserve"> HYPERLINK "3.4.3.2" </w:instrText>
      </w:r>
      <w:r>
        <w:rPr>
          <w:color w:val="auto"/>
        </w:rPr>
        <w:fldChar w:fldCharType="separate"/>
      </w:r>
      <w:r>
        <w:rPr>
          <w:rFonts w:ascii="宋体" w:hAnsi="宋体" w:eastAsia="宋体" w:cs="宋体"/>
          <w:color w:val="auto"/>
          <w:spacing w:val="-2"/>
          <w:sz w:val="24"/>
          <w:szCs w:val="24"/>
          <w:lang w:eastAsia="zh-CN"/>
        </w:rPr>
        <w:t>3.4.3.2</w:t>
      </w:r>
      <w:r>
        <w:rPr>
          <w:rFonts w:ascii="宋体" w:hAnsi="宋体" w:eastAsia="宋体" w:cs="宋体"/>
          <w:color w:val="auto"/>
          <w:spacing w:val="-2"/>
          <w:sz w:val="24"/>
          <w:szCs w:val="24"/>
          <w:lang w:eastAsia="zh-CN"/>
        </w:rPr>
        <w:fldChar w:fldCharType="end"/>
      </w:r>
      <w:r>
        <w:rPr>
          <w:rFonts w:ascii="宋体" w:hAnsi="宋体" w:eastAsia="宋体" w:cs="宋体"/>
          <w:color w:val="auto"/>
          <w:spacing w:val="-2"/>
          <w:sz w:val="24"/>
          <w:szCs w:val="24"/>
          <w:lang w:eastAsia="zh-CN"/>
        </w:rPr>
        <w:t xml:space="preserve"> 中标单位的在合同签订后退还。</w:t>
      </w:r>
    </w:p>
    <w:p w14:paraId="30F10FD4">
      <w:pPr>
        <w:keepNext w:val="0"/>
        <w:keepLines w:val="0"/>
        <w:pageBreakBefore w:val="0"/>
        <w:widowControl/>
        <w:kinsoku w:val="0"/>
        <w:wordWrap/>
        <w:overflowPunct/>
        <w:topLinePunct w:val="0"/>
        <w:autoSpaceDE w:val="0"/>
        <w:autoSpaceDN w:val="0"/>
        <w:bidi w:val="0"/>
        <w:adjustRightInd w:val="0"/>
        <w:snapToGrid w:val="0"/>
        <w:spacing w:before="27" w:line="460" w:lineRule="exact"/>
        <w:ind w:left="486"/>
        <w:textAlignment w:val="auto"/>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3.4.4 有下列情形之一的，投标保证金将不予退还：</w:t>
      </w:r>
    </w:p>
    <w:p w14:paraId="06C2340D">
      <w:pPr>
        <w:keepNext w:val="0"/>
        <w:keepLines w:val="0"/>
        <w:pageBreakBefore w:val="0"/>
        <w:widowControl/>
        <w:kinsoku w:val="0"/>
        <w:wordWrap/>
        <w:overflowPunct/>
        <w:topLinePunct w:val="0"/>
        <w:autoSpaceDE w:val="0"/>
        <w:autoSpaceDN w:val="0"/>
        <w:bidi w:val="0"/>
        <w:adjustRightInd w:val="0"/>
        <w:snapToGrid w:val="0"/>
        <w:spacing w:before="28" w:line="460" w:lineRule="exact"/>
        <w:ind w:left="2" w:right="7" w:firstLine="485"/>
        <w:textAlignment w:val="auto"/>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w:t>
      </w:r>
      <w:r>
        <w:rPr>
          <w:rFonts w:ascii="Times New Roman" w:hAnsi="Times New Roman" w:eastAsia="Times New Roman" w:cs="Times New Roman"/>
          <w:color w:val="auto"/>
          <w:spacing w:val="-1"/>
          <w:sz w:val="24"/>
          <w:szCs w:val="24"/>
          <w:lang w:eastAsia="zh-CN"/>
        </w:rPr>
        <w:t>1</w:t>
      </w:r>
      <w:r>
        <w:rPr>
          <w:rFonts w:ascii="宋体" w:hAnsi="宋体" w:eastAsia="宋体" w:cs="宋体"/>
          <w:color w:val="auto"/>
          <w:spacing w:val="-1"/>
          <w:sz w:val="24"/>
          <w:szCs w:val="24"/>
          <w:lang w:eastAsia="zh-CN"/>
        </w:rPr>
        <w:t>）在提交投标文件截止时间后到招标文件规定的投</w:t>
      </w:r>
      <w:r>
        <w:rPr>
          <w:rFonts w:ascii="宋体" w:hAnsi="宋体" w:eastAsia="宋体" w:cs="宋体"/>
          <w:color w:val="auto"/>
          <w:spacing w:val="-2"/>
          <w:sz w:val="24"/>
          <w:szCs w:val="24"/>
          <w:lang w:eastAsia="zh-CN"/>
        </w:rPr>
        <w:t>标有效期终止之前，投标人撤销其投标文件的；</w:t>
      </w:r>
    </w:p>
    <w:p w14:paraId="77298A08">
      <w:pPr>
        <w:keepNext w:val="0"/>
        <w:keepLines w:val="0"/>
        <w:pageBreakBefore w:val="0"/>
        <w:widowControl/>
        <w:kinsoku w:val="0"/>
        <w:wordWrap/>
        <w:overflowPunct/>
        <w:topLinePunct w:val="0"/>
        <w:autoSpaceDE w:val="0"/>
        <w:autoSpaceDN w:val="0"/>
        <w:bidi w:val="0"/>
        <w:adjustRightInd w:val="0"/>
        <w:snapToGrid w:val="0"/>
        <w:spacing w:before="28" w:line="460" w:lineRule="exact"/>
        <w:ind w:left="24" w:right="7" w:firstLine="463"/>
        <w:textAlignment w:val="auto"/>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w:t>
      </w:r>
      <w:r>
        <w:rPr>
          <w:rFonts w:ascii="Times New Roman" w:hAnsi="Times New Roman" w:eastAsia="Times New Roman" w:cs="Times New Roman"/>
          <w:color w:val="auto"/>
          <w:spacing w:val="-1"/>
          <w:sz w:val="24"/>
          <w:szCs w:val="24"/>
          <w:lang w:eastAsia="zh-CN"/>
        </w:rPr>
        <w:t>2</w:t>
      </w:r>
      <w:r>
        <w:rPr>
          <w:rFonts w:ascii="宋体" w:hAnsi="宋体" w:eastAsia="宋体" w:cs="宋体"/>
          <w:color w:val="auto"/>
          <w:spacing w:val="-1"/>
          <w:sz w:val="24"/>
          <w:szCs w:val="24"/>
          <w:lang w:eastAsia="zh-CN"/>
        </w:rPr>
        <w:t>）中标人在收到中标通知书后，无正当理由不与招</w:t>
      </w:r>
      <w:r>
        <w:rPr>
          <w:rFonts w:ascii="宋体" w:hAnsi="宋体" w:eastAsia="宋体" w:cs="宋体"/>
          <w:color w:val="auto"/>
          <w:spacing w:val="-2"/>
          <w:sz w:val="24"/>
          <w:szCs w:val="24"/>
          <w:lang w:eastAsia="zh-CN"/>
        </w:rPr>
        <w:t>标人订立合同，在签订合</w:t>
      </w:r>
      <w:r>
        <w:rPr>
          <w:rFonts w:ascii="宋体" w:hAnsi="宋体" w:eastAsia="宋体" w:cs="宋体"/>
          <w:color w:val="auto"/>
          <w:spacing w:val="-1"/>
          <w:sz w:val="24"/>
          <w:szCs w:val="24"/>
          <w:lang w:eastAsia="zh-CN"/>
        </w:rPr>
        <w:t>同时向招标人提出附加条件，或者不按照招标文件要</w:t>
      </w:r>
      <w:r>
        <w:rPr>
          <w:rFonts w:ascii="宋体" w:hAnsi="宋体" w:eastAsia="宋体" w:cs="宋体"/>
          <w:color w:val="auto"/>
          <w:spacing w:val="-2"/>
          <w:sz w:val="24"/>
          <w:szCs w:val="24"/>
          <w:lang w:eastAsia="zh-CN"/>
        </w:rPr>
        <w:t>求提交履约担保；</w:t>
      </w:r>
    </w:p>
    <w:p w14:paraId="303C028B">
      <w:pPr>
        <w:keepNext w:val="0"/>
        <w:keepLines w:val="0"/>
        <w:pageBreakBefore w:val="0"/>
        <w:widowControl/>
        <w:kinsoku w:val="0"/>
        <w:wordWrap/>
        <w:overflowPunct/>
        <w:topLinePunct w:val="0"/>
        <w:autoSpaceDE w:val="0"/>
        <w:autoSpaceDN w:val="0"/>
        <w:bidi w:val="0"/>
        <w:adjustRightInd w:val="0"/>
        <w:snapToGrid w:val="0"/>
        <w:spacing w:before="28" w:line="460" w:lineRule="exact"/>
        <w:ind w:left="492"/>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w:t>
      </w:r>
      <w:r>
        <w:rPr>
          <w:rFonts w:ascii="Times New Roman" w:hAnsi="Times New Roman" w:eastAsia="Times New Roman" w:cs="Times New Roman"/>
          <w:color w:val="auto"/>
          <w:spacing w:val="-2"/>
          <w:sz w:val="24"/>
          <w:szCs w:val="24"/>
          <w:lang w:eastAsia="zh-CN"/>
        </w:rPr>
        <w:t>3</w:t>
      </w:r>
      <w:r>
        <w:rPr>
          <w:rFonts w:ascii="宋体" w:hAnsi="宋体" w:eastAsia="宋体" w:cs="宋体"/>
          <w:color w:val="auto"/>
          <w:spacing w:val="-2"/>
          <w:sz w:val="24"/>
          <w:szCs w:val="24"/>
          <w:lang w:eastAsia="zh-CN"/>
        </w:rPr>
        <w:t>）投标人须知前附表规定的其他情形。</w:t>
      </w:r>
    </w:p>
    <w:p w14:paraId="438AAD6A">
      <w:pPr>
        <w:keepNext w:val="0"/>
        <w:keepLines w:val="0"/>
        <w:pageBreakBefore w:val="0"/>
        <w:widowControl/>
        <w:kinsoku w:val="0"/>
        <w:wordWrap/>
        <w:overflowPunct/>
        <w:topLinePunct w:val="0"/>
        <w:autoSpaceDE w:val="0"/>
        <w:autoSpaceDN w:val="0"/>
        <w:bidi w:val="0"/>
        <w:adjustRightInd w:val="0"/>
        <w:snapToGrid w:val="0"/>
        <w:spacing w:before="162" w:line="460" w:lineRule="exact"/>
        <w:ind w:left="486"/>
        <w:textAlignment w:val="auto"/>
        <w:rPr>
          <w:rFonts w:ascii="宋体" w:hAnsi="宋体" w:eastAsia="宋体" w:cs="宋体"/>
          <w:color w:val="auto"/>
          <w:sz w:val="28"/>
          <w:szCs w:val="28"/>
          <w:lang w:eastAsia="zh-CN"/>
        </w:rPr>
      </w:pPr>
      <w:r>
        <w:rPr>
          <w:rFonts w:ascii="Times New Roman" w:hAnsi="Times New Roman" w:eastAsia="Times New Roman" w:cs="Times New Roman"/>
          <w:b/>
          <w:bCs/>
          <w:color w:val="auto"/>
          <w:spacing w:val="-2"/>
          <w:sz w:val="28"/>
          <w:szCs w:val="28"/>
          <w:lang w:eastAsia="zh-CN"/>
        </w:rPr>
        <w:t>3.6</w:t>
      </w:r>
      <w:r>
        <w:rPr>
          <w:rFonts w:ascii="宋体" w:hAnsi="宋体" w:eastAsia="宋体" w:cs="宋体"/>
          <w:b/>
          <w:bCs/>
          <w:color w:val="auto"/>
          <w:spacing w:val="-2"/>
          <w:sz w:val="28"/>
          <w:szCs w:val="28"/>
          <w:lang w:eastAsia="zh-CN"/>
        </w:rPr>
        <w:t>备选投标方案</w:t>
      </w:r>
    </w:p>
    <w:p w14:paraId="010A96FF">
      <w:pPr>
        <w:keepNext w:val="0"/>
        <w:keepLines w:val="0"/>
        <w:pageBreakBefore w:val="0"/>
        <w:widowControl/>
        <w:kinsoku w:val="0"/>
        <w:wordWrap/>
        <w:overflowPunct/>
        <w:topLinePunct w:val="0"/>
        <w:autoSpaceDE w:val="0"/>
        <w:autoSpaceDN w:val="0"/>
        <w:bidi w:val="0"/>
        <w:adjustRightInd w:val="0"/>
        <w:snapToGrid w:val="0"/>
        <w:spacing w:before="157" w:line="460" w:lineRule="exact"/>
        <w:ind w:left="486"/>
        <w:textAlignment w:val="auto"/>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3.6.1投标人不得递交备选投标方案，否则其投标将被否决。</w:t>
      </w:r>
    </w:p>
    <w:p w14:paraId="3DA793C3">
      <w:pPr>
        <w:keepNext w:val="0"/>
        <w:keepLines w:val="0"/>
        <w:pageBreakBefore w:val="0"/>
        <w:widowControl/>
        <w:kinsoku w:val="0"/>
        <w:wordWrap/>
        <w:overflowPunct/>
        <w:topLinePunct w:val="0"/>
        <w:autoSpaceDE w:val="0"/>
        <w:autoSpaceDN w:val="0"/>
        <w:bidi w:val="0"/>
        <w:adjustRightInd w:val="0"/>
        <w:snapToGrid w:val="0"/>
        <w:spacing w:before="161" w:line="460" w:lineRule="exact"/>
        <w:ind w:left="486"/>
        <w:textAlignment w:val="auto"/>
        <w:rPr>
          <w:rFonts w:ascii="宋体" w:hAnsi="宋体" w:eastAsia="宋体" w:cs="宋体"/>
          <w:color w:val="auto"/>
          <w:sz w:val="28"/>
          <w:szCs w:val="28"/>
          <w:lang w:eastAsia="zh-CN"/>
        </w:rPr>
      </w:pPr>
      <w:r>
        <w:rPr>
          <w:rFonts w:ascii="Times New Roman" w:hAnsi="Times New Roman" w:eastAsia="Times New Roman" w:cs="Times New Roman"/>
          <w:b/>
          <w:bCs/>
          <w:color w:val="auto"/>
          <w:spacing w:val="-2"/>
          <w:sz w:val="28"/>
          <w:szCs w:val="28"/>
          <w:lang w:eastAsia="zh-CN"/>
        </w:rPr>
        <w:t>3.7</w:t>
      </w:r>
      <w:r>
        <w:rPr>
          <w:rFonts w:ascii="宋体" w:hAnsi="宋体" w:eastAsia="宋体" w:cs="宋体"/>
          <w:b/>
          <w:bCs/>
          <w:color w:val="auto"/>
          <w:spacing w:val="-2"/>
          <w:sz w:val="28"/>
          <w:szCs w:val="28"/>
          <w:lang w:eastAsia="zh-CN"/>
        </w:rPr>
        <w:t>投标文件的编制</w:t>
      </w:r>
    </w:p>
    <w:p w14:paraId="401DD757">
      <w:pPr>
        <w:keepNext w:val="0"/>
        <w:keepLines w:val="0"/>
        <w:pageBreakBefore w:val="0"/>
        <w:widowControl/>
        <w:kinsoku w:val="0"/>
        <w:wordWrap/>
        <w:overflowPunct/>
        <w:topLinePunct w:val="0"/>
        <w:autoSpaceDE w:val="0"/>
        <w:autoSpaceDN w:val="0"/>
        <w:bidi w:val="0"/>
        <w:adjustRightInd w:val="0"/>
        <w:snapToGrid w:val="0"/>
        <w:spacing w:before="157" w:line="460" w:lineRule="exact"/>
        <w:ind w:right="9" w:firstLine="485"/>
        <w:textAlignment w:val="auto"/>
        <w:rPr>
          <w:rFonts w:ascii="宋体" w:hAnsi="宋体" w:eastAsia="宋体" w:cs="宋体"/>
          <w:color w:val="auto"/>
          <w:sz w:val="24"/>
          <w:szCs w:val="24"/>
          <w:lang w:eastAsia="zh-CN"/>
        </w:rPr>
      </w:pPr>
      <w:r>
        <w:rPr>
          <w:rFonts w:ascii="宋体" w:hAnsi="宋体" w:eastAsia="宋体" w:cs="宋体"/>
          <w:color w:val="auto"/>
          <w:spacing w:val="4"/>
          <w:sz w:val="24"/>
          <w:szCs w:val="24"/>
          <w:lang w:eastAsia="zh-CN"/>
        </w:rPr>
        <w:t>3.7.1投标文件应按第八章“投标文件格式”进行编写，如有必要，可以增加</w:t>
      </w:r>
      <w:r>
        <w:rPr>
          <w:rFonts w:ascii="宋体" w:hAnsi="宋体" w:eastAsia="宋体" w:cs="宋体"/>
          <w:color w:val="auto"/>
          <w:spacing w:val="2"/>
          <w:sz w:val="24"/>
          <w:szCs w:val="24"/>
          <w:lang w:eastAsia="zh-CN"/>
        </w:rPr>
        <w:t>附页，作为投标文件的组成部分。其中，投标函附录在满足招标文件实质性要求的基础上，可以提出比招标文件要求更有利于招标人的承诺。投标文件应尽量避免涂</w:t>
      </w:r>
      <w:r>
        <w:rPr>
          <w:rFonts w:ascii="宋体" w:hAnsi="宋体" w:eastAsia="宋体" w:cs="宋体"/>
          <w:color w:val="auto"/>
          <w:spacing w:val="-1"/>
          <w:sz w:val="24"/>
          <w:szCs w:val="24"/>
          <w:lang w:eastAsia="zh-CN"/>
        </w:rPr>
        <w:t>改、行间插字或删除。</w:t>
      </w:r>
    </w:p>
    <w:p w14:paraId="08425D6C">
      <w:pPr>
        <w:keepNext w:val="0"/>
        <w:keepLines w:val="0"/>
        <w:pageBreakBefore w:val="0"/>
        <w:widowControl/>
        <w:kinsoku w:val="0"/>
        <w:wordWrap/>
        <w:overflowPunct/>
        <w:topLinePunct w:val="0"/>
        <w:autoSpaceDE w:val="0"/>
        <w:autoSpaceDN w:val="0"/>
        <w:bidi w:val="0"/>
        <w:adjustRightInd w:val="0"/>
        <w:snapToGrid w:val="0"/>
        <w:spacing w:before="28" w:line="460" w:lineRule="exact"/>
        <w:ind w:left="1" w:right="9" w:firstLine="484"/>
        <w:textAlignment w:val="auto"/>
        <w:rPr>
          <w:rFonts w:ascii="宋体" w:hAnsi="宋体" w:eastAsia="宋体" w:cs="宋体"/>
          <w:color w:val="auto"/>
          <w:sz w:val="24"/>
          <w:szCs w:val="24"/>
          <w:lang w:eastAsia="zh-CN"/>
        </w:rPr>
      </w:pPr>
      <w:r>
        <w:rPr>
          <w:rFonts w:ascii="宋体" w:hAnsi="宋体" w:eastAsia="宋体" w:cs="宋体"/>
          <w:color w:val="auto"/>
          <w:spacing w:val="5"/>
          <w:sz w:val="24"/>
          <w:szCs w:val="24"/>
          <w:lang w:eastAsia="zh-CN"/>
        </w:rPr>
        <w:t>3.7.2投标文件应当对招标文件有关工期、投标有效期、质量要求、技术标准</w:t>
      </w:r>
      <w:r>
        <w:rPr>
          <w:rFonts w:ascii="宋体" w:hAnsi="宋体" w:eastAsia="宋体" w:cs="宋体"/>
          <w:color w:val="auto"/>
          <w:spacing w:val="-1"/>
          <w:sz w:val="24"/>
          <w:szCs w:val="24"/>
          <w:lang w:eastAsia="zh-CN"/>
        </w:rPr>
        <w:t>和要求、招标范围等实质性内容作出响应。</w:t>
      </w:r>
    </w:p>
    <w:p w14:paraId="42874EB4">
      <w:pPr>
        <w:keepNext w:val="0"/>
        <w:keepLines w:val="0"/>
        <w:pageBreakBefore w:val="0"/>
        <w:widowControl/>
        <w:kinsoku w:val="0"/>
        <w:wordWrap/>
        <w:overflowPunct/>
        <w:topLinePunct w:val="0"/>
        <w:autoSpaceDE w:val="0"/>
        <w:autoSpaceDN w:val="0"/>
        <w:bidi w:val="0"/>
        <w:adjustRightInd w:val="0"/>
        <w:snapToGrid w:val="0"/>
        <w:spacing w:before="29" w:line="460" w:lineRule="exact"/>
        <w:ind w:left="486"/>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3.7.3电子投标的要求</w:t>
      </w:r>
    </w:p>
    <w:p w14:paraId="4F3C403D">
      <w:pPr>
        <w:keepNext w:val="0"/>
        <w:keepLines w:val="0"/>
        <w:pageBreakBefore w:val="0"/>
        <w:widowControl/>
        <w:kinsoku w:val="0"/>
        <w:wordWrap/>
        <w:overflowPunct/>
        <w:topLinePunct w:val="0"/>
        <w:autoSpaceDE w:val="0"/>
        <w:autoSpaceDN w:val="0"/>
        <w:bidi w:val="0"/>
        <w:adjustRightInd w:val="0"/>
        <w:snapToGrid w:val="0"/>
        <w:spacing w:before="26" w:line="460" w:lineRule="exact"/>
        <w:ind w:left="492"/>
        <w:textAlignment w:val="auto"/>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（1）电子投标文件签字或盖章的具体要求见投标人须知前附表。</w:t>
      </w:r>
    </w:p>
    <w:p w14:paraId="1AE4985C">
      <w:pPr>
        <w:keepNext w:val="0"/>
        <w:keepLines w:val="0"/>
        <w:pageBreakBefore w:val="0"/>
        <w:widowControl/>
        <w:kinsoku w:val="0"/>
        <w:wordWrap/>
        <w:overflowPunct/>
        <w:topLinePunct w:val="0"/>
        <w:autoSpaceDE w:val="0"/>
        <w:autoSpaceDN w:val="0"/>
        <w:bidi w:val="0"/>
        <w:adjustRightInd w:val="0"/>
        <w:snapToGrid w:val="0"/>
        <w:spacing w:before="29" w:line="460" w:lineRule="exact"/>
        <w:ind w:left="492"/>
        <w:textAlignment w:val="auto"/>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（2）电子投标文件制作要求见投标人须知前附表。</w:t>
      </w:r>
    </w:p>
    <w:p w14:paraId="146EB37A">
      <w:pPr>
        <w:keepNext w:val="0"/>
        <w:keepLines w:val="0"/>
        <w:pageBreakBefore w:val="0"/>
        <w:widowControl/>
        <w:kinsoku w:val="0"/>
        <w:wordWrap/>
        <w:overflowPunct/>
        <w:topLinePunct w:val="0"/>
        <w:autoSpaceDE w:val="0"/>
        <w:autoSpaceDN w:val="0"/>
        <w:bidi w:val="0"/>
        <w:adjustRightInd w:val="0"/>
        <w:snapToGrid w:val="0"/>
        <w:spacing w:before="28" w:line="460" w:lineRule="exact"/>
        <w:ind w:left="7" w:right="4" w:firstLine="485"/>
        <w:textAlignment w:val="auto"/>
        <w:rPr>
          <w:rFonts w:ascii="宋体" w:hAnsi="宋体" w:eastAsia="宋体" w:cs="宋体"/>
          <w:color w:val="auto"/>
          <w:sz w:val="24"/>
          <w:szCs w:val="24"/>
          <w:lang w:eastAsia="zh-CN"/>
        </w:rPr>
      </w:pPr>
      <w:r>
        <w:rPr>
          <w:rFonts w:ascii="宋体" w:hAnsi="宋体" w:eastAsia="宋体" w:cs="宋体"/>
          <w:color w:val="auto"/>
          <w:spacing w:val="4"/>
          <w:sz w:val="24"/>
          <w:szCs w:val="24"/>
          <w:lang w:eastAsia="zh-CN"/>
        </w:rPr>
        <w:t>（3）电子投标文件所附证书证件及业绩证明文件要求见投标人须</w:t>
      </w:r>
      <w:r>
        <w:rPr>
          <w:rFonts w:ascii="宋体" w:hAnsi="宋体" w:eastAsia="宋体" w:cs="宋体"/>
          <w:color w:val="auto"/>
          <w:spacing w:val="3"/>
          <w:sz w:val="24"/>
          <w:szCs w:val="24"/>
          <w:lang w:eastAsia="zh-CN"/>
        </w:rPr>
        <w:t>知前附表规</w:t>
      </w:r>
      <w:r>
        <w:rPr>
          <w:rFonts w:ascii="宋体" w:hAnsi="宋体" w:eastAsia="宋体" w:cs="宋体"/>
          <w:color w:val="auto"/>
          <w:spacing w:val="-8"/>
          <w:sz w:val="24"/>
          <w:szCs w:val="24"/>
          <w:lang w:eastAsia="zh-CN"/>
        </w:rPr>
        <w:t>定。</w:t>
      </w:r>
    </w:p>
    <w:p w14:paraId="037474EC">
      <w:pPr>
        <w:keepNext w:val="0"/>
        <w:keepLines w:val="0"/>
        <w:pageBreakBefore w:val="0"/>
        <w:widowControl/>
        <w:kinsoku w:val="0"/>
        <w:wordWrap/>
        <w:overflowPunct/>
        <w:topLinePunct w:val="0"/>
        <w:autoSpaceDE w:val="0"/>
        <w:autoSpaceDN w:val="0"/>
        <w:bidi w:val="0"/>
        <w:adjustRightInd w:val="0"/>
        <w:snapToGrid w:val="0"/>
        <w:spacing w:before="26" w:line="460" w:lineRule="exact"/>
        <w:ind w:left="486"/>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3.7.4投标文件格式</w:t>
      </w:r>
    </w:p>
    <w:p w14:paraId="0CA5EB79">
      <w:pPr>
        <w:keepNext w:val="0"/>
        <w:keepLines w:val="0"/>
        <w:pageBreakBefore w:val="0"/>
        <w:widowControl/>
        <w:kinsoku w:val="0"/>
        <w:wordWrap/>
        <w:overflowPunct/>
        <w:topLinePunct w:val="0"/>
        <w:autoSpaceDE w:val="0"/>
        <w:autoSpaceDN w:val="0"/>
        <w:bidi w:val="0"/>
        <w:adjustRightInd w:val="0"/>
        <w:snapToGrid w:val="0"/>
        <w:spacing w:before="28" w:line="460" w:lineRule="exact"/>
        <w:ind w:left="2" w:right="9" w:firstLine="478"/>
        <w:textAlignment w:val="auto"/>
        <w:rPr>
          <w:rFonts w:ascii="宋体" w:hAnsi="宋体" w:eastAsia="宋体" w:cs="宋体"/>
          <w:color w:val="auto"/>
          <w:sz w:val="24"/>
          <w:szCs w:val="24"/>
          <w:lang w:eastAsia="zh-CN"/>
        </w:rPr>
      </w:pPr>
      <w:r>
        <w:rPr>
          <w:rFonts w:ascii="宋体" w:hAnsi="宋体" w:eastAsia="宋体" w:cs="宋体"/>
          <w:color w:val="auto"/>
          <w:spacing w:val="6"/>
          <w:sz w:val="24"/>
          <w:szCs w:val="24"/>
          <w:lang w:eastAsia="zh-CN"/>
        </w:rPr>
        <w:t>投标文件包括本须知第3.1条中规定的内容，投标人</w:t>
      </w:r>
      <w:r>
        <w:rPr>
          <w:rFonts w:ascii="宋体" w:hAnsi="宋体" w:eastAsia="宋体" w:cs="宋体"/>
          <w:color w:val="auto"/>
          <w:spacing w:val="5"/>
          <w:sz w:val="24"/>
          <w:szCs w:val="24"/>
          <w:lang w:eastAsia="zh-CN"/>
        </w:rPr>
        <w:t>提交的投标文件应使用招</w:t>
      </w:r>
      <w:r>
        <w:rPr>
          <w:rFonts w:ascii="宋体" w:hAnsi="宋体" w:eastAsia="宋体" w:cs="宋体"/>
          <w:color w:val="auto"/>
          <w:spacing w:val="-1"/>
          <w:sz w:val="24"/>
          <w:szCs w:val="24"/>
          <w:lang w:eastAsia="zh-CN"/>
        </w:rPr>
        <w:t>标文件所提供的投标文件全部格式（表格可以按同样格式扩展）。</w:t>
      </w:r>
    </w:p>
    <w:p w14:paraId="09B2DE98">
      <w:pPr>
        <w:keepNext w:val="0"/>
        <w:keepLines w:val="0"/>
        <w:pageBreakBefore w:val="0"/>
        <w:widowControl/>
        <w:kinsoku w:val="0"/>
        <w:wordWrap/>
        <w:overflowPunct/>
        <w:topLinePunct w:val="0"/>
        <w:autoSpaceDE w:val="0"/>
        <w:autoSpaceDN w:val="0"/>
        <w:bidi w:val="0"/>
        <w:adjustRightInd w:val="0"/>
        <w:snapToGrid w:val="0"/>
        <w:spacing w:before="145" w:line="460" w:lineRule="exact"/>
        <w:textAlignment w:val="auto"/>
        <w:rPr>
          <w:rFonts w:ascii="宋体" w:hAnsi="宋体" w:eastAsia="宋体" w:cs="宋体"/>
          <w:color w:val="auto"/>
          <w:sz w:val="31"/>
          <w:szCs w:val="31"/>
          <w:lang w:eastAsia="zh-CN"/>
        </w:rPr>
      </w:pPr>
      <w:r>
        <w:rPr>
          <w:rFonts w:ascii="Times New Roman" w:hAnsi="Times New Roman" w:eastAsia="Times New Roman" w:cs="Times New Roman"/>
          <w:b/>
          <w:bCs/>
          <w:color w:val="auto"/>
          <w:spacing w:val="3"/>
          <w:sz w:val="31"/>
          <w:szCs w:val="31"/>
          <w:lang w:eastAsia="zh-CN"/>
        </w:rPr>
        <w:t>4.</w:t>
      </w:r>
      <w:r>
        <w:rPr>
          <w:rFonts w:ascii="宋体" w:hAnsi="宋体" w:eastAsia="宋体" w:cs="宋体"/>
          <w:b/>
          <w:bCs/>
          <w:color w:val="auto"/>
          <w:spacing w:val="3"/>
          <w:sz w:val="31"/>
          <w:szCs w:val="31"/>
          <w:lang w:eastAsia="zh-CN"/>
        </w:rPr>
        <w:t>投标</w:t>
      </w:r>
    </w:p>
    <w:p w14:paraId="72A568C5">
      <w:pPr>
        <w:keepNext w:val="0"/>
        <w:keepLines w:val="0"/>
        <w:pageBreakBefore w:val="0"/>
        <w:widowControl/>
        <w:kinsoku w:val="0"/>
        <w:wordWrap/>
        <w:overflowPunct/>
        <w:topLinePunct w:val="0"/>
        <w:autoSpaceDE w:val="0"/>
        <w:autoSpaceDN w:val="0"/>
        <w:bidi w:val="0"/>
        <w:adjustRightInd w:val="0"/>
        <w:snapToGrid w:val="0"/>
        <w:spacing w:before="263" w:line="460" w:lineRule="exact"/>
        <w:ind w:left="491"/>
        <w:textAlignment w:val="auto"/>
        <w:rPr>
          <w:rFonts w:ascii="宋体" w:hAnsi="宋体" w:eastAsia="宋体" w:cs="宋体"/>
          <w:color w:val="auto"/>
          <w:sz w:val="28"/>
          <w:szCs w:val="28"/>
          <w:lang w:eastAsia="zh-CN"/>
        </w:rPr>
      </w:pPr>
      <w:r>
        <w:rPr>
          <w:rFonts w:ascii="宋体" w:hAnsi="宋体" w:eastAsia="宋体" w:cs="宋体"/>
          <w:b/>
          <w:bCs/>
          <w:color w:val="auto"/>
          <w:spacing w:val="-3"/>
          <w:sz w:val="28"/>
          <w:szCs w:val="28"/>
          <w:lang w:eastAsia="zh-CN"/>
        </w:rPr>
        <w:t>4.1投标文件的密封和标记</w:t>
      </w:r>
    </w:p>
    <w:p w14:paraId="179C27A6">
      <w:pPr>
        <w:keepNext w:val="0"/>
        <w:keepLines w:val="0"/>
        <w:pageBreakBefore w:val="0"/>
        <w:widowControl/>
        <w:kinsoku w:val="0"/>
        <w:wordWrap/>
        <w:overflowPunct/>
        <w:topLinePunct w:val="0"/>
        <w:autoSpaceDE w:val="0"/>
        <w:autoSpaceDN w:val="0"/>
        <w:bidi w:val="0"/>
        <w:adjustRightInd w:val="0"/>
        <w:snapToGrid w:val="0"/>
        <w:spacing w:before="159" w:line="460" w:lineRule="exact"/>
        <w:ind w:left="480"/>
        <w:textAlignment w:val="auto"/>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4.1.1投标文件的密封、标记和电子投标</w:t>
      </w:r>
      <w:r>
        <w:rPr>
          <w:rFonts w:ascii="宋体" w:hAnsi="宋体" w:eastAsia="宋体" w:cs="宋体"/>
          <w:color w:val="auto"/>
          <w:spacing w:val="-2"/>
          <w:sz w:val="24"/>
          <w:szCs w:val="24"/>
          <w:lang w:eastAsia="zh-CN"/>
        </w:rPr>
        <w:t>加密要求见投标人须知前附表。</w:t>
      </w:r>
    </w:p>
    <w:p w14:paraId="51714A26">
      <w:pPr>
        <w:keepNext w:val="0"/>
        <w:keepLines w:val="0"/>
        <w:pageBreakBefore w:val="0"/>
        <w:widowControl/>
        <w:kinsoku w:val="0"/>
        <w:wordWrap/>
        <w:overflowPunct/>
        <w:topLinePunct w:val="0"/>
        <w:autoSpaceDE w:val="0"/>
        <w:autoSpaceDN w:val="0"/>
        <w:bidi w:val="0"/>
        <w:adjustRightInd w:val="0"/>
        <w:snapToGrid w:val="0"/>
        <w:spacing w:before="162" w:line="460" w:lineRule="exact"/>
        <w:ind w:left="491"/>
        <w:textAlignment w:val="auto"/>
        <w:rPr>
          <w:rFonts w:ascii="宋体" w:hAnsi="宋体" w:eastAsia="宋体" w:cs="宋体"/>
          <w:color w:val="auto"/>
          <w:sz w:val="28"/>
          <w:szCs w:val="28"/>
          <w:lang w:eastAsia="zh-CN"/>
        </w:rPr>
      </w:pPr>
      <w:r>
        <w:rPr>
          <w:rFonts w:ascii="宋体" w:hAnsi="宋体" w:eastAsia="宋体" w:cs="宋体"/>
          <w:b/>
          <w:bCs/>
          <w:color w:val="auto"/>
          <w:spacing w:val="-3"/>
          <w:sz w:val="28"/>
          <w:szCs w:val="28"/>
          <w:lang w:eastAsia="zh-CN"/>
        </w:rPr>
        <w:t>4.2投标文件的递交</w:t>
      </w:r>
    </w:p>
    <w:p w14:paraId="61CB5A63">
      <w:pPr>
        <w:keepNext w:val="0"/>
        <w:keepLines w:val="0"/>
        <w:pageBreakBefore w:val="0"/>
        <w:widowControl/>
        <w:kinsoku w:val="0"/>
        <w:wordWrap/>
        <w:overflowPunct/>
        <w:topLinePunct w:val="0"/>
        <w:autoSpaceDE w:val="0"/>
        <w:autoSpaceDN w:val="0"/>
        <w:bidi w:val="0"/>
        <w:adjustRightInd w:val="0"/>
        <w:snapToGrid w:val="0"/>
        <w:spacing w:before="158" w:line="460" w:lineRule="exact"/>
        <w:ind w:left="480"/>
        <w:textAlignment w:val="auto"/>
        <w:rPr>
          <w:rFonts w:ascii="宋体" w:hAnsi="宋体" w:eastAsia="宋体" w:cs="宋体"/>
          <w:color w:val="auto"/>
          <w:sz w:val="24"/>
          <w:szCs w:val="24"/>
          <w:lang w:eastAsia="zh-CN"/>
        </w:rPr>
      </w:pPr>
      <w:r>
        <w:rPr>
          <w:rFonts w:ascii="宋体" w:hAnsi="宋体" w:eastAsia="宋体" w:cs="宋体"/>
          <w:color w:val="auto"/>
          <w:sz w:val="24"/>
          <w:szCs w:val="24"/>
          <w:lang w:eastAsia="zh-CN"/>
        </w:rPr>
        <w:t>4.2.1投标人应在投标人须知前附表规定的投标截止</w:t>
      </w:r>
      <w:r>
        <w:rPr>
          <w:rFonts w:ascii="宋体" w:hAnsi="宋体" w:eastAsia="宋体" w:cs="宋体"/>
          <w:color w:val="auto"/>
          <w:spacing w:val="-1"/>
          <w:sz w:val="24"/>
          <w:szCs w:val="24"/>
          <w:lang w:eastAsia="zh-CN"/>
        </w:rPr>
        <w:t>时间前递交投标文件。</w:t>
      </w:r>
    </w:p>
    <w:p w14:paraId="41FE09DA">
      <w:pPr>
        <w:keepNext w:val="0"/>
        <w:keepLines w:val="0"/>
        <w:pageBreakBefore w:val="0"/>
        <w:widowControl/>
        <w:kinsoku w:val="0"/>
        <w:wordWrap/>
        <w:overflowPunct/>
        <w:topLinePunct w:val="0"/>
        <w:autoSpaceDE w:val="0"/>
        <w:autoSpaceDN w:val="0"/>
        <w:bidi w:val="0"/>
        <w:adjustRightInd w:val="0"/>
        <w:snapToGrid w:val="0"/>
        <w:spacing w:before="28" w:line="460" w:lineRule="exact"/>
        <w:ind w:left="480"/>
        <w:textAlignment w:val="auto"/>
        <w:rPr>
          <w:rFonts w:ascii="宋体" w:hAnsi="宋体" w:eastAsia="宋体" w:cs="宋体"/>
          <w:color w:val="auto"/>
          <w:sz w:val="24"/>
          <w:szCs w:val="24"/>
          <w:lang w:eastAsia="zh-CN"/>
        </w:rPr>
      </w:pPr>
      <w:r>
        <w:rPr>
          <w:rFonts w:ascii="宋体" w:hAnsi="宋体" w:eastAsia="宋体" w:cs="宋体"/>
          <w:color w:val="auto"/>
          <w:sz w:val="24"/>
          <w:szCs w:val="24"/>
          <w:lang w:eastAsia="zh-CN"/>
        </w:rPr>
        <w:t>4.2.2投标人通过下载招标文件的电子招标投标交易平</w:t>
      </w:r>
      <w:r>
        <w:rPr>
          <w:rFonts w:ascii="宋体" w:hAnsi="宋体" w:eastAsia="宋体" w:cs="宋体"/>
          <w:color w:val="auto"/>
          <w:spacing w:val="-1"/>
          <w:sz w:val="24"/>
          <w:szCs w:val="24"/>
          <w:lang w:eastAsia="zh-CN"/>
        </w:rPr>
        <w:t>台递交电子投标文件。</w:t>
      </w:r>
    </w:p>
    <w:p w14:paraId="09A22810">
      <w:pPr>
        <w:keepNext w:val="0"/>
        <w:keepLines w:val="0"/>
        <w:pageBreakBefore w:val="0"/>
        <w:widowControl/>
        <w:kinsoku w:val="0"/>
        <w:wordWrap/>
        <w:overflowPunct/>
        <w:topLinePunct w:val="0"/>
        <w:autoSpaceDE w:val="0"/>
        <w:autoSpaceDN w:val="0"/>
        <w:bidi w:val="0"/>
        <w:adjustRightInd w:val="0"/>
        <w:snapToGrid w:val="0"/>
        <w:spacing w:before="28" w:line="460" w:lineRule="exact"/>
        <w:ind w:left="480"/>
        <w:textAlignment w:val="auto"/>
        <w:rPr>
          <w:rFonts w:ascii="宋体" w:hAnsi="宋体" w:eastAsia="宋体" w:cs="宋体"/>
          <w:color w:val="auto"/>
          <w:sz w:val="24"/>
          <w:szCs w:val="24"/>
          <w:lang w:eastAsia="zh-CN"/>
        </w:rPr>
      </w:pPr>
      <w:r>
        <w:rPr>
          <w:rFonts w:ascii="宋体" w:hAnsi="宋体" w:eastAsia="宋体" w:cs="宋体"/>
          <w:color w:val="auto"/>
          <w:sz w:val="24"/>
          <w:szCs w:val="24"/>
          <w:lang w:eastAsia="zh-CN"/>
        </w:rPr>
        <w:t>4.2.3除投标人须知前附表另有规定外，投标人所递交</w:t>
      </w:r>
      <w:r>
        <w:rPr>
          <w:rFonts w:ascii="宋体" w:hAnsi="宋体" w:eastAsia="宋体" w:cs="宋体"/>
          <w:color w:val="auto"/>
          <w:spacing w:val="-1"/>
          <w:sz w:val="24"/>
          <w:szCs w:val="24"/>
          <w:lang w:eastAsia="zh-CN"/>
        </w:rPr>
        <w:t>的投标文件不予退还。</w:t>
      </w:r>
    </w:p>
    <w:p w14:paraId="7C345F76">
      <w:pPr>
        <w:keepNext w:val="0"/>
        <w:keepLines w:val="0"/>
        <w:pageBreakBefore w:val="0"/>
        <w:widowControl/>
        <w:kinsoku w:val="0"/>
        <w:wordWrap/>
        <w:overflowPunct/>
        <w:topLinePunct w:val="0"/>
        <w:autoSpaceDE w:val="0"/>
        <w:autoSpaceDN w:val="0"/>
        <w:bidi w:val="0"/>
        <w:adjustRightInd w:val="0"/>
        <w:snapToGrid w:val="0"/>
        <w:spacing w:before="28" w:line="460" w:lineRule="exact"/>
        <w:ind w:left="5" w:right="9" w:firstLine="475"/>
        <w:textAlignment w:val="auto"/>
        <w:rPr>
          <w:rFonts w:ascii="宋体" w:hAnsi="宋体" w:eastAsia="宋体" w:cs="宋体"/>
          <w:color w:val="auto"/>
          <w:sz w:val="24"/>
          <w:szCs w:val="24"/>
          <w:lang w:eastAsia="zh-CN"/>
        </w:rPr>
      </w:pPr>
      <w:r>
        <w:rPr>
          <w:rFonts w:ascii="宋体" w:hAnsi="宋体" w:eastAsia="宋体" w:cs="宋体"/>
          <w:color w:val="auto"/>
          <w:spacing w:val="6"/>
          <w:sz w:val="24"/>
          <w:szCs w:val="24"/>
          <w:lang w:eastAsia="zh-CN"/>
        </w:rPr>
        <w:t>4.2.4投标人完成电子投标文件上传后</w:t>
      </w:r>
      <w:r>
        <w:rPr>
          <w:rFonts w:ascii="宋体" w:hAnsi="宋体" w:eastAsia="宋体" w:cs="宋体"/>
          <w:color w:val="auto"/>
          <w:spacing w:val="5"/>
          <w:sz w:val="24"/>
          <w:szCs w:val="24"/>
          <w:lang w:eastAsia="zh-CN"/>
        </w:rPr>
        <w:t>，电子招标投标交易平台即时向投标人</w:t>
      </w:r>
      <w:r>
        <w:rPr>
          <w:rFonts w:ascii="宋体" w:hAnsi="宋体" w:eastAsia="宋体" w:cs="宋体"/>
          <w:color w:val="auto"/>
          <w:spacing w:val="-1"/>
          <w:sz w:val="24"/>
          <w:szCs w:val="24"/>
          <w:lang w:eastAsia="zh-CN"/>
        </w:rPr>
        <w:t>发出递交回执通知。递交时间以递交回执通知载明的传输完成时间为准。</w:t>
      </w:r>
    </w:p>
    <w:p w14:paraId="3EB6B3A9">
      <w:pPr>
        <w:keepNext w:val="0"/>
        <w:keepLines w:val="0"/>
        <w:pageBreakBefore w:val="0"/>
        <w:widowControl/>
        <w:kinsoku w:val="0"/>
        <w:wordWrap/>
        <w:overflowPunct/>
        <w:topLinePunct w:val="0"/>
        <w:autoSpaceDE w:val="0"/>
        <w:autoSpaceDN w:val="0"/>
        <w:bidi w:val="0"/>
        <w:adjustRightInd w:val="0"/>
        <w:snapToGrid w:val="0"/>
        <w:spacing w:before="29" w:line="460" w:lineRule="exact"/>
        <w:ind w:left="480"/>
        <w:textAlignment w:val="auto"/>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4.2.5电子投标文件的拒收情形：见投标人须知前附表。</w:t>
      </w:r>
    </w:p>
    <w:p w14:paraId="316710E4">
      <w:pPr>
        <w:keepNext w:val="0"/>
        <w:keepLines w:val="0"/>
        <w:pageBreakBefore w:val="0"/>
        <w:widowControl/>
        <w:kinsoku w:val="0"/>
        <w:wordWrap/>
        <w:overflowPunct/>
        <w:topLinePunct w:val="0"/>
        <w:autoSpaceDE w:val="0"/>
        <w:autoSpaceDN w:val="0"/>
        <w:bidi w:val="0"/>
        <w:adjustRightInd w:val="0"/>
        <w:snapToGrid w:val="0"/>
        <w:spacing w:before="158" w:line="460" w:lineRule="exact"/>
        <w:ind w:left="491"/>
        <w:textAlignment w:val="auto"/>
        <w:rPr>
          <w:rFonts w:ascii="宋体" w:hAnsi="宋体" w:eastAsia="宋体" w:cs="宋体"/>
          <w:color w:val="auto"/>
          <w:sz w:val="28"/>
          <w:szCs w:val="28"/>
          <w:lang w:eastAsia="zh-CN"/>
        </w:rPr>
      </w:pPr>
      <w:r>
        <w:rPr>
          <w:rFonts w:ascii="宋体" w:hAnsi="宋体" w:eastAsia="宋体" w:cs="宋体"/>
          <w:b/>
          <w:bCs/>
          <w:color w:val="auto"/>
          <w:spacing w:val="-3"/>
          <w:sz w:val="28"/>
          <w:szCs w:val="28"/>
          <w:lang w:eastAsia="zh-CN"/>
        </w:rPr>
        <w:t>4.3投标文件的修改与撤回</w:t>
      </w:r>
    </w:p>
    <w:p w14:paraId="4D6E380E">
      <w:pPr>
        <w:keepNext w:val="0"/>
        <w:keepLines w:val="0"/>
        <w:pageBreakBefore w:val="0"/>
        <w:widowControl/>
        <w:kinsoku w:val="0"/>
        <w:wordWrap/>
        <w:overflowPunct/>
        <w:topLinePunct w:val="0"/>
        <w:autoSpaceDE w:val="0"/>
        <w:autoSpaceDN w:val="0"/>
        <w:bidi w:val="0"/>
        <w:adjustRightInd w:val="0"/>
        <w:snapToGrid w:val="0"/>
        <w:spacing w:before="157" w:line="460" w:lineRule="exact"/>
        <w:ind w:left="20" w:right="2" w:firstLine="459"/>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4.3.1在本章第4.2.1项规定的投标截止时间前，投标人可以修改或撤回已递交</w:t>
      </w:r>
      <w:r>
        <w:rPr>
          <w:rFonts w:ascii="宋体" w:hAnsi="宋体" w:eastAsia="宋体" w:cs="宋体"/>
          <w:color w:val="auto"/>
          <w:spacing w:val="9"/>
          <w:sz w:val="24"/>
          <w:szCs w:val="24"/>
          <w:lang w:eastAsia="zh-CN"/>
        </w:rPr>
        <w:t>的投标文件，但应以书面形式通知招标人。投标截止</w:t>
      </w:r>
      <w:r>
        <w:rPr>
          <w:rFonts w:ascii="宋体" w:hAnsi="宋体" w:eastAsia="宋体" w:cs="宋体"/>
          <w:color w:val="auto"/>
          <w:spacing w:val="8"/>
          <w:sz w:val="24"/>
          <w:szCs w:val="24"/>
          <w:lang w:eastAsia="zh-CN"/>
        </w:rPr>
        <w:t>时间前未完成投标文件传输</w:t>
      </w:r>
      <w:r>
        <w:rPr>
          <w:rFonts w:ascii="宋体" w:hAnsi="宋体" w:eastAsia="宋体" w:cs="宋体"/>
          <w:color w:val="auto"/>
          <w:spacing w:val="-6"/>
          <w:sz w:val="24"/>
          <w:szCs w:val="24"/>
          <w:lang w:eastAsia="zh-CN"/>
        </w:rPr>
        <w:t>的，视为撤回投标文件。</w:t>
      </w:r>
    </w:p>
    <w:p w14:paraId="7545C5FA">
      <w:pPr>
        <w:keepNext w:val="0"/>
        <w:keepLines w:val="0"/>
        <w:pageBreakBefore w:val="0"/>
        <w:widowControl/>
        <w:kinsoku w:val="0"/>
        <w:wordWrap/>
        <w:overflowPunct/>
        <w:topLinePunct w:val="0"/>
        <w:autoSpaceDE w:val="0"/>
        <w:autoSpaceDN w:val="0"/>
        <w:bidi w:val="0"/>
        <w:adjustRightInd w:val="0"/>
        <w:snapToGrid w:val="0"/>
        <w:spacing w:before="26" w:line="460" w:lineRule="exact"/>
        <w:ind w:left="1" w:firstLine="478"/>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4.3.2投标人修改或撤回已递交投标文件的通知，应按照本章第3.7.3项的要求加盖电子印章。电子招标投标交易平台收到通知后，即时向投标人发出确认回执通</w:t>
      </w:r>
      <w:r>
        <w:rPr>
          <w:rFonts w:ascii="宋体" w:hAnsi="宋体" w:eastAsia="宋体" w:cs="宋体"/>
          <w:color w:val="auto"/>
          <w:spacing w:val="-6"/>
          <w:sz w:val="24"/>
          <w:szCs w:val="24"/>
          <w:lang w:eastAsia="zh-CN"/>
        </w:rPr>
        <w:t>知。</w:t>
      </w:r>
    </w:p>
    <w:p w14:paraId="0578364E">
      <w:pPr>
        <w:keepNext w:val="0"/>
        <w:keepLines w:val="0"/>
        <w:pageBreakBefore w:val="0"/>
        <w:widowControl/>
        <w:kinsoku w:val="0"/>
        <w:wordWrap/>
        <w:overflowPunct/>
        <w:topLinePunct w:val="0"/>
        <w:autoSpaceDE w:val="0"/>
        <w:autoSpaceDN w:val="0"/>
        <w:bidi w:val="0"/>
        <w:adjustRightInd w:val="0"/>
        <w:snapToGrid w:val="0"/>
        <w:spacing w:before="25" w:line="460" w:lineRule="exact"/>
        <w:ind w:left="1" w:right="7" w:firstLine="478"/>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4.3.3投标人撤回投标文件的，招标人自收到投标人书面撤回通知之日起5日内</w:t>
      </w:r>
      <w:r>
        <w:rPr>
          <w:rFonts w:ascii="宋体" w:hAnsi="宋体" w:eastAsia="宋体" w:cs="宋体"/>
          <w:color w:val="auto"/>
          <w:spacing w:val="-1"/>
          <w:sz w:val="24"/>
          <w:szCs w:val="24"/>
          <w:lang w:eastAsia="zh-CN"/>
        </w:rPr>
        <w:t>退还已收取的投标保证金。</w:t>
      </w:r>
    </w:p>
    <w:p w14:paraId="28C414A5">
      <w:pPr>
        <w:keepNext w:val="0"/>
        <w:keepLines w:val="0"/>
        <w:pageBreakBefore w:val="0"/>
        <w:widowControl/>
        <w:kinsoku w:val="0"/>
        <w:wordWrap/>
        <w:overflowPunct/>
        <w:topLinePunct w:val="0"/>
        <w:autoSpaceDE w:val="0"/>
        <w:autoSpaceDN w:val="0"/>
        <w:bidi w:val="0"/>
        <w:adjustRightInd w:val="0"/>
        <w:snapToGrid w:val="0"/>
        <w:spacing w:before="29" w:line="460" w:lineRule="exact"/>
        <w:ind w:right="32" w:firstLine="479"/>
        <w:textAlignment w:val="auto"/>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4.3.4修改的内容为投标文件的组成部分。修改的投标文件应按照本章第3条、</w:t>
      </w:r>
      <w:r>
        <w:rPr>
          <w:rFonts w:ascii="宋体" w:hAnsi="宋体" w:eastAsia="宋体" w:cs="宋体"/>
          <w:color w:val="auto"/>
          <w:spacing w:val="-2"/>
          <w:sz w:val="24"/>
          <w:szCs w:val="24"/>
          <w:lang w:eastAsia="zh-CN"/>
        </w:rPr>
        <w:t>第4条的规定进行编制、密封、标记和递交，并标明“修改”字样。</w:t>
      </w:r>
    </w:p>
    <w:p w14:paraId="062292CF">
      <w:pPr>
        <w:keepNext w:val="0"/>
        <w:keepLines w:val="0"/>
        <w:pageBreakBefore w:val="0"/>
        <w:widowControl/>
        <w:kinsoku w:val="0"/>
        <w:wordWrap/>
        <w:overflowPunct/>
        <w:topLinePunct w:val="0"/>
        <w:autoSpaceDE w:val="0"/>
        <w:autoSpaceDN w:val="0"/>
        <w:bidi w:val="0"/>
        <w:adjustRightInd w:val="0"/>
        <w:snapToGrid w:val="0"/>
        <w:spacing w:before="144" w:line="460" w:lineRule="exact"/>
        <w:ind w:left="2"/>
        <w:textAlignment w:val="auto"/>
        <w:rPr>
          <w:rFonts w:ascii="宋体" w:hAnsi="宋体" w:eastAsia="宋体" w:cs="宋体"/>
          <w:color w:val="auto"/>
          <w:sz w:val="31"/>
          <w:szCs w:val="31"/>
          <w:lang w:eastAsia="zh-CN"/>
        </w:rPr>
      </w:pPr>
      <w:r>
        <w:rPr>
          <w:rFonts w:ascii="Times New Roman" w:hAnsi="Times New Roman" w:eastAsia="Times New Roman" w:cs="Times New Roman"/>
          <w:b/>
          <w:bCs/>
          <w:color w:val="auto"/>
          <w:spacing w:val="2"/>
          <w:sz w:val="31"/>
          <w:szCs w:val="31"/>
          <w:lang w:eastAsia="zh-CN"/>
        </w:rPr>
        <w:t>5.</w:t>
      </w:r>
      <w:r>
        <w:rPr>
          <w:rFonts w:ascii="宋体" w:hAnsi="宋体" w:eastAsia="宋体" w:cs="宋体"/>
          <w:b/>
          <w:bCs/>
          <w:color w:val="auto"/>
          <w:spacing w:val="2"/>
          <w:sz w:val="31"/>
          <w:szCs w:val="31"/>
          <w:lang w:eastAsia="zh-CN"/>
        </w:rPr>
        <w:t>开标</w:t>
      </w:r>
    </w:p>
    <w:p w14:paraId="30F733EE">
      <w:pPr>
        <w:keepNext w:val="0"/>
        <w:keepLines w:val="0"/>
        <w:pageBreakBefore w:val="0"/>
        <w:widowControl/>
        <w:kinsoku w:val="0"/>
        <w:wordWrap/>
        <w:overflowPunct/>
        <w:topLinePunct w:val="0"/>
        <w:autoSpaceDE w:val="0"/>
        <w:autoSpaceDN w:val="0"/>
        <w:bidi w:val="0"/>
        <w:adjustRightInd w:val="0"/>
        <w:snapToGrid w:val="0"/>
        <w:spacing w:before="263" w:line="460" w:lineRule="exact"/>
        <w:ind w:left="495"/>
        <w:textAlignment w:val="auto"/>
        <w:rPr>
          <w:rFonts w:ascii="宋体" w:hAnsi="宋体" w:eastAsia="宋体" w:cs="宋体"/>
          <w:color w:val="auto"/>
          <w:sz w:val="28"/>
          <w:szCs w:val="28"/>
          <w:lang w:eastAsia="zh-CN"/>
        </w:rPr>
      </w:pPr>
      <w:r>
        <w:rPr>
          <w:rFonts w:ascii="宋体" w:hAnsi="宋体" w:eastAsia="宋体" w:cs="宋体"/>
          <w:b/>
          <w:bCs/>
          <w:color w:val="auto"/>
          <w:spacing w:val="-6"/>
          <w:sz w:val="24"/>
          <w:szCs w:val="24"/>
          <w:lang w:eastAsia="zh-CN"/>
        </w:rPr>
        <w:t>5.1</w:t>
      </w:r>
      <w:r>
        <w:rPr>
          <w:rFonts w:ascii="宋体" w:hAnsi="宋体" w:eastAsia="宋体" w:cs="宋体"/>
          <w:b/>
          <w:bCs/>
          <w:color w:val="auto"/>
          <w:spacing w:val="-6"/>
          <w:sz w:val="28"/>
          <w:szCs w:val="28"/>
          <w:lang w:eastAsia="zh-CN"/>
        </w:rPr>
        <w:t>开标时间和地点</w:t>
      </w:r>
    </w:p>
    <w:p w14:paraId="18E8EA8D">
      <w:pPr>
        <w:keepNext w:val="0"/>
        <w:keepLines w:val="0"/>
        <w:pageBreakBefore w:val="0"/>
        <w:widowControl/>
        <w:kinsoku w:val="0"/>
        <w:wordWrap/>
        <w:overflowPunct/>
        <w:topLinePunct w:val="0"/>
        <w:autoSpaceDE w:val="0"/>
        <w:autoSpaceDN w:val="0"/>
        <w:bidi w:val="0"/>
        <w:adjustRightInd w:val="0"/>
        <w:snapToGrid w:val="0"/>
        <w:spacing w:before="157" w:line="460" w:lineRule="exact"/>
        <w:ind w:left="484"/>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见投标人须知前附表。</w:t>
      </w:r>
    </w:p>
    <w:p w14:paraId="58E7E376">
      <w:pPr>
        <w:keepNext w:val="0"/>
        <w:keepLines w:val="0"/>
        <w:pageBreakBefore w:val="0"/>
        <w:widowControl/>
        <w:kinsoku w:val="0"/>
        <w:wordWrap/>
        <w:overflowPunct/>
        <w:topLinePunct w:val="0"/>
        <w:autoSpaceDE w:val="0"/>
        <w:autoSpaceDN w:val="0"/>
        <w:bidi w:val="0"/>
        <w:adjustRightInd w:val="0"/>
        <w:snapToGrid w:val="0"/>
        <w:spacing w:before="162" w:line="460" w:lineRule="exact"/>
        <w:ind w:left="495"/>
        <w:textAlignment w:val="auto"/>
        <w:rPr>
          <w:rFonts w:ascii="宋体" w:hAnsi="宋体" w:eastAsia="宋体" w:cs="宋体"/>
          <w:color w:val="auto"/>
          <w:sz w:val="28"/>
          <w:szCs w:val="28"/>
          <w:lang w:eastAsia="zh-CN"/>
        </w:rPr>
      </w:pPr>
      <w:r>
        <w:rPr>
          <w:rFonts w:ascii="宋体" w:hAnsi="宋体" w:eastAsia="宋体" w:cs="宋体"/>
          <w:b/>
          <w:bCs/>
          <w:color w:val="auto"/>
          <w:spacing w:val="-7"/>
          <w:sz w:val="24"/>
          <w:szCs w:val="24"/>
          <w:lang w:eastAsia="zh-CN"/>
        </w:rPr>
        <w:t>5.2</w:t>
      </w:r>
      <w:r>
        <w:rPr>
          <w:rFonts w:ascii="宋体" w:hAnsi="宋体" w:eastAsia="宋体" w:cs="宋体"/>
          <w:b/>
          <w:bCs/>
          <w:color w:val="auto"/>
          <w:spacing w:val="-7"/>
          <w:sz w:val="28"/>
          <w:szCs w:val="28"/>
          <w:lang w:eastAsia="zh-CN"/>
        </w:rPr>
        <w:t>开标程序</w:t>
      </w:r>
    </w:p>
    <w:p w14:paraId="59273708">
      <w:pPr>
        <w:keepNext w:val="0"/>
        <w:keepLines w:val="0"/>
        <w:pageBreakBefore w:val="0"/>
        <w:widowControl/>
        <w:kinsoku w:val="0"/>
        <w:wordWrap/>
        <w:overflowPunct/>
        <w:topLinePunct w:val="0"/>
        <w:autoSpaceDE w:val="0"/>
        <w:autoSpaceDN w:val="0"/>
        <w:bidi w:val="0"/>
        <w:adjustRightInd w:val="0"/>
        <w:snapToGrid w:val="0"/>
        <w:spacing w:before="157" w:line="460" w:lineRule="exact"/>
        <w:ind w:left="484"/>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见投标人须知前附表。</w:t>
      </w:r>
    </w:p>
    <w:p w14:paraId="5ADEAD5F">
      <w:pPr>
        <w:keepNext w:val="0"/>
        <w:keepLines w:val="0"/>
        <w:pageBreakBefore w:val="0"/>
        <w:widowControl/>
        <w:kinsoku w:val="0"/>
        <w:wordWrap/>
        <w:overflowPunct/>
        <w:topLinePunct w:val="0"/>
        <w:autoSpaceDE w:val="0"/>
        <w:autoSpaceDN w:val="0"/>
        <w:bidi w:val="0"/>
        <w:adjustRightInd w:val="0"/>
        <w:snapToGrid w:val="0"/>
        <w:spacing w:before="162" w:line="460" w:lineRule="exact"/>
        <w:ind w:left="495"/>
        <w:textAlignment w:val="auto"/>
        <w:rPr>
          <w:rFonts w:ascii="宋体" w:hAnsi="宋体" w:eastAsia="宋体" w:cs="宋体"/>
          <w:color w:val="auto"/>
          <w:sz w:val="28"/>
          <w:szCs w:val="28"/>
          <w:lang w:eastAsia="zh-CN"/>
        </w:rPr>
      </w:pPr>
      <w:r>
        <w:rPr>
          <w:rFonts w:ascii="宋体" w:hAnsi="宋体" w:eastAsia="宋体" w:cs="宋体"/>
          <w:b/>
          <w:bCs/>
          <w:color w:val="auto"/>
          <w:spacing w:val="-7"/>
          <w:sz w:val="24"/>
          <w:szCs w:val="24"/>
          <w:lang w:eastAsia="zh-CN"/>
        </w:rPr>
        <w:t>5.3</w:t>
      </w:r>
      <w:r>
        <w:rPr>
          <w:rFonts w:ascii="宋体" w:hAnsi="宋体" w:eastAsia="宋体" w:cs="宋体"/>
          <w:b/>
          <w:bCs/>
          <w:color w:val="auto"/>
          <w:spacing w:val="-7"/>
          <w:sz w:val="28"/>
          <w:szCs w:val="28"/>
          <w:lang w:eastAsia="zh-CN"/>
        </w:rPr>
        <w:t>开标异议</w:t>
      </w:r>
    </w:p>
    <w:p w14:paraId="656AD193">
      <w:pPr>
        <w:keepNext w:val="0"/>
        <w:keepLines w:val="0"/>
        <w:pageBreakBefore w:val="0"/>
        <w:widowControl/>
        <w:kinsoku w:val="0"/>
        <w:wordWrap/>
        <w:overflowPunct/>
        <w:topLinePunct w:val="0"/>
        <w:autoSpaceDE w:val="0"/>
        <w:autoSpaceDN w:val="0"/>
        <w:bidi w:val="0"/>
        <w:adjustRightInd w:val="0"/>
        <w:snapToGrid w:val="0"/>
        <w:spacing w:before="160" w:line="460" w:lineRule="exact"/>
        <w:ind w:left="1" w:firstLine="478"/>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投标人对开标有异议的，应当在开标时提出，招标人当场作出答复，并制作记</w:t>
      </w:r>
      <w:r>
        <w:rPr>
          <w:rFonts w:ascii="宋体" w:hAnsi="宋体" w:eastAsia="宋体" w:cs="宋体"/>
          <w:color w:val="auto"/>
          <w:spacing w:val="-6"/>
          <w:sz w:val="24"/>
          <w:szCs w:val="24"/>
          <w:lang w:eastAsia="zh-CN"/>
        </w:rPr>
        <w:t>录。</w:t>
      </w:r>
    </w:p>
    <w:p w14:paraId="4ECC46D1">
      <w:pPr>
        <w:keepNext w:val="0"/>
        <w:keepLines w:val="0"/>
        <w:pageBreakBefore w:val="0"/>
        <w:widowControl/>
        <w:kinsoku w:val="0"/>
        <w:wordWrap/>
        <w:overflowPunct/>
        <w:topLinePunct w:val="0"/>
        <w:autoSpaceDE w:val="0"/>
        <w:autoSpaceDN w:val="0"/>
        <w:bidi w:val="0"/>
        <w:adjustRightInd w:val="0"/>
        <w:snapToGrid w:val="0"/>
        <w:spacing w:before="158" w:line="460" w:lineRule="exact"/>
        <w:ind w:left="495"/>
        <w:textAlignment w:val="auto"/>
        <w:rPr>
          <w:rFonts w:ascii="宋体" w:hAnsi="宋体" w:eastAsia="宋体" w:cs="宋体"/>
          <w:color w:val="auto"/>
          <w:sz w:val="28"/>
          <w:szCs w:val="28"/>
          <w:lang w:eastAsia="zh-CN"/>
        </w:rPr>
      </w:pPr>
      <w:r>
        <w:rPr>
          <w:rFonts w:ascii="宋体" w:hAnsi="宋体" w:eastAsia="宋体" w:cs="宋体"/>
          <w:b/>
          <w:bCs/>
          <w:color w:val="auto"/>
          <w:spacing w:val="-3"/>
          <w:sz w:val="24"/>
          <w:szCs w:val="24"/>
          <w:lang w:eastAsia="zh-CN"/>
        </w:rPr>
        <w:t>5.4</w:t>
      </w:r>
      <w:r>
        <w:rPr>
          <w:rFonts w:ascii="宋体" w:hAnsi="宋体" w:eastAsia="宋体" w:cs="宋体"/>
          <w:b/>
          <w:bCs/>
          <w:color w:val="auto"/>
          <w:spacing w:val="-3"/>
          <w:sz w:val="28"/>
          <w:szCs w:val="28"/>
          <w:lang w:eastAsia="zh-CN"/>
        </w:rPr>
        <w:t>特殊情况处置</w:t>
      </w:r>
    </w:p>
    <w:p w14:paraId="6BD466C1">
      <w:pPr>
        <w:keepNext w:val="0"/>
        <w:keepLines w:val="0"/>
        <w:pageBreakBefore w:val="0"/>
        <w:widowControl/>
        <w:kinsoku w:val="0"/>
        <w:wordWrap/>
        <w:overflowPunct/>
        <w:topLinePunct w:val="0"/>
        <w:autoSpaceDE w:val="0"/>
        <w:autoSpaceDN w:val="0"/>
        <w:bidi w:val="0"/>
        <w:adjustRightInd w:val="0"/>
        <w:snapToGrid w:val="0"/>
        <w:spacing w:before="158" w:line="460" w:lineRule="exact"/>
        <w:ind w:left="484"/>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见投标人须知前附表</w:t>
      </w:r>
    </w:p>
    <w:p w14:paraId="7F58F29A">
      <w:pPr>
        <w:keepNext w:val="0"/>
        <w:keepLines w:val="0"/>
        <w:pageBreakBefore w:val="0"/>
        <w:widowControl/>
        <w:kinsoku w:val="0"/>
        <w:wordWrap/>
        <w:overflowPunct/>
        <w:topLinePunct w:val="0"/>
        <w:autoSpaceDE w:val="0"/>
        <w:autoSpaceDN w:val="0"/>
        <w:bidi w:val="0"/>
        <w:adjustRightInd w:val="0"/>
        <w:snapToGrid w:val="0"/>
        <w:spacing w:before="146" w:line="460" w:lineRule="exact"/>
        <w:ind w:left="3"/>
        <w:textAlignment w:val="auto"/>
        <w:rPr>
          <w:rFonts w:ascii="宋体" w:hAnsi="宋体" w:eastAsia="宋体" w:cs="宋体"/>
          <w:color w:val="auto"/>
          <w:sz w:val="31"/>
          <w:szCs w:val="31"/>
          <w:lang w:eastAsia="zh-CN"/>
        </w:rPr>
      </w:pPr>
      <w:r>
        <w:rPr>
          <w:rFonts w:ascii="Times New Roman" w:hAnsi="Times New Roman" w:eastAsia="Times New Roman" w:cs="Times New Roman"/>
          <w:b/>
          <w:bCs/>
          <w:color w:val="auto"/>
          <w:spacing w:val="2"/>
          <w:sz w:val="31"/>
          <w:szCs w:val="31"/>
          <w:lang w:eastAsia="zh-CN"/>
        </w:rPr>
        <w:t>6.</w:t>
      </w:r>
      <w:r>
        <w:rPr>
          <w:rFonts w:ascii="宋体" w:hAnsi="宋体" w:eastAsia="宋体" w:cs="宋体"/>
          <w:b/>
          <w:bCs/>
          <w:color w:val="auto"/>
          <w:spacing w:val="2"/>
          <w:sz w:val="31"/>
          <w:szCs w:val="31"/>
          <w:lang w:eastAsia="zh-CN"/>
        </w:rPr>
        <w:t>评标</w:t>
      </w:r>
    </w:p>
    <w:p w14:paraId="66CBFCBE">
      <w:pPr>
        <w:keepNext w:val="0"/>
        <w:keepLines w:val="0"/>
        <w:pageBreakBefore w:val="0"/>
        <w:widowControl/>
        <w:kinsoku w:val="0"/>
        <w:wordWrap/>
        <w:overflowPunct/>
        <w:topLinePunct w:val="0"/>
        <w:autoSpaceDE w:val="0"/>
        <w:autoSpaceDN w:val="0"/>
        <w:bidi w:val="0"/>
        <w:adjustRightInd w:val="0"/>
        <w:snapToGrid w:val="0"/>
        <w:spacing w:before="261" w:line="460" w:lineRule="exact"/>
        <w:ind w:left="492"/>
        <w:textAlignment w:val="auto"/>
        <w:rPr>
          <w:rFonts w:ascii="宋体" w:hAnsi="宋体" w:eastAsia="宋体" w:cs="宋体"/>
          <w:color w:val="auto"/>
          <w:sz w:val="28"/>
          <w:szCs w:val="28"/>
          <w:lang w:eastAsia="zh-CN"/>
        </w:rPr>
      </w:pPr>
      <w:r>
        <w:rPr>
          <w:rFonts w:ascii="宋体" w:hAnsi="宋体" w:eastAsia="宋体" w:cs="宋体"/>
          <w:b/>
          <w:bCs/>
          <w:color w:val="auto"/>
          <w:spacing w:val="-3"/>
          <w:sz w:val="24"/>
          <w:szCs w:val="24"/>
          <w:lang w:eastAsia="zh-CN"/>
        </w:rPr>
        <w:t>6.1</w:t>
      </w:r>
      <w:r>
        <w:rPr>
          <w:rFonts w:ascii="宋体" w:hAnsi="宋体" w:eastAsia="宋体" w:cs="宋体"/>
          <w:b/>
          <w:bCs/>
          <w:color w:val="auto"/>
          <w:spacing w:val="-3"/>
          <w:sz w:val="28"/>
          <w:szCs w:val="28"/>
          <w:lang w:eastAsia="zh-CN"/>
        </w:rPr>
        <w:t>评标委员会</w:t>
      </w:r>
    </w:p>
    <w:p w14:paraId="613A115B">
      <w:pPr>
        <w:keepNext w:val="0"/>
        <w:keepLines w:val="0"/>
        <w:pageBreakBefore w:val="0"/>
        <w:widowControl/>
        <w:kinsoku w:val="0"/>
        <w:wordWrap/>
        <w:overflowPunct/>
        <w:topLinePunct w:val="0"/>
        <w:autoSpaceDE w:val="0"/>
        <w:autoSpaceDN w:val="0"/>
        <w:bidi w:val="0"/>
        <w:adjustRightInd w:val="0"/>
        <w:snapToGrid w:val="0"/>
        <w:spacing w:before="159" w:line="460" w:lineRule="exact"/>
        <w:ind w:left="1" w:right="2" w:firstLine="480"/>
        <w:jc w:val="both"/>
        <w:textAlignment w:val="auto"/>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6.1.1评标由招标人依法组建的评标委员会负责。评标委员会由招标人或其</w:t>
      </w:r>
      <w:r>
        <w:rPr>
          <w:rFonts w:ascii="宋体" w:hAnsi="宋体" w:eastAsia="宋体" w:cs="宋体"/>
          <w:color w:val="auto"/>
          <w:spacing w:val="-2"/>
          <w:sz w:val="24"/>
          <w:szCs w:val="24"/>
          <w:lang w:eastAsia="zh-CN"/>
        </w:rPr>
        <w:t>委托</w:t>
      </w:r>
      <w:r>
        <w:rPr>
          <w:rFonts w:ascii="宋体" w:hAnsi="宋体" w:eastAsia="宋体" w:cs="宋体"/>
          <w:color w:val="auto"/>
          <w:spacing w:val="2"/>
          <w:sz w:val="24"/>
          <w:szCs w:val="24"/>
          <w:lang w:eastAsia="zh-CN"/>
        </w:rPr>
        <w:t>的招标代理机构熟悉相关业务的代表，以及有关技术、经济等方面的专家组成。评</w:t>
      </w:r>
      <w:r>
        <w:rPr>
          <w:rFonts w:ascii="宋体" w:hAnsi="宋体" w:eastAsia="宋体" w:cs="宋体"/>
          <w:color w:val="auto"/>
          <w:spacing w:val="-1"/>
          <w:sz w:val="24"/>
          <w:szCs w:val="24"/>
          <w:lang w:eastAsia="zh-CN"/>
        </w:rPr>
        <w:t>标委员会成员人数以及技术、经济等方面专家的确定方式见投标人须知前附表。</w:t>
      </w:r>
    </w:p>
    <w:p w14:paraId="1F838CA6">
      <w:pPr>
        <w:keepNext w:val="0"/>
        <w:keepLines w:val="0"/>
        <w:pageBreakBefore w:val="0"/>
        <w:widowControl/>
        <w:kinsoku w:val="0"/>
        <w:wordWrap/>
        <w:overflowPunct/>
        <w:topLinePunct w:val="0"/>
        <w:autoSpaceDE w:val="0"/>
        <w:autoSpaceDN w:val="0"/>
        <w:bidi w:val="0"/>
        <w:adjustRightInd w:val="0"/>
        <w:snapToGrid w:val="0"/>
        <w:spacing w:before="161" w:line="460" w:lineRule="exact"/>
        <w:ind w:left="492"/>
        <w:textAlignment w:val="auto"/>
        <w:rPr>
          <w:rFonts w:ascii="宋体" w:hAnsi="宋体" w:eastAsia="宋体" w:cs="宋体"/>
          <w:color w:val="auto"/>
          <w:sz w:val="28"/>
          <w:szCs w:val="28"/>
          <w:lang w:eastAsia="zh-CN"/>
        </w:rPr>
      </w:pPr>
      <w:r>
        <w:rPr>
          <w:rFonts w:ascii="宋体" w:hAnsi="宋体" w:eastAsia="宋体" w:cs="宋体"/>
          <w:b/>
          <w:bCs/>
          <w:color w:val="auto"/>
          <w:spacing w:val="-4"/>
          <w:sz w:val="24"/>
          <w:szCs w:val="24"/>
          <w:lang w:eastAsia="zh-CN"/>
        </w:rPr>
        <w:t>6.2</w:t>
      </w:r>
      <w:r>
        <w:rPr>
          <w:rFonts w:ascii="宋体" w:hAnsi="宋体" w:eastAsia="宋体" w:cs="宋体"/>
          <w:b/>
          <w:bCs/>
          <w:color w:val="auto"/>
          <w:spacing w:val="-4"/>
          <w:sz w:val="28"/>
          <w:szCs w:val="28"/>
          <w:lang w:eastAsia="zh-CN"/>
        </w:rPr>
        <w:t>评标原则</w:t>
      </w:r>
    </w:p>
    <w:p w14:paraId="1F955145">
      <w:pPr>
        <w:keepNext w:val="0"/>
        <w:keepLines w:val="0"/>
        <w:pageBreakBefore w:val="0"/>
        <w:widowControl/>
        <w:kinsoku w:val="0"/>
        <w:wordWrap/>
        <w:overflowPunct/>
        <w:topLinePunct w:val="0"/>
        <w:autoSpaceDE w:val="0"/>
        <w:autoSpaceDN w:val="0"/>
        <w:bidi w:val="0"/>
        <w:adjustRightInd w:val="0"/>
        <w:snapToGrid w:val="0"/>
        <w:spacing w:before="157" w:line="460" w:lineRule="exact"/>
        <w:ind w:left="480"/>
        <w:textAlignment w:val="auto"/>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评标活动遵循公平、公正、科学和择优的原则。</w:t>
      </w:r>
    </w:p>
    <w:p w14:paraId="2A7DE31B">
      <w:pPr>
        <w:keepNext w:val="0"/>
        <w:keepLines w:val="0"/>
        <w:pageBreakBefore w:val="0"/>
        <w:widowControl/>
        <w:kinsoku w:val="0"/>
        <w:wordWrap/>
        <w:overflowPunct/>
        <w:topLinePunct w:val="0"/>
        <w:autoSpaceDE w:val="0"/>
        <w:autoSpaceDN w:val="0"/>
        <w:bidi w:val="0"/>
        <w:adjustRightInd w:val="0"/>
        <w:snapToGrid w:val="0"/>
        <w:spacing w:before="162" w:line="460" w:lineRule="exact"/>
        <w:ind w:left="492"/>
        <w:textAlignment w:val="auto"/>
        <w:rPr>
          <w:rFonts w:ascii="宋体" w:hAnsi="宋体" w:eastAsia="宋体" w:cs="宋体"/>
          <w:color w:val="auto"/>
          <w:sz w:val="28"/>
          <w:szCs w:val="28"/>
          <w:lang w:eastAsia="zh-CN"/>
        </w:rPr>
      </w:pPr>
      <w:r>
        <w:rPr>
          <w:rFonts w:ascii="宋体" w:hAnsi="宋体" w:eastAsia="宋体" w:cs="宋体"/>
          <w:b/>
          <w:bCs/>
          <w:color w:val="auto"/>
          <w:spacing w:val="-7"/>
          <w:sz w:val="24"/>
          <w:szCs w:val="24"/>
          <w:lang w:eastAsia="zh-CN"/>
        </w:rPr>
        <w:t>6.3</w:t>
      </w:r>
      <w:r>
        <w:rPr>
          <w:rFonts w:ascii="宋体" w:hAnsi="宋体" w:eastAsia="宋体" w:cs="宋体"/>
          <w:b/>
          <w:bCs/>
          <w:color w:val="auto"/>
          <w:spacing w:val="-7"/>
          <w:sz w:val="28"/>
          <w:szCs w:val="28"/>
          <w:lang w:eastAsia="zh-CN"/>
        </w:rPr>
        <w:t>评标</w:t>
      </w:r>
    </w:p>
    <w:p w14:paraId="2BB21315">
      <w:pPr>
        <w:keepNext w:val="0"/>
        <w:keepLines w:val="0"/>
        <w:pageBreakBefore w:val="0"/>
        <w:widowControl/>
        <w:kinsoku w:val="0"/>
        <w:wordWrap/>
        <w:overflowPunct/>
        <w:topLinePunct w:val="0"/>
        <w:autoSpaceDE w:val="0"/>
        <w:autoSpaceDN w:val="0"/>
        <w:bidi w:val="0"/>
        <w:adjustRightInd w:val="0"/>
        <w:snapToGrid w:val="0"/>
        <w:spacing w:before="156" w:line="460" w:lineRule="exact"/>
        <w:ind w:right="4" w:firstLine="482"/>
        <w:textAlignment w:val="auto"/>
        <w:rPr>
          <w:rFonts w:ascii="宋体" w:hAnsi="宋体" w:eastAsia="宋体" w:cs="宋体"/>
          <w:color w:val="auto"/>
          <w:sz w:val="24"/>
          <w:szCs w:val="24"/>
          <w:lang w:eastAsia="zh-CN"/>
        </w:rPr>
      </w:pPr>
      <w:r>
        <w:rPr>
          <w:rFonts w:ascii="宋体" w:hAnsi="宋体" w:eastAsia="宋体" w:cs="宋体"/>
          <w:color w:val="auto"/>
          <w:spacing w:val="4"/>
          <w:sz w:val="24"/>
          <w:szCs w:val="24"/>
          <w:lang w:eastAsia="zh-CN"/>
        </w:rPr>
        <w:t>6.3.1评标委员会按照第三章“评标办法”规定的方法、评审因素、标准和程</w:t>
      </w:r>
      <w:r>
        <w:rPr>
          <w:rFonts w:ascii="宋体" w:hAnsi="宋体" w:eastAsia="宋体" w:cs="宋体"/>
          <w:color w:val="auto"/>
          <w:spacing w:val="1"/>
          <w:sz w:val="24"/>
          <w:szCs w:val="24"/>
          <w:lang w:eastAsia="zh-CN"/>
        </w:rPr>
        <w:t>序对投标文件进行评审。第三章“评标办法”没有规定的方法、评审因素和标准，</w:t>
      </w:r>
      <w:r>
        <w:rPr>
          <w:rFonts w:ascii="宋体" w:hAnsi="宋体" w:eastAsia="宋体" w:cs="宋体"/>
          <w:color w:val="auto"/>
          <w:spacing w:val="-2"/>
          <w:sz w:val="24"/>
          <w:szCs w:val="24"/>
          <w:lang w:eastAsia="zh-CN"/>
        </w:rPr>
        <w:t>不作为评标依据。</w:t>
      </w:r>
    </w:p>
    <w:p w14:paraId="5F724618">
      <w:pPr>
        <w:keepNext w:val="0"/>
        <w:keepLines w:val="0"/>
        <w:pageBreakBefore w:val="0"/>
        <w:widowControl/>
        <w:kinsoku w:val="0"/>
        <w:wordWrap/>
        <w:overflowPunct/>
        <w:topLinePunct w:val="0"/>
        <w:autoSpaceDE w:val="0"/>
        <w:autoSpaceDN w:val="0"/>
        <w:bidi w:val="0"/>
        <w:adjustRightInd w:val="0"/>
        <w:snapToGrid w:val="0"/>
        <w:spacing w:before="29" w:line="460" w:lineRule="exact"/>
        <w:ind w:left="3" w:right="7" w:firstLine="479"/>
        <w:textAlignment w:val="auto"/>
        <w:rPr>
          <w:rFonts w:ascii="宋体" w:hAnsi="宋体" w:eastAsia="宋体" w:cs="宋体"/>
          <w:color w:val="auto"/>
          <w:sz w:val="24"/>
          <w:szCs w:val="24"/>
          <w:lang w:eastAsia="zh-CN"/>
        </w:rPr>
      </w:pPr>
      <w:r>
        <w:rPr>
          <w:rFonts w:ascii="宋体" w:hAnsi="宋体" w:eastAsia="宋体" w:cs="宋体"/>
          <w:color w:val="auto"/>
          <w:spacing w:val="5"/>
          <w:sz w:val="24"/>
          <w:szCs w:val="24"/>
          <w:lang w:eastAsia="zh-CN"/>
        </w:rPr>
        <w:t>6.3.2评标完成后，评标委员会应当向招标人提交书面评标报告和中标候选人</w:t>
      </w:r>
      <w:r>
        <w:rPr>
          <w:rFonts w:ascii="宋体" w:hAnsi="宋体" w:eastAsia="宋体" w:cs="宋体"/>
          <w:color w:val="auto"/>
          <w:spacing w:val="-1"/>
          <w:sz w:val="24"/>
          <w:szCs w:val="24"/>
          <w:lang w:eastAsia="zh-CN"/>
        </w:rPr>
        <w:t>名单。评标委员会推荐中标候选人的人数见投标人须知前附表。</w:t>
      </w:r>
    </w:p>
    <w:p w14:paraId="6BDD7374">
      <w:pPr>
        <w:keepNext w:val="0"/>
        <w:keepLines w:val="0"/>
        <w:pageBreakBefore w:val="0"/>
        <w:widowControl/>
        <w:kinsoku w:val="0"/>
        <w:wordWrap/>
        <w:overflowPunct/>
        <w:topLinePunct w:val="0"/>
        <w:autoSpaceDE w:val="0"/>
        <w:autoSpaceDN w:val="0"/>
        <w:bidi w:val="0"/>
        <w:adjustRightInd w:val="0"/>
        <w:snapToGrid w:val="0"/>
        <w:spacing w:before="143" w:line="460" w:lineRule="exact"/>
        <w:ind w:left="3"/>
        <w:textAlignment w:val="auto"/>
        <w:rPr>
          <w:rFonts w:ascii="宋体" w:hAnsi="宋体" w:eastAsia="宋体" w:cs="宋体"/>
          <w:color w:val="auto"/>
          <w:sz w:val="31"/>
          <w:szCs w:val="31"/>
          <w:lang w:eastAsia="zh-CN"/>
        </w:rPr>
      </w:pPr>
      <w:r>
        <w:rPr>
          <w:rFonts w:ascii="Times New Roman" w:hAnsi="Times New Roman" w:eastAsia="Times New Roman" w:cs="Times New Roman"/>
          <w:b/>
          <w:bCs/>
          <w:color w:val="auto"/>
          <w:spacing w:val="4"/>
          <w:sz w:val="31"/>
          <w:szCs w:val="31"/>
          <w:lang w:eastAsia="zh-CN"/>
        </w:rPr>
        <w:t>7.</w:t>
      </w:r>
      <w:r>
        <w:rPr>
          <w:rFonts w:ascii="宋体" w:hAnsi="宋体" w:eastAsia="宋体" w:cs="宋体"/>
          <w:b/>
          <w:bCs/>
          <w:color w:val="auto"/>
          <w:spacing w:val="4"/>
          <w:sz w:val="31"/>
          <w:szCs w:val="31"/>
          <w:lang w:eastAsia="zh-CN"/>
        </w:rPr>
        <w:t>合同授予</w:t>
      </w:r>
    </w:p>
    <w:p w14:paraId="52F15D66">
      <w:pPr>
        <w:keepNext w:val="0"/>
        <w:keepLines w:val="0"/>
        <w:pageBreakBefore w:val="0"/>
        <w:widowControl/>
        <w:kinsoku w:val="0"/>
        <w:wordWrap/>
        <w:overflowPunct/>
        <w:topLinePunct w:val="0"/>
        <w:autoSpaceDE w:val="0"/>
        <w:autoSpaceDN w:val="0"/>
        <w:bidi w:val="0"/>
        <w:adjustRightInd w:val="0"/>
        <w:snapToGrid w:val="0"/>
        <w:spacing w:before="260" w:line="460" w:lineRule="exact"/>
        <w:ind w:left="497"/>
        <w:textAlignment w:val="auto"/>
        <w:rPr>
          <w:rFonts w:ascii="宋体" w:hAnsi="宋体" w:eastAsia="宋体" w:cs="宋体"/>
          <w:color w:val="auto"/>
          <w:sz w:val="28"/>
          <w:szCs w:val="28"/>
          <w:lang w:eastAsia="zh-CN"/>
        </w:rPr>
      </w:pPr>
      <w:r>
        <w:rPr>
          <w:rFonts w:ascii="宋体" w:hAnsi="宋体" w:eastAsia="宋体" w:cs="宋体"/>
          <w:b/>
          <w:bCs/>
          <w:color w:val="auto"/>
          <w:spacing w:val="-6"/>
          <w:sz w:val="24"/>
          <w:szCs w:val="24"/>
          <w:lang w:eastAsia="zh-CN"/>
        </w:rPr>
        <w:t>7.1</w:t>
      </w:r>
      <w:r>
        <w:rPr>
          <w:rFonts w:ascii="宋体" w:hAnsi="宋体" w:eastAsia="宋体" w:cs="宋体"/>
          <w:b/>
          <w:bCs/>
          <w:color w:val="auto"/>
          <w:spacing w:val="-6"/>
          <w:sz w:val="28"/>
          <w:szCs w:val="28"/>
          <w:lang w:eastAsia="zh-CN"/>
        </w:rPr>
        <w:t>中标候选人公示媒介及期限</w:t>
      </w:r>
    </w:p>
    <w:p w14:paraId="555765C3">
      <w:pPr>
        <w:keepNext w:val="0"/>
        <w:keepLines w:val="0"/>
        <w:pageBreakBefore w:val="0"/>
        <w:widowControl/>
        <w:kinsoku w:val="0"/>
        <w:wordWrap/>
        <w:overflowPunct/>
        <w:topLinePunct w:val="0"/>
        <w:autoSpaceDE w:val="0"/>
        <w:autoSpaceDN w:val="0"/>
        <w:bidi w:val="0"/>
        <w:adjustRightInd w:val="0"/>
        <w:snapToGrid w:val="0"/>
        <w:spacing w:before="159" w:line="460" w:lineRule="exact"/>
        <w:ind w:left="502"/>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中标候选人公示媒介及期限见投标人须知前附表。</w:t>
      </w:r>
    </w:p>
    <w:p w14:paraId="7B848549">
      <w:pPr>
        <w:keepNext w:val="0"/>
        <w:keepLines w:val="0"/>
        <w:pageBreakBefore w:val="0"/>
        <w:widowControl/>
        <w:kinsoku w:val="0"/>
        <w:wordWrap/>
        <w:overflowPunct/>
        <w:topLinePunct w:val="0"/>
        <w:autoSpaceDE w:val="0"/>
        <w:autoSpaceDN w:val="0"/>
        <w:bidi w:val="0"/>
        <w:adjustRightInd w:val="0"/>
        <w:snapToGrid w:val="0"/>
        <w:spacing w:before="161" w:line="460" w:lineRule="exact"/>
        <w:ind w:left="497"/>
        <w:textAlignment w:val="auto"/>
        <w:rPr>
          <w:rFonts w:ascii="宋体" w:hAnsi="宋体" w:eastAsia="宋体" w:cs="宋体"/>
          <w:color w:val="auto"/>
          <w:sz w:val="28"/>
          <w:szCs w:val="28"/>
          <w:lang w:eastAsia="zh-CN"/>
        </w:rPr>
      </w:pPr>
      <w:r>
        <w:rPr>
          <w:rFonts w:ascii="宋体" w:hAnsi="宋体" w:eastAsia="宋体" w:cs="宋体"/>
          <w:b/>
          <w:bCs/>
          <w:color w:val="auto"/>
          <w:spacing w:val="-7"/>
          <w:sz w:val="24"/>
          <w:szCs w:val="24"/>
          <w:lang w:eastAsia="zh-CN"/>
        </w:rPr>
        <w:t>7.2</w:t>
      </w:r>
      <w:r>
        <w:rPr>
          <w:rFonts w:ascii="宋体" w:hAnsi="宋体" w:eastAsia="宋体" w:cs="宋体"/>
          <w:b/>
          <w:bCs/>
          <w:color w:val="auto"/>
          <w:spacing w:val="-7"/>
          <w:sz w:val="28"/>
          <w:szCs w:val="28"/>
          <w:lang w:eastAsia="zh-CN"/>
        </w:rPr>
        <w:t>定标方式</w:t>
      </w:r>
    </w:p>
    <w:p w14:paraId="33108C4C">
      <w:pPr>
        <w:keepNext w:val="0"/>
        <w:keepLines w:val="0"/>
        <w:pageBreakBefore w:val="0"/>
        <w:widowControl/>
        <w:kinsoku w:val="0"/>
        <w:wordWrap/>
        <w:overflowPunct/>
        <w:topLinePunct w:val="0"/>
        <w:autoSpaceDE w:val="0"/>
        <w:autoSpaceDN w:val="0"/>
        <w:bidi w:val="0"/>
        <w:adjustRightInd w:val="0"/>
        <w:snapToGrid w:val="0"/>
        <w:spacing w:before="157" w:line="460" w:lineRule="exact"/>
        <w:ind w:firstLine="486"/>
        <w:textAlignment w:val="auto"/>
        <w:rPr>
          <w:rFonts w:ascii="宋体" w:hAnsi="宋体" w:eastAsia="宋体" w:cs="宋体"/>
          <w:color w:val="auto"/>
          <w:sz w:val="24"/>
          <w:szCs w:val="24"/>
          <w:lang w:eastAsia="zh-CN"/>
        </w:rPr>
      </w:pPr>
      <w:r>
        <w:rPr>
          <w:rFonts w:ascii="宋体" w:hAnsi="宋体" w:eastAsia="宋体" w:cs="宋体"/>
          <w:color w:val="auto"/>
          <w:spacing w:val="5"/>
          <w:sz w:val="24"/>
          <w:szCs w:val="24"/>
          <w:lang w:eastAsia="zh-CN"/>
        </w:rPr>
        <w:t>7.2.1招标人授权评标委员会确定中标人或根据评标委员会推荐招标人确定招</w:t>
      </w:r>
      <w:r>
        <w:rPr>
          <w:rFonts w:ascii="宋体" w:hAnsi="宋体" w:eastAsia="宋体" w:cs="宋体"/>
          <w:color w:val="auto"/>
          <w:spacing w:val="1"/>
          <w:sz w:val="24"/>
          <w:szCs w:val="24"/>
          <w:lang w:eastAsia="zh-CN"/>
        </w:rPr>
        <w:t>标人的（评定分离除外</w:t>
      </w:r>
      <w:r>
        <w:rPr>
          <w:rFonts w:ascii="宋体" w:hAnsi="宋体" w:eastAsia="宋体" w:cs="宋体"/>
          <w:color w:val="auto"/>
          <w:spacing w:val="22"/>
          <w:sz w:val="24"/>
          <w:szCs w:val="24"/>
          <w:lang w:eastAsia="zh-CN"/>
        </w:rPr>
        <w:t>），</w:t>
      </w:r>
      <w:r>
        <w:rPr>
          <w:rFonts w:ascii="宋体" w:hAnsi="宋体" w:eastAsia="宋体" w:cs="宋体"/>
          <w:color w:val="auto"/>
          <w:spacing w:val="1"/>
          <w:sz w:val="24"/>
          <w:szCs w:val="24"/>
          <w:lang w:eastAsia="zh-CN"/>
        </w:rPr>
        <w:t xml:space="preserve">国有资金占控股或者主导地位的依法必须进行招标的项 </w:t>
      </w:r>
      <w:r>
        <w:rPr>
          <w:rFonts w:ascii="宋体" w:hAnsi="宋体" w:eastAsia="宋体" w:cs="宋体"/>
          <w:color w:val="auto"/>
          <w:spacing w:val="2"/>
          <w:sz w:val="24"/>
          <w:szCs w:val="24"/>
          <w:lang w:eastAsia="zh-CN"/>
        </w:rPr>
        <w:t>目，招标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w:t>
      </w:r>
      <w:r>
        <w:rPr>
          <w:rFonts w:ascii="宋体" w:hAnsi="宋体" w:eastAsia="宋体" w:cs="宋体"/>
          <w:color w:val="auto"/>
          <w:spacing w:val="-3"/>
          <w:sz w:val="24"/>
          <w:szCs w:val="24"/>
          <w:lang w:eastAsia="zh-CN"/>
        </w:rPr>
        <w:t>招标。</w:t>
      </w:r>
    </w:p>
    <w:p w14:paraId="7A802EB6">
      <w:pPr>
        <w:keepNext w:val="0"/>
        <w:keepLines w:val="0"/>
        <w:pageBreakBefore w:val="0"/>
        <w:widowControl/>
        <w:kinsoku w:val="0"/>
        <w:wordWrap/>
        <w:overflowPunct/>
        <w:topLinePunct w:val="0"/>
        <w:autoSpaceDE w:val="0"/>
        <w:autoSpaceDN w:val="0"/>
        <w:bidi w:val="0"/>
        <w:adjustRightInd w:val="0"/>
        <w:snapToGrid w:val="0"/>
        <w:spacing w:before="27" w:line="460" w:lineRule="exact"/>
        <w:ind w:left="487"/>
        <w:textAlignment w:val="auto"/>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7.2.2 定标原则：招标人负责制、公开透明、诚信守约的原则。</w:t>
      </w:r>
    </w:p>
    <w:p w14:paraId="51C746E8">
      <w:pPr>
        <w:keepNext w:val="0"/>
        <w:keepLines w:val="0"/>
        <w:pageBreakBefore w:val="0"/>
        <w:widowControl/>
        <w:kinsoku w:val="0"/>
        <w:wordWrap/>
        <w:overflowPunct/>
        <w:topLinePunct w:val="0"/>
        <w:autoSpaceDE w:val="0"/>
        <w:autoSpaceDN w:val="0"/>
        <w:bidi w:val="0"/>
        <w:adjustRightInd w:val="0"/>
        <w:snapToGrid w:val="0"/>
        <w:spacing w:before="27" w:line="460" w:lineRule="exact"/>
        <w:ind w:left="1" w:right="127" w:firstLine="485"/>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7.2.3定标会议时间和地点：招标人在投标人须知前附表7.2.3规定的时间和</w:t>
      </w:r>
      <w:r>
        <w:rPr>
          <w:rFonts w:ascii="宋体" w:hAnsi="宋体" w:eastAsia="宋体" w:cs="宋体"/>
          <w:color w:val="auto"/>
          <w:spacing w:val="-1"/>
          <w:sz w:val="24"/>
          <w:szCs w:val="24"/>
          <w:lang w:eastAsia="zh-CN"/>
        </w:rPr>
        <w:t>地点召开定标会议，招标人的纪检监察部门应对招</w:t>
      </w:r>
      <w:r>
        <w:rPr>
          <w:rFonts w:ascii="宋体" w:hAnsi="宋体" w:eastAsia="宋体" w:cs="宋体"/>
          <w:color w:val="auto"/>
          <w:spacing w:val="-2"/>
          <w:sz w:val="24"/>
          <w:szCs w:val="24"/>
          <w:lang w:eastAsia="zh-CN"/>
        </w:rPr>
        <w:t>标投标活动的全过程进行监督。</w:t>
      </w:r>
    </w:p>
    <w:p w14:paraId="40232D3E">
      <w:pPr>
        <w:keepNext w:val="0"/>
        <w:keepLines w:val="0"/>
        <w:pageBreakBefore w:val="0"/>
        <w:widowControl/>
        <w:kinsoku w:val="0"/>
        <w:wordWrap/>
        <w:overflowPunct/>
        <w:topLinePunct w:val="0"/>
        <w:autoSpaceDE w:val="0"/>
        <w:autoSpaceDN w:val="0"/>
        <w:bidi w:val="0"/>
        <w:adjustRightInd w:val="0"/>
        <w:snapToGrid w:val="0"/>
        <w:spacing w:before="31" w:line="460" w:lineRule="exact"/>
        <w:ind w:left="1" w:right="88" w:firstLine="485"/>
        <w:textAlignment w:val="auto"/>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7.2.4 招标人可在投标人须知前附表7.2.4规定的时间前对所有中</w:t>
      </w:r>
      <w:r>
        <w:rPr>
          <w:rFonts w:ascii="宋体" w:hAnsi="宋体" w:eastAsia="宋体" w:cs="宋体"/>
          <w:color w:val="auto"/>
          <w:spacing w:val="-2"/>
          <w:sz w:val="24"/>
          <w:szCs w:val="24"/>
          <w:lang w:eastAsia="zh-CN"/>
        </w:rPr>
        <w:t>标候选人进</w:t>
      </w:r>
      <w:r>
        <w:rPr>
          <w:rFonts w:ascii="宋体" w:hAnsi="宋体" w:eastAsia="宋体" w:cs="宋体"/>
          <w:color w:val="auto"/>
          <w:spacing w:val="-1"/>
          <w:sz w:val="24"/>
          <w:szCs w:val="24"/>
          <w:lang w:eastAsia="zh-CN"/>
        </w:rPr>
        <w:t>行考察、质询。考察、质询小组应由投标人须知前附表7.2.4规定的人数组成。考</w:t>
      </w:r>
      <w:r>
        <w:rPr>
          <w:rFonts w:ascii="宋体" w:hAnsi="宋体" w:eastAsia="宋体" w:cs="宋体"/>
          <w:color w:val="auto"/>
          <w:sz w:val="24"/>
          <w:szCs w:val="24"/>
          <w:lang w:eastAsia="zh-CN"/>
        </w:rPr>
        <w:t>察、质询小组应如实记录考察、质询情况，并出具考察、</w:t>
      </w:r>
      <w:r>
        <w:rPr>
          <w:rFonts w:ascii="宋体" w:hAnsi="宋体" w:eastAsia="宋体" w:cs="宋体"/>
          <w:color w:val="auto"/>
          <w:spacing w:val="-1"/>
          <w:sz w:val="24"/>
          <w:szCs w:val="24"/>
          <w:lang w:eastAsia="zh-CN"/>
        </w:rPr>
        <w:t>质询报告作为定标要素之</w:t>
      </w:r>
      <w:r>
        <w:rPr>
          <w:rFonts w:ascii="宋体" w:hAnsi="宋体" w:eastAsia="宋体" w:cs="宋体"/>
          <w:color w:val="auto"/>
          <w:sz w:val="24"/>
          <w:szCs w:val="24"/>
          <w:lang w:eastAsia="zh-CN"/>
        </w:rPr>
        <w:t>一。考察、质询报告应客观公正，不得有明</w:t>
      </w:r>
      <w:r>
        <w:rPr>
          <w:rFonts w:ascii="宋体" w:hAnsi="宋体" w:eastAsia="宋体" w:cs="宋体"/>
          <w:color w:val="auto"/>
          <w:spacing w:val="-1"/>
          <w:sz w:val="24"/>
          <w:szCs w:val="24"/>
          <w:lang w:eastAsia="zh-CN"/>
        </w:rPr>
        <w:t>示或暗示中标人的内容。</w:t>
      </w:r>
    </w:p>
    <w:p w14:paraId="128BAEBE">
      <w:pPr>
        <w:keepNext w:val="0"/>
        <w:keepLines w:val="0"/>
        <w:pageBreakBefore w:val="0"/>
        <w:widowControl/>
        <w:kinsoku w:val="0"/>
        <w:wordWrap/>
        <w:overflowPunct/>
        <w:topLinePunct w:val="0"/>
        <w:autoSpaceDE w:val="0"/>
        <w:autoSpaceDN w:val="0"/>
        <w:bidi w:val="0"/>
        <w:adjustRightInd w:val="0"/>
        <w:snapToGrid w:val="0"/>
        <w:spacing w:before="28" w:line="460" w:lineRule="exact"/>
        <w:ind w:firstLine="487"/>
        <w:textAlignment w:val="auto"/>
        <w:rPr>
          <w:rFonts w:ascii="宋体" w:hAnsi="宋体" w:eastAsia="宋体" w:cs="宋体"/>
          <w:color w:val="auto"/>
          <w:sz w:val="24"/>
          <w:szCs w:val="24"/>
          <w:lang w:eastAsia="zh-CN"/>
        </w:rPr>
      </w:pPr>
      <w:r>
        <w:rPr>
          <w:rFonts w:ascii="宋体" w:hAnsi="宋体" w:eastAsia="宋体" w:cs="宋体"/>
          <w:color w:val="auto"/>
          <w:spacing w:val="5"/>
          <w:sz w:val="24"/>
          <w:szCs w:val="24"/>
          <w:lang w:eastAsia="zh-CN"/>
        </w:rPr>
        <w:t>7.2.5 定标委员会由招标人负责组建。定标委员会由投标人须知前附表</w:t>
      </w:r>
      <w:r>
        <w:rPr>
          <w:rFonts w:ascii="宋体" w:hAnsi="宋体" w:eastAsia="宋体" w:cs="宋体"/>
          <w:color w:val="auto"/>
          <w:spacing w:val="4"/>
          <w:sz w:val="24"/>
          <w:szCs w:val="24"/>
          <w:lang w:eastAsia="zh-CN"/>
        </w:rPr>
        <w:t>7.2.5</w:t>
      </w:r>
      <w:r>
        <w:rPr>
          <w:rFonts w:ascii="宋体" w:hAnsi="宋体" w:eastAsia="宋体" w:cs="宋体"/>
          <w:color w:val="auto"/>
          <w:spacing w:val="2"/>
          <w:sz w:val="24"/>
          <w:szCs w:val="24"/>
          <w:lang w:eastAsia="zh-CN"/>
        </w:rPr>
        <w:t>规定的人数组成。定标委员会成员与中标候选人有利害关系的应主动说明并申请回</w:t>
      </w:r>
      <w:r>
        <w:rPr>
          <w:rFonts w:ascii="宋体" w:hAnsi="宋体" w:eastAsia="宋体" w:cs="宋体"/>
          <w:color w:val="auto"/>
          <w:spacing w:val="-1"/>
          <w:sz w:val="24"/>
          <w:szCs w:val="24"/>
          <w:lang w:eastAsia="zh-CN"/>
        </w:rPr>
        <w:t>避，定标委员会名单在中标结果确定前保密。</w:t>
      </w:r>
    </w:p>
    <w:p w14:paraId="142EE7CF">
      <w:pPr>
        <w:keepNext w:val="0"/>
        <w:keepLines w:val="0"/>
        <w:pageBreakBefore w:val="0"/>
        <w:widowControl/>
        <w:kinsoku w:val="0"/>
        <w:wordWrap/>
        <w:overflowPunct/>
        <w:topLinePunct w:val="0"/>
        <w:autoSpaceDE w:val="0"/>
        <w:autoSpaceDN w:val="0"/>
        <w:bidi w:val="0"/>
        <w:adjustRightInd w:val="0"/>
        <w:snapToGrid w:val="0"/>
        <w:spacing w:before="27" w:line="460" w:lineRule="exact"/>
        <w:ind w:firstLine="486"/>
        <w:textAlignment w:val="auto"/>
        <w:rPr>
          <w:rFonts w:ascii="宋体" w:hAnsi="宋体" w:eastAsia="宋体" w:cs="宋体"/>
          <w:color w:val="auto"/>
          <w:sz w:val="24"/>
          <w:szCs w:val="24"/>
          <w:lang w:eastAsia="zh-CN"/>
        </w:rPr>
      </w:pPr>
      <w:r>
        <w:rPr>
          <w:rFonts w:ascii="宋体" w:hAnsi="宋体" w:eastAsia="宋体" w:cs="宋体"/>
          <w:color w:val="auto"/>
          <w:spacing w:val="5"/>
          <w:sz w:val="24"/>
          <w:szCs w:val="24"/>
          <w:lang w:eastAsia="zh-CN"/>
        </w:rPr>
        <w:t>7.2.6招标人在定标会议中可对中标候选人开展现场面试，中标候选人拟派项</w:t>
      </w:r>
      <w:r>
        <w:rPr>
          <w:rFonts w:ascii="宋体" w:hAnsi="宋体" w:eastAsia="宋体" w:cs="宋体"/>
          <w:color w:val="auto"/>
          <w:spacing w:val="2"/>
          <w:sz w:val="24"/>
          <w:szCs w:val="24"/>
          <w:lang w:eastAsia="zh-CN"/>
        </w:rPr>
        <w:t>目负责人，以及投标人（联合体投标的，为联合体牵头人）持有安全生产考核合格证书的企业主要负责人（法定代表人、企业经理、企业分管安全生产的副经理、企</w:t>
      </w:r>
      <w:r>
        <w:rPr>
          <w:rFonts w:ascii="宋体" w:hAnsi="宋体" w:eastAsia="宋体" w:cs="宋体"/>
          <w:color w:val="auto"/>
          <w:spacing w:val="-1"/>
          <w:sz w:val="24"/>
          <w:szCs w:val="24"/>
          <w:lang w:eastAsia="zh-CN"/>
        </w:rPr>
        <w:t>业技术负责人中任意一人）参加现场面试。</w:t>
      </w:r>
    </w:p>
    <w:p w14:paraId="12E5567D">
      <w:pPr>
        <w:keepNext w:val="0"/>
        <w:keepLines w:val="0"/>
        <w:pageBreakBefore w:val="0"/>
        <w:widowControl/>
        <w:kinsoku w:val="0"/>
        <w:wordWrap/>
        <w:overflowPunct/>
        <w:topLinePunct w:val="0"/>
        <w:autoSpaceDE w:val="0"/>
        <w:autoSpaceDN w:val="0"/>
        <w:bidi w:val="0"/>
        <w:adjustRightInd w:val="0"/>
        <w:snapToGrid w:val="0"/>
        <w:spacing w:before="27" w:line="460" w:lineRule="exact"/>
        <w:ind w:left="4" w:firstLine="482"/>
        <w:textAlignment w:val="auto"/>
        <w:rPr>
          <w:rFonts w:ascii="宋体" w:hAnsi="宋体" w:eastAsia="宋体" w:cs="宋体"/>
          <w:color w:val="auto"/>
          <w:sz w:val="24"/>
          <w:szCs w:val="24"/>
          <w:lang w:eastAsia="zh-CN"/>
        </w:rPr>
      </w:pPr>
      <w:r>
        <w:rPr>
          <w:rFonts w:ascii="宋体" w:hAnsi="宋体" w:eastAsia="宋体" w:cs="宋体"/>
          <w:color w:val="auto"/>
          <w:spacing w:val="9"/>
          <w:sz w:val="24"/>
          <w:szCs w:val="24"/>
          <w:lang w:eastAsia="zh-CN"/>
        </w:rPr>
        <w:t>7.2.7 定标要素应参考评标委员会评标报告、质</w:t>
      </w:r>
      <w:r>
        <w:rPr>
          <w:rFonts w:ascii="宋体" w:hAnsi="宋体" w:eastAsia="宋体" w:cs="宋体"/>
          <w:color w:val="auto"/>
          <w:spacing w:val="8"/>
          <w:sz w:val="24"/>
          <w:szCs w:val="24"/>
          <w:lang w:eastAsia="zh-CN"/>
        </w:rPr>
        <w:t>询或考察报告、现场面试情</w:t>
      </w:r>
      <w:r>
        <w:rPr>
          <w:rFonts w:ascii="宋体" w:hAnsi="宋体" w:eastAsia="宋体" w:cs="宋体"/>
          <w:color w:val="auto"/>
          <w:spacing w:val="-1"/>
          <w:sz w:val="24"/>
          <w:szCs w:val="24"/>
          <w:lang w:eastAsia="zh-CN"/>
        </w:rPr>
        <w:t>况，此外，根据投标人须知前附表7.27选定内容为定标要素</w:t>
      </w:r>
    </w:p>
    <w:p w14:paraId="509C6E2D">
      <w:pPr>
        <w:keepNext w:val="0"/>
        <w:keepLines w:val="0"/>
        <w:pageBreakBefore w:val="0"/>
        <w:widowControl/>
        <w:kinsoku w:val="0"/>
        <w:wordWrap/>
        <w:overflowPunct/>
        <w:topLinePunct w:val="0"/>
        <w:autoSpaceDE w:val="0"/>
        <w:autoSpaceDN w:val="0"/>
        <w:bidi w:val="0"/>
        <w:adjustRightInd w:val="0"/>
        <w:snapToGrid w:val="0"/>
        <w:spacing w:before="28" w:line="460" w:lineRule="exact"/>
        <w:ind w:left="2" w:firstLine="490"/>
        <w:textAlignment w:val="auto"/>
        <w:rPr>
          <w:rFonts w:ascii="宋体" w:hAnsi="宋体" w:eastAsia="宋体" w:cs="宋体"/>
          <w:color w:val="auto"/>
          <w:sz w:val="24"/>
          <w:szCs w:val="24"/>
          <w:lang w:eastAsia="zh-CN"/>
        </w:rPr>
      </w:pPr>
      <w:r>
        <w:rPr>
          <w:rFonts w:ascii="宋体" w:hAnsi="宋体" w:eastAsia="宋体" w:cs="宋体"/>
          <w:color w:val="auto"/>
          <w:spacing w:val="5"/>
          <w:sz w:val="24"/>
          <w:szCs w:val="24"/>
          <w:lang w:eastAsia="zh-CN"/>
        </w:rPr>
        <w:t>（1）价格因素：主要包括商务报价高低、主要材料报价的合理性、不平衡报</w:t>
      </w:r>
      <w:r>
        <w:rPr>
          <w:rFonts w:ascii="宋体" w:hAnsi="宋体" w:eastAsia="宋体" w:cs="宋体"/>
          <w:color w:val="auto"/>
          <w:spacing w:val="-3"/>
          <w:sz w:val="24"/>
          <w:szCs w:val="24"/>
          <w:lang w:eastAsia="zh-CN"/>
        </w:rPr>
        <w:t>价情况等；</w:t>
      </w:r>
    </w:p>
    <w:p w14:paraId="4BE5C8FF">
      <w:pPr>
        <w:keepNext w:val="0"/>
        <w:keepLines w:val="0"/>
        <w:pageBreakBefore w:val="0"/>
        <w:widowControl/>
        <w:kinsoku w:val="0"/>
        <w:wordWrap/>
        <w:overflowPunct/>
        <w:topLinePunct w:val="0"/>
        <w:autoSpaceDE w:val="0"/>
        <w:autoSpaceDN w:val="0"/>
        <w:bidi w:val="0"/>
        <w:adjustRightInd w:val="0"/>
        <w:snapToGrid w:val="0"/>
        <w:spacing w:before="31" w:line="460" w:lineRule="exact"/>
        <w:ind w:left="2" w:firstLine="490"/>
        <w:textAlignment w:val="auto"/>
        <w:rPr>
          <w:rFonts w:ascii="宋体" w:hAnsi="宋体" w:eastAsia="宋体" w:cs="宋体"/>
          <w:color w:val="auto"/>
          <w:sz w:val="24"/>
          <w:szCs w:val="24"/>
          <w:lang w:eastAsia="zh-CN"/>
        </w:rPr>
      </w:pPr>
      <w:r>
        <w:rPr>
          <w:rFonts w:ascii="宋体" w:hAnsi="宋体" w:eastAsia="宋体" w:cs="宋体"/>
          <w:color w:val="auto"/>
          <w:spacing w:val="5"/>
          <w:sz w:val="24"/>
          <w:szCs w:val="24"/>
          <w:lang w:eastAsia="zh-CN"/>
        </w:rPr>
        <w:t>（2）企业实力：主要包括企业规模、资质等级、专业技术人员规模、近年的</w:t>
      </w:r>
      <w:r>
        <w:rPr>
          <w:rFonts w:ascii="宋体" w:hAnsi="宋体" w:eastAsia="宋体" w:cs="宋体"/>
          <w:color w:val="auto"/>
          <w:spacing w:val="-1"/>
          <w:sz w:val="24"/>
          <w:szCs w:val="24"/>
          <w:lang w:eastAsia="zh-CN"/>
        </w:rPr>
        <w:t>财务状况、过往业绩（含业绩影响力、难易程度）等；</w:t>
      </w:r>
    </w:p>
    <w:p w14:paraId="05ED7AF6">
      <w:pPr>
        <w:keepNext w:val="0"/>
        <w:keepLines w:val="0"/>
        <w:pageBreakBefore w:val="0"/>
        <w:widowControl/>
        <w:kinsoku w:val="0"/>
        <w:wordWrap/>
        <w:overflowPunct/>
        <w:topLinePunct w:val="0"/>
        <w:autoSpaceDE w:val="0"/>
        <w:autoSpaceDN w:val="0"/>
        <w:bidi w:val="0"/>
        <w:adjustRightInd w:val="0"/>
        <w:snapToGrid w:val="0"/>
        <w:spacing w:before="27" w:line="460" w:lineRule="exact"/>
        <w:ind w:firstLine="492"/>
        <w:textAlignment w:val="auto"/>
        <w:rPr>
          <w:rFonts w:ascii="宋体" w:hAnsi="宋体" w:eastAsia="宋体" w:cs="宋体"/>
          <w:color w:val="auto"/>
          <w:sz w:val="24"/>
          <w:szCs w:val="24"/>
          <w:lang w:eastAsia="zh-CN"/>
        </w:rPr>
      </w:pPr>
      <w:r>
        <w:rPr>
          <w:rFonts w:ascii="宋体" w:hAnsi="宋体" w:eastAsia="宋体" w:cs="宋体"/>
          <w:color w:val="auto"/>
          <w:spacing w:val="5"/>
          <w:sz w:val="24"/>
          <w:szCs w:val="24"/>
          <w:lang w:eastAsia="zh-CN"/>
        </w:rPr>
        <w:t>（3）企业信誉：主要包括企业信用情况、过往业绩履约情况、建设单位履约</w:t>
      </w:r>
      <w:r>
        <w:rPr>
          <w:rFonts w:ascii="宋体" w:hAnsi="宋体" w:eastAsia="宋体" w:cs="宋体"/>
          <w:color w:val="auto"/>
          <w:spacing w:val="2"/>
          <w:sz w:val="24"/>
          <w:szCs w:val="24"/>
          <w:lang w:eastAsia="zh-CN"/>
        </w:rPr>
        <w:t>评价情况等（可查询全国和浙江省建筑市场监管公共服务系统、浙江省交通运输信</w:t>
      </w:r>
      <w:r>
        <w:rPr>
          <w:rFonts w:ascii="宋体" w:hAnsi="宋体" w:eastAsia="宋体" w:cs="宋体"/>
          <w:color w:val="auto"/>
          <w:sz w:val="24"/>
          <w:szCs w:val="24"/>
          <w:lang w:eastAsia="zh-CN"/>
        </w:rPr>
        <w:t>用综合管理服务系统、全国或浙江省水利建</w:t>
      </w:r>
      <w:r>
        <w:rPr>
          <w:rFonts w:ascii="宋体" w:hAnsi="宋体" w:eastAsia="宋体" w:cs="宋体"/>
          <w:color w:val="auto"/>
          <w:spacing w:val="-1"/>
          <w:sz w:val="24"/>
          <w:szCs w:val="24"/>
          <w:lang w:eastAsia="zh-CN"/>
        </w:rPr>
        <w:t>设市场监管服务平台等</w:t>
      </w:r>
      <w:r>
        <w:rPr>
          <w:rFonts w:ascii="宋体" w:hAnsi="宋体" w:eastAsia="宋体" w:cs="宋体"/>
          <w:color w:val="auto"/>
          <w:sz w:val="24"/>
          <w:szCs w:val="24"/>
          <w:lang w:eastAsia="zh-CN"/>
        </w:rPr>
        <w:t>）；</w:t>
      </w:r>
    </w:p>
    <w:p w14:paraId="44851F5C">
      <w:pPr>
        <w:keepNext w:val="0"/>
        <w:keepLines w:val="0"/>
        <w:pageBreakBefore w:val="0"/>
        <w:widowControl/>
        <w:kinsoku w:val="0"/>
        <w:wordWrap/>
        <w:overflowPunct/>
        <w:topLinePunct w:val="0"/>
        <w:autoSpaceDE w:val="0"/>
        <w:autoSpaceDN w:val="0"/>
        <w:bidi w:val="0"/>
        <w:adjustRightInd w:val="0"/>
        <w:snapToGrid w:val="0"/>
        <w:spacing w:before="28" w:line="460" w:lineRule="exact"/>
        <w:ind w:left="21" w:firstLine="471"/>
        <w:textAlignment w:val="auto"/>
        <w:rPr>
          <w:rFonts w:ascii="宋体" w:hAnsi="宋体" w:eastAsia="宋体" w:cs="宋体"/>
          <w:color w:val="auto"/>
          <w:sz w:val="24"/>
          <w:szCs w:val="24"/>
          <w:lang w:eastAsia="zh-CN"/>
        </w:rPr>
      </w:pPr>
      <w:r>
        <w:rPr>
          <w:rFonts w:ascii="宋体" w:hAnsi="宋体" w:eastAsia="宋体" w:cs="宋体"/>
          <w:color w:val="auto"/>
          <w:spacing w:val="5"/>
          <w:sz w:val="24"/>
          <w:szCs w:val="24"/>
          <w:lang w:eastAsia="zh-CN"/>
        </w:rPr>
        <w:t>（4）投标方案：主要包括技术标情况、工程建设重难点解决方案、主要材料</w:t>
      </w:r>
      <w:r>
        <w:rPr>
          <w:rFonts w:ascii="宋体" w:hAnsi="宋体" w:eastAsia="宋体" w:cs="宋体"/>
          <w:color w:val="auto"/>
          <w:spacing w:val="-8"/>
          <w:sz w:val="24"/>
          <w:szCs w:val="24"/>
          <w:lang w:eastAsia="zh-CN"/>
        </w:rPr>
        <w:t>品牌等；</w:t>
      </w:r>
    </w:p>
    <w:p w14:paraId="6F53A7FA">
      <w:pPr>
        <w:keepNext w:val="0"/>
        <w:keepLines w:val="0"/>
        <w:pageBreakBefore w:val="0"/>
        <w:widowControl/>
        <w:kinsoku w:val="0"/>
        <w:wordWrap/>
        <w:overflowPunct/>
        <w:topLinePunct w:val="0"/>
        <w:autoSpaceDE w:val="0"/>
        <w:autoSpaceDN w:val="0"/>
        <w:bidi w:val="0"/>
        <w:adjustRightInd w:val="0"/>
        <w:snapToGrid w:val="0"/>
        <w:spacing w:before="29" w:line="460" w:lineRule="exact"/>
        <w:ind w:left="47" w:firstLine="445"/>
        <w:textAlignment w:val="auto"/>
        <w:rPr>
          <w:rFonts w:ascii="宋体" w:hAnsi="宋体" w:eastAsia="宋体" w:cs="宋体"/>
          <w:color w:val="auto"/>
          <w:sz w:val="24"/>
          <w:szCs w:val="24"/>
          <w:lang w:eastAsia="zh-CN"/>
        </w:rPr>
      </w:pPr>
      <w:r>
        <w:rPr>
          <w:rFonts w:ascii="宋体" w:hAnsi="宋体" w:eastAsia="宋体" w:cs="宋体"/>
          <w:color w:val="auto"/>
          <w:spacing w:val="5"/>
          <w:sz w:val="24"/>
          <w:szCs w:val="24"/>
          <w:lang w:eastAsia="zh-CN"/>
        </w:rPr>
        <w:t>（5）拟派团队能力与水平：主要包括团队主要负责人类似工程业绩、拟派项</w:t>
      </w:r>
      <w:r>
        <w:rPr>
          <w:rFonts w:ascii="宋体" w:hAnsi="宋体" w:eastAsia="宋体" w:cs="宋体"/>
          <w:color w:val="auto"/>
          <w:spacing w:val="-5"/>
          <w:sz w:val="24"/>
          <w:szCs w:val="24"/>
          <w:lang w:eastAsia="zh-CN"/>
        </w:rPr>
        <w:t>目团队人员的资信实力等；</w:t>
      </w:r>
    </w:p>
    <w:p w14:paraId="0F80CB4A">
      <w:pPr>
        <w:keepNext w:val="0"/>
        <w:keepLines w:val="0"/>
        <w:pageBreakBefore w:val="0"/>
        <w:widowControl/>
        <w:kinsoku w:val="0"/>
        <w:wordWrap/>
        <w:overflowPunct/>
        <w:topLinePunct w:val="0"/>
        <w:autoSpaceDE w:val="0"/>
        <w:autoSpaceDN w:val="0"/>
        <w:bidi w:val="0"/>
        <w:adjustRightInd w:val="0"/>
        <w:snapToGrid w:val="0"/>
        <w:spacing w:before="28" w:line="460" w:lineRule="exact"/>
        <w:ind w:left="493"/>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（6）联合体投标的，联合体组成情况；</w:t>
      </w:r>
    </w:p>
    <w:p w14:paraId="0C556C11">
      <w:pPr>
        <w:keepNext w:val="0"/>
        <w:keepLines w:val="0"/>
        <w:pageBreakBefore w:val="0"/>
        <w:widowControl/>
        <w:kinsoku w:val="0"/>
        <w:wordWrap/>
        <w:overflowPunct/>
        <w:topLinePunct w:val="0"/>
        <w:autoSpaceDE w:val="0"/>
        <w:autoSpaceDN w:val="0"/>
        <w:bidi w:val="0"/>
        <w:adjustRightInd w:val="0"/>
        <w:snapToGrid w:val="0"/>
        <w:spacing w:before="27" w:line="460" w:lineRule="exact"/>
        <w:ind w:left="493"/>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（7）企业质量安全、无欠薪管理情况；</w:t>
      </w:r>
    </w:p>
    <w:p w14:paraId="29348594">
      <w:pPr>
        <w:keepNext w:val="0"/>
        <w:keepLines w:val="0"/>
        <w:pageBreakBefore w:val="0"/>
        <w:widowControl/>
        <w:kinsoku w:val="0"/>
        <w:wordWrap/>
        <w:overflowPunct/>
        <w:topLinePunct w:val="0"/>
        <w:autoSpaceDE w:val="0"/>
        <w:autoSpaceDN w:val="0"/>
        <w:bidi w:val="0"/>
        <w:adjustRightInd w:val="0"/>
        <w:snapToGrid w:val="0"/>
        <w:spacing w:before="27" w:line="460" w:lineRule="exact"/>
        <w:ind w:left="493"/>
        <w:textAlignment w:val="auto"/>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（8）企业项目班组人员到岗履职等管理情况；</w:t>
      </w:r>
    </w:p>
    <w:p w14:paraId="0C77C926">
      <w:pPr>
        <w:keepNext w:val="0"/>
        <w:keepLines w:val="0"/>
        <w:pageBreakBefore w:val="0"/>
        <w:widowControl/>
        <w:kinsoku w:val="0"/>
        <w:wordWrap/>
        <w:overflowPunct/>
        <w:topLinePunct w:val="0"/>
        <w:autoSpaceDE w:val="0"/>
        <w:autoSpaceDN w:val="0"/>
        <w:bidi w:val="0"/>
        <w:adjustRightInd w:val="0"/>
        <w:snapToGrid w:val="0"/>
        <w:spacing w:before="47" w:line="460" w:lineRule="exact"/>
        <w:ind w:left="492"/>
        <w:textAlignment w:val="auto"/>
        <w:rPr>
          <w:rFonts w:ascii="宋体" w:hAnsi="宋体" w:eastAsia="宋体" w:cs="宋体"/>
          <w:color w:val="auto"/>
          <w:sz w:val="24"/>
          <w:szCs w:val="24"/>
          <w:lang w:eastAsia="zh-CN"/>
        </w:rPr>
      </w:pPr>
      <w:bookmarkStart w:id="11" w:name="bookmark15"/>
      <w:bookmarkEnd w:id="11"/>
      <w:r>
        <w:rPr>
          <w:rFonts w:ascii="宋体" w:hAnsi="宋体" w:eastAsia="宋体" w:cs="宋体"/>
          <w:color w:val="auto"/>
          <w:spacing w:val="-2"/>
          <w:sz w:val="24"/>
          <w:szCs w:val="24"/>
          <w:lang w:eastAsia="zh-CN"/>
        </w:rPr>
        <w:t>（9）工程保修维护等后续服务便利；</w:t>
      </w:r>
    </w:p>
    <w:p w14:paraId="355DA7C1">
      <w:pPr>
        <w:keepNext w:val="0"/>
        <w:keepLines w:val="0"/>
        <w:pageBreakBefore w:val="0"/>
        <w:widowControl/>
        <w:kinsoku w:val="0"/>
        <w:wordWrap/>
        <w:overflowPunct/>
        <w:topLinePunct w:val="0"/>
        <w:autoSpaceDE w:val="0"/>
        <w:autoSpaceDN w:val="0"/>
        <w:bidi w:val="0"/>
        <w:adjustRightInd w:val="0"/>
        <w:snapToGrid w:val="0"/>
        <w:spacing w:before="27" w:line="460" w:lineRule="exact"/>
        <w:ind w:left="492"/>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（10）落实建筑业高质量发展政策；</w:t>
      </w:r>
    </w:p>
    <w:p w14:paraId="0FECEA51">
      <w:pPr>
        <w:keepNext w:val="0"/>
        <w:keepLines w:val="0"/>
        <w:pageBreakBefore w:val="0"/>
        <w:widowControl/>
        <w:kinsoku w:val="0"/>
        <w:wordWrap/>
        <w:overflowPunct/>
        <w:topLinePunct w:val="0"/>
        <w:autoSpaceDE w:val="0"/>
        <w:autoSpaceDN w:val="0"/>
        <w:bidi w:val="0"/>
        <w:adjustRightInd w:val="0"/>
        <w:snapToGrid w:val="0"/>
        <w:spacing w:before="27" w:line="460" w:lineRule="exact"/>
        <w:ind w:left="492"/>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（11）落实政府其他政策；</w:t>
      </w:r>
    </w:p>
    <w:p w14:paraId="1A005B4D">
      <w:pPr>
        <w:keepNext w:val="0"/>
        <w:keepLines w:val="0"/>
        <w:pageBreakBefore w:val="0"/>
        <w:widowControl/>
        <w:kinsoku w:val="0"/>
        <w:wordWrap/>
        <w:overflowPunct/>
        <w:topLinePunct w:val="0"/>
        <w:autoSpaceDE w:val="0"/>
        <w:autoSpaceDN w:val="0"/>
        <w:bidi w:val="0"/>
        <w:adjustRightInd w:val="0"/>
        <w:snapToGrid w:val="0"/>
        <w:spacing w:before="28" w:line="460" w:lineRule="exact"/>
        <w:ind w:left="492"/>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（12）招标人认为需要考量的其他因素。</w:t>
      </w:r>
    </w:p>
    <w:p w14:paraId="4B38B23A">
      <w:pPr>
        <w:keepNext w:val="0"/>
        <w:keepLines w:val="0"/>
        <w:pageBreakBefore w:val="0"/>
        <w:widowControl/>
        <w:kinsoku w:val="0"/>
        <w:wordWrap/>
        <w:overflowPunct/>
        <w:topLinePunct w:val="0"/>
        <w:autoSpaceDE w:val="0"/>
        <w:autoSpaceDN w:val="0"/>
        <w:bidi w:val="0"/>
        <w:adjustRightInd w:val="0"/>
        <w:snapToGrid w:val="0"/>
        <w:spacing w:before="27" w:line="460" w:lineRule="exact"/>
        <w:ind w:left="486"/>
        <w:textAlignment w:val="auto"/>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7.2.8定标方法可采用下列方法或者下列方法的组合：</w:t>
      </w:r>
    </w:p>
    <w:p w14:paraId="6EDDB19A">
      <w:pPr>
        <w:keepNext w:val="0"/>
        <w:keepLines w:val="0"/>
        <w:pageBreakBefore w:val="0"/>
        <w:widowControl/>
        <w:kinsoku w:val="0"/>
        <w:wordWrap/>
        <w:overflowPunct/>
        <w:topLinePunct w:val="0"/>
        <w:autoSpaceDE w:val="0"/>
        <w:autoSpaceDN w:val="0"/>
        <w:bidi w:val="0"/>
        <w:adjustRightInd w:val="0"/>
        <w:snapToGrid w:val="0"/>
        <w:spacing w:before="28" w:line="460" w:lineRule="exact"/>
        <w:ind w:left="492"/>
        <w:textAlignment w:val="auto"/>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（1）票决法。由定标委员会以直接票决或者逐轮票决的方式确定中标人。</w:t>
      </w:r>
    </w:p>
    <w:p w14:paraId="293B4EAF">
      <w:pPr>
        <w:keepNext w:val="0"/>
        <w:keepLines w:val="0"/>
        <w:pageBreakBefore w:val="0"/>
        <w:widowControl/>
        <w:kinsoku w:val="0"/>
        <w:wordWrap/>
        <w:overflowPunct/>
        <w:topLinePunct w:val="0"/>
        <w:autoSpaceDE w:val="0"/>
        <w:autoSpaceDN w:val="0"/>
        <w:bidi w:val="0"/>
        <w:adjustRightInd w:val="0"/>
        <w:snapToGrid w:val="0"/>
        <w:spacing w:before="28" w:line="460" w:lineRule="exact"/>
        <w:ind w:left="4" w:firstLine="487"/>
        <w:textAlignment w:val="auto"/>
        <w:rPr>
          <w:rFonts w:ascii="宋体" w:hAnsi="宋体" w:eastAsia="宋体" w:cs="宋体"/>
          <w:color w:val="auto"/>
          <w:sz w:val="24"/>
          <w:szCs w:val="24"/>
          <w:lang w:eastAsia="zh-CN"/>
        </w:rPr>
      </w:pPr>
      <w:r>
        <w:rPr>
          <w:rFonts w:ascii="宋体" w:hAnsi="宋体" w:eastAsia="宋体" w:cs="宋体"/>
          <w:color w:val="auto"/>
          <w:spacing w:val="5"/>
          <w:sz w:val="24"/>
          <w:szCs w:val="24"/>
          <w:lang w:eastAsia="zh-CN"/>
        </w:rPr>
        <w:t>（2）集体议事法。由定标委员会进行集体商议，定标委员会成员各自发表意</w:t>
      </w:r>
      <w:r>
        <w:rPr>
          <w:rFonts w:ascii="宋体" w:hAnsi="宋体" w:eastAsia="宋体" w:cs="宋体"/>
          <w:color w:val="auto"/>
          <w:spacing w:val="2"/>
          <w:sz w:val="24"/>
          <w:szCs w:val="24"/>
          <w:lang w:eastAsia="zh-CN"/>
        </w:rPr>
        <w:t xml:space="preserve">见，由定标委员会组长最终确定中标人。所有参加会议的定标委员会成员的意见应 </w:t>
      </w:r>
      <w:r>
        <w:rPr>
          <w:rFonts w:ascii="宋体" w:hAnsi="宋体" w:eastAsia="宋体" w:cs="宋体"/>
          <w:color w:val="auto"/>
          <w:spacing w:val="-1"/>
          <w:sz w:val="24"/>
          <w:szCs w:val="24"/>
          <w:lang w:eastAsia="zh-CN"/>
        </w:rPr>
        <w:t>当作书面记录，并由定标委员会成员签字确认。</w:t>
      </w:r>
    </w:p>
    <w:p w14:paraId="0D989451">
      <w:pPr>
        <w:keepNext w:val="0"/>
        <w:keepLines w:val="0"/>
        <w:pageBreakBefore w:val="0"/>
        <w:widowControl/>
        <w:kinsoku w:val="0"/>
        <w:wordWrap/>
        <w:overflowPunct/>
        <w:topLinePunct w:val="0"/>
        <w:autoSpaceDE w:val="0"/>
        <w:autoSpaceDN w:val="0"/>
        <w:bidi w:val="0"/>
        <w:adjustRightInd w:val="0"/>
        <w:snapToGrid w:val="0"/>
        <w:spacing w:before="28" w:line="460" w:lineRule="exact"/>
        <w:ind w:left="492"/>
        <w:textAlignment w:val="auto"/>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（3）投标人须知前附表7.2.8规定的其他定标办法。</w:t>
      </w:r>
    </w:p>
    <w:p w14:paraId="4870D1E6">
      <w:pPr>
        <w:keepNext w:val="0"/>
        <w:keepLines w:val="0"/>
        <w:pageBreakBefore w:val="0"/>
        <w:widowControl/>
        <w:kinsoku w:val="0"/>
        <w:wordWrap/>
        <w:overflowPunct/>
        <w:topLinePunct w:val="0"/>
        <w:autoSpaceDE w:val="0"/>
        <w:autoSpaceDN w:val="0"/>
        <w:bidi w:val="0"/>
        <w:adjustRightInd w:val="0"/>
        <w:snapToGrid w:val="0"/>
        <w:spacing w:before="30" w:line="460" w:lineRule="exact"/>
        <w:ind w:left="4" w:right="88" w:firstLine="481"/>
        <w:textAlignment w:val="auto"/>
        <w:rPr>
          <w:rFonts w:ascii="宋体" w:hAnsi="宋体" w:eastAsia="宋体" w:cs="宋体"/>
          <w:color w:val="auto"/>
          <w:sz w:val="24"/>
          <w:szCs w:val="24"/>
          <w:lang w:eastAsia="zh-CN"/>
        </w:rPr>
      </w:pPr>
      <w:r>
        <w:rPr>
          <w:rFonts w:ascii="宋体" w:hAnsi="宋体" w:eastAsia="宋体" w:cs="宋体"/>
          <w:color w:val="auto"/>
          <w:sz w:val="24"/>
          <w:szCs w:val="24"/>
          <w:lang w:eastAsia="zh-CN"/>
        </w:rPr>
        <w:t>7.2.9招标人应当将中标结果情况在投标人须</w:t>
      </w:r>
      <w:r>
        <w:rPr>
          <w:rFonts w:ascii="宋体" w:hAnsi="宋体" w:eastAsia="宋体" w:cs="宋体"/>
          <w:color w:val="auto"/>
          <w:spacing w:val="-1"/>
          <w:sz w:val="24"/>
          <w:szCs w:val="24"/>
          <w:lang w:eastAsia="zh-CN"/>
        </w:rPr>
        <w:t>知前附表7.2.9规定的媒介上公告</w:t>
      </w:r>
      <w:r>
        <w:rPr>
          <w:rFonts w:ascii="宋体" w:hAnsi="宋体" w:eastAsia="宋体" w:cs="宋体"/>
          <w:color w:val="auto"/>
          <w:spacing w:val="-3"/>
          <w:sz w:val="24"/>
          <w:szCs w:val="24"/>
          <w:lang w:eastAsia="zh-CN"/>
        </w:rPr>
        <w:t>不少于3日。</w:t>
      </w:r>
    </w:p>
    <w:p w14:paraId="4FA68E55">
      <w:pPr>
        <w:keepNext w:val="0"/>
        <w:keepLines w:val="0"/>
        <w:pageBreakBefore w:val="0"/>
        <w:widowControl/>
        <w:kinsoku w:val="0"/>
        <w:wordWrap/>
        <w:overflowPunct/>
        <w:topLinePunct w:val="0"/>
        <w:autoSpaceDE w:val="0"/>
        <w:autoSpaceDN w:val="0"/>
        <w:bidi w:val="0"/>
        <w:adjustRightInd w:val="0"/>
        <w:snapToGrid w:val="0"/>
        <w:spacing w:before="25" w:line="460" w:lineRule="exact"/>
        <w:ind w:right="88" w:firstLine="486"/>
        <w:textAlignment w:val="auto"/>
        <w:rPr>
          <w:rFonts w:ascii="宋体" w:hAnsi="宋体" w:eastAsia="宋体" w:cs="宋体"/>
          <w:color w:val="auto"/>
          <w:sz w:val="24"/>
          <w:szCs w:val="24"/>
          <w:lang w:eastAsia="zh-CN"/>
        </w:rPr>
      </w:pPr>
      <w:r>
        <w:rPr>
          <w:rFonts w:ascii="宋体" w:hAnsi="宋体" w:eastAsia="宋体" w:cs="宋体"/>
          <w:color w:val="auto"/>
          <w:sz w:val="24"/>
          <w:szCs w:val="24"/>
          <w:lang w:eastAsia="zh-CN"/>
        </w:rPr>
        <w:t>7.2.10定标后且中标通知书发出前有下</w:t>
      </w:r>
      <w:r>
        <w:rPr>
          <w:rFonts w:ascii="宋体" w:hAnsi="宋体" w:eastAsia="宋体" w:cs="宋体"/>
          <w:color w:val="auto"/>
          <w:spacing w:val="-1"/>
          <w:sz w:val="24"/>
          <w:szCs w:val="24"/>
          <w:lang w:eastAsia="zh-CN"/>
        </w:rPr>
        <w:t>列情形之一的，招标人可以组织原定标委员会从其他中标候选人中按原定标方法确定中标人：</w:t>
      </w:r>
    </w:p>
    <w:p w14:paraId="299E8B50">
      <w:pPr>
        <w:keepNext w:val="0"/>
        <w:keepLines w:val="0"/>
        <w:pageBreakBefore w:val="0"/>
        <w:widowControl/>
        <w:kinsoku w:val="0"/>
        <w:wordWrap/>
        <w:overflowPunct/>
        <w:topLinePunct w:val="0"/>
        <w:autoSpaceDE w:val="0"/>
        <w:autoSpaceDN w:val="0"/>
        <w:bidi w:val="0"/>
        <w:adjustRightInd w:val="0"/>
        <w:snapToGrid w:val="0"/>
        <w:spacing w:before="28" w:line="460" w:lineRule="exact"/>
        <w:ind w:left="492"/>
        <w:textAlignment w:val="auto"/>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（1）中标人放弃中标资格或者拒不签订合同的；</w:t>
      </w:r>
    </w:p>
    <w:p w14:paraId="3979BAC8">
      <w:pPr>
        <w:keepNext w:val="0"/>
        <w:keepLines w:val="0"/>
        <w:pageBreakBefore w:val="0"/>
        <w:widowControl/>
        <w:kinsoku w:val="0"/>
        <w:wordWrap/>
        <w:overflowPunct/>
        <w:topLinePunct w:val="0"/>
        <w:autoSpaceDE w:val="0"/>
        <w:autoSpaceDN w:val="0"/>
        <w:bidi w:val="0"/>
        <w:adjustRightInd w:val="0"/>
        <w:snapToGrid w:val="0"/>
        <w:spacing w:before="27" w:line="460" w:lineRule="exact"/>
        <w:ind w:left="492"/>
        <w:textAlignment w:val="auto"/>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（2）中标人被查实存在违法行为影响中标结果的；</w:t>
      </w:r>
    </w:p>
    <w:p w14:paraId="22B1F91D">
      <w:pPr>
        <w:keepNext w:val="0"/>
        <w:keepLines w:val="0"/>
        <w:pageBreakBefore w:val="0"/>
        <w:widowControl/>
        <w:kinsoku w:val="0"/>
        <w:wordWrap/>
        <w:overflowPunct/>
        <w:topLinePunct w:val="0"/>
        <w:autoSpaceDE w:val="0"/>
        <w:autoSpaceDN w:val="0"/>
        <w:bidi w:val="0"/>
        <w:adjustRightInd w:val="0"/>
        <w:snapToGrid w:val="0"/>
        <w:spacing w:before="28" w:line="460" w:lineRule="exact"/>
        <w:ind w:left="492"/>
        <w:textAlignment w:val="auto"/>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（3）投标人须知前附表7.2.10规定的其他情形。</w:t>
      </w:r>
    </w:p>
    <w:p w14:paraId="6586E4A2">
      <w:pPr>
        <w:keepNext w:val="0"/>
        <w:keepLines w:val="0"/>
        <w:pageBreakBefore w:val="0"/>
        <w:widowControl/>
        <w:kinsoku w:val="0"/>
        <w:wordWrap/>
        <w:overflowPunct/>
        <w:topLinePunct w:val="0"/>
        <w:autoSpaceDE w:val="0"/>
        <w:autoSpaceDN w:val="0"/>
        <w:bidi w:val="0"/>
        <w:adjustRightInd w:val="0"/>
        <w:snapToGrid w:val="0"/>
        <w:spacing w:before="29" w:line="460" w:lineRule="exact"/>
        <w:ind w:left="606"/>
        <w:textAlignment w:val="auto"/>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7.2.11定标后有下列情形之一的，应重新定标：</w:t>
      </w:r>
    </w:p>
    <w:p w14:paraId="3EBD0BB9">
      <w:pPr>
        <w:keepNext w:val="0"/>
        <w:keepLines w:val="0"/>
        <w:pageBreakBefore w:val="0"/>
        <w:widowControl/>
        <w:kinsoku w:val="0"/>
        <w:wordWrap/>
        <w:overflowPunct/>
        <w:topLinePunct w:val="0"/>
        <w:autoSpaceDE w:val="0"/>
        <w:autoSpaceDN w:val="0"/>
        <w:bidi w:val="0"/>
        <w:adjustRightInd w:val="0"/>
        <w:snapToGrid w:val="0"/>
        <w:spacing w:before="27" w:line="460" w:lineRule="exact"/>
        <w:ind w:left="492"/>
        <w:textAlignment w:val="auto"/>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（1）查实定标委员会未按定标办法公正履职的；</w:t>
      </w:r>
    </w:p>
    <w:p w14:paraId="7DE4B104">
      <w:pPr>
        <w:keepNext w:val="0"/>
        <w:keepLines w:val="0"/>
        <w:pageBreakBefore w:val="0"/>
        <w:widowControl/>
        <w:kinsoku w:val="0"/>
        <w:wordWrap/>
        <w:overflowPunct/>
        <w:topLinePunct w:val="0"/>
        <w:autoSpaceDE w:val="0"/>
        <w:autoSpaceDN w:val="0"/>
        <w:bidi w:val="0"/>
        <w:adjustRightInd w:val="0"/>
        <w:snapToGrid w:val="0"/>
        <w:spacing w:before="28" w:line="460" w:lineRule="exact"/>
        <w:ind w:left="492"/>
        <w:textAlignment w:val="auto"/>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（2）有定标委员会成员与中标候选人有利害关系且未申请回避的；</w:t>
      </w:r>
    </w:p>
    <w:p w14:paraId="2F808C54">
      <w:pPr>
        <w:keepNext w:val="0"/>
        <w:keepLines w:val="0"/>
        <w:pageBreakBefore w:val="0"/>
        <w:widowControl/>
        <w:kinsoku w:val="0"/>
        <w:wordWrap/>
        <w:overflowPunct/>
        <w:topLinePunct w:val="0"/>
        <w:autoSpaceDE w:val="0"/>
        <w:autoSpaceDN w:val="0"/>
        <w:bidi w:val="0"/>
        <w:adjustRightInd w:val="0"/>
        <w:snapToGrid w:val="0"/>
        <w:spacing w:before="29" w:line="460" w:lineRule="exact"/>
        <w:ind w:left="492"/>
        <w:textAlignment w:val="auto"/>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（3）投标人须知前附表7.2.11规定的其他情形。</w:t>
      </w:r>
    </w:p>
    <w:p w14:paraId="4E2176E4">
      <w:pPr>
        <w:keepNext w:val="0"/>
        <w:keepLines w:val="0"/>
        <w:pageBreakBefore w:val="0"/>
        <w:widowControl/>
        <w:kinsoku w:val="0"/>
        <w:wordWrap/>
        <w:overflowPunct/>
        <w:topLinePunct w:val="0"/>
        <w:autoSpaceDE w:val="0"/>
        <w:autoSpaceDN w:val="0"/>
        <w:bidi w:val="0"/>
        <w:adjustRightInd w:val="0"/>
        <w:snapToGrid w:val="0"/>
        <w:spacing w:before="162" w:line="460" w:lineRule="exact"/>
        <w:ind w:left="496"/>
        <w:textAlignment w:val="auto"/>
        <w:rPr>
          <w:rFonts w:ascii="宋体" w:hAnsi="宋体" w:eastAsia="宋体" w:cs="宋体"/>
          <w:color w:val="auto"/>
          <w:sz w:val="28"/>
          <w:szCs w:val="28"/>
          <w:lang w:eastAsia="zh-CN"/>
        </w:rPr>
      </w:pPr>
      <w:r>
        <w:rPr>
          <w:rFonts w:ascii="宋体" w:hAnsi="宋体" w:eastAsia="宋体" w:cs="宋体"/>
          <w:b/>
          <w:bCs/>
          <w:color w:val="auto"/>
          <w:spacing w:val="-10"/>
          <w:sz w:val="24"/>
          <w:szCs w:val="24"/>
          <w:lang w:eastAsia="zh-CN"/>
        </w:rPr>
        <w:t>7.3</w:t>
      </w:r>
      <w:r>
        <w:rPr>
          <w:rFonts w:ascii="宋体" w:hAnsi="宋体" w:eastAsia="宋体" w:cs="宋体"/>
          <w:b/>
          <w:bCs/>
          <w:color w:val="auto"/>
          <w:spacing w:val="-10"/>
          <w:sz w:val="28"/>
          <w:szCs w:val="28"/>
          <w:lang w:eastAsia="zh-CN"/>
        </w:rPr>
        <w:t>中标通知</w:t>
      </w:r>
    </w:p>
    <w:p w14:paraId="16CB3D6B">
      <w:pPr>
        <w:keepNext w:val="0"/>
        <w:keepLines w:val="0"/>
        <w:pageBreakBefore w:val="0"/>
        <w:widowControl/>
        <w:kinsoku w:val="0"/>
        <w:wordWrap/>
        <w:overflowPunct/>
        <w:topLinePunct w:val="0"/>
        <w:autoSpaceDE w:val="0"/>
        <w:autoSpaceDN w:val="0"/>
        <w:bidi w:val="0"/>
        <w:adjustRightInd w:val="0"/>
        <w:snapToGrid w:val="0"/>
        <w:spacing w:before="157" w:line="460" w:lineRule="exact"/>
        <w:ind w:left="5" w:firstLine="475"/>
        <w:textAlignment w:val="auto"/>
        <w:rPr>
          <w:rFonts w:ascii="宋体" w:hAnsi="宋体" w:eastAsia="宋体" w:cs="宋体"/>
          <w:color w:val="auto"/>
          <w:sz w:val="24"/>
          <w:szCs w:val="24"/>
          <w:lang w:eastAsia="zh-CN"/>
        </w:rPr>
      </w:pPr>
      <w:r>
        <w:rPr>
          <w:rFonts w:ascii="宋体" w:hAnsi="宋体" w:eastAsia="宋体" w:cs="宋体"/>
          <w:color w:val="auto"/>
          <w:sz w:val="24"/>
          <w:szCs w:val="24"/>
          <w:lang w:eastAsia="zh-CN"/>
        </w:rPr>
        <w:t>在本章第</w:t>
      </w:r>
      <w:r>
        <w:rPr>
          <w:rFonts w:ascii="Times New Roman" w:hAnsi="Times New Roman" w:eastAsia="Times New Roman" w:cs="Times New Roman"/>
          <w:color w:val="auto"/>
          <w:sz w:val="24"/>
          <w:szCs w:val="24"/>
          <w:lang w:eastAsia="zh-CN"/>
        </w:rPr>
        <w:t>3.3</w:t>
      </w:r>
      <w:r>
        <w:rPr>
          <w:rFonts w:ascii="宋体" w:hAnsi="宋体" w:eastAsia="宋体" w:cs="宋体"/>
          <w:color w:val="auto"/>
          <w:sz w:val="24"/>
          <w:szCs w:val="24"/>
          <w:lang w:eastAsia="zh-CN"/>
        </w:rPr>
        <w:t>款规定的投标有效期内，招标人以书面形式向中标人发出中标通知</w:t>
      </w:r>
      <w:r>
        <w:rPr>
          <w:rFonts w:ascii="宋体" w:hAnsi="宋体" w:eastAsia="宋体" w:cs="宋体"/>
          <w:color w:val="auto"/>
          <w:spacing w:val="-1"/>
          <w:sz w:val="24"/>
          <w:szCs w:val="24"/>
          <w:lang w:eastAsia="zh-CN"/>
        </w:rPr>
        <w:t>书，同时将中标结果通知未中标的投标人。</w:t>
      </w:r>
    </w:p>
    <w:p w14:paraId="30D8DF5E">
      <w:pPr>
        <w:keepNext w:val="0"/>
        <w:keepLines w:val="0"/>
        <w:pageBreakBefore w:val="0"/>
        <w:widowControl/>
        <w:kinsoku w:val="0"/>
        <w:wordWrap/>
        <w:overflowPunct/>
        <w:topLinePunct w:val="0"/>
        <w:autoSpaceDE w:val="0"/>
        <w:autoSpaceDN w:val="0"/>
        <w:bidi w:val="0"/>
        <w:adjustRightInd w:val="0"/>
        <w:snapToGrid w:val="0"/>
        <w:spacing w:before="162" w:line="460" w:lineRule="exact"/>
        <w:ind w:left="496"/>
        <w:textAlignment w:val="auto"/>
        <w:rPr>
          <w:rFonts w:ascii="宋体" w:hAnsi="宋体" w:eastAsia="宋体" w:cs="宋体"/>
          <w:color w:val="auto"/>
          <w:sz w:val="28"/>
          <w:szCs w:val="28"/>
          <w:lang w:eastAsia="zh-CN"/>
        </w:rPr>
      </w:pPr>
      <w:r>
        <w:rPr>
          <w:rFonts w:ascii="宋体" w:hAnsi="宋体" w:eastAsia="宋体" w:cs="宋体"/>
          <w:b/>
          <w:bCs/>
          <w:color w:val="auto"/>
          <w:spacing w:val="-7"/>
          <w:sz w:val="24"/>
          <w:szCs w:val="24"/>
          <w:lang w:eastAsia="zh-CN"/>
        </w:rPr>
        <w:t>7.4</w:t>
      </w:r>
      <w:r>
        <w:rPr>
          <w:rFonts w:ascii="宋体" w:hAnsi="宋体" w:eastAsia="宋体" w:cs="宋体"/>
          <w:b/>
          <w:bCs/>
          <w:color w:val="auto"/>
          <w:spacing w:val="-7"/>
          <w:sz w:val="28"/>
          <w:szCs w:val="28"/>
          <w:lang w:eastAsia="zh-CN"/>
        </w:rPr>
        <w:t>履约担保</w:t>
      </w:r>
    </w:p>
    <w:p w14:paraId="1FC40783">
      <w:pPr>
        <w:keepNext w:val="0"/>
        <w:keepLines w:val="0"/>
        <w:pageBreakBefore w:val="0"/>
        <w:widowControl/>
        <w:kinsoku w:val="0"/>
        <w:wordWrap/>
        <w:overflowPunct/>
        <w:topLinePunct w:val="0"/>
        <w:autoSpaceDE w:val="0"/>
        <w:autoSpaceDN w:val="0"/>
        <w:bidi w:val="0"/>
        <w:adjustRightInd w:val="0"/>
        <w:snapToGrid w:val="0"/>
        <w:spacing w:before="157" w:line="460" w:lineRule="exact"/>
        <w:ind w:firstLine="486"/>
        <w:textAlignment w:val="auto"/>
        <w:rPr>
          <w:rFonts w:ascii="宋体" w:hAnsi="宋体" w:eastAsia="宋体" w:cs="宋体"/>
          <w:color w:val="auto"/>
          <w:sz w:val="24"/>
          <w:szCs w:val="24"/>
          <w:lang w:eastAsia="zh-CN"/>
        </w:rPr>
      </w:pPr>
      <w:r>
        <w:rPr>
          <w:rFonts w:ascii="宋体" w:hAnsi="宋体" w:eastAsia="宋体" w:cs="宋体"/>
          <w:color w:val="auto"/>
          <w:spacing w:val="5"/>
          <w:sz w:val="24"/>
          <w:szCs w:val="24"/>
          <w:lang w:eastAsia="zh-CN"/>
        </w:rPr>
        <w:t>7.4.1在签订合同前，中标人应按投标人须知前附表规定的金额、银行保函或</w:t>
      </w:r>
      <w:r>
        <w:rPr>
          <w:rFonts w:ascii="宋体" w:hAnsi="宋体" w:eastAsia="宋体" w:cs="宋体"/>
          <w:color w:val="auto"/>
          <w:spacing w:val="1"/>
          <w:sz w:val="24"/>
          <w:szCs w:val="24"/>
          <w:lang w:eastAsia="zh-CN"/>
        </w:rPr>
        <w:t>保险公司保函和招标文件第四章“合同条款及格式”规定的履约担保形式向招标人</w:t>
      </w:r>
      <w:r>
        <w:rPr>
          <w:rFonts w:ascii="宋体" w:hAnsi="宋体" w:eastAsia="宋体" w:cs="宋体"/>
          <w:color w:val="auto"/>
          <w:spacing w:val="2"/>
          <w:sz w:val="24"/>
          <w:szCs w:val="24"/>
          <w:lang w:eastAsia="zh-CN"/>
        </w:rPr>
        <w:t>提交履约担保。联合体中标的，其履约担保由牵头人递交，并应符合投标人须知前</w:t>
      </w:r>
      <w:r>
        <w:rPr>
          <w:rFonts w:ascii="宋体" w:hAnsi="宋体" w:eastAsia="宋体" w:cs="宋体"/>
          <w:color w:val="auto"/>
          <w:spacing w:val="1"/>
          <w:sz w:val="24"/>
          <w:szCs w:val="24"/>
          <w:lang w:eastAsia="zh-CN"/>
        </w:rPr>
        <w:t>附表规定的金额、担保形式和招标文件第四章“合同条款及格式”规定的履约担保</w:t>
      </w:r>
      <w:r>
        <w:rPr>
          <w:rFonts w:ascii="宋体" w:hAnsi="宋体" w:eastAsia="宋体" w:cs="宋体"/>
          <w:color w:val="auto"/>
          <w:spacing w:val="-3"/>
          <w:sz w:val="24"/>
          <w:szCs w:val="24"/>
          <w:lang w:eastAsia="zh-CN"/>
        </w:rPr>
        <w:t>要求。</w:t>
      </w:r>
    </w:p>
    <w:p w14:paraId="05CFD15A">
      <w:pPr>
        <w:keepNext w:val="0"/>
        <w:keepLines w:val="0"/>
        <w:pageBreakBefore w:val="0"/>
        <w:widowControl/>
        <w:kinsoku w:val="0"/>
        <w:wordWrap/>
        <w:overflowPunct/>
        <w:topLinePunct w:val="0"/>
        <w:autoSpaceDE w:val="0"/>
        <w:autoSpaceDN w:val="0"/>
        <w:bidi w:val="0"/>
        <w:adjustRightInd w:val="0"/>
        <w:snapToGrid w:val="0"/>
        <w:spacing w:before="26" w:line="460" w:lineRule="exact"/>
        <w:ind w:firstLine="486"/>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7.4.2中标人不能按本章第7.4.1项要求提交履约担保的，视为放</w:t>
      </w:r>
      <w:r>
        <w:rPr>
          <w:rFonts w:ascii="宋体" w:hAnsi="宋体" w:eastAsia="宋体" w:cs="宋体"/>
          <w:color w:val="auto"/>
          <w:spacing w:val="1"/>
          <w:sz w:val="24"/>
          <w:szCs w:val="24"/>
          <w:lang w:eastAsia="zh-CN"/>
        </w:rPr>
        <w:t>弃中标，其投</w:t>
      </w:r>
      <w:r>
        <w:rPr>
          <w:rFonts w:ascii="宋体" w:hAnsi="宋体" w:eastAsia="宋体" w:cs="宋体"/>
          <w:color w:val="auto"/>
          <w:spacing w:val="2"/>
          <w:sz w:val="24"/>
          <w:szCs w:val="24"/>
          <w:lang w:eastAsia="zh-CN"/>
        </w:rPr>
        <w:t>标保证金不予退还，给招标人造成的损失超过投标保证金数额的，中标人还应当对</w:t>
      </w:r>
      <w:r>
        <w:rPr>
          <w:rFonts w:ascii="宋体" w:hAnsi="宋体" w:eastAsia="宋体" w:cs="宋体"/>
          <w:color w:val="auto"/>
          <w:spacing w:val="-1"/>
          <w:sz w:val="24"/>
          <w:szCs w:val="24"/>
          <w:lang w:eastAsia="zh-CN"/>
        </w:rPr>
        <w:t>超过部分予以赔偿。</w:t>
      </w:r>
    </w:p>
    <w:p w14:paraId="5A1EAAA9">
      <w:pPr>
        <w:keepNext w:val="0"/>
        <w:keepLines w:val="0"/>
        <w:pageBreakBefore w:val="0"/>
        <w:widowControl/>
        <w:kinsoku w:val="0"/>
        <w:wordWrap/>
        <w:overflowPunct/>
        <w:topLinePunct w:val="0"/>
        <w:autoSpaceDE w:val="0"/>
        <w:autoSpaceDN w:val="0"/>
        <w:bidi w:val="0"/>
        <w:adjustRightInd w:val="0"/>
        <w:snapToGrid w:val="0"/>
        <w:spacing w:before="161" w:line="460" w:lineRule="exact"/>
        <w:ind w:left="496"/>
        <w:textAlignment w:val="auto"/>
        <w:rPr>
          <w:rFonts w:ascii="宋体" w:hAnsi="宋体" w:eastAsia="宋体" w:cs="宋体"/>
          <w:color w:val="auto"/>
          <w:sz w:val="28"/>
          <w:szCs w:val="28"/>
          <w:lang w:eastAsia="zh-CN"/>
        </w:rPr>
      </w:pPr>
      <w:r>
        <w:rPr>
          <w:rFonts w:ascii="宋体" w:hAnsi="宋体" w:eastAsia="宋体" w:cs="宋体"/>
          <w:b/>
          <w:bCs/>
          <w:color w:val="auto"/>
          <w:spacing w:val="-7"/>
          <w:sz w:val="24"/>
          <w:szCs w:val="24"/>
          <w:lang w:eastAsia="zh-CN"/>
        </w:rPr>
        <w:t>7.5</w:t>
      </w:r>
      <w:r>
        <w:rPr>
          <w:rFonts w:ascii="宋体" w:hAnsi="宋体" w:eastAsia="宋体" w:cs="宋体"/>
          <w:b/>
          <w:bCs/>
          <w:color w:val="auto"/>
          <w:spacing w:val="-7"/>
          <w:sz w:val="28"/>
          <w:szCs w:val="28"/>
          <w:lang w:eastAsia="zh-CN"/>
        </w:rPr>
        <w:t>签订合同</w:t>
      </w:r>
    </w:p>
    <w:p w14:paraId="00A04239">
      <w:pPr>
        <w:keepNext w:val="0"/>
        <w:keepLines w:val="0"/>
        <w:pageBreakBefore w:val="0"/>
        <w:widowControl/>
        <w:kinsoku w:val="0"/>
        <w:wordWrap/>
        <w:overflowPunct/>
        <w:topLinePunct w:val="0"/>
        <w:autoSpaceDE w:val="0"/>
        <w:autoSpaceDN w:val="0"/>
        <w:bidi w:val="0"/>
        <w:adjustRightInd w:val="0"/>
        <w:snapToGrid w:val="0"/>
        <w:spacing w:before="153" w:line="460" w:lineRule="exact"/>
        <w:ind w:firstLine="486"/>
        <w:textAlignment w:val="auto"/>
        <w:rPr>
          <w:rFonts w:ascii="宋体" w:hAnsi="宋体" w:eastAsia="宋体" w:cs="宋体"/>
          <w:color w:val="auto"/>
          <w:sz w:val="24"/>
          <w:szCs w:val="24"/>
          <w:lang w:eastAsia="zh-CN"/>
        </w:rPr>
      </w:pPr>
      <w:r>
        <w:rPr>
          <w:rFonts w:ascii="宋体" w:hAnsi="宋体" w:eastAsia="宋体" w:cs="宋体"/>
          <w:color w:val="auto"/>
          <w:spacing w:val="5"/>
          <w:sz w:val="24"/>
          <w:szCs w:val="24"/>
          <w:lang w:eastAsia="zh-CN"/>
        </w:rPr>
        <w:t>7.5.1招标人和中标人应当在中标通知书发出之日起30日内，根据招标文件和</w:t>
      </w:r>
      <w:r>
        <w:rPr>
          <w:rFonts w:ascii="宋体" w:hAnsi="宋体" w:eastAsia="宋体" w:cs="宋体"/>
          <w:color w:val="auto"/>
          <w:spacing w:val="2"/>
          <w:sz w:val="24"/>
          <w:szCs w:val="24"/>
          <w:lang w:eastAsia="zh-CN"/>
        </w:rPr>
        <w:t>中标人的投标文件订立书面合同。中标人无正当理由拒签合同，或者不按照招标文件要求提交履约担保的，招标人有权取消其中标资格，其投标保证金不予退还；给</w:t>
      </w:r>
      <w:r>
        <w:rPr>
          <w:rFonts w:ascii="宋体" w:hAnsi="宋体" w:eastAsia="宋体" w:cs="宋体"/>
          <w:color w:val="auto"/>
          <w:sz w:val="24"/>
          <w:szCs w:val="24"/>
          <w:lang w:eastAsia="zh-CN"/>
        </w:rPr>
        <w:t>招标人造成的损失超过投标保证金数额的，中标人还应当</w:t>
      </w:r>
      <w:r>
        <w:rPr>
          <w:rFonts w:ascii="宋体" w:hAnsi="宋体" w:eastAsia="宋体" w:cs="宋体"/>
          <w:color w:val="auto"/>
          <w:spacing w:val="-1"/>
          <w:sz w:val="24"/>
          <w:szCs w:val="24"/>
          <w:lang w:eastAsia="zh-CN"/>
        </w:rPr>
        <w:t>对超过部分予以赔偿。</w:t>
      </w:r>
    </w:p>
    <w:p w14:paraId="3AC2F0C8">
      <w:pPr>
        <w:keepNext w:val="0"/>
        <w:keepLines w:val="0"/>
        <w:pageBreakBefore w:val="0"/>
        <w:widowControl/>
        <w:kinsoku w:val="0"/>
        <w:wordWrap/>
        <w:overflowPunct/>
        <w:topLinePunct w:val="0"/>
        <w:autoSpaceDE w:val="0"/>
        <w:autoSpaceDN w:val="0"/>
        <w:bidi w:val="0"/>
        <w:adjustRightInd w:val="0"/>
        <w:snapToGrid w:val="0"/>
        <w:spacing w:before="29" w:line="460" w:lineRule="exact"/>
        <w:ind w:firstLine="486"/>
        <w:textAlignment w:val="auto"/>
        <w:rPr>
          <w:rFonts w:ascii="宋体" w:hAnsi="宋体" w:eastAsia="宋体" w:cs="宋体"/>
          <w:color w:val="auto"/>
          <w:sz w:val="24"/>
          <w:szCs w:val="24"/>
          <w:lang w:eastAsia="zh-CN"/>
        </w:rPr>
      </w:pPr>
      <w:r>
        <w:rPr>
          <w:rFonts w:ascii="宋体" w:hAnsi="宋体" w:eastAsia="宋体" w:cs="宋体"/>
          <w:color w:val="auto"/>
          <w:spacing w:val="5"/>
          <w:sz w:val="24"/>
          <w:szCs w:val="24"/>
          <w:lang w:eastAsia="zh-CN"/>
        </w:rPr>
        <w:t>7.5.2发出中标通知书后，招标人无正当理由拒签合同，招标人向中标人退还</w:t>
      </w:r>
      <w:r>
        <w:rPr>
          <w:rFonts w:ascii="宋体" w:hAnsi="宋体" w:eastAsia="宋体" w:cs="宋体"/>
          <w:color w:val="auto"/>
          <w:spacing w:val="-1"/>
          <w:sz w:val="24"/>
          <w:szCs w:val="24"/>
          <w:lang w:eastAsia="zh-CN"/>
        </w:rPr>
        <w:t>投标保证金；给中标人造成损失的，还应当赔偿损失。</w:t>
      </w:r>
    </w:p>
    <w:p w14:paraId="37B23F76">
      <w:pPr>
        <w:keepNext w:val="0"/>
        <w:keepLines w:val="0"/>
        <w:pageBreakBefore w:val="0"/>
        <w:widowControl/>
        <w:kinsoku w:val="0"/>
        <w:wordWrap/>
        <w:overflowPunct/>
        <w:topLinePunct w:val="0"/>
        <w:autoSpaceDE w:val="0"/>
        <w:autoSpaceDN w:val="0"/>
        <w:bidi w:val="0"/>
        <w:adjustRightInd w:val="0"/>
        <w:snapToGrid w:val="0"/>
        <w:spacing w:before="27" w:line="460" w:lineRule="exact"/>
        <w:jc w:val="right"/>
        <w:textAlignment w:val="auto"/>
        <w:rPr>
          <w:rFonts w:ascii="宋体" w:hAnsi="宋体" w:eastAsia="宋体" w:cs="宋体"/>
          <w:color w:val="auto"/>
          <w:sz w:val="24"/>
          <w:szCs w:val="24"/>
          <w:lang w:eastAsia="zh-CN"/>
        </w:rPr>
      </w:pPr>
      <w:r>
        <w:rPr>
          <w:rFonts w:ascii="宋体" w:hAnsi="宋体" w:eastAsia="宋体" w:cs="宋体"/>
          <w:color w:val="auto"/>
          <w:spacing w:val="5"/>
          <w:sz w:val="24"/>
          <w:szCs w:val="24"/>
          <w:lang w:eastAsia="zh-CN"/>
        </w:rPr>
        <w:t>7.5.3联合体中标的，联合体各方应当共同与招标人签订合同，就中标项目向</w:t>
      </w:r>
    </w:p>
    <w:p w14:paraId="7D92EEE8">
      <w:pPr>
        <w:keepNext w:val="0"/>
        <w:keepLines w:val="0"/>
        <w:pageBreakBefore w:val="0"/>
        <w:widowControl/>
        <w:kinsoku w:val="0"/>
        <w:wordWrap/>
        <w:overflowPunct/>
        <w:topLinePunct w:val="0"/>
        <w:autoSpaceDE w:val="0"/>
        <w:autoSpaceDN w:val="0"/>
        <w:bidi w:val="0"/>
        <w:adjustRightInd w:val="0"/>
        <w:snapToGrid w:val="0"/>
        <w:spacing w:before="47" w:line="460" w:lineRule="exact"/>
        <w:ind w:left="1"/>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招标人承担连带责任。</w:t>
      </w:r>
    </w:p>
    <w:p w14:paraId="7BFF81AA">
      <w:pPr>
        <w:keepNext w:val="0"/>
        <w:keepLines w:val="0"/>
        <w:pageBreakBefore w:val="0"/>
        <w:widowControl/>
        <w:kinsoku w:val="0"/>
        <w:wordWrap/>
        <w:overflowPunct/>
        <w:topLinePunct w:val="0"/>
        <w:autoSpaceDE w:val="0"/>
        <w:autoSpaceDN w:val="0"/>
        <w:bidi w:val="0"/>
        <w:adjustRightInd w:val="0"/>
        <w:snapToGrid w:val="0"/>
        <w:spacing w:before="144" w:line="460" w:lineRule="exact"/>
        <w:ind w:left="2"/>
        <w:textAlignment w:val="auto"/>
        <w:rPr>
          <w:rFonts w:ascii="宋体" w:hAnsi="宋体" w:eastAsia="宋体" w:cs="宋体"/>
          <w:color w:val="auto"/>
          <w:sz w:val="31"/>
          <w:szCs w:val="31"/>
          <w:lang w:eastAsia="zh-CN"/>
        </w:rPr>
      </w:pPr>
      <w:r>
        <w:rPr>
          <w:rFonts w:ascii="Times New Roman" w:hAnsi="Times New Roman" w:eastAsia="Times New Roman" w:cs="Times New Roman"/>
          <w:b/>
          <w:bCs/>
          <w:color w:val="auto"/>
          <w:spacing w:val="6"/>
          <w:sz w:val="31"/>
          <w:szCs w:val="31"/>
          <w:lang w:eastAsia="zh-CN"/>
        </w:rPr>
        <w:t>8.</w:t>
      </w:r>
      <w:r>
        <w:rPr>
          <w:rFonts w:ascii="宋体" w:hAnsi="宋体" w:eastAsia="宋体" w:cs="宋体"/>
          <w:b/>
          <w:bCs/>
          <w:color w:val="auto"/>
          <w:spacing w:val="6"/>
          <w:sz w:val="31"/>
          <w:szCs w:val="31"/>
          <w:lang w:eastAsia="zh-CN"/>
        </w:rPr>
        <w:t>重新招标和不再招标</w:t>
      </w:r>
    </w:p>
    <w:p w14:paraId="0F5CBA23">
      <w:pPr>
        <w:keepNext w:val="0"/>
        <w:keepLines w:val="0"/>
        <w:pageBreakBefore w:val="0"/>
        <w:widowControl/>
        <w:kinsoku w:val="0"/>
        <w:wordWrap/>
        <w:overflowPunct/>
        <w:topLinePunct w:val="0"/>
        <w:autoSpaceDE w:val="0"/>
        <w:autoSpaceDN w:val="0"/>
        <w:bidi w:val="0"/>
        <w:adjustRightInd w:val="0"/>
        <w:snapToGrid w:val="0"/>
        <w:spacing w:before="262" w:line="460" w:lineRule="exact"/>
        <w:ind w:left="491"/>
        <w:textAlignment w:val="auto"/>
        <w:rPr>
          <w:rFonts w:ascii="宋体" w:hAnsi="宋体" w:eastAsia="宋体" w:cs="宋体"/>
          <w:color w:val="auto"/>
          <w:sz w:val="28"/>
          <w:szCs w:val="28"/>
          <w:lang w:eastAsia="zh-CN"/>
        </w:rPr>
      </w:pPr>
      <w:r>
        <w:rPr>
          <w:rFonts w:ascii="Times New Roman" w:hAnsi="Times New Roman" w:eastAsia="Times New Roman" w:cs="Times New Roman"/>
          <w:b/>
          <w:bCs/>
          <w:color w:val="auto"/>
          <w:spacing w:val="-5"/>
          <w:sz w:val="28"/>
          <w:szCs w:val="28"/>
          <w:lang w:eastAsia="zh-CN"/>
        </w:rPr>
        <w:t>8.1</w:t>
      </w:r>
      <w:r>
        <w:rPr>
          <w:rFonts w:ascii="宋体" w:hAnsi="宋体" w:eastAsia="宋体" w:cs="宋体"/>
          <w:b/>
          <w:bCs/>
          <w:color w:val="auto"/>
          <w:spacing w:val="-5"/>
          <w:sz w:val="28"/>
          <w:szCs w:val="28"/>
          <w:lang w:eastAsia="zh-CN"/>
        </w:rPr>
        <w:t>重新招标</w:t>
      </w:r>
    </w:p>
    <w:p w14:paraId="2FE4DEA5">
      <w:pPr>
        <w:keepNext w:val="0"/>
        <w:keepLines w:val="0"/>
        <w:pageBreakBefore w:val="0"/>
        <w:widowControl/>
        <w:kinsoku w:val="0"/>
        <w:wordWrap/>
        <w:overflowPunct/>
        <w:topLinePunct w:val="0"/>
        <w:autoSpaceDE w:val="0"/>
        <w:autoSpaceDN w:val="0"/>
        <w:bidi w:val="0"/>
        <w:adjustRightInd w:val="0"/>
        <w:snapToGrid w:val="0"/>
        <w:spacing w:before="156" w:line="460" w:lineRule="exact"/>
        <w:ind w:left="481"/>
        <w:textAlignment w:val="auto"/>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有下列情形之一的，招标人将重新招标：</w:t>
      </w:r>
    </w:p>
    <w:p w14:paraId="1323B368">
      <w:pPr>
        <w:keepNext w:val="0"/>
        <w:keepLines w:val="0"/>
        <w:pageBreakBefore w:val="0"/>
        <w:widowControl/>
        <w:kinsoku w:val="0"/>
        <w:wordWrap/>
        <w:overflowPunct/>
        <w:topLinePunct w:val="0"/>
        <w:autoSpaceDE w:val="0"/>
        <w:autoSpaceDN w:val="0"/>
        <w:bidi w:val="0"/>
        <w:adjustRightInd w:val="0"/>
        <w:snapToGrid w:val="0"/>
        <w:spacing w:before="27" w:line="460" w:lineRule="exact"/>
        <w:ind w:left="492"/>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（1）投标截止时间止，投标人少于3个的；</w:t>
      </w:r>
    </w:p>
    <w:p w14:paraId="0FB20DAB">
      <w:pPr>
        <w:keepNext w:val="0"/>
        <w:keepLines w:val="0"/>
        <w:pageBreakBefore w:val="0"/>
        <w:widowControl/>
        <w:kinsoku w:val="0"/>
        <w:wordWrap/>
        <w:overflowPunct/>
        <w:topLinePunct w:val="0"/>
        <w:autoSpaceDE w:val="0"/>
        <w:autoSpaceDN w:val="0"/>
        <w:bidi w:val="0"/>
        <w:adjustRightInd w:val="0"/>
        <w:snapToGrid w:val="0"/>
        <w:spacing w:before="28" w:line="460" w:lineRule="exact"/>
        <w:ind w:left="492"/>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（2）经评标委员会评审后否决所有投标的；</w:t>
      </w:r>
    </w:p>
    <w:p w14:paraId="3A1ED93E">
      <w:pPr>
        <w:keepNext w:val="0"/>
        <w:keepLines w:val="0"/>
        <w:pageBreakBefore w:val="0"/>
        <w:widowControl/>
        <w:kinsoku w:val="0"/>
        <w:wordWrap/>
        <w:overflowPunct/>
        <w:topLinePunct w:val="0"/>
        <w:autoSpaceDE w:val="0"/>
        <w:autoSpaceDN w:val="0"/>
        <w:bidi w:val="0"/>
        <w:adjustRightInd w:val="0"/>
        <w:snapToGrid w:val="0"/>
        <w:spacing w:before="28" w:line="460" w:lineRule="exact"/>
        <w:ind w:left="492"/>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（3）其他情形见投标人须知前附表。</w:t>
      </w:r>
    </w:p>
    <w:p w14:paraId="7C3407EF">
      <w:pPr>
        <w:keepNext w:val="0"/>
        <w:keepLines w:val="0"/>
        <w:pageBreakBefore w:val="0"/>
        <w:widowControl/>
        <w:kinsoku w:val="0"/>
        <w:wordWrap/>
        <w:overflowPunct/>
        <w:topLinePunct w:val="0"/>
        <w:autoSpaceDE w:val="0"/>
        <w:autoSpaceDN w:val="0"/>
        <w:bidi w:val="0"/>
        <w:adjustRightInd w:val="0"/>
        <w:snapToGrid w:val="0"/>
        <w:spacing w:before="162" w:line="460" w:lineRule="exact"/>
        <w:ind w:left="491"/>
        <w:textAlignment w:val="auto"/>
        <w:rPr>
          <w:rFonts w:ascii="宋体" w:hAnsi="宋体" w:eastAsia="宋体" w:cs="宋体"/>
          <w:color w:val="auto"/>
          <w:sz w:val="28"/>
          <w:szCs w:val="28"/>
          <w:lang w:eastAsia="zh-CN"/>
        </w:rPr>
      </w:pPr>
      <w:r>
        <w:rPr>
          <w:rFonts w:ascii="Times New Roman" w:hAnsi="Times New Roman" w:eastAsia="Times New Roman" w:cs="Times New Roman"/>
          <w:b/>
          <w:bCs/>
          <w:color w:val="auto"/>
          <w:spacing w:val="-5"/>
          <w:sz w:val="28"/>
          <w:szCs w:val="28"/>
          <w:lang w:eastAsia="zh-CN"/>
        </w:rPr>
        <w:t>8.2</w:t>
      </w:r>
      <w:r>
        <w:rPr>
          <w:rFonts w:ascii="宋体" w:hAnsi="宋体" w:eastAsia="宋体" w:cs="宋体"/>
          <w:b/>
          <w:bCs/>
          <w:color w:val="auto"/>
          <w:spacing w:val="-5"/>
          <w:sz w:val="28"/>
          <w:szCs w:val="28"/>
          <w:lang w:eastAsia="zh-CN"/>
        </w:rPr>
        <w:t>不再招标</w:t>
      </w:r>
    </w:p>
    <w:p w14:paraId="66C64115">
      <w:pPr>
        <w:keepNext w:val="0"/>
        <w:keepLines w:val="0"/>
        <w:pageBreakBefore w:val="0"/>
        <w:widowControl/>
        <w:kinsoku w:val="0"/>
        <w:wordWrap/>
        <w:overflowPunct/>
        <w:topLinePunct w:val="0"/>
        <w:autoSpaceDE w:val="0"/>
        <w:autoSpaceDN w:val="0"/>
        <w:bidi w:val="0"/>
        <w:adjustRightInd w:val="0"/>
        <w:snapToGrid w:val="0"/>
        <w:spacing w:before="157" w:line="460" w:lineRule="exact"/>
        <w:ind w:left="484"/>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见投标人须知前附表。</w:t>
      </w:r>
    </w:p>
    <w:p w14:paraId="26CE4765">
      <w:pPr>
        <w:keepNext w:val="0"/>
        <w:keepLines w:val="0"/>
        <w:pageBreakBefore w:val="0"/>
        <w:widowControl/>
        <w:kinsoku w:val="0"/>
        <w:wordWrap/>
        <w:overflowPunct/>
        <w:topLinePunct w:val="0"/>
        <w:autoSpaceDE w:val="0"/>
        <w:autoSpaceDN w:val="0"/>
        <w:bidi w:val="0"/>
        <w:adjustRightInd w:val="0"/>
        <w:snapToGrid w:val="0"/>
        <w:spacing w:before="146" w:line="460" w:lineRule="exact"/>
        <w:ind w:left="1"/>
        <w:textAlignment w:val="auto"/>
        <w:rPr>
          <w:rFonts w:ascii="宋体" w:hAnsi="宋体" w:eastAsia="宋体" w:cs="宋体"/>
          <w:color w:val="auto"/>
          <w:sz w:val="31"/>
          <w:szCs w:val="31"/>
          <w:lang w:eastAsia="zh-CN"/>
        </w:rPr>
      </w:pPr>
      <w:r>
        <w:rPr>
          <w:rFonts w:ascii="Times New Roman" w:hAnsi="Times New Roman" w:eastAsia="Times New Roman" w:cs="Times New Roman"/>
          <w:b/>
          <w:bCs/>
          <w:color w:val="auto"/>
          <w:spacing w:val="4"/>
          <w:sz w:val="31"/>
          <w:szCs w:val="31"/>
          <w:lang w:eastAsia="zh-CN"/>
        </w:rPr>
        <w:t>9.</w:t>
      </w:r>
      <w:r>
        <w:rPr>
          <w:rFonts w:ascii="宋体" w:hAnsi="宋体" w:eastAsia="宋体" w:cs="宋体"/>
          <w:b/>
          <w:bCs/>
          <w:color w:val="auto"/>
          <w:spacing w:val="4"/>
          <w:sz w:val="31"/>
          <w:szCs w:val="31"/>
          <w:lang w:eastAsia="zh-CN"/>
        </w:rPr>
        <w:t>纪律和监督</w:t>
      </w:r>
    </w:p>
    <w:p w14:paraId="2271E2CE">
      <w:pPr>
        <w:keepNext w:val="0"/>
        <w:keepLines w:val="0"/>
        <w:pageBreakBefore w:val="0"/>
        <w:widowControl/>
        <w:kinsoku w:val="0"/>
        <w:wordWrap/>
        <w:overflowPunct/>
        <w:topLinePunct w:val="0"/>
        <w:autoSpaceDE w:val="0"/>
        <w:autoSpaceDN w:val="0"/>
        <w:bidi w:val="0"/>
        <w:adjustRightInd w:val="0"/>
        <w:snapToGrid w:val="0"/>
        <w:spacing w:before="264" w:line="460" w:lineRule="exact"/>
        <w:ind w:left="491"/>
        <w:textAlignment w:val="auto"/>
        <w:rPr>
          <w:rFonts w:ascii="宋体" w:hAnsi="宋体" w:eastAsia="宋体" w:cs="宋体"/>
          <w:color w:val="auto"/>
          <w:sz w:val="28"/>
          <w:szCs w:val="28"/>
          <w:lang w:eastAsia="zh-CN"/>
        </w:rPr>
      </w:pPr>
      <w:r>
        <w:rPr>
          <w:rFonts w:ascii="宋体" w:hAnsi="宋体" w:eastAsia="宋体" w:cs="宋体"/>
          <w:b/>
          <w:bCs/>
          <w:color w:val="auto"/>
          <w:spacing w:val="-3"/>
          <w:sz w:val="24"/>
          <w:szCs w:val="24"/>
          <w:lang w:eastAsia="zh-CN"/>
        </w:rPr>
        <w:t>9.1</w:t>
      </w:r>
      <w:r>
        <w:rPr>
          <w:rFonts w:ascii="宋体" w:hAnsi="宋体" w:eastAsia="宋体" w:cs="宋体"/>
          <w:b/>
          <w:bCs/>
          <w:color w:val="auto"/>
          <w:spacing w:val="-3"/>
          <w:sz w:val="28"/>
          <w:szCs w:val="28"/>
          <w:lang w:eastAsia="zh-CN"/>
        </w:rPr>
        <w:t>对招标人的纪律要求</w:t>
      </w:r>
    </w:p>
    <w:p w14:paraId="52F0B45F">
      <w:pPr>
        <w:keepNext w:val="0"/>
        <w:keepLines w:val="0"/>
        <w:pageBreakBefore w:val="0"/>
        <w:widowControl/>
        <w:kinsoku w:val="0"/>
        <w:wordWrap/>
        <w:overflowPunct/>
        <w:topLinePunct w:val="0"/>
        <w:autoSpaceDE w:val="0"/>
        <w:autoSpaceDN w:val="0"/>
        <w:bidi w:val="0"/>
        <w:adjustRightInd w:val="0"/>
        <w:snapToGrid w:val="0"/>
        <w:spacing w:before="158" w:line="460" w:lineRule="exact"/>
        <w:ind w:left="5" w:firstLine="476"/>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招标人不得泄漏招标投标活动中应当保密的情况和资料，不得与投标人串通损</w:t>
      </w:r>
      <w:r>
        <w:rPr>
          <w:rFonts w:ascii="宋体" w:hAnsi="宋体" w:eastAsia="宋体" w:cs="宋体"/>
          <w:color w:val="auto"/>
          <w:spacing w:val="-1"/>
          <w:sz w:val="24"/>
          <w:szCs w:val="24"/>
          <w:lang w:eastAsia="zh-CN"/>
        </w:rPr>
        <w:t>害国家利益、社会公共利益或者他人合法权益。</w:t>
      </w:r>
    </w:p>
    <w:p w14:paraId="21C09841">
      <w:pPr>
        <w:keepNext w:val="0"/>
        <w:keepLines w:val="0"/>
        <w:pageBreakBefore w:val="0"/>
        <w:widowControl/>
        <w:kinsoku w:val="0"/>
        <w:wordWrap/>
        <w:overflowPunct/>
        <w:topLinePunct w:val="0"/>
        <w:autoSpaceDE w:val="0"/>
        <w:autoSpaceDN w:val="0"/>
        <w:bidi w:val="0"/>
        <w:adjustRightInd w:val="0"/>
        <w:snapToGrid w:val="0"/>
        <w:spacing w:before="162" w:line="460" w:lineRule="exact"/>
        <w:ind w:left="491"/>
        <w:textAlignment w:val="auto"/>
        <w:rPr>
          <w:rFonts w:ascii="宋体" w:hAnsi="宋体" w:eastAsia="宋体" w:cs="宋体"/>
          <w:color w:val="auto"/>
          <w:sz w:val="28"/>
          <w:szCs w:val="28"/>
          <w:lang w:eastAsia="zh-CN"/>
        </w:rPr>
      </w:pPr>
      <w:r>
        <w:rPr>
          <w:rFonts w:ascii="宋体" w:hAnsi="宋体" w:eastAsia="宋体" w:cs="宋体"/>
          <w:b/>
          <w:bCs/>
          <w:color w:val="auto"/>
          <w:spacing w:val="-3"/>
          <w:sz w:val="24"/>
          <w:szCs w:val="24"/>
          <w:lang w:eastAsia="zh-CN"/>
        </w:rPr>
        <w:t>9.2</w:t>
      </w:r>
      <w:r>
        <w:rPr>
          <w:rFonts w:ascii="宋体" w:hAnsi="宋体" w:eastAsia="宋体" w:cs="宋体"/>
          <w:b/>
          <w:bCs/>
          <w:color w:val="auto"/>
          <w:spacing w:val="-3"/>
          <w:sz w:val="28"/>
          <w:szCs w:val="28"/>
          <w:lang w:eastAsia="zh-CN"/>
        </w:rPr>
        <w:t>对投标人的纪律要求</w:t>
      </w:r>
    </w:p>
    <w:p w14:paraId="5044190F">
      <w:pPr>
        <w:keepNext w:val="0"/>
        <w:keepLines w:val="0"/>
        <w:pageBreakBefore w:val="0"/>
        <w:widowControl/>
        <w:kinsoku w:val="0"/>
        <w:wordWrap/>
        <w:overflowPunct/>
        <w:topLinePunct w:val="0"/>
        <w:autoSpaceDE w:val="0"/>
        <w:autoSpaceDN w:val="0"/>
        <w:bidi w:val="0"/>
        <w:adjustRightInd w:val="0"/>
        <w:snapToGrid w:val="0"/>
        <w:spacing w:before="158" w:line="460" w:lineRule="exact"/>
        <w:ind w:firstLine="480"/>
        <w:jc w:val="both"/>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投标人不得相互串通投标或者与招标人串通投标，不得向招标人或者评标委员会成员行贿谋取中标，不得以他人名义投标或者以其他方式弄虚作假骗取中标；投</w:t>
      </w:r>
      <w:r>
        <w:rPr>
          <w:rFonts w:ascii="宋体" w:hAnsi="宋体" w:eastAsia="宋体" w:cs="宋体"/>
          <w:color w:val="auto"/>
          <w:spacing w:val="-1"/>
          <w:sz w:val="24"/>
          <w:szCs w:val="24"/>
          <w:lang w:eastAsia="zh-CN"/>
        </w:rPr>
        <w:t>标人不得以任何方式干扰、影响评标工作。</w:t>
      </w:r>
    </w:p>
    <w:p w14:paraId="6BEE8A04">
      <w:pPr>
        <w:keepNext w:val="0"/>
        <w:keepLines w:val="0"/>
        <w:pageBreakBefore w:val="0"/>
        <w:widowControl/>
        <w:kinsoku w:val="0"/>
        <w:wordWrap/>
        <w:overflowPunct/>
        <w:topLinePunct w:val="0"/>
        <w:autoSpaceDE w:val="0"/>
        <w:autoSpaceDN w:val="0"/>
        <w:bidi w:val="0"/>
        <w:adjustRightInd w:val="0"/>
        <w:snapToGrid w:val="0"/>
        <w:spacing w:before="161" w:line="460" w:lineRule="exact"/>
        <w:ind w:left="491"/>
        <w:textAlignment w:val="auto"/>
        <w:rPr>
          <w:rFonts w:ascii="宋体" w:hAnsi="宋体" w:eastAsia="宋体" w:cs="宋体"/>
          <w:color w:val="auto"/>
          <w:sz w:val="28"/>
          <w:szCs w:val="28"/>
          <w:lang w:eastAsia="zh-CN"/>
        </w:rPr>
      </w:pPr>
      <w:r>
        <w:rPr>
          <w:rFonts w:ascii="宋体" w:hAnsi="宋体" w:eastAsia="宋体" w:cs="宋体"/>
          <w:b/>
          <w:bCs/>
          <w:color w:val="auto"/>
          <w:spacing w:val="-3"/>
          <w:sz w:val="24"/>
          <w:szCs w:val="24"/>
          <w:lang w:eastAsia="zh-CN"/>
        </w:rPr>
        <w:t>9.3</w:t>
      </w:r>
      <w:r>
        <w:rPr>
          <w:rFonts w:ascii="宋体" w:hAnsi="宋体" w:eastAsia="宋体" w:cs="宋体"/>
          <w:b/>
          <w:bCs/>
          <w:color w:val="auto"/>
          <w:spacing w:val="-3"/>
          <w:sz w:val="28"/>
          <w:szCs w:val="28"/>
          <w:lang w:eastAsia="zh-CN"/>
        </w:rPr>
        <w:t>对评标委员会成员的纪律要求</w:t>
      </w:r>
    </w:p>
    <w:p w14:paraId="2E91F2EC">
      <w:pPr>
        <w:keepNext w:val="0"/>
        <w:keepLines w:val="0"/>
        <w:pageBreakBefore w:val="0"/>
        <w:widowControl/>
        <w:kinsoku w:val="0"/>
        <w:wordWrap/>
        <w:overflowPunct/>
        <w:topLinePunct w:val="0"/>
        <w:autoSpaceDE w:val="0"/>
        <w:autoSpaceDN w:val="0"/>
        <w:bidi w:val="0"/>
        <w:adjustRightInd w:val="0"/>
        <w:snapToGrid w:val="0"/>
        <w:spacing w:before="157" w:line="460" w:lineRule="exact"/>
        <w:ind w:firstLine="480"/>
        <w:jc w:val="both"/>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评标委员会成员不得收受他人的财物或者其他好处，不得向他人透漏对投标文</w:t>
      </w:r>
      <w:r>
        <w:rPr>
          <w:rFonts w:ascii="宋体" w:hAnsi="宋体" w:eastAsia="宋体" w:cs="宋体"/>
          <w:color w:val="auto"/>
          <w:spacing w:val="9"/>
          <w:sz w:val="24"/>
          <w:szCs w:val="24"/>
          <w:lang w:eastAsia="zh-CN"/>
        </w:rPr>
        <w:t>件的评审和比较、中标候选人的推荐情况以及评标有关的其他情况。在评标活动</w:t>
      </w:r>
      <w:r>
        <w:rPr>
          <w:rFonts w:ascii="宋体" w:hAnsi="宋体" w:eastAsia="宋体" w:cs="宋体"/>
          <w:color w:val="auto"/>
          <w:spacing w:val="6"/>
          <w:sz w:val="24"/>
          <w:szCs w:val="24"/>
          <w:lang w:eastAsia="zh-CN"/>
        </w:rPr>
        <w:t>中，评标委员会成员不得擅离职守，影响评标程序正常进行，不得使用第</w:t>
      </w:r>
      <w:r>
        <w:rPr>
          <w:rFonts w:ascii="宋体" w:hAnsi="宋体" w:eastAsia="宋体" w:cs="宋体"/>
          <w:color w:val="auto"/>
          <w:spacing w:val="5"/>
          <w:sz w:val="24"/>
          <w:szCs w:val="24"/>
          <w:lang w:eastAsia="zh-CN"/>
        </w:rPr>
        <w:t>三章</w:t>
      </w:r>
      <w:r>
        <w:rPr>
          <w:rFonts w:hint="eastAsia" w:ascii="Times New Roman" w:hAnsi="Times New Roman" w:eastAsia="Times New Roman" w:cs="Times New Roman"/>
          <w:color w:val="auto"/>
          <w:spacing w:val="5"/>
          <w:sz w:val="24"/>
          <w:szCs w:val="24"/>
          <w:lang w:eastAsia="zh-CN"/>
        </w:rPr>
        <w:t>“</w:t>
      </w:r>
      <w:r>
        <w:rPr>
          <w:rFonts w:ascii="宋体" w:hAnsi="宋体" w:eastAsia="宋体" w:cs="宋体"/>
          <w:color w:val="auto"/>
          <w:spacing w:val="5"/>
          <w:sz w:val="24"/>
          <w:szCs w:val="24"/>
          <w:lang w:eastAsia="zh-CN"/>
        </w:rPr>
        <w:t>评</w:t>
      </w:r>
      <w:r>
        <w:rPr>
          <w:rFonts w:ascii="宋体" w:hAnsi="宋体" w:eastAsia="宋体" w:cs="宋体"/>
          <w:color w:val="auto"/>
          <w:spacing w:val="-1"/>
          <w:sz w:val="24"/>
          <w:szCs w:val="24"/>
          <w:lang w:eastAsia="zh-CN"/>
        </w:rPr>
        <w:t>标办法</w:t>
      </w:r>
      <w:r>
        <w:rPr>
          <w:rFonts w:ascii="Times New Roman" w:hAnsi="Times New Roman" w:eastAsia="Times New Roman" w:cs="Times New Roman"/>
          <w:color w:val="auto"/>
          <w:spacing w:val="-1"/>
          <w:sz w:val="24"/>
          <w:szCs w:val="24"/>
          <w:lang w:eastAsia="zh-CN"/>
        </w:rPr>
        <w:t>”</w:t>
      </w:r>
      <w:r>
        <w:rPr>
          <w:rFonts w:ascii="宋体" w:hAnsi="宋体" w:eastAsia="宋体" w:cs="宋体"/>
          <w:color w:val="auto"/>
          <w:spacing w:val="-1"/>
          <w:sz w:val="24"/>
          <w:szCs w:val="24"/>
          <w:lang w:eastAsia="zh-CN"/>
        </w:rPr>
        <w:t>没有规定的评审因素和标准进行评标。</w:t>
      </w:r>
    </w:p>
    <w:p w14:paraId="1D044259">
      <w:pPr>
        <w:keepNext w:val="0"/>
        <w:keepLines w:val="0"/>
        <w:pageBreakBefore w:val="0"/>
        <w:widowControl/>
        <w:kinsoku w:val="0"/>
        <w:wordWrap/>
        <w:overflowPunct/>
        <w:topLinePunct w:val="0"/>
        <w:autoSpaceDE w:val="0"/>
        <w:autoSpaceDN w:val="0"/>
        <w:bidi w:val="0"/>
        <w:adjustRightInd w:val="0"/>
        <w:snapToGrid w:val="0"/>
        <w:spacing w:before="161" w:line="460" w:lineRule="exact"/>
        <w:ind w:left="491"/>
        <w:textAlignment w:val="auto"/>
        <w:rPr>
          <w:rFonts w:ascii="宋体" w:hAnsi="宋体" w:eastAsia="宋体" w:cs="宋体"/>
          <w:color w:val="auto"/>
          <w:sz w:val="28"/>
          <w:szCs w:val="28"/>
          <w:lang w:eastAsia="zh-CN"/>
        </w:rPr>
      </w:pPr>
      <w:r>
        <w:rPr>
          <w:rFonts w:ascii="宋体" w:hAnsi="宋体" w:eastAsia="宋体" w:cs="宋体"/>
          <w:b/>
          <w:bCs/>
          <w:color w:val="auto"/>
          <w:spacing w:val="-3"/>
          <w:sz w:val="24"/>
          <w:szCs w:val="24"/>
          <w:lang w:eastAsia="zh-CN"/>
        </w:rPr>
        <w:t>9.4</w:t>
      </w:r>
      <w:r>
        <w:rPr>
          <w:rFonts w:ascii="宋体" w:hAnsi="宋体" w:eastAsia="宋体" w:cs="宋体"/>
          <w:b/>
          <w:bCs/>
          <w:color w:val="auto"/>
          <w:spacing w:val="-3"/>
          <w:sz w:val="28"/>
          <w:szCs w:val="28"/>
          <w:lang w:eastAsia="zh-CN"/>
        </w:rPr>
        <w:t>对与评标活动有关的工作人员的纪律要求</w:t>
      </w:r>
    </w:p>
    <w:p w14:paraId="6E15EEA7">
      <w:pPr>
        <w:keepNext w:val="0"/>
        <w:keepLines w:val="0"/>
        <w:pageBreakBefore w:val="0"/>
        <w:widowControl/>
        <w:kinsoku w:val="0"/>
        <w:wordWrap/>
        <w:overflowPunct/>
        <w:topLinePunct w:val="0"/>
        <w:autoSpaceDE w:val="0"/>
        <w:autoSpaceDN w:val="0"/>
        <w:bidi w:val="0"/>
        <w:adjustRightInd w:val="0"/>
        <w:snapToGrid w:val="0"/>
        <w:spacing w:before="158" w:line="460" w:lineRule="exact"/>
        <w:ind w:firstLine="485"/>
        <w:jc w:val="both"/>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与评标活动有关的工作人员不得收受他人的财物或者其他好处，不得向他人透漏对投标文件的评审和比较、中标候选人的推荐情况以及评标有关的其他情况。在</w:t>
      </w:r>
      <w:r>
        <w:rPr>
          <w:rFonts w:ascii="宋体" w:hAnsi="宋体" w:eastAsia="宋体" w:cs="宋体"/>
          <w:color w:val="auto"/>
          <w:sz w:val="24"/>
          <w:szCs w:val="24"/>
          <w:lang w:eastAsia="zh-CN"/>
        </w:rPr>
        <w:t>评标活动中，与评标活动有关的工作人员不得擅离职守，影</w:t>
      </w:r>
      <w:r>
        <w:rPr>
          <w:rFonts w:ascii="宋体" w:hAnsi="宋体" w:eastAsia="宋体" w:cs="宋体"/>
          <w:color w:val="auto"/>
          <w:spacing w:val="-1"/>
          <w:sz w:val="24"/>
          <w:szCs w:val="24"/>
          <w:lang w:eastAsia="zh-CN"/>
        </w:rPr>
        <w:t>响评标程序正常进行。</w:t>
      </w:r>
    </w:p>
    <w:p w14:paraId="2CBCF839">
      <w:pPr>
        <w:keepNext w:val="0"/>
        <w:keepLines w:val="0"/>
        <w:pageBreakBefore w:val="0"/>
        <w:widowControl/>
        <w:kinsoku w:val="0"/>
        <w:wordWrap/>
        <w:overflowPunct/>
        <w:topLinePunct w:val="0"/>
        <w:autoSpaceDE w:val="0"/>
        <w:autoSpaceDN w:val="0"/>
        <w:bidi w:val="0"/>
        <w:adjustRightInd w:val="0"/>
        <w:snapToGrid w:val="0"/>
        <w:spacing w:before="162" w:line="460" w:lineRule="exact"/>
        <w:ind w:left="491"/>
        <w:textAlignment w:val="auto"/>
        <w:rPr>
          <w:rFonts w:ascii="宋体" w:hAnsi="宋体" w:eastAsia="宋体" w:cs="宋体"/>
          <w:color w:val="auto"/>
          <w:sz w:val="28"/>
          <w:szCs w:val="28"/>
          <w:lang w:eastAsia="zh-CN"/>
        </w:rPr>
      </w:pPr>
      <w:r>
        <w:rPr>
          <w:rFonts w:ascii="宋体" w:hAnsi="宋体" w:eastAsia="宋体" w:cs="宋体"/>
          <w:b/>
          <w:bCs/>
          <w:color w:val="auto"/>
          <w:spacing w:val="-6"/>
          <w:sz w:val="24"/>
          <w:szCs w:val="24"/>
          <w:lang w:eastAsia="zh-CN"/>
        </w:rPr>
        <w:t>9.5</w:t>
      </w:r>
      <w:r>
        <w:rPr>
          <w:rFonts w:ascii="宋体" w:hAnsi="宋体" w:eastAsia="宋体" w:cs="宋体"/>
          <w:b/>
          <w:bCs/>
          <w:color w:val="auto"/>
          <w:spacing w:val="-6"/>
          <w:sz w:val="28"/>
          <w:szCs w:val="28"/>
          <w:lang w:eastAsia="zh-CN"/>
        </w:rPr>
        <w:t>异议和投诉</w:t>
      </w:r>
    </w:p>
    <w:p w14:paraId="0CF6E113">
      <w:pPr>
        <w:keepNext w:val="0"/>
        <w:keepLines w:val="0"/>
        <w:pageBreakBefore w:val="0"/>
        <w:widowControl/>
        <w:kinsoku w:val="0"/>
        <w:wordWrap/>
        <w:overflowPunct/>
        <w:topLinePunct w:val="0"/>
        <w:autoSpaceDE w:val="0"/>
        <w:autoSpaceDN w:val="0"/>
        <w:bidi w:val="0"/>
        <w:adjustRightInd w:val="0"/>
        <w:snapToGrid w:val="0"/>
        <w:spacing w:before="158" w:line="460" w:lineRule="exact"/>
        <w:ind w:left="481"/>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9.5.1异议</w:t>
      </w:r>
    </w:p>
    <w:p w14:paraId="1C2AA74D">
      <w:pPr>
        <w:keepNext w:val="0"/>
        <w:keepLines w:val="0"/>
        <w:pageBreakBefore w:val="0"/>
        <w:widowControl/>
        <w:kinsoku w:val="0"/>
        <w:wordWrap/>
        <w:overflowPunct/>
        <w:topLinePunct w:val="0"/>
        <w:autoSpaceDE w:val="0"/>
        <w:autoSpaceDN w:val="0"/>
        <w:bidi w:val="0"/>
        <w:adjustRightInd w:val="0"/>
        <w:snapToGrid w:val="0"/>
        <w:spacing w:before="28" w:line="460" w:lineRule="exact"/>
        <w:ind w:firstLine="491"/>
        <w:textAlignment w:val="auto"/>
        <w:rPr>
          <w:rFonts w:ascii="宋体" w:hAnsi="宋体" w:eastAsia="宋体" w:cs="宋体"/>
          <w:color w:val="auto"/>
          <w:sz w:val="24"/>
          <w:szCs w:val="24"/>
          <w:lang w:eastAsia="zh-CN"/>
        </w:rPr>
      </w:pPr>
      <w:r>
        <w:rPr>
          <w:rFonts w:ascii="宋体" w:hAnsi="宋体" w:eastAsia="宋体" w:cs="宋体"/>
          <w:color w:val="auto"/>
          <w:spacing w:val="5"/>
          <w:sz w:val="24"/>
          <w:szCs w:val="24"/>
          <w:lang w:eastAsia="zh-CN"/>
        </w:rPr>
        <w:t>（1）潜在投标人或者其他利害关系人对招标文件有异议的，应当在投标截止时间10日前以书面形式向招标人提出。招标人将在收到异议之日起3日内作出书面</w:t>
      </w:r>
      <w:r>
        <w:rPr>
          <w:rFonts w:ascii="宋体" w:hAnsi="宋体" w:eastAsia="宋体" w:cs="宋体"/>
          <w:color w:val="auto"/>
          <w:spacing w:val="-1"/>
          <w:sz w:val="24"/>
          <w:szCs w:val="24"/>
          <w:lang w:eastAsia="zh-CN"/>
        </w:rPr>
        <w:t>答复；作出答复前，暂停招标投标活动。</w:t>
      </w:r>
    </w:p>
    <w:p w14:paraId="0C802733">
      <w:pPr>
        <w:keepNext w:val="0"/>
        <w:keepLines w:val="0"/>
        <w:pageBreakBefore w:val="0"/>
        <w:widowControl/>
        <w:kinsoku w:val="0"/>
        <w:wordWrap/>
        <w:overflowPunct/>
        <w:topLinePunct w:val="0"/>
        <w:autoSpaceDE w:val="0"/>
        <w:autoSpaceDN w:val="0"/>
        <w:bidi w:val="0"/>
        <w:adjustRightInd w:val="0"/>
        <w:snapToGrid w:val="0"/>
        <w:spacing w:before="26" w:line="460" w:lineRule="exact"/>
        <w:ind w:left="16" w:firstLine="476"/>
        <w:textAlignment w:val="auto"/>
        <w:rPr>
          <w:rFonts w:ascii="宋体" w:hAnsi="宋体" w:eastAsia="宋体" w:cs="宋体"/>
          <w:color w:val="auto"/>
          <w:sz w:val="24"/>
          <w:szCs w:val="24"/>
          <w:lang w:eastAsia="zh-CN"/>
        </w:rPr>
      </w:pPr>
      <w:r>
        <w:rPr>
          <w:rFonts w:ascii="宋体" w:hAnsi="宋体" w:eastAsia="宋体" w:cs="宋体"/>
          <w:color w:val="auto"/>
          <w:spacing w:val="5"/>
          <w:sz w:val="24"/>
          <w:szCs w:val="24"/>
          <w:lang w:eastAsia="zh-CN"/>
        </w:rPr>
        <w:t>（2）投标人认为开标不符合有关规定的，应当在开标时提出异议。招标人将</w:t>
      </w:r>
      <w:r>
        <w:rPr>
          <w:rFonts w:ascii="宋体" w:hAnsi="宋体" w:eastAsia="宋体" w:cs="宋体"/>
          <w:color w:val="auto"/>
          <w:spacing w:val="2"/>
          <w:sz w:val="24"/>
          <w:szCs w:val="24"/>
          <w:lang w:eastAsia="zh-CN"/>
        </w:rPr>
        <w:t>当场对异议给予处理或者告知处理的办法。异议和答复应记入</w:t>
      </w:r>
      <w:r>
        <w:rPr>
          <w:rFonts w:ascii="宋体" w:hAnsi="宋体" w:eastAsia="宋体" w:cs="宋体"/>
          <w:color w:val="auto"/>
          <w:spacing w:val="1"/>
          <w:sz w:val="24"/>
          <w:szCs w:val="24"/>
          <w:lang w:eastAsia="zh-CN"/>
        </w:rPr>
        <w:t>开标记录或者制作专</w:t>
      </w:r>
      <w:r>
        <w:rPr>
          <w:rFonts w:ascii="宋体" w:hAnsi="宋体" w:eastAsia="宋体" w:cs="宋体"/>
          <w:color w:val="auto"/>
          <w:spacing w:val="-3"/>
          <w:sz w:val="24"/>
          <w:szCs w:val="24"/>
          <w:lang w:eastAsia="zh-CN"/>
        </w:rPr>
        <w:t>门记录以存档备查。</w:t>
      </w:r>
    </w:p>
    <w:p w14:paraId="1C603B1F">
      <w:pPr>
        <w:keepNext w:val="0"/>
        <w:keepLines w:val="0"/>
        <w:pageBreakBefore w:val="0"/>
        <w:widowControl/>
        <w:kinsoku w:val="0"/>
        <w:wordWrap/>
        <w:overflowPunct/>
        <w:topLinePunct w:val="0"/>
        <w:autoSpaceDE w:val="0"/>
        <w:autoSpaceDN w:val="0"/>
        <w:bidi w:val="0"/>
        <w:adjustRightInd w:val="0"/>
        <w:snapToGrid w:val="0"/>
        <w:spacing w:before="28" w:line="460" w:lineRule="exact"/>
        <w:jc w:val="left"/>
        <w:textAlignment w:val="auto"/>
        <w:rPr>
          <w:rFonts w:ascii="宋体" w:hAnsi="宋体" w:eastAsia="宋体" w:cs="宋体"/>
          <w:color w:val="auto"/>
          <w:spacing w:val="5"/>
          <w:sz w:val="24"/>
          <w:szCs w:val="24"/>
          <w:lang w:eastAsia="zh-CN"/>
        </w:rPr>
      </w:pPr>
      <w:r>
        <w:rPr>
          <w:rFonts w:ascii="宋体" w:hAnsi="宋体" w:eastAsia="宋体" w:cs="宋体"/>
          <w:color w:val="auto"/>
          <w:spacing w:val="5"/>
          <w:sz w:val="24"/>
          <w:szCs w:val="24"/>
          <w:lang w:eastAsia="zh-CN"/>
        </w:rPr>
        <w:t>（3）投标人及其他利害关系人对评标结果有异议的，应当在中标候选人公示期内以书面形式向招标人提出。招标人将在收到异议之日起3日内作出书面答复；作出答复前，暂停招标投标活动。</w:t>
      </w:r>
    </w:p>
    <w:p w14:paraId="686DA662">
      <w:pPr>
        <w:keepNext w:val="0"/>
        <w:keepLines w:val="0"/>
        <w:pageBreakBefore w:val="0"/>
        <w:widowControl/>
        <w:kinsoku w:val="0"/>
        <w:wordWrap/>
        <w:overflowPunct/>
        <w:topLinePunct w:val="0"/>
        <w:autoSpaceDE w:val="0"/>
        <w:autoSpaceDN w:val="0"/>
        <w:bidi w:val="0"/>
        <w:adjustRightInd w:val="0"/>
        <w:snapToGrid w:val="0"/>
        <w:spacing w:before="27" w:line="460" w:lineRule="exact"/>
        <w:ind w:left="479"/>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9.5.2投诉</w:t>
      </w:r>
    </w:p>
    <w:p w14:paraId="515ACBB2">
      <w:pPr>
        <w:keepNext w:val="0"/>
        <w:keepLines w:val="0"/>
        <w:pageBreakBefore w:val="0"/>
        <w:widowControl/>
        <w:kinsoku w:val="0"/>
        <w:wordWrap/>
        <w:overflowPunct/>
        <w:topLinePunct w:val="0"/>
        <w:autoSpaceDE w:val="0"/>
        <w:autoSpaceDN w:val="0"/>
        <w:bidi w:val="0"/>
        <w:adjustRightInd w:val="0"/>
        <w:snapToGrid w:val="0"/>
        <w:spacing w:before="25" w:line="460" w:lineRule="exact"/>
        <w:ind w:right="7" w:firstLine="477"/>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投标人或者其他利害关系人认为招标投标活动不符合法律、行政法规规定的，可以自知道或者应当知道之日起10日内向有关行政监督部门投诉。投诉应当有明确</w:t>
      </w:r>
      <w:r>
        <w:rPr>
          <w:rFonts w:ascii="宋体" w:hAnsi="宋体" w:eastAsia="宋体" w:cs="宋体"/>
          <w:color w:val="auto"/>
          <w:spacing w:val="9"/>
          <w:sz w:val="24"/>
          <w:szCs w:val="24"/>
          <w:lang w:eastAsia="zh-CN"/>
        </w:rPr>
        <w:t>的请求和必要的证明材料，具体要求按国家、省及当地招投标主管部门制定的规</w:t>
      </w:r>
      <w:r>
        <w:rPr>
          <w:rFonts w:ascii="宋体" w:hAnsi="宋体" w:eastAsia="宋体" w:cs="宋体"/>
          <w:color w:val="auto"/>
          <w:spacing w:val="2"/>
          <w:sz w:val="24"/>
          <w:szCs w:val="24"/>
          <w:lang w:eastAsia="zh-CN"/>
        </w:rPr>
        <w:t>定。就招标文件、开标和评标结果投诉的，应当先向招标人提出异议，异议答复期</w:t>
      </w:r>
      <w:r>
        <w:rPr>
          <w:rFonts w:ascii="宋体" w:hAnsi="宋体" w:eastAsia="宋体" w:cs="宋体"/>
          <w:color w:val="auto"/>
          <w:spacing w:val="-1"/>
          <w:sz w:val="24"/>
          <w:szCs w:val="24"/>
          <w:lang w:eastAsia="zh-CN"/>
        </w:rPr>
        <w:t>不计算在前款规定的期限内。</w:t>
      </w:r>
    </w:p>
    <w:p w14:paraId="0CBE8269">
      <w:pPr>
        <w:keepNext w:val="0"/>
        <w:keepLines w:val="0"/>
        <w:pageBreakBefore w:val="0"/>
        <w:widowControl/>
        <w:kinsoku w:val="0"/>
        <w:wordWrap/>
        <w:overflowPunct/>
        <w:topLinePunct w:val="0"/>
        <w:autoSpaceDE w:val="0"/>
        <w:autoSpaceDN w:val="0"/>
        <w:bidi w:val="0"/>
        <w:adjustRightInd w:val="0"/>
        <w:snapToGrid w:val="0"/>
        <w:spacing w:before="27" w:line="460" w:lineRule="exact"/>
        <w:ind w:left="39" w:firstLine="439"/>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上述时限最后一日如遇国家法定休假日的，顺延至法定休假日后的第一个工作</w:t>
      </w:r>
      <w:r>
        <w:rPr>
          <w:rFonts w:ascii="宋体" w:hAnsi="宋体" w:eastAsia="宋体" w:cs="宋体"/>
          <w:color w:val="auto"/>
          <w:spacing w:val="-26"/>
          <w:sz w:val="24"/>
          <w:szCs w:val="24"/>
          <w:lang w:eastAsia="zh-CN"/>
        </w:rPr>
        <w:t>日。</w:t>
      </w:r>
    </w:p>
    <w:p w14:paraId="1AC5CA29">
      <w:pPr>
        <w:keepNext w:val="0"/>
        <w:keepLines w:val="0"/>
        <w:pageBreakBefore w:val="0"/>
        <w:widowControl/>
        <w:kinsoku w:val="0"/>
        <w:wordWrap/>
        <w:overflowPunct/>
        <w:topLinePunct w:val="0"/>
        <w:autoSpaceDE w:val="0"/>
        <w:autoSpaceDN w:val="0"/>
        <w:bidi w:val="0"/>
        <w:adjustRightInd w:val="0"/>
        <w:snapToGrid w:val="0"/>
        <w:spacing w:before="138" w:line="460" w:lineRule="exact"/>
        <w:ind w:left="9"/>
        <w:textAlignment w:val="auto"/>
        <w:rPr>
          <w:rFonts w:ascii="宋体" w:hAnsi="宋体" w:eastAsia="宋体" w:cs="宋体"/>
          <w:color w:val="auto"/>
          <w:sz w:val="31"/>
          <w:szCs w:val="31"/>
          <w:lang w:eastAsia="zh-CN"/>
        </w:rPr>
      </w:pPr>
      <w:r>
        <w:rPr>
          <w:rFonts w:ascii="Times New Roman" w:hAnsi="Times New Roman" w:eastAsia="Times New Roman" w:cs="Times New Roman"/>
          <w:b/>
          <w:bCs/>
          <w:color w:val="auto"/>
          <w:spacing w:val="4"/>
          <w:sz w:val="31"/>
          <w:szCs w:val="31"/>
          <w:lang w:eastAsia="zh-CN"/>
        </w:rPr>
        <w:t>10.</w:t>
      </w:r>
      <w:r>
        <w:rPr>
          <w:rFonts w:ascii="宋体" w:hAnsi="宋体" w:eastAsia="宋体" w:cs="宋体"/>
          <w:b/>
          <w:bCs/>
          <w:color w:val="auto"/>
          <w:spacing w:val="4"/>
          <w:sz w:val="31"/>
          <w:szCs w:val="31"/>
          <w:lang w:eastAsia="zh-CN"/>
        </w:rPr>
        <w:t>需要补充的其他内容</w:t>
      </w:r>
    </w:p>
    <w:p w14:paraId="4E73BA9A">
      <w:pPr>
        <w:keepNext w:val="0"/>
        <w:keepLines w:val="0"/>
        <w:pageBreakBefore w:val="0"/>
        <w:widowControl/>
        <w:kinsoku w:val="0"/>
        <w:wordWrap/>
        <w:overflowPunct/>
        <w:topLinePunct w:val="0"/>
        <w:autoSpaceDE w:val="0"/>
        <w:autoSpaceDN w:val="0"/>
        <w:bidi w:val="0"/>
        <w:adjustRightInd w:val="0"/>
        <w:snapToGrid w:val="0"/>
        <w:spacing w:before="130" w:line="460" w:lineRule="exact"/>
        <w:ind w:left="483"/>
        <w:textAlignment w:val="auto"/>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需要补充的其他内容：见投标人须知前附表。</w:t>
      </w:r>
    </w:p>
    <w:p w14:paraId="331E353F">
      <w:pPr>
        <w:keepNext w:val="0"/>
        <w:keepLines w:val="0"/>
        <w:pageBreakBefore w:val="0"/>
        <w:widowControl/>
        <w:kinsoku w:val="0"/>
        <w:wordWrap/>
        <w:overflowPunct/>
        <w:topLinePunct w:val="0"/>
        <w:autoSpaceDE w:val="0"/>
        <w:autoSpaceDN w:val="0"/>
        <w:bidi w:val="0"/>
        <w:adjustRightInd w:val="0"/>
        <w:snapToGrid w:val="0"/>
        <w:spacing w:line="460" w:lineRule="exact"/>
        <w:textAlignment w:val="auto"/>
        <w:rPr>
          <w:rFonts w:ascii="宋体" w:hAnsi="宋体" w:eastAsia="宋体" w:cs="宋体"/>
          <w:color w:val="auto"/>
          <w:sz w:val="24"/>
          <w:szCs w:val="24"/>
          <w:lang w:eastAsia="zh-CN"/>
        </w:rPr>
        <w:sectPr>
          <w:footerReference r:id="rId7" w:type="default"/>
          <w:pgSz w:w="11906" w:h="16839"/>
          <w:pgMar w:top="1408" w:right="1581" w:bottom="1147" w:left="1600" w:header="0" w:footer="960" w:gutter="0"/>
          <w:pgNumType w:fmt="decimal"/>
          <w:cols w:space="720" w:num="1"/>
          <w:docGrid w:linePitch="0" w:charSpace="0"/>
        </w:sectPr>
      </w:pPr>
    </w:p>
    <w:p w14:paraId="3857FA55">
      <w:pPr>
        <w:spacing w:before="88" w:line="225" w:lineRule="auto"/>
        <w:ind w:left="2346"/>
        <w:rPr>
          <w:rFonts w:ascii="黑体" w:hAnsi="黑体" w:eastAsia="黑体" w:cs="黑体"/>
          <w:color w:val="auto"/>
          <w:sz w:val="43"/>
          <w:szCs w:val="43"/>
          <w:lang w:eastAsia="zh-CN"/>
        </w:rPr>
      </w:pPr>
      <w:r>
        <w:rPr>
          <w:rFonts w:ascii="黑体" w:hAnsi="黑体" w:eastAsia="黑体" w:cs="黑体"/>
          <w:color w:val="auto"/>
          <w:spacing w:val="6"/>
          <w:sz w:val="43"/>
          <w:szCs w:val="43"/>
          <w:lang w:eastAsia="zh-CN"/>
        </w:rPr>
        <w:t>第三章评标定标办法</w:t>
      </w:r>
    </w:p>
    <w:p w14:paraId="41833C8D">
      <w:pPr>
        <w:pStyle w:val="8"/>
        <w:spacing w:line="372" w:lineRule="auto"/>
        <w:rPr>
          <w:color w:val="auto"/>
          <w:lang w:eastAsia="zh-CN"/>
        </w:rPr>
      </w:pPr>
    </w:p>
    <w:p w14:paraId="2530A78C">
      <w:pPr>
        <w:spacing w:before="162" w:line="226" w:lineRule="auto"/>
        <w:ind w:left="3269"/>
        <w:rPr>
          <w:rFonts w:ascii="黑体" w:hAnsi="黑体" w:eastAsia="黑体" w:cs="黑体"/>
          <w:color w:val="auto"/>
          <w:sz w:val="31"/>
          <w:szCs w:val="31"/>
          <w:lang w:eastAsia="zh-CN"/>
        </w:rPr>
      </w:pPr>
      <w:r>
        <w:rPr>
          <w:rFonts w:ascii="黑体" w:hAnsi="黑体" w:eastAsia="黑体" w:cs="黑体"/>
          <w:color w:val="auto"/>
          <w:spacing w:val="6"/>
          <w:sz w:val="31"/>
          <w:szCs w:val="31"/>
          <w:lang w:eastAsia="zh-CN"/>
        </w:rPr>
        <w:t>资信商务评估法</w:t>
      </w:r>
    </w:p>
    <w:p w14:paraId="6181969C">
      <w:pPr>
        <w:spacing w:before="32" w:line="378" w:lineRule="auto"/>
        <w:ind w:left="9" w:right="63" w:firstLine="480"/>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评标委员会可以书面方式要求投标人对投标文件中含义不明确、对同类问题表述不一致或者有明显文字和计算错误的内容作必要的澄清、说明或者补正。澄清、说明或者补正应以书面方式进行并不得超出投标文件的范围或者改变投标文件的实</w:t>
      </w:r>
      <w:r>
        <w:rPr>
          <w:rFonts w:ascii="宋体" w:hAnsi="宋体" w:eastAsia="宋体" w:cs="宋体"/>
          <w:color w:val="auto"/>
          <w:spacing w:val="-2"/>
          <w:sz w:val="24"/>
          <w:szCs w:val="24"/>
          <w:lang w:eastAsia="zh-CN"/>
        </w:rPr>
        <w:t>质性内容。</w:t>
      </w:r>
    </w:p>
    <w:p w14:paraId="19473F84">
      <w:pPr>
        <w:spacing w:before="34" w:line="222" w:lineRule="auto"/>
        <w:ind w:left="494"/>
        <w:rPr>
          <w:rFonts w:ascii="黑体" w:hAnsi="黑体" w:eastAsia="黑体" w:cs="黑体"/>
          <w:color w:val="auto"/>
          <w:sz w:val="24"/>
          <w:szCs w:val="24"/>
          <w:lang w:eastAsia="zh-CN"/>
        </w:rPr>
      </w:pPr>
      <w:r>
        <w:rPr>
          <w:rFonts w:ascii="黑体" w:hAnsi="黑体" w:eastAsia="黑体" w:cs="黑体"/>
          <w:color w:val="auto"/>
          <w:spacing w:val="-3"/>
          <w:sz w:val="24"/>
          <w:szCs w:val="24"/>
          <w:lang w:eastAsia="zh-CN"/>
        </w:rPr>
        <w:t>一、评标程序</w:t>
      </w:r>
    </w:p>
    <w:p w14:paraId="6E07BA9E">
      <w:pPr>
        <w:spacing w:before="213" w:line="219" w:lineRule="auto"/>
        <w:ind w:left="502"/>
        <w:rPr>
          <w:rFonts w:ascii="宋体" w:hAnsi="宋体" w:eastAsia="宋体" w:cs="宋体"/>
          <w:color w:val="auto"/>
          <w:sz w:val="24"/>
          <w:szCs w:val="24"/>
          <w:lang w:eastAsia="zh-CN"/>
        </w:rPr>
      </w:pPr>
      <w:r>
        <w:rPr>
          <w:rFonts w:ascii="宋体" w:hAnsi="宋体" w:eastAsia="宋体" w:cs="宋体"/>
          <w:color w:val="auto"/>
          <w:spacing w:val="-3"/>
          <w:sz w:val="24"/>
          <w:szCs w:val="24"/>
          <w:lang w:eastAsia="zh-CN"/>
        </w:rPr>
        <w:t>（一）确定评审区间</w:t>
      </w:r>
    </w:p>
    <w:p w14:paraId="25DE59C8">
      <w:pPr>
        <w:spacing w:before="213" w:line="219" w:lineRule="auto"/>
        <w:ind w:left="502"/>
        <w:rPr>
          <w:rFonts w:ascii="宋体" w:hAnsi="宋体" w:eastAsia="宋体" w:cs="宋体"/>
          <w:color w:val="auto"/>
          <w:sz w:val="24"/>
          <w:szCs w:val="24"/>
          <w:lang w:eastAsia="zh-CN"/>
        </w:rPr>
      </w:pPr>
      <w:r>
        <w:rPr>
          <w:rFonts w:ascii="宋体" w:hAnsi="宋体" w:eastAsia="宋体" w:cs="宋体"/>
          <w:color w:val="auto"/>
          <w:spacing w:val="-3"/>
          <w:sz w:val="24"/>
          <w:szCs w:val="24"/>
          <w:lang w:eastAsia="zh-CN"/>
        </w:rPr>
        <w:t>（二）商务标评审</w:t>
      </w:r>
    </w:p>
    <w:p w14:paraId="0BFB89DC">
      <w:pPr>
        <w:spacing w:before="217" w:line="219" w:lineRule="auto"/>
        <w:ind w:left="502"/>
        <w:rPr>
          <w:rFonts w:ascii="宋体" w:hAnsi="宋体" w:eastAsia="宋体" w:cs="宋体"/>
          <w:color w:val="auto"/>
          <w:sz w:val="24"/>
          <w:szCs w:val="24"/>
          <w:lang w:eastAsia="zh-CN"/>
        </w:rPr>
      </w:pPr>
      <w:r>
        <w:rPr>
          <w:rFonts w:ascii="宋体" w:hAnsi="宋体" w:eastAsia="宋体" w:cs="宋体"/>
          <w:color w:val="auto"/>
          <w:spacing w:val="-3"/>
          <w:sz w:val="24"/>
          <w:szCs w:val="24"/>
          <w:lang w:eastAsia="zh-CN"/>
        </w:rPr>
        <w:t>（三）资信标评审</w:t>
      </w:r>
    </w:p>
    <w:p w14:paraId="649C9689">
      <w:pPr>
        <w:spacing w:before="215" w:line="219" w:lineRule="auto"/>
        <w:ind w:left="502"/>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（四）评标总得分的确定</w:t>
      </w:r>
    </w:p>
    <w:p w14:paraId="5079BFDB">
      <w:pPr>
        <w:spacing w:before="215" w:line="218" w:lineRule="auto"/>
        <w:ind w:left="502"/>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（五）资格审查并推荐中标候选人</w:t>
      </w:r>
    </w:p>
    <w:p w14:paraId="32DEA52B">
      <w:pPr>
        <w:spacing w:before="217" w:line="222" w:lineRule="auto"/>
        <w:ind w:left="494"/>
        <w:rPr>
          <w:rFonts w:ascii="黑体" w:hAnsi="黑体" w:eastAsia="黑体" w:cs="黑体"/>
          <w:color w:val="auto"/>
          <w:sz w:val="24"/>
          <w:szCs w:val="24"/>
          <w:lang w:eastAsia="zh-CN"/>
        </w:rPr>
      </w:pPr>
      <w:r>
        <w:rPr>
          <w:rFonts w:ascii="黑体" w:hAnsi="黑体" w:eastAsia="黑体" w:cs="黑体"/>
          <w:color w:val="auto"/>
          <w:spacing w:val="-2"/>
          <w:sz w:val="24"/>
          <w:szCs w:val="24"/>
          <w:lang w:eastAsia="zh-CN"/>
        </w:rPr>
        <w:t>二、确定评审区间</w:t>
      </w:r>
    </w:p>
    <w:p w14:paraId="77888395">
      <w:pPr>
        <w:spacing w:before="213" w:line="370" w:lineRule="auto"/>
        <w:ind w:left="9" w:right="63" w:firstLine="480"/>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评标委员会发现投标人投标文件存在招标文件规定应当否决投标情形的，应先</w:t>
      </w:r>
      <w:r>
        <w:rPr>
          <w:rFonts w:ascii="宋体" w:hAnsi="宋体" w:eastAsia="宋体" w:cs="宋体"/>
          <w:color w:val="auto"/>
          <w:spacing w:val="-1"/>
          <w:sz w:val="24"/>
          <w:szCs w:val="24"/>
          <w:lang w:eastAsia="zh-CN"/>
        </w:rPr>
        <w:t>对投标人进行书面询问核对，情况属实的，否决其投标。</w:t>
      </w:r>
    </w:p>
    <w:p w14:paraId="1A72DE73">
      <w:pPr>
        <w:spacing w:before="39" w:line="379" w:lineRule="auto"/>
        <w:ind w:left="11" w:right="63" w:firstLine="481"/>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市内企业投标人全部进入评审区间。以市内企业投标人数量为基数，随机抽取相同数量的市外企业投标人进入评审区间。当市外企业投标人数量少于市内企业投</w:t>
      </w:r>
      <w:r>
        <w:rPr>
          <w:rFonts w:ascii="宋体" w:hAnsi="宋体" w:eastAsia="宋体" w:cs="宋体"/>
          <w:color w:val="auto"/>
          <w:spacing w:val="5"/>
          <w:sz w:val="24"/>
          <w:szCs w:val="24"/>
          <w:lang w:eastAsia="zh-CN"/>
        </w:rPr>
        <w:t>标人时，所有市外企业投标人均进入评审区间。当市内企业投标人数量不足3家，市外企业投标人数量大于3家时，市内企业投标人全部进入评审区间，并随机抽取</w:t>
      </w:r>
      <w:r>
        <w:rPr>
          <w:rFonts w:ascii="宋体" w:hAnsi="宋体" w:eastAsia="宋体" w:cs="宋体"/>
          <w:color w:val="auto"/>
          <w:spacing w:val="6"/>
          <w:sz w:val="24"/>
          <w:szCs w:val="24"/>
          <w:lang w:eastAsia="zh-CN"/>
        </w:rPr>
        <w:t>3家市外企业投标人进入评审区间。</w:t>
      </w:r>
    </w:p>
    <w:p w14:paraId="5E0AB8EB">
      <w:pPr>
        <w:spacing w:before="32" w:line="221" w:lineRule="auto"/>
        <w:ind w:left="495"/>
        <w:rPr>
          <w:rFonts w:ascii="黑体" w:hAnsi="黑体" w:eastAsia="黑体" w:cs="黑体"/>
          <w:color w:val="auto"/>
          <w:sz w:val="24"/>
          <w:szCs w:val="24"/>
          <w:lang w:eastAsia="zh-CN"/>
        </w:rPr>
      </w:pPr>
      <w:r>
        <w:rPr>
          <w:rFonts w:ascii="黑体" w:hAnsi="黑体" w:eastAsia="黑体" w:cs="黑体"/>
          <w:color w:val="auto"/>
          <w:spacing w:val="-2"/>
          <w:sz w:val="24"/>
          <w:szCs w:val="24"/>
          <w:lang w:eastAsia="zh-CN"/>
        </w:rPr>
        <w:t>三、商务标评审（95分）</w:t>
      </w:r>
    </w:p>
    <w:p w14:paraId="5B87048A">
      <w:pPr>
        <w:spacing w:before="215" w:line="218" w:lineRule="auto"/>
        <w:ind w:left="489"/>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评标委员会对进入评审区间的投标人进行商务标评审。</w:t>
      </w:r>
    </w:p>
    <w:p w14:paraId="2231BB75">
      <w:pPr>
        <w:spacing w:before="181" w:line="217" w:lineRule="auto"/>
        <w:ind w:left="492"/>
        <w:rPr>
          <w:rFonts w:ascii="宋体" w:hAnsi="宋体" w:eastAsia="宋体" w:cs="宋体"/>
          <w:color w:val="auto"/>
          <w:sz w:val="24"/>
          <w:szCs w:val="24"/>
          <w:lang w:eastAsia="zh-CN"/>
        </w:rPr>
      </w:pPr>
      <w:r>
        <w:rPr>
          <w:rFonts w:ascii="宋体" w:hAnsi="宋体" w:eastAsia="宋体" w:cs="宋体"/>
          <w:color w:val="auto"/>
          <w:spacing w:val="-3"/>
          <w:sz w:val="24"/>
          <w:szCs w:val="24"/>
          <w:lang w:eastAsia="zh-CN"/>
        </w:rPr>
        <w:t>（一）评标基准价</w:t>
      </w:r>
    </w:p>
    <w:p w14:paraId="4DAD1BB3">
      <w:pPr>
        <w:spacing w:before="218" w:line="371" w:lineRule="auto"/>
        <w:ind w:left="2" w:firstLine="479"/>
        <w:rPr>
          <w:rFonts w:ascii="宋体" w:hAnsi="宋体" w:eastAsia="宋体" w:cs="宋体"/>
          <w:color w:val="auto"/>
          <w:spacing w:val="-1"/>
          <w:sz w:val="24"/>
          <w:szCs w:val="24"/>
          <w:lang w:eastAsia="zh-CN"/>
        </w:rPr>
      </w:pPr>
      <w:r>
        <w:rPr>
          <w:rFonts w:ascii="宋体" w:hAnsi="宋体" w:eastAsia="宋体" w:cs="宋体"/>
          <w:color w:val="auto"/>
          <w:spacing w:val="2"/>
          <w:sz w:val="24"/>
          <w:szCs w:val="24"/>
          <w:lang w:eastAsia="zh-CN"/>
        </w:rPr>
        <w:t>最高投标限价乘以调整系数作为评标基准价，即评标基准价＝最高投标限价×</w:t>
      </w:r>
      <w:r>
        <w:rPr>
          <w:rFonts w:ascii="宋体" w:hAnsi="宋体" w:eastAsia="宋体" w:cs="宋体"/>
          <w:color w:val="auto"/>
          <w:spacing w:val="-1"/>
          <w:sz w:val="24"/>
          <w:szCs w:val="24"/>
          <w:lang w:eastAsia="zh-CN"/>
        </w:rPr>
        <w:t>调整系数。（以元为单位，保留整数，小数点后第1位四舍五入）</w:t>
      </w:r>
    </w:p>
    <w:p w14:paraId="303288D4">
      <w:pPr>
        <w:spacing w:before="218" w:line="371" w:lineRule="auto"/>
        <w:ind w:left="2" w:firstLine="479"/>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调整系数</w:t>
      </w:r>
      <w:r>
        <w:rPr>
          <w:rFonts w:ascii="宋体" w:hAnsi="宋体" w:eastAsia="宋体" w:cs="宋体"/>
          <w:color w:val="auto"/>
          <w:spacing w:val="-24"/>
          <w:sz w:val="24"/>
          <w:szCs w:val="24"/>
          <w:lang w:eastAsia="zh-CN"/>
        </w:rPr>
        <w:t>＝（</w:t>
      </w:r>
      <w:r>
        <w:rPr>
          <w:rFonts w:ascii="宋体" w:hAnsi="宋体" w:eastAsia="宋体" w:cs="宋体"/>
          <w:color w:val="auto"/>
          <w:spacing w:val="1"/>
          <w:sz w:val="24"/>
          <w:szCs w:val="24"/>
          <w:lang w:eastAsia="zh-CN"/>
        </w:rPr>
        <w:t>100–D）%，D值在0.00～1.99范围内随机抽取产生。先从0～1中</w:t>
      </w:r>
      <w:r>
        <w:rPr>
          <w:rFonts w:ascii="宋体" w:hAnsi="宋体" w:eastAsia="宋体" w:cs="宋体"/>
          <w:color w:val="auto"/>
          <w:sz w:val="24"/>
          <w:szCs w:val="24"/>
          <w:lang w:eastAsia="zh-CN"/>
        </w:rPr>
        <w:t xml:space="preserve">抽取个位数字X，再从0～9中抽取十分位数字Y，最后从0～9中抽取百分位数字Z,  </w:t>
      </w:r>
      <w:r>
        <w:rPr>
          <w:rFonts w:ascii="宋体" w:hAnsi="宋体" w:eastAsia="宋体" w:cs="宋体"/>
          <w:color w:val="auto"/>
          <w:spacing w:val="5"/>
          <w:sz w:val="24"/>
          <w:szCs w:val="24"/>
          <w:lang w:eastAsia="zh-CN"/>
        </w:rPr>
        <w:t>则抽取的D值即X.</w:t>
      </w:r>
      <w:r>
        <w:rPr>
          <w:rFonts w:ascii="宋体" w:hAnsi="宋体" w:eastAsia="宋体" w:cs="宋体"/>
          <w:color w:val="auto"/>
          <w:sz w:val="24"/>
          <w:szCs w:val="24"/>
          <w:lang w:eastAsia="zh-CN"/>
        </w:rPr>
        <w:t>YZ</w:t>
      </w:r>
      <w:r>
        <w:rPr>
          <w:rFonts w:ascii="宋体" w:hAnsi="宋体" w:eastAsia="宋体" w:cs="宋体"/>
          <w:color w:val="auto"/>
          <w:spacing w:val="5"/>
          <w:sz w:val="24"/>
          <w:szCs w:val="24"/>
          <w:lang w:eastAsia="zh-CN"/>
        </w:rPr>
        <w:t>。</w:t>
      </w:r>
    </w:p>
    <w:p w14:paraId="1CA239F1">
      <w:pPr>
        <w:spacing w:before="32" w:line="219" w:lineRule="auto"/>
        <w:ind w:left="492"/>
        <w:rPr>
          <w:rFonts w:ascii="宋体" w:hAnsi="宋体" w:eastAsia="宋体" w:cs="宋体"/>
          <w:color w:val="auto"/>
          <w:sz w:val="24"/>
          <w:szCs w:val="24"/>
          <w:lang w:eastAsia="zh-CN"/>
        </w:rPr>
      </w:pPr>
      <w:r>
        <w:rPr>
          <w:rFonts w:ascii="宋体" w:hAnsi="宋体" w:eastAsia="宋体" w:cs="宋体"/>
          <w:color w:val="auto"/>
          <w:spacing w:val="-3"/>
          <w:sz w:val="24"/>
          <w:szCs w:val="24"/>
          <w:lang w:eastAsia="zh-CN"/>
        </w:rPr>
        <w:t>（二）商务标得分</w:t>
      </w:r>
    </w:p>
    <w:p w14:paraId="603DA5E3">
      <w:pPr>
        <w:spacing w:before="214" w:line="381" w:lineRule="auto"/>
        <w:ind w:firstLine="480"/>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投标人的投标报价等于评标基准价的得95分。偏离评标基准价的，每高于或每</w:t>
      </w:r>
      <w:r>
        <w:rPr>
          <w:rFonts w:ascii="宋体" w:hAnsi="宋体" w:eastAsia="宋体" w:cs="宋体"/>
          <w:color w:val="auto"/>
          <w:spacing w:val="11"/>
          <w:sz w:val="24"/>
          <w:szCs w:val="24"/>
          <w:lang w:eastAsia="zh-CN"/>
        </w:rPr>
        <w:t>低于评标基准价1个百分点的均扣1分，即商务标得分=95-|(投标报价-评标基准</w:t>
      </w:r>
      <w:r>
        <w:rPr>
          <w:rFonts w:ascii="宋体" w:hAnsi="宋体" w:eastAsia="宋体" w:cs="宋体"/>
          <w:color w:val="auto"/>
          <w:spacing w:val="3"/>
          <w:sz w:val="24"/>
          <w:szCs w:val="24"/>
          <w:lang w:eastAsia="zh-CN"/>
        </w:rPr>
        <w:t>价)|/评标基准价×100×1（小数点后保留2位，小数点后第3位四舍</w:t>
      </w:r>
      <w:r>
        <w:rPr>
          <w:rFonts w:ascii="宋体" w:hAnsi="宋体" w:eastAsia="宋体" w:cs="宋体"/>
          <w:color w:val="auto"/>
          <w:spacing w:val="2"/>
          <w:sz w:val="24"/>
          <w:szCs w:val="24"/>
          <w:lang w:eastAsia="zh-CN"/>
        </w:rPr>
        <w:t>五入）。当投</w:t>
      </w:r>
      <w:r>
        <w:rPr>
          <w:rFonts w:ascii="宋体" w:hAnsi="宋体" w:eastAsia="宋体" w:cs="宋体"/>
          <w:color w:val="auto"/>
          <w:spacing w:val="11"/>
          <w:sz w:val="24"/>
          <w:szCs w:val="24"/>
          <w:lang w:eastAsia="zh-CN"/>
        </w:rPr>
        <w:t>标人商务标文件（S家）≤30时，所有投标人的投标文件</w:t>
      </w:r>
      <w:r>
        <w:rPr>
          <w:rFonts w:ascii="宋体" w:hAnsi="宋体" w:eastAsia="宋体" w:cs="宋体"/>
          <w:color w:val="auto"/>
          <w:spacing w:val="10"/>
          <w:sz w:val="24"/>
          <w:szCs w:val="24"/>
          <w:lang w:eastAsia="zh-CN"/>
        </w:rPr>
        <w:t>均进入商务标符合性评</w:t>
      </w:r>
      <w:r>
        <w:rPr>
          <w:rFonts w:ascii="宋体" w:hAnsi="宋体" w:eastAsia="宋体" w:cs="宋体"/>
          <w:color w:val="auto"/>
          <w:spacing w:val="5"/>
          <w:sz w:val="24"/>
          <w:szCs w:val="24"/>
          <w:lang w:eastAsia="zh-CN"/>
        </w:rPr>
        <w:t>审；如此时S＞30时，商务标得分排名靠前的30家投标文件进入商务标符合性评审</w:t>
      </w:r>
      <w:r>
        <w:rPr>
          <w:rFonts w:ascii="宋体" w:hAnsi="宋体" w:eastAsia="宋体" w:cs="宋体"/>
          <w:color w:val="auto"/>
          <w:spacing w:val="2"/>
          <w:sz w:val="24"/>
          <w:szCs w:val="24"/>
          <w:lang w:eastAsia="zh-CN"/>
        </w:rPr>
        <w:t>（如商务标得分排名第30名存在并列，则排名为第30名的所有投标文件一并进入商务标符合性评审）。其余投标人的投标文件不再进入下一阶段评审，投标文件作无</w:t>
      </w:r>
    </w:p>
    <w:p w14:paraId="5A48B1D9">
      <w:pPr>
        <w:spacing w:before="36" w:line="219" w:lineRule="auto"/>
        <w:ind w:left="4"/>
        <w:rPr>
          <w:rFonts w:ascii="宋体" w:hAnsi="宋体" w:eastAsia="宋体" w:cs="宋体"/>
          <w:color w:val="auto"/>
          <w:sz w:val="24"/>
          <w:szCs w:val="24"/>
          <w:lang w:eastAsia="zh-CN"/>
        </w:rPr>
      </w:pPr>
      <w:r>
        <w:rPr>
          <w:rFonts w:ascii="宋体" w:hAnsi="宋体" w:eastAsia="宋体" w:cs="宋体"/>
          <w:color w:val="auto"/>
          <w:spacing w:val="-3"/>
          <w:sz w:val="24"/>
          <w:szCs w:val="24"/>
          <w:lang w:eastAsia="zh-CN"/>
        </w:rPr>
        <w:t>效标处理。</w:t>
      </w:r>
    </w:p>
    <w:p w14:paraId="573052CF">
      <w:pPr>
        <w:spacing w:before="58" w:line="219" w:lineRule="auto"/>
        <w:ind w:left="492"/>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（三）商务标符合性评审</w:t>
      </w:r>
    </w:p>
    <w:p w14:paraId="3E9BA9A5">
      <w:pPr>
        <w:spacing w:before="184" w:line="376" w:lineRule="auto"/>
        <w:ind w:left="3" w:firstLine="480"/>
        <w:jc w:val="both"/>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评标委员会对投标文件中工程量清单的范围、数量、报价进行全面审核和对比分析。投标人存在招标文件规定应当否决投标情形的，评标委员会组织投标人询问</w:t>
      </w:r>
      <w:r>
        <w:rPr>
          <w:rFonts w:ascii="宋体" w:hAnsi="宋体" w:eastAsia="宋体" w:cs="宋体"/>
          <w:color w:val="auto"/>
          <w:spacing w:val="-1"/>
          <w:sz w:val="24"/>
          <w:szCs w:val="24"/>
          <w:lang w:eastAsia="zh-CN"/>
        </w:rPr>
        <w:t>核实后，情况属实的，商务标不予通过，否决其投标。</w:t>
      </w:r>
    </w:p>
    <w:p w14:paraId="0C8FD4A6">
      <w:pPr>
        <w:spacing w:before="32" w:line="373" w:lineRule="auto"/>
        <w:ind w:left="1" w:right="2" w:firstLine="478"/>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评标委员会对确定为实质上响应招标文件要求的投标文件进行复核, 看其是否</w:t>
      </w:r>
      <w:r>
        <w:rPr>
          <w:rFonts w:ascii="宋体" w:hAnsi="宋体" w:eastAsia="宋体" w:cs="宋体"/>
          <w:color w:val="auto"/>
          <w:spacing w:val="-1"/>
          <w:sz w:val="24"/>
          <w:szCs w:val="24"/>
          <w:lang w:eastAsia="zh-CN"/>
        </w:rPr>
        <w:t>有计算上、累计上或表达上的错误。修正错误的顺序和原则如下：</w:t>
      </w:r>
    </w:p>
    <w:p w14:paraId="700EC85E">
      <w:pPr>
        <w:spacing w:before="33" w:line="343" w:lineRule="auto"/>
        <w:ind w:left="3" w:firstLine="488"/>
        <w:rPr>
          <w:rFonts w:ascii="宋体" w:hAnsi="宋体" w:eastAsia="宋体" w:cs="宋体"/>
          <w:color w:val="auto"/>
          <w:sz w:val="24"/>
          <w:szCs w:val="24"/>
          <w:lang w:eastAsia="zh-CN"/>
        </w:rPr>
      </w:pPr>
      <w:r>
        <w:rPr>
          <w:rFonts w:ascii="宋体" w:hAnsi="宋体" w:eastAsia="宋体" w:cs="宋体"/>
          <w:color w:val="auto"/>
          <w:spacing w:val="5"/>
          <w:sz w:val="24"/>
          <w:szCs w:val="24"/>
          <w:lang w:eastAsia="zh-CN"/>
        </w:rPr>
        <w:t>（1）针对投标人的报价组价进行复核及评审，如发现有计算前后不一致时，</w:t>
      </w:r>
      <w:r>
        <w:rPr>
          <w:rFonts w:ascii="宋体" w:hAnsi="宋体" w:eastAsia="宋体" w:cs="宋体"/>
          <w:color w:val="auto"/>
          <w:spacing w:val="2"/>
          <w:sz w:val="24"/>
          <w:szCs w:val="24"/>
          <w:lang w:eastAsia="zh-CN"/>
        </w:rPr>
        <w:t>以计算前的数据为准，调整计算后数值；除非评标委员会认为计算前的数据有明显的差错或遗漏，此时应以计算后的数据为准来调整计算前的数据。因电子招投标系</w:t>
      </w:r>
      <w:r>
        <w:rPr>
          <w:rFonts w:ascii="宋体" w:hAnsi="宋体" w:eastAsia="宋体" w:cs="宋体"/>
          <w:color w:val="auto"/>
          <w:spacing w:val="-1"/>
          <w:sz w:val="24"/>
          <w:szCs w:val="24"/>
          <w:lang w:eastAsia="zh-CN"/>
        </w:rPr>
        <w:t>统小数点保留位数产生的误差忽略不计。</w:t>
      </w:r>
    </w:p>
    <w:p w14:paraId="64A03CF3">
      <w:pPr>
        <w:spacing w:before="33" w:line="343" w:lineRule="auto"/>
        <w:ind w:left="3" w:firstLine="488"/>
        <w:rPr>
          <w:rFonts w:ascii="宋体" w:hAnsi="宋体" w:eastAsia="宋体" w:cs="宋体"/>
          <w:color w:val="auto"/>
          <w:spacing w:val="2"/>
          <w:sz w:val="24"/>
          <w:szCs w:val="24"/>
          <w:lang w:eastAsia="zh-CN"/>
        </w:rPr>
      </w:pPr>
      <w:r>
        <w:rPr>
          <w:rFonts w:ascii="宋体" w:hAnsi="宋体" w:eastAsia="宋体" w:cs="宋体"/>
          <w:color w:val="auto"/>
          <w:spacing w:val="2"/>
          <w:sz w:val="24"/>
          <w:szCs w:val="24"/>
          <w:lang w:eastAsia="zh-CN"/>
        </w:rPr>
        <w:t>（2）在总报价不变的前提下，评标委员会以合理原则，通过调整组价的相应内容使其一致。</w:t>
      </w:r>
    </w:p>
    <w:p w14:paraId="2F9732B8">
      <w:pPr>
        <w:spacing w:before="33" w:line="343" w:lineRule="auto"/>
        <w:ind w:left="3" w:firstLine="488"/>
        <w:rPr>
          <w:rFonts w:ascii="宋体" w:hAnsi="宋体" w:eastAsia="宋体" w:cs="宋体"/>
          <w:color w:val="auto"/>
          <w:spacing w:val="2"/>
          <w:sz w:val="24"/>
          <w:szCs w:val="24"/>
          <w:lang w:eastAsia="zh-CN"/>
        </w:rPr>
      </w:pPr>
      <w:r>
        <w:rPr>
          <w:rFonts w:ascii="宋体" w:hAnsi="宋体" w:eastAsia="宋体" w:cs="宋体"/>
          <w:color w:val="auto"/>
          <w:spacing w:val="2"/>
          <w:sz w:val="24"/>
          <w:szCs w:val="24"/>
          <w:lang w:eastAsia="zh-CN"/>
        </w:rPr>
        <w:t>按上述修正错误的原则，调整或修正投标文件的投标报价，经投标人确认后，调整后的投标组价对投标人起约束作用。如果投标人不接受或者投标人在收到确认通知后30分钟内不能确认的，评标委员会将把调整或修正后的投标组价作为该投标人的投标组价，进入下一阶段评审，但不接受修正的投标人最终将丧失其中标资格。</w:t>
      </w:r>
    </w:p>
    <w:p w14:paraId="3F3BD213">
      <w:pPr>
        <w:spacing w:before="34" w:line="222" w:lineRule="auto"/>
        <w:ind w:left="498"/>
        <w:rPr>
          <w:rFonts w:ascii="黑体" w:hAnsi="黑体" w:eastAsia="黑体" w:cs="黑体"/>
          <w:color w:val="auto"/>
          <w:sz w:val="24"/>
          <w:szCs w:val="24"/>
          <w:lang w:eastAsia="zh-CN"/>
        </w:rPr>
      </w:pPr>
      <w:r>
        <w:rPr>
          <w:rFonts w:ascii="黑体" w:hAnsi="黑体" w:eastAsia="黑体" w:cs="黑体"/>
          <w:color w:val="auto"/>
          <w:spacing w:val="-3"/>
          <w:sz w:val="24"/>
          <w:szCs w:val="24"/>
          <w:lang w:eastAsia="zh-CN"/>
        </w:rPr>
        <w:t>四、资信标评审（5分）</w:t>
      </w:r>
    </w:p>
    <w:p w14:paraId="080F69E9">
      <w:pPr>
        <w:spacing w:before="213" w:line="370" w:lineRule="auto"/>
        <w:ind w:left="24" w:firstLine="459"/>
        <w:rPr>
          <w:rFonts w:ascii="宋体" w:hAnsi="宋体" w:eastAsia="宋体" w:cs="宋体"/>
          <w:color w:val="auto"/>
          <w:sz w:val="24"/>
          <w:szCs w:val="24"/>
          <w:lang w:eastAsia="zh-CN"/>
        </w:rPr>
      </w:pPr>
      <w:r>
        <w:rPr>
          <w:rFonts w:ascii="宋体" w:hAnsi="宋体" w:eastAsia="宋体" w:cs="宋体"/>
          <w:color w:val="auto"/>
          <w:spacing w:val="10"/>
          <w:sz w:val="24"/>
          <w:szCs w:val="24"/>
          <w:lang w:eastAsia="zh-CN"/>
        </w:rPr>
        <w:t>评标委员会发现投标人投标文件资信标存在招标文</w:t>
      </w:r>
      <w:r>
        <w:rPr>
          <w:rFonts w:ascii="宋体" w:hAnsi="宋体" w:eastAsia="宋体" w:cs="宋体"/>
          <w:color w:val="auto"/>
          <w:spacing w:val="9"/>
          <w:sz w:val="24"/>
          <w:szCs w:val="24"/>
          <w:lang w:eastAsia="zh-CN"/>
        </w:rPr>
        <w:t>件规定应当否决投标情形</w:t>
      </w:r>
      <w:r>
        <w:rPr>
          <w:rFonts w:ascii="宋体" w:hAnsi="宋体" w:eastAsia="宋体" w:cs="宋体"/>
          <w:color w:val="auto"/>
          <w:spacing w:val="-1"/>
          <w:sz w:val="24"/>
          <w:szCs w:val="24"/>
          <w:lang w:eastAsia="zh-CN"/>
        </w:rPr>
        <w:t>的，应先对投标人进行书面询问核对，情况属实的，否决其投</w:t>
      </w:r>
      <w:r>
        <w:rPr>
          <w:rFonts w:ascii="宋体" w:hAnsi="宋体" w:eastAsia="宋体" w:cs="宋体"/>
          <w:color w:val="auto"/>
          <w:spacing w:val="-2"/>
          <w:sz w:val="24"/>
          <w:szCs w:val="24"/>
          <w:lang w:eastAsia="zh-CN"/>
        </w:rPr>
        <w:t>标。</w:t>
      </w:r>
    </w:p>
    <w:p w14:paraId="52155607">
      <w:pPr>
        <w:spacing w:before="37" w:line="217" w:lineRule="auto"/>
        <w:ind w:left="496"/>
        <w:rPr>
          <w:rFonts w:ascii="宋体" w:hAnsi="宋体" w:eastAsia="宋体" w:cs="宋体"/>
          <w:color w:val="auto"/>
          <w:sz w:val="24"/>
          <w:szCs w:val="24"/>
          <w:lang w:eastAsia="zh-CN"/>
        </w:rPr>
      </w:pPr>
      <w:r>
        <w:rPr>
          <w:rFonts w:ascii="宋体" w:hAnsi="宋体" w:eastAsia="宋体" w:cs="宋体"/>
          <w:b/>
          <w:bCs/>
          <w:color w:val="auto"/>
          <w:spacing w:val="-4"/>
          <w:sz w:val="24"/>
          <w:szCs w:val="24"/>
          <w:lang w:eastAsia="zh-CN"/>
        </w:rPr>
        <w:t>（一）投标人的信用评价分（3分）</w:t>
      </w:r>
    </w:p>
    <w:p w14:paraId="2EDB0B4E">
      <w:pPr>
        <w:spacing w:before="217" w:line="378" w:lineRule="auto"/>
        <w:ind w:firstLine="484"/>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根据《台州市住房和城乡建设局关于公布建筑工程和</w:t>
      </w:r>
      <w:r>
        <w:rPr>
          <w:rFonts w:hint="eastAsia" w:ascii="宋体" w:hAnsi="宋体" w:eastAsia="宋体" w:cs="宋体"/>
          <w:color w:val="auto"/>
          <w:spacing w:val="2"/>
          <w:sz w:val="24"/>
          <w:szCs w:val="24"/>
          <w:lang w:eastAsia="zh-CN"/>
        </w:rPr>
        <w:t>建筑</w:t>
      </w:r>
      <w:r>
        <w:rPr>
          <w:rFonts w:ascii="宋体" w:hAnsi="宋体" w:eastAsia="宋体" w:cs="宋体"/>
          <w:color w:val="auto"/>
          <w:spacing w:val="2"/>
          <w:sz w:val="24"/>
          <w:szCs w:val="24"/>
          <w:lang w:eastAsia="zh-CN"/>
        </w:rPr>
        <w:t>工程企业信用等</w:t>
      </w:r>
      <w:r>
        <w:rPr>
          <w:rFonts w:ascii="宋体" w:hAnsi="宋体" w:eastAsia="宋体" w:cs="宋体"/>
          <w:color w:val="auto"/>
          <w:spacing w:val="5"/>
          <w:sz w:val="24"/>
          <w:szCs w:val="24"/>
          <w:lang w:eastAsia="zh-CN"/>
        </w:rPr>
        <w:t>级划分标准的通知（试行）》（台建〔2022〕228号</w:t>
      </w:r>
      <w:r>
        <w:rPr>
          <w:rFonts w:ascii="宋体" w:hAnsi="宋体" w:eastAsia="宋体" w:cs="宋体"/>
          <w:color w:val="auto"/>
          <w:spacing w:val="14"/>
          <w:sz w:val="24"/>
          <w:szCs w:val="24"/>
          <w:lang w:eastAsia="zh-CN"/>
        </w:rPr>
        <w:t>），</w:t>
      </w:r>
      <w:r>
        <w:rPr>
          <w:rFonts w:ascii="宋体" w:hAnsi="宋体" w:eastAsia="宋体" w:cs="宋体"/>
          <w:color w:val="auto"/>
          <w:spacing w:val="4"/>
          <w:sz w:val="24"/>
          <w:szCs w:val="24"/>
          <w:lang w:eastAsia="zh-CN"/>
        </w:rPr>
        <w:t>浙江省建筑市场监管公共</w:t>
      </w:r>
      <w:r>
        <w:rPr>
          <w:rFonts w:ascii="宋体" w:hAnsi="宋体" w:eastAsia="宋体" w:cs="宋体"/>
          <w:color w:val="auto"/>
          <w:spacing w:val="2"/>
          <w:sz w:val="24"/>
          <w:szCs w:val="24"/>
          <w:lang w:eastAsia="zh-CN"/>
        </w:rPr>
        <w:t>服务系统中房屋建筑工程和</w:t>
      </w:r>
      <w:r>
        <w:rPr>
          <w:rFonts w:hint="eastAsia" w:ascii="宋体" w:hAnsi="宋体" w:eastAsia="宋体" w:cs="宋体"/>
          <w:color w:val="auto"/>
          <w:spacing w:val="2"/>
          <w:sz w:val="24"/>
          <w:szCs w:val="24"/>
          <w:lang w:eastAsia="zh-CN"/>
        </w:rPr>
        <w:t>建筑</w:t>
      </w:r>
      <w:r>
        <w:rPr>
          <w:rFonts w:ascii="宋体" w:hAnsi="宋体" w:eastAsia="宋体" w:cs="宋体"/>
          <w:color w:val="auto"/>
          <w:spacing w:val="2"/>
          <w:sz w:val="24"/>
          <w:szCs w:val="24"/>
          <w:lang w:eastAsia="zh-CN"/>
        </w:rPr>
        <w:t>工程施工总承包企业评价等级分为 A、B、C、</w:t>
      </w:r>
      <w:r>
        <w:rPr>
          <w:rFonts w:ascii="宋体" w:hAnsi="宋体" w:eastAsia="宋体" w:cs="宋体"/>
          <w:color w:val="auto"/>
          <w:spacing w:val="-1"/>
          <w:sz w:val="24"/>
          <w:szCs w:val="24"/>
          <w:lang w:eastAsia="zh-CN"/>
        </w:rPr>
        <w:t>D、E 五个等级，各等级分值的具体标准如下：</w:t>
      </w:r>
    </w:p>
    <w:p w14:paraId="4056F5D9">
      <w:pPr>
        <w:spacing w:before="33" w:line="378" w:lineRule="auto"/>
        <w:ind w:left="478" w:right="5269" w:hanging="1"/>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A级：110分以上（含110分）B级：105-110分（含105分）C级：100-105分（含100分）</w:t>
      </w:r>
      <w:r>
        <w:rPr>
          <w:rFonts w:ascii="宋体" w:hAnsi="宋体" w:eastAsia="宋体" w:cs="宋体"/>
          <w:color w:val="auto"/>
          <w:spacing w:val="-1"/>
          <w:sz w:val="24"/>
          <w:szCs w:val="24"/>
          <w:lang w:eastAsia="zh-CN"/>
        </w:rPr>
        <w:t>D级：90-100分（含90分）</w:t>
      </w:r>
    </w:p>
    <w:p w14:paraId="60780E1E">
      <w:pPr>
        <w:spacing w:before="36" w:line="219" w:lineRule="auto"/>
        <w:ind w:left="481"/>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E级：90分以下。</w:t>
      </w:r>
    </w:p>
    <w:p w14:paraId="5B418133">
      <w:pPr>
        <w:spacing w:before="213" w:line="376" w:lineRule="auto"/>
        <w:ind w:left="5" w:firstLine="483"/>
        <w:jc w:val="both"/>
        <w:rPr>
          <w:rFonts w:ascii="宋体" w:hAnsi="宋体" w:eastAsia="宋体" w:cs="宋体"/>
          <w:color w:val="auto"/>
          <w:sz w:val="24"/>
          <w:szCs w:val="24"/>
          <w:lang w:eastAsia="zh-CN"/>
        </w:rPr>
      </w:pPr>
      <w:r>
        <w:rPr>
          <w:rFonts w:ascii="宋体" w:hAnsi="宋体" w:eastAsia="宋体" w:cs="宋体"/>
          <w:color w:val="auto"/>
          <w:spacing w:val="9"/>
          <w:sz w:val="24"/>
          <w:szCs w:val="24"/>
          <w:lang w:eastAsia="zh-CN"/>
        </w:rPr>
        <w:t>与招标项目相同专业类别的投标人信用等级C及以上</w:t>
      </w:r>
      <w:r>
        <w:rPr>
          <w:rFonts w:ascii="宋体" w:hAnsi="宋体" w:eastAsia="宋体" w:cs="宋体"/>
          <w:color w:val="auto"/>
          <w:spacing w:val="8"/>
          <w:sz w:val="24"/>
          <w:szCs w:val="24"/>
          <w:lang w:eastAsia="zh-CN"/>
        </w:rPr>
        <w:t>的，得3分；D的，得2.8</w:t>
      </w:r>
      <w:r>
        <w:rPr>
          <w:rFonts w:ascii="宋体" w:hAnsi="宋体" w:eastAsia="宋体" w:cs="宋体"/>
          <w:color w:val="auto"/>
          <w:spacing w:val="2"/>
          <w:sz w:val="24"/>
          <w:szCs w:val="24"/>
          <w:lang w:eastAsia="zh-CN"/>
        </w:rPr>
        <w:t>分；E的，得2.3分；未取得与招标项目相同专业类别信用等级的投标人，其信用评</w:t>
      </w:r>
      <w:r>
        <w:rPr>
          <w:rFonts w:ascii="宋体" w:hAnsi="宋体" w:eastAsia="宋体" w:cs="宋体"/>
          <w:color w:val="auto"/>
          <w:spacing w:val="-2"/>
          <w:sz w:val="24"/>
          <w:szCs w:val="24"/>
          <w:lang w:eastAsia="zh-CN"/>
        </w:rPr>
        <w:t>价分为1.8分。</w:t>
      </w:r>
    </w:p>
    <w:p w14:paraId="634D85C0">
      <w:pPr>
        <w:spacing w:before="35" w:line="376" w:lineRule="auto"/>
        <w:ind w:left="3" w:firstLine="480"/>
        <w:jc w:val="both"/>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投标人的信用等级及得分情况根据本工程投标截止日前两个月，经台州市建筑</w:t>
      </w:r>
      <w:r>
        <w:rPr>
          <w:rFonts w:ascii="宋体" w:hAnsi="宋体" w:eastAsia="宋体" w:cs="宋体"/>
          <w:color w:val="auto"/>
          <w:spacing w:val="6"/>
          <w:sz w:val="24"/>
          <w:szCs w:val="24"/>
          <w:lang w:eastAsia="zh-CN"/>
        </w:rPr>
        <w:t>业信息管理网网站省信用评价公示公布发布</w:t>
      </w:r>
      <w:r>
        <w:rPr>
          <w:rFonts w:ascii="宋体" w:hAnsi="宋体" w:eastAsia="宋体" w:cs="宋体"/>
          <w:color w:val="auto"/>
          <w:spacing w:val="5"/>
          <w:sz w:val="24"/>
          <w:szCs w:val="24"/>
          <w:lang w:eastAsia="zh-CN"/>
        </w:rPr>
        <w:t>的评审结果为准（例：投标截止日为7</w:t>
      </w:r>
      <w:r>
        <w:rPr>
          <w:rFonts w:ascii="宋体" w:hAnsi="宋体" w:eastAsia="宋体" w:cs="宋体"/>
          <w:color w:val="auto"/>
          <w:sz w:val="24"/>
          <w:szCs w:val="24"/>
          <w:lang w:eastAsia="zh-CN"/>
        </w:rPr>
        <w:t>月X日采用台州市建筑业信息管理网网站发布</w:t>
      </w:r>
      <w:r>
        <w:rPr>
          <w:rFonts w:ascii="宋体" w:hAnsi="宋体" w:eastAsia="宋体" w:cs="宋体"/>
          <w:color w:val="auto"/>
          <w:spacing w:val="-1"/>
          <w:sz w:val="24"/>
          <w:szCs w:val="24"/>
          <w:lang w:eastAsia="zh-CN"/>
        </w:rPr>
        <w:t>的5月份信用等级）。</w:t>
      </w:r>
    </w:p>
    <w:p w14:paraId="5BA603BB">
      <w:pPr>
        <w:spacing w:before="33" w:line="371" w:lineRule="auto"/>
        <w:ind w:left="25" w:right="2" w:firstLine="470"/>
        <w:rPr>
          <w:rFonts w:ascii="宋体" w:hAnsi="宋体" w:eastAsia="宋体" w:cs="宋体"/>
          <w:color w:val="auto"/>
          <w:sz w:val="24"/>
          <w:szCs w:val="24"/>
          <w:lang w:eastAsia="zh-CN"/>
        </w:rPr>
      </w:pPr>
      <w:r>
        <w:rPr>
          <w:rFonts w:ascii="宋体" w:hAnsi="宋体" w:eastAsia="宋体" w:cs="宋体"/>
          <w:b/>
          <w:bCs/>
          <w:color w:val="auto"/>
          <w:spacing w:val="-1"/>
          <w:sz w:val="24"/>
          <w:szCs w:val="24"/>
          <w:lang w:eastAsia="zh-CN"/>
        </w:rPr>
        <w:t>（二）项目负责人的信用评价分（2分）</w:t>
      </w:r>
      <w:r>
        <w:rPr>
          <w:rFonts w:ascii="宋体" w:hAnsi="宋体" w:eastAsia="宋体" w:cs="宋体"/>
          <w:color w:val="auto"/>
          <w:spacing w:val="-1"/>
          <w:sz w:val="24"/>
          <w:szCs w:val="24"/>
          <w:lang w:eastAsia="zh-CN"/>
        </w:rPr>
        <w:t>(此项待项目负责人信用评</w:t>
      </w:r>
      <w:r>
        <w:rPr>
          <w:rFonts w:ascii="宋体" w:hAnsi="宋体" w:eastAsia="宋体" w:cs="宋体"/>
          <w:color w:val="auto"/>
          <w:spacing w:val="-2"/>
          <w:sz w:val="24"/>
          <w:szCs w:val="24"/>
          <w:lang w:eastAsia="zh-CN"/>
        </w:rPr>
        <w:t>价实施细则</w:t>
      </w:r>
      <w:r>
        <w:rPr>
          <w:rFonts w:ascii="宋体" w:hAnsi="宋体" w:eastAsia="宋体" w:cs="宋体"/>
          <w:color w:val="auto"/>
          <w:spacing w:val="-3"/>
          <w:sz w:val="24"/>
          <w:szCs w:val="24"/>
          <w:lang w:eastAsia="zh-CN"/>
        </w:rPr>
        <w:t>出台后实施，未实施前均得满分)</w:t>
      </w:r>
    </w:p>
    <w:p w14:paraId="08BC0608">
      <w:pPr>
        <w:spacing w:before="181" w:line="217" w:lineRule="auto"/>
        <w:ind w:left="492"/>
        <w:rPr>
          <w:rFonts w:ascii="宋体" w:hAnsi="宋体" w:eastAsia="宋体" w:cs="宋体"/>
          <w:color w:val="auto"/>
          <w:sz w:val="24"/>
          <w:szCs w:val="24"/>
          <w:lang w:eastAsia="zh-CN"/>
        </w:rPr>
      </w:pPr>
      <w:r>
        <w:rPr>
          <w:rFonts w:ascii="宋体" w:hAnsi="宋体" w:eastAsia="宋体" w:cs="宋体"/>
          <w:b/>
          <w:bCs/>
          <w:color w:val="auto"/>
          <w:spacing w:val="-2"/>
          <w:sz w:val="24"/>
          <w:szCs w:val="24"/>
          <w:lang w:eastAsia="zh-CN"/>
        </w:rPr>
        <w:t>（三）资信标得分＝投标人的信用评价分+</w:t>
      </w:r>
      <w:r>
        <w:rPr>
          <w:rFonts w:ascii="宋体" w:hAnsi="宋体" w:eastAsia="宋体" w:cs="宋体"/>
          <w:b/>
          <w:bCs/>
          <w:color w:val="auto"/>
          <w:spacing w:val="-3"/>
          <w:sz w:val="24"/>
          <w:szCs w:val="24"/>
          <w:lang w:eastAsia="zh-CN"/>
        </w:rPr>
        <w:t>项目负责人的信用评价分。</w:t>
      </w:r>
    </w:p>
    <w:p w14:paraId="688FD3C1">
      <w:pPr>
        <w:spacing w:before="217" w:line="222" w:lineRule="auto"/>
        <w:ind w:left="487"/>
        <w:rPr>
          <w:rFonts w:ascii="黑体" w:hAnsi="黑体" w:eastAsia="黑体" w:cs="黑体"/>
          <w:color w:val="auto"/>
          <w:sz w:val="24"/>
          <w:szCs w:val="24"/>
          <w:lang w:eastAsia="zh-CN"/>
        </w:rPr>
      </w:pPr>
      <w:r>
        <w:rPr>
          <w:rFonts w:ascii="黑体" w:hAnsi="黑体" w:eastAsia="黑体" w:cs="黑体"/>
          <w:color w:val="auto"/>
          <w:spacing w:val="-2"/>
          <w:sz w:val="24"/>
          <w:szCs w:val="24"/>
          <w:lang w:eastAsia="zh-CN"/>
        </w:rPr>
        <w:t>五、评标总得分的确定</w:t>
      </w:r>
    </w:p>
    <w:p w14:paraId="5877E9AD">
      <w:pPr>
        <w:spacing w:before="211" w:line="219" w:lineRule="auto"/>
        <w:ind w:left="480"/>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投标人的评标总得分＝资信标得分＋商务标得分。</w:t>
      </w:r>
    </w:p>
    <w:p w14:paraId="68B89908">
      <w:pPr>
        <w:spacing w:before="213" w:line="222" w:lineRule="auto"/>
        <w:ind w:left="488"/>
        <w:rPr>
          <w:rFonts w:ascii="黑体" w:hAnsi="黑体" w:eastAsia="黑体" w:cs="黑体"/>
          <w:color w:val="auto"/>
          <w:sz w:val="24"/>
          <w:szCs w:val="24"/>
          <w:lang w:eastAsia="zh-CN"/>
        </w:rPr>
      </w:pPr>
      <w:r>
        <w:rPr>
          <w:rFonts w:ascii="黑体" w:hAnsi="黑体" w:eastAsia="黑体" w:cs="黑体"/>
          <w:color w:val="auto"/>
          <w:spacing w:val="-2"/>
          <w:sz w:val="24"/>
          <w:szCs w:val="24"/>
          <w:lang w:eastAsia="zh-CN"/>
        </w:rPr>
        <w:t>六、资格审查并推荐中标候选人</w:t>
      </w:r>
    </w:p>
    <w:p w14:paraId="37313A54">
      <w:pPr>
        <w:spacing w:before="218" w:line="370" w:lineRule="auto"/>
        <w:ind w:left="21" w:firstLine="458"/>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评标委员会按评标总得分确定中标候选人，即总得分最高者为中标候选人。如</w:t>
      </w:r>
      <w:r>
        <w:rPr>
          <w:rFonts w:ascii="宋体" w:hAnsi="宋体" w:eastAsia="宋体" w:cs="宋体"/>
          <w:color w:val="auto"/>
          <w:spacing w:val="-2"/>
          <w:sz w:val="24"/>
          <w:szCs w:val="24"/>
          <w:lang w:eastAsia="zh-CN"/>
        </w:rPr>
        <w:t>出现总得分相同的，按以下优先顺序推荐中标候选人：</w:t>
      </w:r>
    </w:p>
    <w:p w14:paraId="10DAF45D">
      <w:pPr>
        <w:spacing w:before="33" w:line="219" w:lineRule="auto"/>
        <w:ind w:left="492"/>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（一）资信标得分高者；</w:t>
      </w:r>
    </w:p>
    <w:p w14:paraId="54C1B007">
      <w:pPr>
        <w:spacing w:before="215" w:line="217" w:lineRule="auto"/>
        <w:ind w:left="492"/>
        <w:rPr>
          <w:rFonts w:ascii="宋体" w:hAnsi="宋体" w:eastAsia="宋体" w:cs="宋体"/>
          <w:color w:val="auto"/>
          <w:sz w:val="24"/>
          <w:szCs w:val="24"/>
          <w:lang w:eastAsia="zh-CN"/>
        </w:rPr>
      </w:pPr>
      <w:r>
        <w:rPr>
          <w:rFonts w:ascii="宋体" w:hAnsi="宋体" w:eastAsia="宋体" w:cs="宋体"/>
          <w:color w:val="auto"/>
          <w:spacing w:val="-3"/>
          <w:sz w:val="24"/>
          <w:szCs w:val="24"/>
          <w:lang w:eastAsia="zh-CN"/>
        </w:rPr>
        <w:t>（二）投标报价低者；</w:t>
      </w:r>
    </w:p>
    <w:p w14:paraId="3644B680">
      <w:pPr>
        <w:spacing w:before="220" w:line="219" w:lineRule="auto"/>
        <w:ind w:left="492"/>
        <w:rPr>
          <w:rFonts w:ascii="宋体" w:hAnsi="宋体" w:eastAsia="宋体" w:cs="宋体"/>
          <w:color w:val="auto"/>
          <w:sz w:val="24"/>
          <w:szCs w:val="24"/>
          <w:lang w:eastAsia="zh-CN"/>
        </w:rPr>
      </w:pPr>
      <w:r>
        <w:rPr>
          <w:rFonts w:ascii="宋体" w:hAnsi="宋体" w:eastAsia="宋体" w:cs="宋体"/>
          <w:color w:val="auto"/>
          <w:spacing w:val="-3"/>
          <w:sz w:val="24"/>
          <w:szCs w:val="24"/>
          <w:lang w:eastAsia="zh-CN"/>
        </w:rPr>
        <w:t>（三）抽签确定。</w:t>
      </w:r>
    </w:p>
    <w:p w14:paraId="34B82353">
      <w:pPr>
        <w:spacing w:before="214" w:line="382" w:lineRule="auto"/>
        <w:ind w:firstLine="480"/>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评标委员会按排名顺序依次对拟推荐为中标候选人（中标候选人的人数见投标人须知前附表）的投标人和其拟派的项目负责人的资格和其他要求，是否列入失信</w:t>
      </w:r>
      <w:r>
        <w:rPr>
          <w:rFonts w:ascii="宋体" w:hAnsi="宋体" w:eastAsia="宋体" w:cs="宋体"/>
          <w:color w:val="auto"/>
          <w:spacing w:val="9"/>
          <w:sz w:val="24"/>
          <w:szCs w:val="24"/>
          <w:lang w:eastAsia="zh-CN"/>
        </w:rPr>
        <w:t>被执行人名单以及在本招标文件（招标公告）规定时间范围内是否有行贿犯罪记</w:t>
      </w:r>
      <w:r>
        <w:rPr>
          <w:rFonts w:ascii="宋体" w:hAnsi="宋体" w:eastAsia="宋体" w:cs="宋体"/>
          <w:color w:val="auto"/>
          <w:spacing w:val="2"/>
          <w:sz w:val="24"/>
          <w:szCs w:val="24"/>
          <w:lang w:eastAsia="zh-CN"/>
        </w:rPr>
        <w:t>录；投标人及其拟派项目负责人是否被列入建筑市场严重失信名单的、是否被市场监督管理机关在全国企业信用信息公示系统中列入严重违法失信企业名单的、是否被人力资源社会保障行政部门列入失信联合惩戒名单（有效期内）并共享至信用信息共享平台的进行查验，并对拟派项目负责人是否有在建项目进行查验。评标委员会发现投标人存在招标文件规定应当否决投标情形的，应先对投标人进行书面询问核对，情况属实的，否决其投标。空缺的名额由之后排名靠前的投标人进行替补，</w:t>
      </w:r>
      <w:r>
        <w:rPr>
          <w:rFonts w:ascii="宋体" w:hAnsi="宋体" w:eastAsia="宋体" w:cs="宋体"/>
          <w:color w:val="auto"/>
          <w:sz w:val="24"/>
          <w:szCs w:val="24"/>
          <w:lang w:eastAsia="zh-CN"/>
        </w:rPr>
        <w:t>然后再对其资格进行评审，如再不符合要求</w:t>
      </w:r>
      <w:r>
        <w:rPr>
          <w:rFonts w:ascii="宋体" w:hAnsi="宋体" w:eastAsia="宋体" w:cs="宋体"/>
          <w:color w:val="auto"/>
          <w:spacing w:val="-1"/>
          <w:sz w:val="24"/>
          <w:szCs w:val="24"/>
          <w:lang w:eastAsia="zh-CN"/>
        </w:rPr>
        <w:t>，再替补，以此类推。</w:t>
      </w:r>
    </w:p>
    <w:p w14:paraId="70D8530C">
      <w:pPr>
        <w:spacing w:before="34" w:line="372" w:lineRule="auto"/>
        <w:ind w:right="2" w:firstLine="496"/>
        <w:rPr>
          <w:rFonts w:ascii="宋体" w:hAnsi="宋体" w:eastAsia="宋体" w:cs="宋体"/>
          <w:color w:val="auto"/>
          <w:sz w:val="24"/>
          <w:szCs w:val="24"/>
          <w:lang w:eastAsia="zh-CN"/>
        </w:rPr>
      </w:pPr>
      <w:r>
        <w:rPr>
          <w:rFonts w:ascii="宋体" w:hAnsi="宋体" w:eastAsia="宋体" w:cs="宋体"/>
          <w:color w:val="auto"/>
          <w:spacing w:val="5"/>
          <w:sz w:val="24"/>
          <w:szCs w:val="24"/>
          <w:lang w:eastAsia="zh-CN"/>
        </w:rPr>
        <w:t>当有效投标人＜3个时，评标委员会应判定本次投标是否具有竞争力，若评标</w:t>
      </w:r>
      <w:r>
        <w:rPr>
          <w:rFonts w:ascii="宋体" w:hAnsi="宋体" w:eastAsia="宋体" w:cs="宋体"/>
          <w:color w:val="auto"/>
          <w:spacing w:val="-1"/>
          <w:sz w:val="24"/>
          <w:szCs w:val="24"/>
          <w:lang w:eastAsia="zh-CN"/>
        </w:rPr>
        <w:t>委员会认为本次投标明显缺乏竞争的，可以否决全部投标。</w:t>
      </w:r>
    </w:p>
    <w:p w14:paraId="032C5C34">
      <w:pPr>
        <w:spacing w:line="372" w:lineRule="auto"/>
        <w:rPr>
          <w:rFonts w:ascii="宋体" w:hAnsi="宋体" w:eastAsia="宋体" w:cs="宋体"/>
          <w:color w:val="auto"/>
          <w:sz w:val="24"/>
          <w:szCs w:val="24"/>
          <w:lang w:eastAsia="zh-CN"/>
        </w:rPr>
        <w:sectPr>
          <w:footerReference r:id="rId8" w:type="default"/>
          <w:pgSz w:w="11906" w:h="16839"/>
          <w:pgMar w:top="1431" w:right="1588" w:bottom="1147" w:left="1597" w:header="0" w:footer="960" w:gutter="0"/>
          <w:pgNumType w:fmt="decimal"/>
          <w:cols w:space="720" w:num="1"/>
          <w:docGrid w:linePitch="0" w:charSpace="0"/>
        </w:sectPr>
      </w:pPr>
    </w:p>
    <w:p w14:paraId="4E3238D2">
      <w:pPr>
        <w:spacing w:before="90" w:line="225" w:lineRule="auto"/>
        <w:ind w:left="2127"/>
        <w:outlineLvl w:val="0"/>
        <w:rPr>
          <w:rFonts w:ascii="黑体" w:hAnsi="黑体" w:eastAsia="黑体" w:cs="黑体"/>
          <w:color w:val="auto"/>
          <w:sz w:val="43"/>
          <w:szCs w:val="43"/>
          <w:lang w:eastAsia="zh-CN"/>
        </w:rPr>
      </w:pPr>
      <w:bookmarkStart w:id="12" w:name="bookmark7"/>
      <w:bookmarkEnd w:id="12"/>
      <w:r>
        <w:rPr>
          <w:rFonts w:ascii="黑体" w:hAnsi="黑体" w:eastAsia="黑体" w:cs="黑体"/>
          <w:color w:val="auto"/>
          <w:spacing w:val="6"/>
          <w:sz w:val="43"/>
          <w:szCs w:val="43"/>
          <w:lang w:eastAsia="zh-CN"/>
        </w:rPr>
        <w:t>第四章合同条款及格式</w:t>
      </w:r>
    </w:p>
    <w:p w14:paraId="1224E7F9">
      <w:pPr>
        <w:pStyle w:val="8"/>
        <w:spacing w:line="273" w:lineRule="auto"/>
        <w:rPr>
          <w:color w:val="auto"/>
          <w:lang w:eastAsia="zh-CN"/>
        </w:rPr>
      </w:pPr>
    </w:p>
    <w:p w14:paraId="059E3069">
      <w:pPr>
        <w:spacing w:line="440" w:lineRule="exact"/>
        <w:jc w:val="both"/>
        <w:rPr>
          <w:rFonts w:ascii="宋体" w:hAnsi="宋体" w:cs="宋体"/>
          <w:color w:val="auto"/>
        </w:rPr>
      </w:pPr>
      <w:bookmarkStart w:id="13" w:name="bookmark9"/>
      <w:bookmarkEnd w:id="13"/>
      <w:r>
        <w:rPr>
          <w:rFonts w:hint="eastAsia" w:ascii="宋体" w:hAnsi="宋体" w:cs="宋体"/>
          <w:color w:val="auto"/>
        </w:rPr>
        <w:t>合同文本采用《建设工程施工合同（示范文本）》（GF-2017-0201）。</w:t>
      </w:r>
    </w:p>
    <w:p w14:paraId="7507D585">
      <w:pPr>
        <w:spacing w:line="440" w:lineRule="exact"/>
        <w:jc w:val="both"/>
        <w:rPr>
          <w:rFonts w:ascii="宋体" w:hAnsi="宋体" w:cs="宋体"/>
          <w:color w:val="auto"/>
        </w:rPr>
      </w:pPr>
      <w:r>
        <w:rPr>
          <w:rFonts w:hint="eastAsia" w:ascii="宋体" w:hAnsi="宋体" w:cs="宋体"/>
          <w:color w:val="auto"/>
        </w:rPr>
        <w:t>合同通用条款采用《建设工程施工合同（示范文本）》的通用条款（GF-2017-0201）。</w:t>
      </w:r>
    </w:p>
    <w:p w14:paraId="664446A0">
      <w:pPr>
        <w:spacing w:line="440" w:lineRule="exact"/>
        <w:jc w:val="both"/>
        <w:rPr>
          <w:rFonts w:ascii="宋体" w:hAnsi="宋体" w:cs="宋体"/>
          <w:color w:val="auto"/>
        </w:rPr>
      </w:pPr>
      <w:bookmarkStart w:id="14" w:name="_Toc149922241"/>
      <w:bookmarkStart w:id="15" w:name="_Toc151471690"/>
      <w:r>
        <w:rPr>
          <w:rFonts w:hint="eastAsia" w:ascii="宋体" w:hAnsi="宋体" w:cs="宋体"/>
          <w:color w:val="auto"/>
        </w:rPr>
        <w:t>合同专用条款中的主要条款将由招标人(发包人)与中标人(承包人)根据投标文件签订。</w:t>
      </w:r>
      <w:bookmarkEnd w:id="14"/>
      <w:bookmarkEnd w:id="15"/>
      <w:bookmarkStart w:id="16" w:name="bookmark181"/>
      <w:bookmarkEnd w:id="16"/>
    </w:p>
    <w:p w14:paraId="0DAD42F8">
      <w:pPr>
        <w:pStyle w:val="2"/>
        <w:ind w:firstLine="420" w:firstLineChars="200"/>
        <w:rPr>
          <w:color w:val="auto"/>
          <w:sz w:val="21"/>
          <w:szCs w:val="21"/>
        </w:rPr>
      </w:pPr>
    </w:p>
    <w:p w14:paraId="2A4AB6CF">
      <w:pPr>
        <w:pStyle w:val="2"/>
        <w:ind w:firstLine="422" w:firstLineChars="200"/>
        <w:rPr>
          <w:color w:val="auto"/>
          <w:sz w:val="21"/>
          <w:szCs w:val="21"/>
        </w:rPr>
      </w:pPr>
      <w:r>
        <w:rPr>
          <w:rFonts w:ascii="宋体" w:hAnsi="宋体"/>
          <w:b/>
          <w:color w:val="auto"/>
          <w:sz w:val="21"/>
          <w:szCs w:val="21"/>
        </w:rPr>
        <w:br w:type="page"/>
      </w:r>
    </w:p>
    <w:p w14:paraId="14561E20">
      <w:pPr>
        <w:pStyle w:val="29"/>
        <w:jc w:val="center"/>
        <w:rPr>
          <w:rFonts w:cs="Times New Roman"/>
          <w:sz w:val="32"/>
          <w:szCs w:val="32"/>
        </w:rPr>
      </w:pPr>
      <w:bookmarkStart w:id="17" w:name="_Toc148964065"/>
      <w:r>
        <w:rPr>
          <w:rFonts w:cs="Times New Roman"/>
          <w:sz w:val="32"/>
          <w:szCs w:val="32"/>
        </w:rPr>
        <w:t>第一部分　　合同协议书</w:t>
      </w:r>
      <w:bookmarkEnd w:id="17"/>
    </w:p>
    <w:p w14:paraId="3F749CE0">
      <w:pPr>
        <w:spacing w:line="240" w:lineRule="exact"/>
        <w:rPr>
          <w:rFonts w:eastAsia="仿宋_GB2312"/>
          <w:sz w:val="24"/>
          <w:u w:val="single"/>
        </w:rPr>
      </w:pPr>
    </w:p>
    <w:p w14:paraId="247C6420">
      <w:pPr>
        <w:spacing w:line="440" w:lineRule="exact"/>
        <w:ind w:firstLine="422" w:firstLineChars="200"/>
        <w:rPr>
          <w:rFonts w:hint="eastAsia" w:eastAsia="黑体"/>
          <w:b/>
          <w:szCs w:val="21"/>
          <w:u w:val="single"/>
          <w:lang w:eastAsia="zh-CN"/>
        </w:rPr>
      </w:pPr>
      <w:r>
        <w:rPr>
          <w:rFonts w:eastAsia="黑体"/>
          <w:b/>
          <w:szCs w:val="21"/>
        </w:rPr>
        <w:t>发包人（全称）：</w:t>
      </w:r>
      <w:r>
        <w:rPr>
          <w:rFonts w:hint="eastAsia" w:eastAsia="黑体"/>
          <w:b/>
          <w:szCs w:val="21"/>
          <w:u w:val="single"/>
          <w:lang w:eastAsia="zh-CN"/>
        </w:rPr>
        <w:t>三门县民政局</w:t>
      </w:r>
    </w:p>
    <w:p w14:paraId="64A5A193">
      <w:pPr>
        <w:spacing w:line="440" w:lineRule="exact"/>
        <w:ind w:firstLine="422" w:firstLineChars="200"/>
        <w:rPr>
          <w:rFonts w:hint="eastAsia" w:eastAsia="黑体"/>
          <w:b/>
          <w:szCs w:val="21"/>
          <w:u w:val="single"/>
          <w:lang w:eastAsia="zh-CN"/>
        </w:rPr>
      </w:pPr>
      <w:r>
        <w:rPr>
          <w:rFonts w:hint="eastAsia" w:eastAsia="黑体"/>
          <w:b/>
          <w:szCs w:val="21"/>
          <w:u w:val="none"/>
          <w:lang w:eastAsia="zh-CN"/>
        </w:rPr>
        <w:t>代建单位：</w:t>
      </w:r>
      <w:r>
        <w:rPr>
          <w:rFonts w:hint="eastAsia" w:eastAsia="黑体"/>
          <w:b/>
          <w:szCs w:val="21"/>
          <w:u w:val="single"/>
          <w:lang w:val="en-US" w:eastAsia="zh-CN"/>
        </w:rPr>
        <w:t>三门县基础设施投资有限责任公司</w:t>
      </w:r>
    </w:p>
    <w:p w14:paraId="7C581AF1">
      <w:pPr>
        <w:spacing w:line="380" w:lineRule="exact"/>
        <w:ind w:firstLine="422" w:firstLineChars="200"/>
        <w:rPr>
          <w:rFonts w:eastAsia="黑体"/>
          <w:b/>
          <w:szCs w:val="21"/>
          <w:u w:val="single"/>
        </w:rPr>
      </w:pPr>
      <w:r>
        <w:rPr>
          <w:rFonts w:eastAsia="黑体"/>
          <w:b/>
          <w:szCs w:val="21"/>
        </w:rPr>
        <w:t>承包人（全称）：</w:t>
      </w:r>
      <w:r>
        <w:rPr>
          <w:rFonts w:eastAsia="黑体"/>
          <w:b/>
          <w:szCs w:val="21"/>
          <w:u w:val="single"/>
        </w:rPr>
        <w:t xml:space="preserve">         </w:t>
      </w:r>
      <w:r>
        <w:rPr>
          <w:rFonts w:hint="eastAsia" w:eastAsia="黑体"/>
          <w:b/>
          <w:szCs w:val="21"/>
          <w:u w:val="single"/>
          <w:lang w:val="en-US" w:eastAsia="zh-CN"/>
        </w:rPr>
        <w:t xml:space="preserve">                                  </w:t>
      </w:r>
      <w:r>
        <w:rPr>
          <w:rFonts w:eastAsia="黑体"/>
          <w:b/>
          <w:szCs w:val="21"/>
          <w:u w:val="single"/>
        </w:rPr>
        <w:t xml:space="preserve"> </w:t>
      </w:r>
      <w:r>
        <w:rPr>
          <w:rFonts w:hint="eastAsia" w:eastAsia="黑体"/>
          <w:b/>
          <w:szCs w:val="21"/>
          <w:u w:val="single"/>
        </w:rPr>
        <w:t xml:space="preserve">  </w:t>
      </w:r>
      <w:r>
        <w:rPr>
          <w:rFonts w:eastAsia="黑体"/>
          <w:b/>
          <w:szCs w:val="21"/>
          <w:u w:val="single"/>
        </w:rPr>
        <w:t xml:space="preserve">                </w:t>
      </w:r>
    </w:p>
    <w:p w14:paraId="1AC8C782">
      <w:pPr>
        <w:spacing w:line="380" w:lineRule="exact"/>
        <w:ind w:firstLine="420" w:firstLineChars="200"/>
        <w:rPr>
          <w:szCs w:val="21"/>
        </w:rPr>
      </w:pPr>
      <w:r>
        <w:rPr>
          <w:szCs w:val="21"/>
        </w:rPr>
        <w:t>根据《中华人民共和国</w:t>
      </w:r>
      <w:r>
        <w:rPr>
          <w:rFonts w:hint="eastAsia"/>
          <w:szCs w:val="21"/>
        </w:rPr>
        <w:t>民法典</w:t>
      </w:r>
      <w:r>
        <w:rPr>
          <w:szCs w:val="21"/>
        </w:rPr>
        <w:t>》、《中华人民共和国建筑法》及有关法律规定，遵循平等、自愿、公平和诚实信用的原则，双方就</w:t>
      </w:r>
      <w:r>
        <w:rPr>
          <w:rFonts w:hint="eastAsia"/>
          <w:bCs/>
          <w:szCs w:val="21"/>
          <w:u w:val="single"/>
          <w:lang w:eastAsia="zh-CN"/>
        </w:rPr>
        <w:t>三门县失能失智敬老院项目</w:t>
      </w:r>
      <w:r>
        <w:rPr>
          <w:szCs w:val="21"/>
        </w:rPr>
        <w:t>施工及有关事项协商一致，共同达成如下协议：</w:t>
      </w:r>
    </w:p>
    <w:p w14:paraId="052FED2B">
      <w:pPr>
        <w:spacing w:line="380" w:lineRule="exact"/>
        <w:ind w:firstLine="422" w:firstLineChars="200"/>
        <w:rPr>
          <w:szCs w:val="21"/>
        </w:rPr>
      </w:pPr>
      <w:r>
        <w:rPr>
          <w:rFonts w:eastAsia="黑体"/>
          <w:b/>
          <w:szCs w:val="21"/>
        </w:rPr>
        <w:t>一、工程概况</w:t>
      </w:r>
    </w:p>
    <w:p w14:paraId="0EFBFB9F">
      <w:pPr>
        <w:spacing w:line="380" w:lineRule="exact"/>
        <w:ind w:firstLine="420" w:firstLineChars="200"/>
        <w:rPr>
          <w:bCs/>
          <w:szCs w:val="21"/>
          <w:u w:val="single"/>
        </w:rPr>
      </w:pPr>
      <w:r>
        <w:rPr>
          <w:bCs/>
          <w:szCs w:val="21"/>
        </w:rPr>
        <w:t>1．工程名称：</w:t>
      </w:r>
      <w:r>
        <w:rPr>
          <w:rFonts w:hint="eastAsia"/>
          <w:bCs/>
          <w:szCs w:val="21"/>
          <w:u w:val="single"/>
          <w:lang w:eastAsia="zh-CN"/>
        </w:rPr>
        <w:t>三门县失能失智敬老院项目</w:t>
      </w:r>
      <w:r>
        <w:rPr>
          <w:rFonts w:hint="eastAsia"/>
          <w:bCs/>
          <w:szCs w:val="21"/>
          <w:u w:val="single"/>
        </w:rPr>
        <w:t xml:space="preserve"> </w:t>
      </w:r>
      <w:r>
        <w:rPr>
          <w:bCs/>
          <w:szCs w:val="21"/>
        </w:rPr>
        <w:t>。</w:t>
      </w:r>
    </w:p>
    <w:p w14:paraId="7916EB4C">
      <w:pPr>
        <w:spacing w:line="380" w:lineRule="exact"/>
        <w:ind w:firstLine="420" w:firstLineChars="200"/>
        <w:rPr>
          <w:bCs/>
          <w:szCs w:val="21"/>
        </w:rPr>
      </w:pPr>
      <w:r>
        <w:rPr>
          <w:bCs/>
          <w:szCs w:val="21"/>
        </w:rPr>
        <w:t>2．工程地点：</w:t>
      </w:r>
      <w:r>
        <w:rPr>
          <w:rFonts w:hint="eastAsia"/>
          <w:bCs/>
          <w:szCs w:val="21"/>
          <w:u w:val="single"/>
          <w:lang w:eastAsia="zh-CN"/>
        </w:rPr>
        <w:t>三门县亭旁镇</w:t>
      </w:r>
      <w:r>
        <w:rPr>
          <w:rFonts w:hint="eastAsia"/>
          <w:bCs/>
          <w:szCs w:val="21"/>
          <w:u w:val="single"/>
        </w:rPr>
        <w:t xml:space="preserve"> </w:t>
      </w:r>
      <w:r>
        <w:rPr>
          <w:bCs/>
          <w:szCs w:val="21"/>
        </w:rPr>
        <w:t>。</w:t>
      </w:r>
    </w:p>
    <w:p w14:paraId="426EC45E">
      <w:pPr>
        <w:spacing w:line="380" w:lineRule="exact"/>
        <w:ind w:firstLine="420" w:firstLineChars="200"/>
        <w:rPr>
          <w:bCs/>
          <w:szCs w:val="21"/>
        </w:rPr>
      </w:pPr>
      <w:r>
        <w:rPr>
          <w:bCs/>
          <w:szCs w:val="21"/>
        </w:rPr>
        <w:t>3．工程立项批准文号：</w:t>
      </w:r>
      <w:r>
        <w:rPr>
          <w:rFonts w:hint="eastAsia"/>
          <w:bCs/>
          <w:szCs w:val="21"/>
          <w:u w:val="single"/>
        </w:rPr>
        <w:t xml:space="preserve">  三发</w:t>
      </w:r>
      <w:r>
        <w:rPr>
          <w:bCs/>
          <w:szCs w:val="21"/>
          <w:u w:val="single"/>
        </w:rPr>
        <w:t>改审</w:t>
      </w:r>
      <w:r>
        <w:rPr>
          <w:rFonts w:hint="eastAsia"/>
          <w:bCs/>
          <w:szCs w:val="21"/>
          <w:u w:val="single"/>
          <w:lang w:val="en-US" w:eastAsia="zh-CN"/>
        </w:rPr>
        <w:t xml:space="preserve"> 〔2024〕99</w:t>
      </w:r>
      <w:r>
        <w:rPr>
          <w:rFonts w:hint="eastAsia"/>
          <w:bCs/>
          <w:szCs w:val="21"/>
          <w:u w:val="single"/>
        </w:rPr>
        <w:t>号</w:t>
      </w:r>
      <w:r>
        <w:rPr>
          <w:rFonts w:hint="eastAsia"/>
          <w:bCs/>
          <w:szCs w:val="21"/>
          <w:u w:val="single"/>
          <w:lang w:val="en-US" w:eastAsia="zh-CN"/>
        </w:rPr>
        <w:t xml:space="preserve">  </w:t>
      </w:r>
      <w:r>
        <w:rPr>
          <w:rFonts w:hint="eastAsia"/>
          <w:bCs/>
          <w:szCs w:val="21"/>
          <w:u w:val="single"/>
        </w:rPr>
        <w:t xml:space="preserve">   </w:t>
      </w:r>
      <w:r>
        <w:rPr>
          <w:bCs/>
          <w:szCs w:val="21"/>
        </w:rPr>
        <w:t>。</w:t>
      </w:r>
    </w:p>
    <w:p w14:paraId="057017A5">
      <w:pPr>
        <w:spacing w:line="380" w:lineRule="exact"/>
        <w:ind w:firstLine="420" w:firstLineChars="200"/>
        <w:rPr>
          <w:bCs/>
          <w:szCs w:val="21"/>
        </w:rPr>
      </w:pPr>
      <w:r>
        <w:rPr>
          <w:bCs/>
          <w:szCs w:val="21"/>
        </w:rPr>
        <w:t>4．资金来源：</w:t>
      </w:r>
      <w:r>
        <w:rPr>
          <w:rFonts w:hint="eastAsia"/>
          <w:bCs/>
          <w:szCs w:val="21"/>
          <w:u w:val="single"/>
        </w:rPr>
        <w:t xml:space="preserve"> </w:t>
      </w:r>
      <w:r>
        <w:rPr>
          <w:rFonts w:hint="eastAsia"/>
          <w:bCs/>
          <w:szCs w:val="21"/>
          <w:u w:val="single"/>
          <w:lang w:eastAsia="zh-CN"/>
        </w:rPr>
        <w:t>财政拨款</w:t>
      </w:r>
      <w:r>
        <w:rPr>
          <w:rFonts w:hint="eastAsia"/>
          <w:bCs/>
          <w:szCs w:val="21"/>
          <w:u w:val="single"/>
        </w:rPr>
        <w:t xml:space="preserve"> </w:t>
      </w:r>
      <w:r>
        <w:rPr>
          <w:bCs/>
          <w:szCs w:val="21"/>
        </w:rPr>
        <w:t>。</w:t>
      </w:r>
    </w:p>
    <w:p w14:paraId="62726120">
      <w:pPr>
        <w:spacing w:line="380" w:lineRule="exact"/>
        <w:ind w:firstLine="420" w:firstLineChars="200"/>
        <w:rPr>
          <w:bCs/>
          <w:color w:val="auto"/>
          <w:szCs w:val="21"/>
        </w:rPr>
      </w:pPr>
      <w:r>
        <w:rPr>
          <w:bCs/>
          <w:szCs w:val="21"/>
        </w:rPr>
        <w:t>5．</w:t>
      </w:r>
      <w:r>
        <w:rPr>
          <w:rFonts w:ascii="Times New Roman" w:hAnsi="Times New Roman" w:eastAsia="宋体" w:cs="Times New Roman"/>
          <w:bCs/>
          <w:szCs w:val="21"/>
        </w:rPr>
        <w:t>工程内</w:t>
      </w:r>
      <w:r>
        <w:rPr>
          <w:rFonts w:ascii="Times New Roman" w:hAnsi="Times New Roman" w:eastAsia="宋体" w:cs="Times New Roman"/>
          <w:bCs/>
          <w:color w:val="auto"/>
          <w:szCs w:val="21"/>
        </w:rPr>
        <w:t>容：</w:t>
      </w:r>
      <w:r>
        <w:rPr>
          <w:rFonts w:hint="eastAsia"/>
          <w:bCs/>
          <w:color w:val="auto"/>
          <w:szCs w:val="21"/>
          <w:u w:val="single"/>
          <w:lang w:eastAsia="zh-CN"/>
        </w:rPr>
        <w:t>招标人提供的施工图纸范围内及预算审核书中所包含的</w:t>
      </w:r>
      <w:r>
        <w:rPr>
          <w:rFonts w:hint="eastAsia"/>
          <w:bCs/>
          <w:color w:val="auto"/>
          <w:szCs w:val="21"/>
          <w:u w:val="single"/>
          <w:lang w:val="en-US" w:eastAsia="zh-CN"/>
        </w:rPr>
        <w:t>房屋建筑工程、安装工程、室外工程等</w:t>
      </w:r>
      <w:r>
        <w:rPr>
          <w:rFonts w:hint="eastAsia"/>
          <w:bCs/>
          <w:color w:val="auto"/>
          <w:szCs w:val="21"/>
          <w:u w:val="single"/>
          <w:lang w:eastAsia="zh-CN"/>
        </w:rPr>
        <w:t>所有内容。具体详见施工图纸及工程量清单。</w:t>
      </w:r>
    </w:p>
    <w:p w14:paraId="532ACC2A">
      <w:pPr>
        <w:spacing w:line="380" w:lineRule="exact"/>
        <w:ind w:firstLine="420" w:firstLineChars="200"/>
        <w:rPr>
          <w:rFonts w:hint="eastAsia"/>
          <w:bCs/>
          <w:color w:val="auto"/>
          <w:szCs w:val="21"/>
        </w:rPr>
      </w:pPr>
      <w:r>
        <w:rPr>
          <w:bCs/>
          <w:color w:val="auto"/>
          <w:szCs w:val="21"/>
        </w:rPr>
        <w:t>6．工程承包范围：</w:t>
      </w:r>
    </w:p>
    <w:p w14:paraId="793944CA">
      <w:pPr>
        <w:spacing w:line="380" w:lineRule="exact"/>
        <w:ind w:firstLine="420" w:firstLineChars="200"/>
        <w:rPr>
          <w:rFonts w:hint="eastAsia"/>
          <w:color w:val="auto"/>
          <w:szCs w:val="21"/>
          <w:u w:val="single"/>
        </w:rPr>
      </w:pPr>
      <w:r>
        <w:rPr>
          <w:rFonts w:hint="eastAsia" w:ascii="宋体" w:hAnsi="宋体" w:cs="宋体"/>
          <w:color w:val="auto"/>
          <w:szCs w:val="21"/>
        </w:rPr>
        <w:t>发包人提供的</w:t>
      </w:r>
      <w:r>
        <w:rPr>
          <w:rFonts w:hint="eastAsia"/>
          <w:bCs/>
          <w:color w:val="auto"/>
          <w:szCs w:val="21"/>
          <w:u w:val="single"/>
        </w:rPr>
        <w:t>施工图纸范围内及工程量清单中所包含的所有施工内容</w:t>
      </w:r>
      <w:r>
        <w:rPr>
          <w:rFonts w:hint="eastAsia"/>
          <w:bCs/>
          <w:color w:val="auto"/>
          <w:szCs w:val="21"/>
          <w:u w:val="single"/>
          <w:lang w:eastAsia="zh-CN"/>
        </w:rPr>
        <w:t>，为施工总承包</w:t>
      </w:r>
      <w:r>
        <w:rPr>
          <w:rFonts w:hint="eastAsia"/>
          <w:bCs/>
          <w:color w:val="auto"/>
          <w:szCs w:val="21"/>
          <w:u w:val="single"/>
        </w:rPr>
        <w:t>。</w:t>
      </w:r>
    </w:p>
    <w:p w14:paraId="7D4AD284">
      <w:pPr>
        <w:spacing w:line="380" w:lineRule="exact"/>
        <w:ind w:firstLine="422" w:firstLineChars="200"/>
        <w:rPr>
          <w:b/>
          <w:szCs w:val="21"/>
        </w:rPr>
      </w:pPr>
      <w:r>
        <w:rPr>
          <w:rFonts w:eastAsia="黑体"/>
          <w:b/>
          <w:szCs w:val="21"/>
        </w:rPr>
        <w:t>二、合同工期</w:t>
      </w:r>
    </w:p>
    <w:p w14:paraId="582CAF82">
      <w:pPr>
        <w:spacing w:line="380" w:lineRule="exact"/>
        <w:ind w:firstLine="420" w:firstLineChars="200"/>
        <w:rPr>
          <w:color w:val="000000" w:themeColor="text1"/>
          <w:szCs w:val="21"/>
          <w14:textFill>
            <w14:solidFill>
              <w14:schemeClr w14:val="tx1"/>
            </w14:solidFill>
          </w14:textFill>
        </w:rPr>
      </w:pPr>
      <w:r>
        <w:rPr>
          <w:szCs w:val="21"/>
        </w:rPr>
        <w:t>计划开工日期：</w:t>
      </w:r>
      <w:r>
        <w:rPr>
          <w:szCs w:val="21"/>
          <w:u w:val="single"/>
        </w:rPr>
        <w:t></w:t>
      </w:r>
      <w:r>
        <w:rPr>
          <w:szCs w:val="21"/>
        </w:rPr>
        <w:t>年</w:t>
      </w:r>
      <w:r>
        <w:rPr>
          <w:szCs w:val="21"/>
          <w:u w:val="single"/>
        </w:rPr>
        <w:t></w:t>
      </w:r>
      <w:r>
        <w:rPr>
          <w:szCs w:val="21"/>
        </w:rPr>
        <w:t>月</w:t>
      </w:r>
      <w:r>
        <w:rPr>
          <w:szCs w:val="21"/>
          <w:u w:val="single"/>
        </w:rPr>
        <w:t></w:t>
      </w:r>
      <w:r>
        <w:rPr>
          <w:szCs w:val="21"/>
        </w:rPr>
        <w:t>日。</w:t>
      </w:r>
      <w:r>
        <w:rPr>
          <w:rFonts w:hint="eastAsia"/>
          <w:color w:val="000000" w:themeColor="text1"/>
          <w:lang w:val="en-US" w:eastAsia="zh-CN"/>
          <w14:textFill>
            <w14:solidFill>
              <w14:schemeClr w14:val="tx1"/>
            </w14:solidFill>
          </w14:textFill>
        </w:rPr>
        <w:t>以开工报告为准</w:t>
      </w:r>
    </w:p>
    <w:p w14:paraId="3185FA7B">
      <w:pPr>
        <w:spacing w:line="38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计划竣工日期：</w:t>
      </w:r>
      <w:r>
        <w:rPr>
          <w:color w:val="000000" w:themeColor="text1"/>
          <w:szCs w:val="21"/>
          <w:u w:val="single"/>
          <w14:textFill>
            <w14:solidFill>
              <w14:schemeClr w14:val="tx1"/>
            </w14:solidFill>
          </w14:textFill>
        </w:rPr>
        <w:t></w:t>
      </w:r>
      <w:r>
        <w:rPr>
          <w:color w:val="000000" w:themeColor="text1"/>
          <w:szCs w:val="21"/>
          <w14:textFill>
            <w14:solidFill>
              <w14:schemeClr w14:val="tx1"/>
            </w14:solidFill>
          </w14:textFill>
        </w:rPr>
        <w:t>年</w:t>
      </w:r>
      <w:r>
        <w:rPr>
          <w:color w:val="000000" w:themeColor="text1"/>
          <w:szCs w:val="21"/>
          <w:u w:val="single"/>
          <w14:textFill>
            <w14:solidFill>
              <w14:schemeClr w14:val="tx1"/>
            </w14:solidFill>
          </w14:textFill>
        </w:rPr>
        <w:t></w:t>
      </w:r>
      <w:r>
        <w:rPr>
          <w:color w:val="000000" w:themeColor="text1"/>
          <w:szCs w:val="21"/>
          <w14:textFill>
            <w14:solidFill>
              <w14:schemeClr w14:val="tx1"/>
            </w14:solidFill>
          </w14:textFill>
        </w:rPr>
        <w:t>月</w:t>
      </w:r>
      <w:r>
        <w:rPr>
          <w:color w:val="000000" w:themeColor="text1"/>
          <w:szCs w:val="21"/>
          <w:u w:val="single"/>
          <w14:textFill>
            <w14:solidFill>
              <w14:schemeClr w14:val="tx1"/>
            </w14:solidFill>
          </w14:textFill>
        </w:rPr>
        <w:t></w:t>
      </w:r>
      <w:r>
        <w:rPr>
          <w:color w:val="000000" w:themeColor="text1"/>
          <w:szCs w:val="21"/>
          <w14:textFill>
            <w14:solidFill>
              <w14:schemeClr w14:val="tx1"/>
            </w14:solidFill>
          </w14:textFill>
        </w:rPr>
        <w:t>日。</w:t>
      </w:r>
      <w:r>
        <w:rPr>
          <w:rFonts w:hint="eastAsia"/>
          <w:color w:val="000000" w:themeColor="text1"/>
          <w:lang w:val="en-US" w:eastAsia="zh-CN"/>
          <w14:textFill>
            <w14:solidFill>
              <w14:schemeClr w14:val="tx1"/>
            </w14:solidFill>
          </w14:textFill>
        </w:rPr>
        <w:t>以竣工报告为准</w:t>
      </w:r>
    </w:p>
    <w:p w14:paraId="79E855DA">
      <w:pPr>
        <w:spacing w:line="380" w:lineRule="exact"/>
        <w:ind w:firstLine="420" w:firstLineChars="200"/>
        <w:rPr>
          <w:szCs w:val="21"/>
        </w:rPr>
      </w:pPr>
      <w:r>
        <w:rPr>
          <w:szCs w:val="21"/>
        </w:rPr>
        <w:t>工期总日历天数：</w:t>
      </w:r>
      <w:r>
        <w:rPr>
          <w:szCs w:val="21"/>
          <w:u w:val="single"/>
        </w:rPr>
        <w:t></w:t>
      </w:r>
      <w:r>
        <w:rPr>
          <w:szCs w:val="21"/>
        </w:rPr>
        <w:t>天。工期总日历天数与根据前述计划开</w:t>
      </w:r>
      <w:r>
        <w:rPr>
          <w:rFonts w:hint="eastAsia"/>
          <w:szCs w:val="21"/>
        </w:rPr>
        <w:t>、</w:t>
      </w:r>
      <w:r>
        <w:rPr>
          <w:szCs w:val="21"/>
        </w:rPr>
        <w:t>竣工日期计算的工期天数不一致的，以工期总日历天数为准。</w:t>
      </w:r>
    </w:p>
    <w:p w14:paraId="6FE355E3">
      <w:pPr>
        <w:spacing w:line="380" w:lineRule="exact"/>
        <w:ind w:firstLine="420" w:firstLineChars="200"/>
        <w:rPr>
          <w:bCs/>
          <w:szCs w:val="21"/>
        </w:rPr>
      </w:pPr>
      <w:r>
        <w:rPr>
          <w:bCs/>
          <w:szCs w:val="21"/>
        </w:rPr>
        <w:t xml:space="preserve"> </w:t>
      </w:r>
      <w:bookmarkStart w:id="18" w:name="_Toc351203483"/>
      <w:r>
        <w:rPr>
          <w:rFonts w:eastAsia="黑体"/>
          <w:b/>
          <w:szCs w:val="21"/>
        </w:rPr>
        <w:t>三、质量标准</w:t>
      </w:r>
      <w:bookmarkEnd w:id="18"/>
    </w:p>
    <w:p w14:paraId="12DF597F">
      <w:pPr>
        <w:spacing w:line="380" w:lineRule="exact"/>
        <w:ind w:firstLine="420" w:firstLineChars="200"/>
        <w:rPr>
          <w:szCs w:val="21"/>
        </w:rPr>
      </w:pPr>
      <w:r>
        <w:rPr>
          <w:szCs w:val="21"/>
        </w:rPr>
        <w:t>工程质量符合</w:t>
      </w:r>
      <w:r>
        <w:rPr>
          <w:rFonts w:hint="eastAsia"/>
          <w:szCs w:val="21"/>
          <w:u w:val="single"/>
        </w:rPr>
        <w:t xml:space="preserve">     </w:t>
      </w:r>
      <w:r>
        <w:rPr>
          <w:rFonts w:hint="eastAsia" w:hAnsi="宋体" w:cs="宋体"/>
          <w:kern w:val="0"/>
          <w:u w:val="single"/>
        </w:rPr>
        <w:t xml:space="preserve">合格      </w:t>
      </w:r>
      <w:r>
        <w:rPr>
          <w:szCs w:val="21"/>
        </w:rPr>
        <w:t>标准。</w:t>
      </w:r>
    </w:p>
    <w:p w14:paraId="71139192">
      <w:pPr>
        <w:spacing w:line="380" w:lineRule="exact"/>
        <w:ind w:firstLine="420" w:firstLineChars="200"/>
        <w:rPr>
          <w:bCs/>
          <w:szCs w:val="21"/>
        </w:rPr>
      </w:pPr>
      <w:r>
        <w:rPr>
          <w:bCs/>
          <w:szCs w:val="21"/>
        </w:rPr>
        <w:t xml:space="preserve"> </w:t>
      </w:r>
      <w:bookmarkStart w:id="19" w:name="_Toc351203484"/>
      <w:r>
        <w:rPr>
          <w:rFonts w:eastAsia="黑体"/>
          <w:b/>
          <w:szCs w:val="21"/>
        </w:rPr>
        <w:t>四、签约合同价与合同价格形式</w:t>
      </w:r>
      <w:bookmarkEnd w:id="19"/>
      <w:r>
        <w:rPr>
          <w:b/>
          <w:szCs w:val="21"/>
        </w:rPr>
        <w:tab/>
      </w:r>
    </w:p>
    <w:p w14:paraId="0F392729">
      <w:pPr>
        <w:spacing w:line="380" w:lineRule="exact"/>
        <w:ind w:firstLine="420" w:firstLineChars="200"/>
        <w:rPr>
          <w:szCs w:val="21"/>
        </w:rPr>
      </w:pPr>
      <w:r>
        <w:rPr>
          <w:szCs w:val="21"/>
        </w:rPr>
        <w:t>1．签约合同价为：</w:t>
      </w:r>
    </w:p>
    <w:p w14:paraId="559C9222">
      <w:pPr>
        <w:spacing w:line="380" w:lineRule="exact"/>
        <w:ind w:firstLine="420" w:firstLineChars="200"/>
        <w:rPr>
          <w:szCs w:val="21"/>
        </w:rPr>
      </w:pPr>
      <w:r>
        <w:rPr>
          <w:szCs w:val="21"/>
        </w:rPr>
        <w:t>人民币（大写）</w:t>
      </w:r>
      <w:r>
        <w:rPr>
          <w:szCs w:val="21"/>
          <w:u w:val="single"/>
        </w:rPr>
        <w:t xml:space="preserve">                 </w:t>
      </w:r>
      <w:r>
        <w:rPr>
          <w:szCs w:val="21"/>
        </w:rPr>
        <w:t>（¥</w:t>
      </w:r>
      <w:r>
        <w:rPr>
          <w:szCs w:val="21"/>
          <w:u w:val="single"/>
        </w:rPr>
        <w:t xml:space="preserve">            </w:t>
      </w:r>
      <w:r>
        <w:rPr>
          <w:szCs w:val="21"/>
        </w:rPr>
        <w:t>元）；</w:t>
      </w:r>
    </w:p>
    <w:p w14:paraId="2D65D1A2">
      <w:pPr>
        <w:spacing w:line="380" w:lineRule="exact"/>
        <w:ind w:firstLine="420" w:firstLineChars="200"/>
        <w:rPr>
          <w:szCs w:val="21"/>
        </w:rPr>
      </w:pPr>
      <w:r>
        <w:rPr>
          <w:szCs w:val="21"/>
        </w:rPr>
        <w:t>其中：</w:t>
      </w:r>
    </w:p>
    <w:p w14:paraId="7784F10B">
      <w:pPr>
        <w:spacing w:line="380" w:lineRule="exact"/>
        <w:ind w:firstLine="420" w:firstLineChars="200"/>
        <w:rPr>
          <w:szCs w:val="21"/>
        </w:rPr>
      </w:pPr>
      <w:r>
        <w:rPr>
          <w:szCs w:val="21"/>
        </w:rPr>
        <w:t>（1）安全文明施工费：</w:t>
      </w:r>
    </w:p>
    <w:p w14:paraId="3D7B4C36">
      <w:pPr>
        <w:spacing w:line="380" w:lineRule="exact"/>
        <w:ind w:firstLine="420" w:firstLineChars="200"/>
        <w:rPr>
          <w:szCs w:val="21"/>
        </w:rPr>
      </w:pPr>
      <w:r>
        <w:rPr>
          <w:szCs w:val="21"/>
        </w:rPr>
        <w:t>人民币（大写）</w:t>
      </w:r>
      <w:r>
        <w:rPr>
          <w:szCs w:val="21"/>
          <w:u w:val="single"/>
        </w:rPr>
        <w:t xml:space="preserve">              </w:t>
      </w:r>
      <w:r>
        <w:rPr>
          <w:szCs w:val="21"/>
        </w:rPr>
        <w:t xml:space="preserve"> （¥</w:t>
      </w:r>
      <w:r>
        <w:rPr>
          <w:szCs w:val="21"/>
          <w:u w:val="single"/>
        </w:rPr>
        <w:t xml:space="preserve">          </w:t>
      </w:r>
      <w:r>
        <w:rPr>
          <w:szCs w:val="21"/>
        </w:rPr>
        <w:t>元）；</w:t>
      </w:r>
    </w:p>
    <w:p w14:paraId="1AF3B6D6">
      <w:pPr>
        <w:spacing w:line="380" w:lineRule="exact"/>
        <w:ind w:firstLine="420" w:firstLineChars="200"/>
        <w:rPr>
          <w:szCs w:val="21"/>
        </w:rPr>
      </w:pPr>
      <w:r>
        <w:rPr>
          <w:szCs w:val="21"/>
        </w:rPr>
        <w:t>（2）材料和工程设备暂估价金额：</w:t>
      </w:r>
    </w:p>
    <w:p w14:paraId="1E586241">
      <w:pPr>
        <w:spacing w:line="380" w:lineRule="exact"/>
        <w:ind w:firstLine="420" w:firstLineChars="200"/>
        <w:rPr>
          <w:szCs w:val="21"/>
        </w:rPr>
      </w:pPr>
      <w:r>
        <w:rPr>
          <w:szCs w:val="21"/>
        </w:rPr>
        <w:t>人民币（大写）</w:t>
      </w:r>
      <w:r>
        <w:rPr>
          <w:szCs w:val="21"/>
          <w:u w:val="single"/>
        </w:rPr>
        <w:t xml:space="preserve">              </w:t>
      </w:r>
      <w:r>
        <w:rPr>
          <w:szCs w:val="21"/>
        </w:rPr>
        <w:t xml:space="preserve"> （¥</w:t>
      </w:r>
      <w:r>
        <w:rPr>
          <w:szCs w:val="21"/>
          <w:u w:val="single"/>
        </w:rPr>
        <w:t xml:space="preserve">          </w:t>
      </w:r>
      <w:r>
        <w:rPr>
          <w:szCs w:val="21"/>
        </w:rPr>
        <w:t>元）；</w:t>
      </w:r>
    </w:p>
    <w:p w14:paraId="3164D836">
      <w:pPr>
        <w:spacing w:line="380" w:lineRule="exact"/>
        <w:ind w:firstLine="420" w:firstLineChars="200"/>
        <w:rPr>
          <w:szCs w:val="21"/>
        </w:rPr>
      </w:pPr>
      <w:r>
        <w:rPr>
          <w:szCs w:val="21"/>
        </w:rPr>
        <w:t>（3）专业工程暂估价金额：</w:t>
      </w:r>
    </w:p>
    <w:p w14:paraId="54E0B4D2">
      <w:pPr>
        <w:spacing w:line="380" w:lineRule="exact"/>
        <w:ind w:firstLine="420" w:firstLineChars="200"/>
        <w:rPr>
          <w:szCs w:val="21"/>
        </w:rPr>
      </w:pPr>
      <w:r>
        <w:rPr>
          <w:szCs w:val="21"/>
        </w:rPr>
        <w:t>人民币（大写）</w:t>
      </w:r>
      <w:r>
        <w:rPr>
          <w:szCs w:val="21"/>
          <w:u w:val="single"/>
        </w:rPr>
        <w:t xml:space="preserve">              </w:t>
      </w:r>
      <w:r>
        <w:rPr>
          <w:szCs w:val="21"/>
        </w:rPr>
        <w:t xml:space="preserve"> （¥</w:t>
      </w:r>
      <w:r>
        <w:rPr>
          <w:szCs w:val="21"/>
          <w:u w:val="single"/>
        </w:rPr>
        <w:t xml:space="preserve">          </w:t>
      </w:r>
      <w:r>
        <w:rPr>
          <w:szCs w:val="21"/>
        </w:rPr>
        <w:t>元）；</w:t>
      </w:r>
    </w:p>
    <w:p w14:paraId="14DF2121">
      <w:pPr>
        <w:spacing w:line="380" w:lineRule="exact"/>
        <w:ind w:firstLine="420" w:firstLineChars="200"/>
        <w:rPr>
          <w:szCs w:val="21"/>
        </w:rPr>
      </w:pPr>
      <w:r>
        <w:rPr>
          <w:szCs w:val="21"/>
        </w:rPr>
        <w:t>（4）暂列金额：</w:t>
      </w:r>
    </w:p>
    <w:p w14:paraId="3E4D5DC8">
      <w:pPr>
        <w:spacing w:line="380" w:lineRule="exact"/>
        <w:ind w:firstLine="420" w:firstLineChars="200"/>
        <w:rPr>
          <w:szCs w:val="21"/>
        </w:rPr>
      </w:pPr>
      <w:r>
        <w:rPr>
          <w:szCs w:val="21"/>
        </w:rPr>
        <w:t>人民币（大写）</w:t>
      </w:r>
      <w:r>
        <w:rPr>
          <w:szCs w:val="21"/>
          <w:u w:val="single"/>
        </w:rPr>
        <w:t xml:space="preserve">              </w:t>
      </w:r>
      <w:r>
        <w:rPr>
          <w:szCs w:val="21"/>
        </w:rPr>
        <w:t xml:space="preserve"> （¥</w:t>
      </w:r>
      <w:r>
        <w:rPr>
          <w:szCs w:val="21"/>
          <w:u w:val="single"/>
        </w:rPr>
        <w:t xml:space="preserve">          </w:t>
      </w:r>
      <w:r>
        <w:rPr>
          <w:szCs w:val="21"/>
        </w:rPr>
        <w:t>元）。</w:t>
      </w:r>
    </w:p>
    <w:p w14:paraId="0D838607">
      <w:pPr>
        <w:spacing w:line="380" w:lineRule="exact"/>
        <w:ind w:firstLine="420" w:firstLineChars="200"/>
        <w:rPr>
          <w:rFonts w:hint="eastAsia"/>
          <w:szCs w:val="21"/>
        </w:rPr>
      </w:pPr>
      <w:r>
        <w:rPr>
          <w:szCs w:val="21"/>
        </w:rPr>
        <w:t>2．合同价格形式：</w:t>
      </w:r>
      <w:r>
        <w:rPr>
          <w:szCs w:val="21"/>
          <w:u w:val="single"/>
        </w:rPr>
        <w:t xml:space="preserve">     </w:t>
      </w:r>
      <w:r>
        <w:rPr>
          <w:rFonts w:hint="eastAsia"/>
          <w:szCs w:val="21"/>
          <w:u w:val="single"/>
        </w:rPr>
        <w:t>单价合同</w:t>
      </w:r>
      <w:r>
        <w:rPr>
          <w:szCs w:val="21"/>
          <w:u w:val="single"/>
        </w:rPr>
        <w:t xml:space="preserve">        </w:t>
      </w:r>
      <w:r>
        <w:rPr>
          <w:szCs w:val="21"/>
        </w:rPr>
        <w:t>。</w:t>
      </w:r>
    </w:p>
    <w:p w14:paraId="618D3545">
      <w:pPr>
        <w:spacing w:line="380" w:lineRule="exact"/>
        <w:ind w:firstLine="420" w:firstLineChars="200"/>
        <w:rPr>
          <w:szCs w:val="21"/>
        </w:rPr>
      </w:pPr>
      <w:r>
        <w:rPr>
          <w:rFonts w:hint="eastAsia"/>
          <w:szCs w:val="21"/>
        </w:rPr>
        <w:t>3．发包人向承包人支付工程价款及其他应当支付的款项均须汇入承包人合同协议书中的银行账户，承包人开具增值税专用发票。</w:t>
      </w:r>
    </w:p>
    <w:p w14:paraId="57232E68">
      <w:pPr>
        <w:spacing w:line="380" w:lineRule="exact"/>
        <w:ind w:firstLine="420" w:firstLineChars="200"/>
        <w:rPr>
          <w:szCs w:val="21"/>
        </w:rPr>
      </w:pPr>
      <w:r>
        <w:rPr>
          <w:rFonts w:hint="eastAsia"/>
          <w:szCs w:val="21"/>
        </w:rPr>
        <w:t>根据《关于全面推开营业税改征增值税试点的通知》（财税〔2016〕36号）等有关规定，承包人完成本合同项下应税行为的计税方式按以下第</w:t>
      </w:r>
      <w:r>
        <w:rPr>
          <w:rFonts w:hint="eastAsia"/>
          <w:szCs w:val="21"/>
          <w:u w:val="single"/>
        </w:rPr>
        <w:t xml:space="preserve"> 1 </w:t>
      </w:r>
      <w:r>
        <w:rPr>
          <w:rFonts w:hint="eastAsia"/>
          <w:szCs w:val="21"/>
        </w:rPr>
        <w:t>种方法，并与工程计价时采用的计税方法一致。</w:t>
      </w:r>
    </w:p>
    <w:p w14:paraId="475FD6E3">
      <w:pPr>
        <w:spacing w:line="380" w:lineRule="exact"/>
        <w:ind w:firstLine="420" w:firstLineChars="200"/>
        <w:rPr>
          <w:szCs w:val="21"/>
        </w:rPr>
      </w:pPr>
      <w:r>
        <w:rPr>
          <w:rFonts w:hint="eastAsia"/>
          <w:szCs w:val="21"/>
        </w:rPr>
        <w:t>（1）一般计税方法。</w:t>
      </w:r>
    </w:p>
    <w:p w14:paraId="1EB1930E">
      <w:pPr>
        <w:spacing w:line="380" w:lineRule="exact"/>
        <w:ind w:firstLine="420" w:firstLineChars="200"/>
        <w:rPr>
          <w:szCs w:val="21"/>
        </w:rPr>
      </w:pPr>
      <w:r>
        <w:rPr>
          <w:rFonts w:hint="eastAsia"/>
          <w:szCs w:val="21"/>
        </w:rPr>
        <w:t>（2）本工程为</w:t>
      </w:r>
      <w:r>
        <w:rPr>
          <w:rFonts w:hint="eastAsia"/>
          <w:szCs w:val="21"/>
          <w:u w:val="single"/>
        </w:rPr>
        <w:t xml:space="preserve">  / </w:t>
      </w:r>
      <w:r>
        <w:rPr>
          <w:rFonts w:hint="eastAsia"/>
          <w:szCs w:val="21"/>
        </w:rPr>
        <w:t>工程，按简易计税方法。</w:t>
      </w:r>
    </w:p>
    <w:p w14:paraId="6B0CB0F0">
      <w:pPr>
        <w:spacing w:line="380" w:lineRule="exact"/>
        <w:ind w:firstLine="422" w:firstLineChars="200"/>
        <w:rPr>
          <w:b/>
          <w:szCs w:val="21"/>
        </w:rPr>
      </w:pPr>
      <w:bookmarkStart w:id="20" w:name="_Toc351203485"/>
      <w:r>
        <w:rPr>
          <w:rFonts w:eastAsia="黑体"/>
          <w:b/>
          <w:szCs w:val="21"/>
        </w:rPr>
        <w:t>五、</w:t>
      </w:r>
      <w:bookmarkEnd w:id="20"/>
      <w:r>
        <w:rPr>
          <w:rFonts w:eastAsia="黑体"/>
          <w:b/>
          <w:szCs w:val="21"/>
        </w:rPr>
        <w:t>项目经理</w:t>
      </w:r>
    </w:p>
    <w:p w14:paraId="25B5C1F8">
      <w:pPr>
        <w:spacing w:line="380" w:lineRule="exact"/>
        <w:ind w:firstLine="420" w:firstLineChars="200"/>
        <w:rPr>
          <w:szCs w:val="21"/>
        </w:rPr>
      </w:pPr>
      <w:r>
        <w:rPr>
          <w:szCs w:val="21"/>
        </w:rPr>
        <w:t>承包人项目经理：</w:t>
      </w:r>
      <w:r>
        <w:rPr>
          <w:szCs w:val="21"/>
          <w:u w:val="single"/>
        </w:rPr>
        <w:t xml:space="preserve">                                  </w:t>
      </w:r>
      <w:r>
        <w:rPr>
          <w:szCs w:val="21"/>
        </w:rPr>
        <w:t>。</w:t>
      </w:r>
    </w:p>
    <w:p w14:paraId="184E9F71">
      <w:pPr>
        <w:spacing w:line="380" w:lineRule="exact"/>
        <w:ind w:firstLine="420" w:firstLineChars="200"/>
        <w:rPr>
          <w:bCs/>
          <w:szCs w:val="21"/>
        </w:rPr>
      </w:pPr>
      <w:r>
        <w:rPr>
          <w:bCs/>
          <w:szCs w:val="21"/>
        </w:rPr>
        <w:t xml:space="preserve"> </w:t>
      </w:r>
      <w:bookmarkStart w:id="21" w:name="_Toc351203486"/>
      <w:r>
        <w:rPr>
          <w:rFonts w:eastAsia="黑体"/>
          <w:b/>
          <w:szCs w:val="21"/>
        </w:rPr>
        <w:t>六、合同文件构成</w:t>
      </w:r>
      <w:bookmarkEnd w:id="21"/>
    </w:p>
    <w:p w14:paraId="4935E55C">
      <w:pPr>
        <w:spacing w:line="380" w:lineRule="exact"/>
        <w:ind w:firstLine="420" w:firstLineChars="200"/>
        <w:rPr>
          <w:bCs/>
          <w:szCs w:val="21"/>
        </w:rPr>
      </w:pPr>
      <w:r>
        <w:rPr>
          <w:bCs/>
          <w:szCs w:val="21"/>
        </w:rPr>
        <w:t>本协议书与下列文件一起构成合同文件：</w:t>
      </w:r>
    </w:p>
    <w:p w14:paraId="478F7B1C">
      <w:pPr>
        <w:spacing w:line="380" w:lineRule="exact"/>
        <w:ind w:firstLine="420" w:firstLineChars="200"/>
        <w:rPr>
          <w:bCs/>
          <w:szCs w:val="21"/>
        </w:rPr>
      </w:pPr>
      <w:r>
        <w:rPr>
          <w:rFonts w:hint="eastAsia"/>
          <w:bCs/>
          <w:szCs w:val="21"/>
        </w:rPr>
        <w:t>（</w:t>
      </w:r>
      <w:r>
        <w:rPr>
          <w:rFonts w:hint="eastAsia"/>
          <w:bCs/>
          <w:szCs w:val="21"/>
          <w:lang w:val="en-US" w:eastAsia="zh-CN"/>
        </w:rPr>
        <w:t>1</w:t>
      </w:r>
      <w:r>
        <w:rPr>
          <w:rFonts w:hint="eastAsia"/>
          <w:bCs/>
          <w:szCs w:val="21"/>
        </w:rPr>
        <w:t>）</w:t>
      </w:r>
      <w:r>
        <w:rPr>
          <w:bCs/>
          <w:szCs w:val="21"/>
        </w:rPr>
        <w:t>中标通知书（如果有）；</w:t>
      </w:r>
    </w:p>
    <w:p w14:paraId="38B37B10">
      <w:pPr>
        <w:spacing w:line="380" w:lineRule="exact"/>
        <w:ind w:firstLine="420" w:firstLineChars="200"/>
        <w:rPr>
          <w:bCs/>
          <w:szCs w:val="21"/>
        </w:rPr>
      </w:pPr>
      <w:r>
        <w:rPr>
          <w:bCs/>
          <w:szCs w:val="21"/>
        </w:rPr>
        <w:t>（</w:t>
      </w:r>
      <w:r>
        <w:rPr>
          <w:rFonts w:hint="eastAsia"/>
          <w:bCs/>
          <w:szCs w:val="21"/>
          <w:lang w:val="en-US" w:eastAsia="zh-CN"/>
        </w:rPr>
        <w:t>2</w:t>
      </w:r>
      <w:r>
        <w:rPr>
          <w:bCs/>
          <w:szCs w:val="21"/>
        </w:rPr>
        <w:t>）投标函及其附录（如果有）；</w:t>
      </w:r>
    </w:p>
    <w:p w14:paraId="61DE8A07">
      <w:pPr>
        <w:spacing w:line="380" w:lineRule="exact"/>
        <w:ind w:firstLine="420" w:firstLineChars="200"/>
        <w:rPr>
          <w:bCs/>
          <w:szCs w:val="21"/>
        </w:rPr>
      </w:pPr>
      <w:r>
        <w:rPr>
          <w:bCs/>
          <w:szCs w:val="21"/>
        </w:rPr>
        <w:t>（</w:t>
      </w:r>
      <w:r>
        <w:rPr>
          <w:rFonts w:hint="eastAsia"/>
          <w:bCs/>
          <w:szCs w:val="21"/>
          <w:lang w:val="en-US" w:eastAsia="zh-CN"/>
        </w:rPr>
        <w:t>3</w:t>
      </w:r>
      <w:r>
        <w:rPr>
          <w:bCs/>
          <w:szCs w:val="21"/>
        </w:rPr>
        <w:t>）专用合同条款及其附件；</w:t>
      </w:r>
    </w:p>
    <w:p w14:paraId="14E7DC9A">
      <w:pPr>
        <w:spacing w:line="380" w:lineRule="exact"/>
        <w:ind w:firstLine="420" w:firstLineChars="200"/>
        <w:rPr>
          <w:bCs/>
          <w:szCs w:val="21"/>
        </w:rPr>
      </w:pPr>
      <w:r>
        <w:rPr>
          <w:bCs/>
          <w:szCs w:val="21"/>
        </w:rPr>
        <w:t>（</w:t>
      </w:r>
      <w:r>
        <w:rPr>
          <w:rFonts w:hint="eastAsia"/>
          <w:bCs/>
          <w:szCs w:val="21"/>
          <w:lang w:val="en-US" w:eastAsia="zh-CN"/>
        </w:rPr>
        <w:t>4</w:t>
      </w:r>
      <w:r>
        <w:rPr>
          <w:bCs/>
          <w:szCs w:val="21"/>
        </w:rPr>
        <w:t>）通用合同条款；</w:t>
      </w:r>
    </w:p>
    <w:p w14:paraId="23C7616A">
      <w:pPr>
        <w:spacing w:line="380" w:lineRule="exact"/>
        <w:ind w:firstLine="420" w:firstLineChars="200"/>
        <w:rPr>
          <w:bCs/>
          <w:szCs w:val="21"/>
        </w:rPr>
      </w:pPr>
      <w:r>
        <w:rPr>
          <w:bCs/>
          <w:szCs w:val="21"/>
        </w:rPr>
        <w:t>（</w:t>
      </w:r>
      <w:r>
        <w:rPr>
          <w:rFonts w:hint="eastAsia"/>
          <w:bCs/>
          <w:szCs w:val="21"/>
          <w:lang w:val="en-US" w:eastAsia="zh-CN"/>
        </w:rPr>
        <w:t>5</w:t>
      </w:r>
      <w:r>
        <w:rPr>
          <w:bCs/>
          <w:szCs w:val="21"/>
        </w:rPr>
        <w:t>）技术标准和要求；</w:t>
      </w:r>
    </w:p>
    <w:p w14:paraId="1FB9D023">
      <w:pPr>
        <w:spacing w:line="380" w:lineRule="exact"/>
        <w:ind w:firstLine="420" w:firstLineChars="200"/>
        <w:rPr>
          <w:bCs/>
          <w:szCs w:val="21"/>
        </w:rPr>
      </w:pPr>
      <w:r>
        <w:rPr>
          <w:bCs/>
          <w:szCs w:val="21"/>
        </w:rPr>
        <w:t>（</w:t>
      </w:r>
      <w:r>
        <w:rPr>
          <w:rFonts w:hint="eastAsia"/>
          <w:bCs/>
          <w:szCs w:val="21"/>
          <w:lang w:val="en-US" w:eastAsia="zh-CN"/>
        </w:rPr>
        <w:t>6</w:t>
      </w:r>
      <w:r>
        <w:rPr>
          <w:bCs/>
          <w:szCs w:val="21"/>
        </w:rPr>
        <w:t>）图纸；</w:t>
      </w:r>
    </w:p>
    <w:p w14:paraId="02AD6E26">
      <w:pPr>
        <w:spacing w:line="380" w:lineRule="exact"/>
        <w:ind w:firstLine="420" w:firstLineChars="200"/>
        <w:rPr>
          <w:bCs/>
          <w:szCs w:val="21"/>
        </w:rPr>
      </w:pPr>
      <w:r>
        <w:rPr>
          <w:bCs/>
          <w:szCs w:val="21"/>
        </w:rPr>
        <w:t>（</w:t>
      </w:r>
      <w:r>
        <w:rPr>
          <w:rFonts w:hint="eastAsia"/>
          <w:bCs/>
          <w:szCs w:val="21"/>
          <w:lang w:val="en-US" w:eastAsia="zh-CN"/>
        </w:rPr>
        <w:t>7</w:t>
      </w:r>
      <w:r>
        <w:rPr>
          <w:bCs/>
          <w:szCs w:val="21"/>
        </w:rPr>
        <w:t>）已标价工程量清单或预算</w:t>
      </w:r>
      <w:r>
        <w:rPr>
          <w:rFonts w:hint="eastAsia"/>
          <w:bCs/>
          <w:szCs w:val="21"/>
        </w:rPr>
        <w:t>审核</w:t>
      </w:r>
      <w:r>
        <w:rPr>
          <w:bCs/>
          <w:szCs w:val="21"/>
        </w:rPr>
        <w:t>书；</w:t>
      </w:r>
    </w:p>
    <w:p w14:paraId="5185F8DC">
      <w:pPr>
        <w:spacing w:line="380" w:lineRule="exact"/>
        <w:ind w:firstLine="420" w:firstLineChars="200"/>
        <w:rPr>
          <w:bCs/>
          <w:szCs w:val="21"/>
        </w:rPr>
      </w:pPr>
      <w:r>
        <w:rPr>
          <w:bCs/>
          <w:szCs w:val="21"/>
        </w:rPr>
        <w:t>（</w:t>
      </w:r>
      <w:r>
        <w:rPr>
          <w:rFonts w:hint="eastAsia"/>
          <w:bCs/>
          <w:szCs w:val="21"/>
          <w:lang w:val="en-US" w:eastAsia="zh-CN"/>
        </w:rPr>
        <w:t>8</w:t>
      </w:r>
      <w:r>
        <w:rPr>
          <w:bCs/>
          <w:szCs w:val="21"/>
        </w:rPr>
        <w:t>）其他合同文件。</w:t>
      </w:r>
    </w:p>
    <w:p w14:paraId="6E10A712">
      <w:pPr>
        <w:spacing w:line="380" w:lineRule="exact"/>
        <w:ind w:firstLine="420" w:firstLineChars="200"/>
        <w:rPr>
          <w:bCs/>
          <w:szCs w:val="21"/>
        </w:rPr>
      </w:pPr>
      <w:r>
        <w:rPr>
          <w:bCs/>
          <w:szCs w:val="21"/>
        </w:rPr>
        <w:t>在合同订立及履行过程中形成的与合同有关的文件均构成合同文件组成部分。</w:t>
      </w:r>
    </w:p>
    <w:p w14:paraId="1954F3FB">
      <w:pPr>
        <w:spacing w:line="380" w:lineRule="exact"/>
        <w:ind w:firstLine="420" w:firstLineChars="200"/>
        <w:rPr>
          <w:rFonts w:hint="eastAsia"/>
          <w:bCs/>
          <w:szCs w:val="21"/>
        </w:rPr>
      </w:pPr>
      <w:r>
        <w:rPr>
          <w:bCs/>
          <w:szCs w:val="21"/>
        </w:rPr>
        <w:t>上述各项合同文件包括合同当事人就该项合同文件所作出的补充和修改，属于同一类内容的文件，应以最新签署的为准。专用合同条款及其附件须经合同当事人签字或盖章。</w:t>
      </w:r>
    </w:p>
    <w:p w14:paraId="5660FD00">
      <w:pPr>
        <w:spacing w:line="380" w:lineRule="exact"/>
        <w:ind w:firstLine="422" w:firstLineChars="200"/>
        <w:rPr>
          <w:rFonts w:eastAsia="黑体"/>
          <w:b/>
          <w:szCs w:val="21"/>
        </w:rPr>
      </w:pPr>
      <w:r>
        <w:rPr>
          <w:rFonts w:hint="eastAsia" w:eastAsia="黑体"/>
          <w:b/>
          <w:szCs w:val="21"/>
        </w:rPr>
        <w:t>七、创优目标</w:t>
      </w:r>
    </w:p>
    <w:p w14:paraId="181D9D0A">
      <w:pPr>
        <w:autoSpaceDE w:val="0"/>
        <w:autoSpaceDN w:val="0"/>
        <w:adjustRightInd w:val="0"/>
        <w:spacing w:line="380" w:lineRule="exact"/>
        <w:ind w:firstLine="420" w:firstLineChars="200"/>
        <w:rPr>
          <w:bCs/>
          <w:szCs w:val="21"/>
        </w:rPr>
      </w:pPr>
      <w:r>
        <w:rPr>
          <w:rFonts w:hint="eastAsia"/>
          <w:bCs/>
          <w:szCs w:val="21"/>
        </w:rPr>
        <w:t>工程质量创</w:t>
      </w:r>
      <w:r>
        <w:rPr>
          <w:rFonts w:hint="eastAsia"/>
          <w:bCs/>
          <w:szCs w:val="21"/>
          <w:u w:val="single"/>
        </w:rPr>
        <w:t xml:space="preserve">  </w:t>
      </w:r>
      <w:r>
        <w:rPr>
          <w:rFonts w:hint="eastAsia" w:ascii="宋体" w:hAnsi="宋体"/>
          <w:bCs/>
          <w:szCs w:val="21"/>
          <w:u w:val="single"/>
        </w:rPr>
        <w:t xml:space="preserve"> [ / ]优质工程</w:t>
      </w:r>
      <w:r>
        <w:rPr>
          <w:rFonts w:hint="eastAsia"/>
          <w:bCs/>
          <w:szCs w:val="21"/>
          <w:u w:val="single"/>
        </w:rPr>
        <w:t xml:space="preserve">   </w:t>
      </w:r>
      <w:r>
        <w:rPr>
          <w:rFonts w:hint="eastAsia"/>
          <w:bCs/>
          <w:szCs w:val="21"/>
        </w:rPr>
        <w:t>。</w:t>
      </w:r>
    </w:p>
    <w:p w14:paraId="76F646D1">
      <w:pPr>
        <w:spacing w:line="380" w:lineRule="exact"/>
        <w:ind w:firstLine="420" w:firstLineChars="200"/>
        <w:rPr>
          <w:bCs/>
          <w:szCs w:val="21"/>
        </w:rPr>
      </w:pPr>
      <w:r>
        <w:rPr>
          <w:rFonts w:hint="eastAsia"/>
          <w:bCs/>
          <w:szCs w:val="21"/>
        </w:rPr>
        <w:t>安全文明施工创</w:t>
      </w:r>
      <w:r>
        <w:rPr>
          <w:rFonts w:hint="eastAsia"/>
          <w:bCs/>
          <w:szCs w:val="21"/>
          <w:u w:val="single"/>
        </w:rPr>
        <w:t xml:space="preserve">  </w:t>
      </w:r>
      <w:r>
        <w:rPr>
          <w:rFonts w:hint="eastAsia" w:ascii="宋体" w:hAnsi="宋体"/>
          <w:bCs/>
          <w:szCs w:val="21"/>
          <w:u w:val="single"/>
        </w:rPr>
        <w:t xml:space="preserve"> [ / ]安全文明标准化工地</w:t>
      </w:r>
      <w:r>
        <w:rPr>
          <w:rFonts w:hint="eastAsia"/>
          <w:bCs/>
          <w:szCs w:val="21"/>
          <w:u w:val="single"/>
        </w:rPr>
        <w:t xml:space="preserve">   </w:t>
      </w:r>
      <w:r>
        <w:rPr>
          <w:rFonts w:hint="eastAsia"/>
          <w:bCs/>
          <w:szCs w:val="21"/>
        </w:rPr>
        <w:t>。</w:t>
      </w:r>
    </w:p>
    <w:p w14:paraId="7B3A81D2">
      <w:pPr>
        <w:spacing w:line="380" w:lineRule="exact"/>
        <w:ind w:firstLine="422" w:firstLineChars="200"/>
        <w:rPr>
          <w:b/>
          <w:bCs/>
          <w:szCs w:val="21"/>
        </w:rPr>
      </w:pPr>
      <w:bookmarkStart w:id="22" w:name="_Toc351203487"/>
      <w:r>
        <w:rPr>
          <w:rFonts w:hint="eastAsia" w:eastAsia="黑体"/>
          <w:b/>
          <w:szCs w:val="21"/>
        </w:rPr>
        <w:t>八</w:t>
      </w:r>
      <w:r>
        <w:rPr>
          <w:rFonts w:eastAsia="黑体"/>
          <w:b/>
          <w:szCs w:val="21"/>
        </w:rPr>
        <w:t>、承诺</w:t>
      </w:r>
      <w:bookmarkEnd w:id="22"/>
    </w:p>
    <w:p w14:paraId="185F4039">
      <w:pPr>
        <w:spacing w:line="380" w:lineRule="exact"/>
        <w:ind w:firstLine="420" w:firstLineChars="200"/>
        <w:rPr>
          <w:bCs/>
          <w:szCs w:val="21"/>
        </w:rPr>
      </w:pPr>
      <w:r>
        <w:rPr>
          <w:bCs/>
          <w:szCs w:val="21"/>
        </w:rPr>
        <w:t>1．发包人承诺按照法律规定履行项目审批手续、筹集工程建设资金并按照合同约定的期限和方式支付合同价款。</w:t>
      </w:r>
    </w:p>
    <w:p w14:paraId="6576FF30">
      <w:pPr>
        <w:spacing w:line="380" w:lineRule="exact"/>
        <w:ind w:firstLine="420" w:firstLineChars="200"/>
        <w:rPr>
          <w:rFonts w:hint="eastAsia"/>
          <w:bCs/>
          <w:szCs w:val="21"/>
        </w:rPr>
      </w:pPr>
      <w:r>
        <w:rPr>
          <w:bCs/>
          <w:szCs w:val="21"/>
        </w:rPr>
        <w:t>2．承包人承诺按照法律规定及合同约定组织完成工程施工，确保工程质量和安全，不进行转包及违法分包，并在缺陷责任期及保修期内承担相应的工程维修责任。</w:t>
      </w:r>
    </w:p>
    <w:p w14:paraId="13500589">
      <w:pPr>
        <w:spacing w:line="380" w:lineRule="exact"/>
        <w:ind w:firstLine="420" w:firstLineChars="200"/>
        <w:rPr>
          <w:bCs/>
          <w:szCs w:val="21"/>
        </w:rPr>
      </w:pPr>
      <w:r>
        <w:rPr>
          <w:rFonts w:hint="eastAsia"/>
          <w:bCs/>
          <w:szCs w:val="21"/>
        </w:rPr>
        <w:t>3. 承包人承诺不拖欠工人工资，因拖欠工资造成的一切后果，均由承包人承担，发包人有权将应拨付的工程款，先代付工人工资。</w:t>
      </w:r>
    </w:p>
    <w:p w14:paraId="48B92F5F">
      <w:pPr>
        <w:spacing w:line="380" w:lineRule="exact"/>
        <w:ind w:firstLine="420" w:firstLineChars="200"/>
        <w:rPr>
          <w:bCs/>
          <w:szCs w:val="21"/>
        </w:rPr>
      </w:pPr>
      <w:r>
        <w:rPr>
          <w:rFonts w:hint="eastAsia"/>
          <w:bCs/>
          <w:szCs w:val="21"/>
        </w:rPr>
        <w:t>4</w:t>
      </w:r>
      <w:r>
        <w:rPr>
          <w:bCs/>
          <w:szCs w:val="21"/>
        </w:rPr>
        <w:t>．发包人和承包人通过招投标形式签订合同的，双方理解并承诺不再就同一工程另行签订与合同实质性内容相背离的协议。</w:t>
      </w:r>
    </w:p>
    <w:p w14:paraId="29A6403A">
      <w:pPr>
        <w:spacing w:line="380" w:lineRule="exact"/>
        <w:ind w:firstLine="422" w:firstLineChars="200"/>
        <w:rPr>
          <w:bCs/>
          <w:szCs w:val="21"/>
        </w:rPr>
      </w:pPr>
      <w:bookmarkStart w:id="23" w:name="_Toc351203488"/>
      <w:r>
        <w:rPr>
          <w:b/>
          <w:szCs w:val="21"/>
        </w:rPr>
        <w:t xml:space="preserve"> </w:t>
      </w:r>
      <w:r>
        <w:rPr>
          <w:rFonts w:hint="eastAsia" w:eastAsia="黑体"/>
          <w:b/>
          <w:szCs w:val="21"/>
        </w:rPr>
        <w:t>九</w:t>
      </w:r>
      <w:r>
        <w:rPr>
          <w:rFonts w:eastAsia="黑体"/>
          <w:b/>
          <w:szCs w:val="21"/>
        </w:rPr>
        <w:t>、词语含义</w:t>
      </w:r>
      <w:bookmarkEnd w:id="23"/>
    </w:p>
    <w:p w14:paraId="4E66A815">
      <w:pPr>
        <w:spacing w:line="380" w:lineRule="exact"/>
        <w:ind w:firstLine="420" w:firstLineChars="200"/>
        <w:rPr>
          <w:bCs/>
          <w:szCs w:val="21"/>
        </w:rPr>
      </w:pPr>
      <w:r>
        <w:rPr>
          <w:bCs/>
          <w:szCs w:val="21"/>
        </w:rPr>
        <w:t>本协议书中词语含义与第二部分通用合同条款中赋予的含义相同。</w:t>
      </w:r>
    </w:p>
    <w:p w14:paraId="1AC47148">
      <w:pPr>
        <w:spacing w:line="380" w:lineRule="exact"/>
        <w:ind w:firstLine="422" w:firstLineChars="200"/>
        <w:rPr>
          <w:bCs/>
          <w:szCs w:val="21"/>
        </w:rPr>
      </w:pPr>
      <w:bookmarkStart w:id="24" w:name="_Toc351203489"/>
      <w:r>
        <w:rPr>
          <w:rFonts w:hint="eastAsia" w:eastAsia="黑体"/>
          <w:b/>
          <w:szCs w:val="21"/>
        </w:rPr>
        <w:t>十</w:t>
      </w:r>
      <w:r>
        <w:rPr>
          <w:rFonts w:eastAsia="黑体"/>
          <w:b/>
          <w:szCs w:val="21"/>
        </w:rPr>
        <w:t>、签订时间</w:t>
      </w:r>
      <w:bookmarkEnd w:id="24"/>
    </w:p>
    <w:p w14:paraId="0AA0CF33">
      <w:pPr>
        <w:spacing w:line="380" w:lineRule="exact"/>
        <w:ind w:firstLine="420" w:firstLineChars="200"/>
        <w:rPr>
          <w:bCs/>
          <w:szCs w:val="21"/>
        </w:rPr>
      </w:pPr>
      <w:r>
        <w:rPr>
          <w:bCs/>
          <w:szCs w:val="21"/>
        </w:rPr>
        <w:t>本合同于</w:t>
      </w:r>
      <w:r>
        <w:rPr>
          <w:bCs/>
          <w:szCs w:val="21"/>
          <w:u w:val="single"/>
        </w:rPr>
        <w:t xml:space="preserve">       </w:t>
      </w:r>
      <w:r>
        <w:rPr>
          <w:bCs/>
          <w:szCs w:val="21"/>
        </w:rPr>
        <w:t>年</w:t>
      </w:r>
      <w:r>
        <w:rPr>
          <w:bCs/>
          <w:szCs w:val="21"/>
          <w:u w:val="single"/>
        </w:rPr>
        <w:t xml:space="preserve">    </w:t>
      </w:r>
      <w:r>
        <w:rPr>
          <w:bCs/>
          <w:szCs w:val="21"/>
        </w:rPr>
        <w:t>月</w:t>
      </w:r>
      <w:r>
        <w:rPr>
          <w:bCs/>
          <w:szCs w:val="21"/>
          <w:u w:val="single"/>
        </w:rPr>
        <w:t xml:space="preserve">    </w:t>
      </w:r>
      <w:r>
        <w:rPr>
          <w:bCs/>
          <w:szCs w:val="21"/>
        </w:rPr>
        <w:t>日签订。</w:t>
      </w:r>
    </w:p>
    <w:p w14:paraId="6E05167D">
      <w:pPr>
        <w:spacing w:line="380" w:lineRule="exact"/>
        <w:ind w:firstLine="420" w:firstLineChars="200"/>
        <w:rPr>
          <w:bCs/>
          <w:szCs w:val="21"/>
        </w:rPr>
      </w:pPr>
      <w:r>
        <w:rPr>
          <w:bCs/>
          <w:szCs w:val="21"/>
        </w:rPr>
        <w:t xml:space="preserve"> </w:t>
      </w:r>
      <w:bookmarkStart w:id="25" w:name="_Toc351203490"/>
      <w:r>
        <w:rPr>
          <w:rFonts w:eastAsia="黑体"/>
          <w:b/>
          <w:szCs w:val="21"/>
        </w:rPr>
        <w:t>十</w:t>
      </w:r>
      <w:r>
        <w:rPr>
          <w:rFonts w:hint="eastAsia" w:eastAsia="黑体"/>
          <w:b/>
          <w:szCs w:val="21"/>
        </w:rPr>
        <w:t>一</w:t>
      </w:r>
      <w:r>
        <w:rPr>
          <w:rFonts w:eastAsia="黑体"/>
          <w:b/>
          <w:szCs w:val="21"/>
        </w:rPr>
        <w:t>、签订地点</w:t>
      </w:r>
      <w:bookmarkEnd w:id="25"/>
    </w:p>
    <w:p w14:paraId="79E609E2">
      <w:pPr>
        <w:spacing w:line="380" w:lineRule="exact"/>
        <w:ind w:firstLine="420" w:firstLineChars="200"/>
        <w:rPr>
          <w:bCs/>
          <w:szCs w:val="21"/>
        </w:rPr>
      </w:pPr>
      <w:r>
        <w:rPr>
          <w:bCs/>
          <w:szCs w:val="21"/>
        </w:rPr>
        <w:t>本合同在</w:t>
      </w:r>
      <w:r>
        <w:rPr>
          <w:bCs/>
          <w:szCs w:val="21"/>
          <w:u w:val="single"/>
        </w:rPr>
        <w:t xml:space="preserve">                                    </w:t>
      </w:r>
      <w:r>
        <w:rPr>
          <w:bCs/>
          <w:szCs w:val="21"/>
        </w:rPr>
        <w:t>签订。</w:t>
      </w:r>
    </w:p>
    <w:p w14:paraId="6CF32550">
      <w:pPr>
        <w:spacing w:line="380" w:lineRule="exact"/>
        <w:ind w:firstLine="420" w:firstLineChars="200"/>
        <w:rPr>
          <w:bCs/>
          <w:szCs w:val="21"/>
        </w:rPr>
      </w:pPr>
      <w:r>
        <w:rPr>
          <w:bCs/>
          <w:szCs w:val="21"/>
        </w:rPr>
        <w:t xml:space="preserve"> </w:t>
      </w:r>
      <w:bookmarkStart w:id="26" w:name="_Toc351203491"/>
      <w:r>
        <w:rPr>
          <w:rFonts w:eastAsia="黑体"/>
          <w:b/>
          <w:szCs w:val="21"/>
        </w:rPr>
        <w:t>十</w:t>
      </w:r>
      <w:r>
        <w:rPr>
          <w:rFonts w:hint="eastAsia" w:eastAsia="黑体"/>
          <w:b/>
          <w:szCs w:val="21"/>
        </w:rPr>
        <w:t>二</w:t>
      </w:r>
      <w:r>
        <w:rPr>
          <w:rFonts w:eastAsia="黑体"/>
          <w:b/>
          <w:szCs w:val="21"/>
        </w:rPr>
        <w:t>、补充协议</w:t>
      </w:r>
      <w:bookmarkEnd w:id="26"/>
    </w:p>
    <w:p w14:paraId="7A01563D">
      <w:pPr>
        <w:spacing w:line="380" w:lineRule="exact"/>
        <w:ind w:firstLine="420" w:firstLineChars="200"/>
        <w:rPr>
          <w:b/>
          <w:bCs/>
          <w:szCs w:val="21"/>
        </w:rPr>
      </w:pPr>
      <w:r>
        <w:rPr>
          <w:bCs/>
          <w:szCs w:val="21"/>
        </w:rPr>
        <w:t>合同未尽事宜，合同当事人另行签订补充协议，补充协议是合同的组成部分。</w:t>
      </w:r>
    </w:p>
    <w:p w14:paraId="5E1E8BC7">
      <w:pPr>
        <w:spacing w:line="380" w:lineRule="exact"/>
        <w:ind w:firstLine="420" w:firstLineChars="200"/>
        <w:rPr>
          <w:bCs/>
          <w:szCs w:val="21"/>
        </w:rPr>
      </w:pPr>
      <w:r>
        <w:rPr>
          <w:bCs/>
          <w:szCs w:val="21"/>
        </w:rPr>
        <w:t xml:space="preserve"> </w:t>
      </w:r>
      <w:bookmarkStart w:id="27" w:name="_Toc351203492"/>
      <w:r>
        <w:rPr>
          <w:rFonts w:eastAsia="黑体"/>
          <w:b/>
          <w:szCs w:val="21"/>
        </w:rPr>
        <w:t>十</w:t>
      </w:r>
      <w:r>
        <w:rPr>
          <w:rFonts w:hint="eastAsia" w:eastAsia="黑体"/>
          <w:b/>
          <w:szCs w:val="21"/>
        </w:rPr>
        <w:t>三</w:t>
      </w:r>
      <w:r>
        <w:rPr>
          <w:rFonts w:eastAsia="黑体"/>
          <w:b/>
          <w:szCs w:val="21"/>
        </w:rPr>
        <w:t>、合同生效</w:t>
      </w:r>
      <w:bookmarkEnd w:id="27"/>
    </w:p>
    <w:p w14:paraId="796EDCF0">
      <w:pPr>
        <w:spacing w:line="380" w:lineRule="exact"/>
        <w:ind w:firstLine="420" w:firstLineChars="200"/>
        <w:rPr>
          <w:bCs/>
          <w:szCs w:val="21"/>
        </w:rPr>
      </w:pPr>
      <w:r>
        <w:rPr>
          <w:bCs/>
          <w:szCs w:val="21"/>
        </w:rPr>
        <w:t>本合同自</w:t>
      </w:r>
      <w:r>
        <w:rPr>
          <w:bCs/>
          <w:szCs w:val="21"/>
          <w:u w:val="single"/>
        </w:rPr>
        <w:t>双方法定代表人或委托代理人</w:t>
      </w:r>
      <w:r>
        <w:rPr>
          <w:rFonts w:hint="eastAsia"/>
          <w:b/>
          <w:bCs/>
          <w:szCs w:val="21"/>
          <w:u w:val="single"/>
        </w:rPr>
        <w:t>（需开具法人委托书）</w:t>
      </w:r>
      <w:r>
        <w:rPr>
          <w:bCs/>
          <w:szCs w:val="21"/>
          <w:u w:val="single"/>
        </w:rPr>
        <w:t>签字，并加盖公章后</w:t>
      </w:r>
      <w:r>
        <w:rPr>
          <w:rFonts w:hint="eastAsia"/>
          <w:bCs/>
          <w:szCs w:val="21"/>
          <w:u w:val="single"/>
        </w:rPr>
        <w:t xml:space="preserve"> </w:t>
      </w:r>
      <w:r>
        <w:rPr>
          <w:bCs/>
          <w:szCs w:val="21"/>
        </w:rPr>
        <w:t>生效。</w:t>
      </w:r>
    </w:p>
    <w:p w14:paraId="2E1656C7">
      <w:pPr>
        <w:spacing w:line="380" w:lineRule="exact"/>
        <w:ind w:firstLine="420" w:firstLineChars="200"/>
        <w:rPr>
          <w:bCs/>
          <w:szCs w:val="21"/>
        </w:rPr>
      </w:pPr>
      <w:r>
        <w:rPr>
          <w:bCs/>
          <w:szCs w:val="21"/>
        </w:rPr>
        <w:t xml:space="preserve"> </w:t>
      </w:r>
      <w:bookmarkStart w:id="28" w:name="_Toc351203493"/>
      <w:r>
        <w:rPr>
          <w:rFonts w:eastAsia="黑体"/>
          <w:b/>
          <w:szCs w:val="21"/>
        </w:rPr>
        <w:t>十</w:t>
      </w:r>
      <w:r>
        <w:rPr>
          <w:rFonts w:hint="eastAsia" w:eastAsia="黑体"/>
          <w:b/>
          <w:szCs w:val="21"/>
        </w:rPr>
        <w:t>四</w:t>
      </w:r>
      <w:r>
        <w:rPr>
          <w:rFonts w:eastAsia="黑体"/>
          <w:b/>
          <w:szCs w:val="21"/>
        </w:rPr>
        <w:t>、合同份数</w:t>
      </w:r>
      <w:bookmarkEnd w:id="28"/>
    </w:p>
    <w:p w14:paraId="18CD91AE">
      <w:pPr>
        <w:spacing w:line="380" w:lineRule="exact"/>
        <w:ind w:firstLine="420" w:firstLineChars="200"/>
        <w:rPr>
          <w:bCs/>
          <w:szCs w:val="21"/>
        </w:rPr>
      </w:pPr>
      <w:r>
        <w:rPr>
          <w:bCs/>
          <w:szCs w:val="21"/>
        </w:rPr>
        <w:t>本合同一式</w:t>
      </w:r>
      <w:r>
        <w:rPr>
          <w:bCs/>
          <w:szCs w:val="21"/>
          <w:u w:val="single"/>
        </w:rPr>
        <w:t xml:space="preserve">    </w:t>
      </w:r>
      <w:r>
        <w:rPr>
          <w:bCs/>
          <w:szCs w:val="21"/>
        </w:rPr>
        <w:t>份，均具有同等法律效力，发包人执</w:t>
      </w:r>
      <w:r>
        <w:rPr>
          <w:bCs/>
          <w:szCs w:val="21"/>
          <w:u w:val="single"/>
        </w:rPr>
        <w:t xml:space="preserve">    </w:t>
      </w:r>
      <w:r>
        <w:rPr>
          <w:bCs/>
          <w:szCs w:val="21"/>
        </w:rPr>
        <w:t>份，承包人执</w:t>
      </w:r>
      <w:r>
        <w:rPr>
          <w:bCs/>
          <w:szCs w:val="21"/>
          <w:u w:val="single"/>
        </w:rPr>
        <w:t xml:space="preserve">    </w:t>
      </w:r>
      <w:r>
        <w:rPr>
          <w:bCs/>
          <w:szCs w:val="21"/>
        </w:rPr>
        <w:t>份，合同备案机构执</w:t>
      </w:r>
      <w:r>
        <w:rPr>
          <w:bCs/>
          <w:szCs w:val="21"/>
          <w:u w:val="single"/>
        </w:rPr>
        <w:t xml:space="preserve">       </w:t>
      </w:r>
      <w:r>
        <w:rPr>
          <w:bCs/>
          <w:szCs w:val="21"/>
        </w:rPr>
        <w:t>份。</w:t>
      </w:r>
    </w:p>
    <w:p w14:paraId="1AE58B8F">
      <w:pPr>
        <w:spacing w:line="360" w:lineRule="exact"/>
        <w:rPr>
          <w:rFonts w:hint="eastAsia"/>
          <w:bCs/>
          <w:szCs w:val="21"/>
        </w:rPr>
      </w:pPr>
    </w:p>
    <w:p w14:paraId="7BAB167D">
      <w:pPr>
        <w:spacing w:line="360" w:lineRule="exact"/>
        <w:ind w:firstLine="420" w:firstLineChars="200"/>
        <w:rPr>
          <w:szCs w:val="21"/>
        </w:rPr>
      </w:pPr>
      <w:r>
        <w:rPr>
          <w:szCs w:val="21"/>
        </w:rPr>
        <w:t xml:space="preserve">发包人：  (公章)             </w:t>
      </w:r>
      <w:r>
        <w:rPr>
          <w:rFonts w:hint="eastAsia"/>
          <w:szCs w:val="21"/>
        </w:rPr>
        <w:t xml:space="preserve">          </w:t>
      </w:r>
      <w:r>
        <w:rPr>
          <w:szCs w:val="21"/>
        </w:rPr>
        <w:t>承包人：  (公章)</w:t>
      </w:r>
    </w:p>
    <w:p w14:paraId="19753C98">
      <w:pPr>
        <w:spacing w:line="360" w:lineRule="exact"/>
        <w:ind w:firstLine="420" w:firstLineChars="200"/>
        <w:rPr>
          <w:szCs w:val="21"/>
          <w:u w:val="single"/>
        </w:rPr>
      </w:pPr>
      <w:r>
        <w:rPr>
          <w:szCs w:val="21"/>
        </w:rPr>
        <w:t xml:space="preserve">                                 </w:t>
      </w:r>
    </w:p>
    <w:p w14:paraId="515F7F86">
      <w:pPr>
        <w:spacing w:line="360" w:lineRule="exact"/>
        <w:ind w:firstLine="420" w:firstLineChars="200"/>
        <w:rPr>
          <w:szCs w:val="21"/>
        </w:rPr>
      </w:pPr>
      <w:r>
        <w:rPr>
          <w:szCs w:val="21"/>
        </w:rPr>
        <w:t xml:space="preserve">法定代表人或其委托代理人： </w:t>
      </w:r>
      <w:r>
        <w:rPr>
          <w:rFonts w:hint="eastAsia"/>
          <w:szCs w:val="21"/>
        </w:rPr>
        <w:t xml:space="preserve">          </w:t>
      </w:r>
      <w:r>
        <w:rPr>
          <w:szCs w:val="21"/>
        </w:rPr>
        <w:t xml:space="preserve"> 法定代表人或其委托代理人：</w:t>
      </w:r>
    </w:p>
    <w:p w14:paraId="1EDF297A">
      <w:pPr>
        <w:spacing w:line="360" w:lineRule="exact"/>
        <w:ind w:firstLine="420" w:firstLineChars="200"/>
        <w:rPr>
          <w:szCs w:val="21"/>
        </w:rPr>
      </w:pPr>
      <w:r>
        <w:rPr>
          <w:szCs w:val="21"/>
        </w:rPr>
        <w:t xml:space="preserve">（签字）                    </w:t>
      </w:r>
      <w:r>
        <w:rPr>
          <w:rFonts w:hint="eastAsia"/>
          <w:szCs w:val="21"/>
        </w:rPr>
        <w:t xml:space="preserve">              </w:t>
      </w:r>
      <w:r>
        <w:rPr>
          <w:szCs w:val="21"/>
        </w:rPr>
        <w:t>（签字）</w:t>
      </w:r>
    </w:p>
    <w:p w14:paraId="4C5430F7">
      <w:pPr>
        <w:spacing w:line="360" w:lineRule="exact"/>
        <w:ind w:firstLine="420" w:firstLineChars="200"/>
        <w:rPr>
          <w:szCs w:val="21"/>
          <w:u w:val="single"/>
        </w:rPr>
      </w:pPr>
    </w:p>
    <w:p w14:paraId="6942039D">
      <w:pPr>
        <w:keepNext w:val="0"/>
        <w:keepLines w:val="0"/>
        <w:pageBreakBefore w:val="0"/>
        <w:widowControl/>
        <w:tabs>
          <w:tab w:val="left" w:pos="4410"/>
        </w:tabs>
        <w:kinsoku w:val="0"/>
        <w:wordWrap/>
        <w:overflowPunct/>
        <w:topLinePunct w:val="0"/>
        <w:autoSpaceDE w:val="0"/>
        <w:autoSpaceDN w:val="0"/>
        <w:bidi w:val="0"/>
        <w:adjustRightInd w:val="0"/>
        <w:snapToGrid w:val="0"/>
        <w:spacing w:line="360" w:lineRule="auto"/>
        <w:ind w:firstLine="420" w:firstLineChars="200"/>
        <w:rPr>
          <w:szCs w:val="21"/>
        </w:rPr>
      </w:pPr>
      <w:r>
        <w:rPr>
          <w:rFonts w:hint="eastAsia"/>
          <w:szCs w:val="21"/>
        </w:rPr>
        <w:t>统一社会信用代</w:t>
      </w:r>
      <w:r>
        <w:rPr>
          <w:szCs w:val="21"/>
        </w:rPr>
        <w:t>码：</w:t>
      </w:r>
      <w:r>
        <w:rPr>
          <w:bCs/>
          <w:szCs w:val="21"/>
          <w:u w:val="single"/>
        </w:rPr>
        <w:t xml:space="preserve">        </w:t>
      </w:r>
      <w:r>
        <w:rPr>
          <w:rFonts w:hint="eastAsia"/>
          <w:bCs/>
          <w:szCs w:val="21"/>
          <w:u w:val="single"/>
          <w:lang w:val="en-US" w:eastAsia="zh-CN"/>
        </w:rPr>
        <w:t xml:space="preserve">                          </w:t>
      </w:r>
      <w:r>
        <w:rPr>
          <w:rFonts w:hint="eastAsia"/>
          <w:bCs/>
          <w:szCs w:val="21"/>
          <w:u w:val="single"/>
        </w:rPr>
        <w:t xml:space="preserve">        </w:t>
      </w:r>
      <w:r>
        <w:rPr>
          <w:bCs/>
          <w:szCs w:val="21"/>
          <w:u w:val="single"/>
        </w:rPr>
        <w:t xml:space="preserve">  </w:t>
      </w:r>
      <w:r>
        <w:rPr>
          <w:szCs w:val="21"/>
        </w:rPr>
        <w:t xml:space="preserve"> </w:t>
      </w:r>
      <w:r>
        <w:rPr>
          <w:rFonts w:hint="eastAsia"/>
          <w:szCs w:val="21"/>
        </w:rPr>
        <w:t>统一社会信用代</w:t>
      </w:r>
      <w:r>
        <w:rPr>
          <w:szCs w:val="21"/>
        </w:rPr>
        <w:t>码：</w:t>
      </w:r>
      <w:r>
        <w:rPr>
          <w:bCs/>
          <w:szCs w:val="21"/>
          <w:u w:val="single"/>
        </w:rPr>
        <w:t xml:space="preserve">        </w:t>
      </w:r>
      <w:r>
        <w:rPr>
          <w:rFonts w:hint="eastAsia"/>
          <w:bCs/>
          <w:szCs w:val="21"/>
          <w:u w:val="single"/>
        </w:rPr>
        <w:t xml:space="preserve">       </w:t>
      </w:r>
      <w:r>
        <w:rPr>
          <w:rFonts w:hint="eastAsia"/>
          <w:bCs/>
          <w:szCs w:val="21"/>
          <w:u w:val="single"/>
          <w:lang w:val="en-US" w:eastAsia="zh-CN"/>
        </w:rPr>
        <w:t xml:space="preserve">                     </w:t>
      </w:r>
      <w:r>
        <w:rPr>
          <w:bCs/>
          <w:szCs w:val="21"/>
          <w:u w:val="single"/>
        </w:rPr>
        <w:t xml:space="preserve">      </w:t>
      </w:r>
      <w:r>
        <w:rPr>
          <w:szCs w:val="21"/>
        </w:rPr>
        <w:t xml:space="preserve"> </w:t>
      </w:r>
    </w:p>
    <w:p w14:paraId="58A95529">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rPr>
          <w:szCs w:val="21"/>
        </w:rPr>
      </w:pPr>
      <w:r>
        <w:rPr>
          <w:szCs w:val="21"/>
        </w:rPr>
        <w:t>地  址：</w:t>
      </w:r>
      <w:r>
        <w:rPr>
          <w:bCs/>
          <w:szCs w:val="21"/>
          <w:u w:val="single"/>
        </w:rPr>
        <w:t xml:space="preserve">            </w:t>
      </w:r>
      <w:r>
        <w:rPr>
          <w:rFonts w:hint="eastAsia"/>
          <w:bCs/>
          <w:szCs w:val="21"/>
          <w:u w:val="single"/>
          <w:lang w:val="en-US" w:eastAsia="zh-CN"/>
        </w:rPr>
        <w:t xml:space="preserve">                                    </w:t>
      </w:r>
      <w:r>
        <w:rPr>
          <w:bCs/>
          <w:szCs w:val="21"/>
          <w:u w:val="single"/>
        </w:rPr>
        <w:t xml:space="preserve"> </w:t>
      </w:r>
      <w:r>
        <w:rPr>
          <w:rFonts w:hint="eastAsia"/>
          <w:bCs/>
          <w:szCs w:val="21"/>
          <w:u w:val="single"/>
        </w:rPr>
        <w:t xml:space="preserve">         </w:t>
      </w:r>
      <w:r>
        <w:rPr>
          <w:bCs/>
          <w:szCs w:val="21"/>
          <w:u w:val="single"/>
        </w:rPr>
        <w:t xml:space="preserve">      </w:t>
      </w:r>
      <w:r>
        <w:rPr>
          <w:szCs w:val="21"/>
        </w:rPr>
        <w:t xml:space="preserve"> 地  址：</w:t>
      </w:r>
      <w:r>
        <w:rPr>
          <w:bCs/>
          <w:szCs w:val="21"/>
          <w:u w:val="single"/>
        </w:rPr>
        <w:t xml:space="preserve">             </w:t>
      </w:r>
      <w:r>
        <w:rPr>
          <w:rFonts w:hint="eastAsia"/>
          <w:bCs/>
          <w:szCs w:val="21"/>
          <w:u w:val="single"/>
        </w:rPr>
        <w:t xml:space="preserve">    </w:t>
      </w:r>
      <w:r>
        <w:rPr>
          <w:rFonts w:hint="eastAsia"/>
          <w:bCs/>
          <w:szCs w:val="21"/>
          <w:u w:val="single"/>
          <w:lang w:val="en-US" w:eastAsia="zh-CN"/>
        </w:rPr>
        <w:t xml:space="preserve">                              </w:t>
      </w:r>
      <w:r>
        <w:rPr>
          <w:rFonts w:hint="eastAsia"/>
          <w:bCs/>
          <w:szCs w:val="21"/>
          <w:u w:val="single"/>
        </w:rPr>
        <w:t xml:space="preserve">      </w:t>
      </w:r>
      <w:r>
        <w:rPr>
          <w:bCs/>
          <w:szCs w:val="21"/>
          <w:u w:val="single"/>
        </w:rPr>
        <w:t xml:space="preserve">        </w:t>
      </w:r>
    </w:p>
    <w:p w14:paraId="699D4668">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rPr>
          <w:szCs w:val="21"/>
        </w:rPr>
      </w:pPr>
      <w:r>
        <w:rPr>
          <w:szCs w:val="21"/>
        </w:rPr>
        <w:t>邮政编码：</w:t>
      </w:r>
      <w:r>
        <w:rPr>
          <w:bCs/>
          <w:szCs w:val="21"/>
          <w:u w:val="single"/>
        </w:rPr>
        <w:t xml:space="preserve">           </w:t>
      </w:r>
      <w:r>
        <w:rPr>
          <w:rFonts w:hint="eastAsia"/>
          <w:bCs/>
          <w:szCs w:val="21"/>
          <w:u w:val="single"/>
          <w:lang w:val="en-US" w:eastAsia="zh-CN"/>
        </w:rPr>
        <w:t xml:space="preserve">                                </w:t>
      </w:r>
      <w:r>
        <w:rPr>
          <w:bCs/>
          <w:szCs w:val="21"/>
          <w:u w:val="single"/>
        </w:rPr>
        <w:t xml:space="preserve"> </w:t>
      </w:r>
      <w:r>
        <w:rPr>
          <w:rFonts w:hint="eastAsia"/>
          <w:bCs/>
          <w:szCs w:val="21"/>
          <w:u w:val="single"/>
        </w:rPr>
        <w:t xml:space="preserve">        </w:t>
      </w:r>
      <w:r>
        <w:rPr>
          <w:bCs/>
          <w:szCs w:val="21"/>
          <w:u w:val="single"/>
        </w:rPr>
        <w:t xml:space="preserve">      </w:t>
      </w:r>
      <w:r>
        <w:rPr>
          <w:szCs w:val="21"/>
        </w:rPr>
        <w:t xml:space="preserve"> 邮政编码：</w:t>
      </w:r>
      <w:r>
        <w:rPr>
          <w:bCs/>
          <w:szCs w:val="21"/>
          <w:u w:val="single"/>
        </w:rPr>
        <w:t xml:space="preserve">           </w:t>
      </w:r>
      <w:r>
        <w:rPr>
          <w:rFonts w:hint="eastAsia"/>
          <w:bCs/>
          <w:szCs w:val="21"/>
          <w:u w:val="single"/>
          <w:lang w:val="en-US" w:eastAsia="zh-CN"/>
        </w:rPr>
        <w:t xml:space="preserve">                            </w:t>
      </w:r>
      <w:r>
        <w:rPr>
          <w:rFonts w:hint="eastAsia"/>
          <w:bCs/>
          <w:szCs w:val="21"/>
          <w:u w:val="single"/>
        </w:rPr>
        <w:t xml:space="preserve">         </w:t>
      </w:r>
      <w:r>
        <w:rPr>
          <w:bCs/>
          <w:szCs w:val="21"/>
          <w:u w:val="single"/>
        </w:rPr>
        <w:t xml:space="preserve"> </w:t>
      </w:r>
      <w:r>
        <w:rPr>
          <w:rFonts w:hint="eastAsia"/>
          <w:bCs/>
          <w:szCs w:val="21"/>
          <w:u w:val="single"/>
        </w:rPr>
        <w:t xml:space="preserve">  </w:t>
      </w:r>
      <w:r>
        <w:rPr>
          <w:bCs/>
          <w:szCs w:val="21"/>
          <w:u w:val="single"/>
        </w:rPr>
        <w:t xml:space="preserve">      </w:t>
      </w:r>
    </w:p>
    <w:p w14:paraId="122711EC">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rPr>
          <w:szCs w:val="21"/>
        </w:rPr>
      </w:pPr>
      <w:r>
        <w:rPr>
          <w:szCs w:val="21"/>
        </w:rPr>
        <w:t>法定代表人：</w:t>
      </w:r>
      <w:r>
        <w:rPr>
          <w:bCs/>
          <w:szCs w:val="21"/>
          <w:u w:val="single"/>
        </w:rPr>
        <w:t xml:space="preserve">         </w:t>
      </w:r>
      <w:r>
        <w:rPr>
          <w:rFonts w:hint="eastAsia"/>
          <w:bCs/>
          <w:szCs w:val="21"/>
          <w:u w:val="single"/>
        </w:rPr>
        <w:t xml:space="preserve">      </w:t>
      </w:r>
      <w:r>
        <w:rPr>
          <w:rFonts w:hint="eastAsia"/>
          <w:bCs/>
          <w:szCs w:val="21"/>
          <w:u w:val="single"/>
          <w:lang w:val="en-US" w:eastAsia="zh-CN"/>
        </w:rPr>
        <w:t xml:space="preserve">                              </w:t>
      </w:r>
      <w:r>
        <w:rPr>
          <w:rFonts w:hint="eastAsia"/>
          <w:bCs/>
          <w:szCs w:val="21"/>
          <w:u w:val="single"/>
        </w:rPr>
        <w:t xml:space="preserve">  </w:t>
      </w:r>
      <w:r>
        <w:rPr>
          <w:bCs/>
          <w:szCs w:val="21"/>
          <w:u w:val="single"/>
        </w:rPr>
        <w:t xml:space="preserve">       </w:t>
      </w:r>
      <w:r>
        <w:rPr>
          <w:szCs w:val="21"/>
        </w:rPr>
        <w:t xml:space="preserve"> 法定代表人：</w:t>
      </w:r>
      <w:r>
        <w:rPr>
          <w:bCs/>
          <w:szCs w:val="21"/>
          <w:u w:val="single"/>
        </w:rPr>
        <w:t xml:space="preserve">         </w:t>
      </w:r>
      <w:r>
        <w:rPr>
          <w:rFonts w:hint="eastAsia"/>
          <w:bCs/>
          <w:szCs w:val="21"/>
          <w:u w:val="single"/>
          <w:lang w:val="en-US" w:eastAsia="zh-CN"/>
        </w:rPr>
        <w:t xml:space="preserve">                             </w:t>
      </w:r>
      <w:r>
        <w:rPr>
          <w:rFonts w:hint="eastAsia"/>
          <w:bCs/>
          <w:szCs w:val="21"/>
          <w:u w:val="single"/>
        </w:rPr>
        <w:t xml:space="preserve">          </w:t>
      </w:r>
      <w:r>
        <w:rPr>
          <w:bCs/>
          <w:szCs w:val="21"/>
          <w:u w:val="single"/>
        </w:rPr>
        <w:t xml:space="preserve">        </w:t>
      </w:r>
    </w:p>
    <w:p w14:paraId="6A275C4E">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rPr>
          <w:szCs w:val="21"/>
        </w:rPr>
      </w:pPr>
      <w:r>
        <w:rPr>
          <w:szCs w:val="21"/>
        </w:rPr>
        <w:t>委托代理人：</w:t>
      </w:r>
      <w:r>
        <w:rPr>
          <w:bCs/>
          <w:szCs w:val="21"/>
          <w:u w:val="single"/>
        </w:rPr>
        <w:t xml:space="preserve">        </w:t>
      </w:r>
      <w:r>
        <w:rPr>
          <w:rFonts w:hint="eastAsia"/>
          <w:bCs/>
          <w:szCs w:val="21"/>
          <w:u w:val="single"/>
        </w:rPr>
        <w:t xml:space="preserve">    </w:t>
      </w:r>
      <w:r>
        <w:rPr>
          <w:rFonts w:hint="eastAsia"/>
          <w:bCs/>
          <w:szCs w:val="21"/>
          <w:u w:val="single"/>
          <w:lang w:val="en-US" w:eastAsia="zh-CN"/>
        </w:rPr>
        <w:t xml:space="preserve">                              </w:t>
      </w:r>
      <w:r>
        <w:rPr>
          <w:rFonts w:hint="eastAsia"/>
          <w:bCs/>
          <w:szCs w:val="21"/>
          <w:u w:val="single"/>
        </w:rPr>
        <w:t xml:space="preserve">    </w:t>
      </w:r>
      <w:r>
        <w:rPr>
          <w:bCs/>
          <w:szCs w:val="21"/>
          <w:u w:val="single"/>
        </w:rPr>
        <w:t xml:space="preserve">        </w:t>
      </w:r>
      <w:r>
        <w:rPr>
          <w:szCs w:val="21"/>
        </w:rPr>
        <w:t xml:space="preserve"> 委托代理人：</w:t>
      </w:r>
      <w:r>
        <w:rPr>
          <w:bCs/>
          <w:szCs w:val="21"/>
          <w:u w:val="single"/>
        </w:rPr>
        <w:t xml:space="preserve">         </w:t>
      </w:r>
      <w:r>
        <w:rPr>
          <w:rFonts w:hint="eastAsia"/>
          <w:bCs/>
          <w:szCs w:val="21"/>
          <w:u w:val="single"/>
          <w:lang w:val="en-US" w:eastAsia="zh-CN"/>
        </w:rPr>
        <w:t xml:space="preserve">                             </w:t>
      </w:r>
      <w:r>
        <w:rPr>
          <w:rFonts w:hint="eastAsia"/>
          <w:bCs/>
          <w:szCs w:val="21"/>
          <w:u w:val="single"/>
        </w:rPr>
        <w:t xml:space="preserve">          </w:t>
      </w:r>
      <w:r>
        <w:rPr>
          <w:bCs/>
          <w:szCs w:val="21"/>
          <w:u w:val="single"/>
        </w:rPr>
        <w:t xml:space="preserve">       </w:t>
      </w:r>
      <w:r>
        <w:rPr>
          <w:szCs w:val="21"/>
          <w:u w:val="single"/>
        </w:rPr>
        <w:t xml:space="preserve"> </w:t>
      </w:r>
    </w:p>
    <w:p w14:paraId="09270B97">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rPr>
          <w:szCs w:val="21"/>
        </w:rPr>
      </w:pPr>
      <w:r>
        <w:rPr>
          <w:szCs w:val="21"/>
        </w:rPr>
        <w:t>电  话：</w:t>
      </w:r>
      <w:r>
        <w:rPr>
          <w:bCs/>
          <w:szCs w:val="21"/>
          <w:u w:val="single"/>
        </w:rPr>
        <w:t xml:space="preserve">              </w:t>
      </w:r>
      <w:r>
        <w:rPr>
          <w:rFonts w:hint="eastAsia"/>
          <w:bCs/>
          <w:szCs w:val="21"/>
          <w:u w:val="single"/>
          <w:lang w:val="en-US" w:eastAsia="zh-CN"/>
        </w:rPr>
        <w:t xml:space="preserve">                                  </w:t>
      </w:r>
      <w:r>
        <w:rPr>
          <w:bCs/>
          <w:szCs w:val="21"/>
          <w:u w:val="single"/>
        </w:rPr>
        <w:t xml:space="preserve">  </w:t>
      </w:r>
      <w:r>
        <w:rPr>
          <w:rFonts w:hint="eastAsia"/>
          <w:bCs/>
          <w:szCs w:val="21"/>
          <w:u w:val="single"/>
        </w:rPr>
        <w:t xml:space="preserve">         </w:t>
      </w:r>
      <w:r>
        <w:rPr>
          <w:bCs/>
          <w:szCs w:val="21"/>
          <w:u w:val="single"/>
        </w:rPr>
        <w:t xml:space="preserve">   </w:t>
      </w:r>
      <w:r>
        <w:rPr>
          <w:szCs w:val="21"/>
        </w:rPr>
        <w:t xml:space="preserve"> 电  话：</w:t>
      </w:r>
      <w:r>
        <w:rPr>
          <w:bCs/>
          <w:szCs w:val="21"/>
          <w:u w:val="single"/>
        </w:rPr>
        <w:t xml:space="preserve">         </w:t>
      </w:r>
      <w:r>
        <w:rPr>
          <w:rFonts w:hint="eastAsia"/>
          <w:bCs/>
          <w:szCs w:val="21"/>
          <w:u w:val="single"/>
          <w:lang w:val="en-US" w:eastAsia="zh-CN"/>
        </w:rPr>
        <w:t xml:space="preserve">                               </w:t>
      </w:r>
      <w:r>
        <w:rPr>
          <w:bCs/>
          <w:szCs w:val="21"/>
          <w:u w:val="single"/>
        </w:rPr>
        <w:t xml:space="preserve">       </w:t>
      </w:r>
      <w:r>
        <w:rPr>
          <w:rFonts w:hint="eastAsia"/>
          <w:bCs/>
          <w:szCs w:val="21"/>
          <w:u w:val="single"/>
        </w:rPr>
        <w:t xml:space="preserve">          </w:t>
      </w:r>
      <w:r>
        <w:rPr>
          <w:bCs/>
          <w:szCs w:val="21"/>
          <w:u w:val="single"/>
        </w:rPr>
        <w:t xml:space="preserve">     </w:t>
      </w:r>
    </w:p>
    <w:p w14:paraId="76E9C387">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rPr>
          <w:szCs w:val="21"/>
        </w:rPr>
      </w:pPr>
      <w:r>
        <w:rPr>
          <w:szCs w:val="21"/>
        </w:rPr>
        <w:t>传  真：</w:t>
      </w:r>
      <w:r>
        <w:rPr>
          <w:bCs/>
          <w:szCs w:val="21"/>
          <w:u w:val="single"/>
        </w:rPr>
        <w:t xml:space="preserve">         </w:t>
      </w:r>
      <w:r>
        <w:rPr>
          <w:rFonts w:hint="eastAsia"/>
          <w:bCs/>
          <w:szCs w:val="21"/>
          <w:u w:val="single"/>
          <w:lang w:val="en-US" w:eastAsia="zh-CN"/>
        </w:rPr>
        <w:t xml:space="preserve">                                  </w:t>
      </w:r>
      <w:r>
        <w:rPr>
          <w:bCs/>
          <w:szCs w:val="21"/>
          <w:u w:val="single"/>
        </w:rPr>
        <w:t xml:space="preserve">     </w:t>
      </w:r>
      <w:r>
        <w:rPr>
          <w:rFonts w:hint="eastAsia"/>
          <w:bCs/>
          <w:szCs w:val="21"/>
          <w:u w:val="single"/>
        </w:rPr>
        <w:t xml:space="preserve">        </w:t>
      </w:r>
      <w:r>
        <w:rPr>
          <w:bCs/>
          <w:szCs w:val="21"/>
          <w:u w:val="single"/>
        </w:rPr>
        <w:t xml:space="preserve">      </w:t>
      </w:r>
      <w:r>
        <w:rPr>
          <w:szCs w:val="21"/>
        </w:rPr>
        <w:t xml:space="preserve"> 传  真：</w:t>
      </w:r>
      <w:r>
        <w:rPr>
          <w:bCs/>
          <w:szCs w:val="21"/>
          <w:u w:val="single"/>
        </w:rPr>
        <w:t xml:space="preserve">              </w:t>
      </w:r>
      <w:r>
        <w:rPr>
          <w:rFonts w:hint="eastAsia"/>
          <w:bCs/>
          <w:szCs w:val="21"/>
          <w:u w:val="single"/>
        </w:rPr>
        <w:t xml:space="preserve">       </w:t>
      </w:r>
      <w:r>
        <w:rPr>
          <w:rFonts w:hint="eastAsia"/>
          <w:bCs/>
          <w:szCs w:val="21"/>
          <w:u w:val="single"/>
          <w:lang w:val="en-US" w:eastAsia="zh-CN"/>
        </w:rPr>
        <w:t xml:space="preserve">                                </w:t>
      </w:r>
      <w:r>
        <w:rPr>
          <w:rFonts w:hint="eastAsia"/>
          <w:bCs/>
          <w:szCs w:val="21"/>
          <w:u w:val="single"/>
        </w:rPr>
        <w:t xml:space="preserve">   </w:t>
      </w:r>
      <w:r>
        <w:rPr>
          <w:bCs/>
          <w:szCs w:val="21"/>
          <w:u w:val="single"/>
        </w:rPr>
        <w:t xml:space="preserve">       </w:t>
      </w:r>
    </w:p>
    <w:p w14:paraId="12C9A1F8">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rPr>
          <w:szCs w:val="21"/>
        </w:rPr>
      </w:pPr>
      <w:r>
        <w:rPr>
          <w:szCs w:val="21"/>
        </w:rPr>
        <w:t>电子信箱：</w:t>
      </w:r>
      <w:r>
        <w:rPr>
          <w:szCs w:val="21"/>
          <w:u w:val="single"/>
        </w:rPr>
        <w:t xml:space="preserve">               </w:t>
      </w:r>
      <w:r>
        <w:rPr>
          <w:rFonts w:hint="eastAsia"/>
          <w:szCs w:val="21"/>
          <w:u w:val="single"/>
          <w:lang w:val="en-US" w:eastAsia="zh-CN"/>
        </w:rPr>
        <w:t xml:space="preserve">                               </w:t>
      </w:r>
      <w:r>
        <w:rPr>
          <w:rFonts w:hint="eastAsia"/>
          <w:szCs w:val="21"/>
          <w:u w:val="single"/>
        </w:rPr>
        <w:t xml:space="preserve">         </w:t>
      </w:r>
      <w:r>
        <w:rPr>
          <w:szCs w:val="21"/>
          <w:u w:val="single"/>
        </w:rPr>
        <w:t xml:space="preserve">  </w:t>
      </w:r>
      <w:r>
        <w:rPr>
          <w:szCs w:val="21"/>
        </w:rPr>
        <w:t xml:space="preserve"> 电子信箱：</w:t>
      </w:r>
      <w:r>
        <w:rPr>
          <w:bCs/>
          <w:szCs w:val="21"/>
          <w:u w:val="single"/>
        </w:rPr>
        <w:t xml:space="preserve">            </w:t>
      </w:r>
      <w:r>
        <w:rPr>
          <w:rFonts w:hint="eastAsia"/>
          <w:bCs/>
          <w:szCs w:val="21"/>
          <w:u w:val="single"/>
        </w:rPr>
        <w:t xml:space="preserve">   </w:t>
      </w:r>
      <w:r>
        <w:rPr>
          <w:rFonts w:hint="eastAsia"/>
          <w:bCs/>
          <w:szCs w:val="21"/>
          <w:u w:val="single"/>
          <w:lang w:val="en-US" w:eastAsia="zh-CN"/>
        </w:rPr>
        <w:t xml:space="preserve">                             </w:t>
      </w:r>
      <w:r>
        <w:rPr>
          <w:rFonts w:hint="eastAsia"/>
          <w:bCs/>
          <w:szCs w:val="21"/>
          <w:u w:val="single"/>
        </w:rPr>
        <w:t xml:space="preserve">       </w:t>
      </w:r>
      <w:r>
        <w:rPr>
          <w:bCs/>
          <w:szCs w:val="21"/>
          <w:u w:val="single"/>
        </w:rPr>
        <w:t xml:space="preserve">       </w:t>
      </w:r>
    </w:p>
    <w:p w14:paraId="41E41567">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rPr>
          <w:bCs/>
          <w:szCs w:val="21"/>
          <w:u w:val="single"/>
        </w:rPr>
      </w:pPr>
      <w:r>
        <w:rPr>
          <w:szCs w:val="21"/>
        </w:rPr>
        <w:t>开户银行：</w:t>
      </w:r>
      <w:r>
        <w:rPr>
          <w:bCs/>
          <w:szCs w:val="21"/>
          <w:u w:val="single"/>
        </w:rPr>
        <w:t xml:space="preserve">        </w:t>
      </w:r>
      <w:r>
        <w:rPr>
          <w:rFonts w:hint="eastAsia"/>
          <w:bCs/>
          <w:szCs w:val="21"/>
          <w:u w:val="single"/>
          <w:lang w:val="en-US" w:eastAsia="zh-CN"/>
        </w:rPr>
        <w:t xml:space="preserve">                               </w:t>
      </w:r>
      <w:r>
        <w:rPr>
          <w:bCs/>
          <w:szCs w:val="21"/>
          <w:u w:val="single"/>
        </w:rPr>
        <w:t xml:space="preserve">       </w:t>
      </w:r>
      <w:r>
        <w:rPr>
          <w:rFonts w:hint="eastAsia"/>
          <w:bCs/>
          <w:szCs w:val="21"/>
          <w:u w:val="single"/>
        </w:rPr>
        <w:t xml:space="preserve">       </w:t>
      </w:r>
      <w:r>
        <w:rPr>
          <w:bCs/>
          <w:szCs w:val="21"/>
          <w:u w:val="single"/>
        </w:rPr>
        <w:t xml:space="preserve">    </w:t>
      </w:r>
      <w:r>
        <w:rPr>
          <w:szCs w:val="21"/>
        </w:rPr>
        <w:t xml:space="preserve"> 开户银行：</w:t>
      </w:r>
      <w:r>
        <w:rPr>
          <w:bCs/>
          <w:szCs w:val="21"/>
          <w:u w:val="single"/>
        </w:rPr>
        <w:t xml:space="preserve">          </w:t>
      </w:r>
      <w:r>
        <w:rPr>
          <w:rFonts w:hint="eastAsia"/>
          <w:bCs/>
          <w:szCs w:val="21"/>
          <w:u w:val="single"/>
        </w:rPr>
        <w:t xml:space="preserve"> </w:t>
      </w:r>
      <w:r>
        <w:rPr>
          <w:rFonts w:hint="eastAsia"/>
          <w:bCs/>
          <w:szCs w:val="21"/>
          <w:u w:val="single"/>
          <w:lang w:val="en-US" w:eastAsia="zh-CN"/>
        </w:rPr>
        <w:t xml:space="preserve">                            </w:t>
      </w:r>
      <w:r>
        <w:rPr>
          <w:rFonts w:hint="eastAsia"/>
          <w:bCs/>
          <w:szCs w:val="21"/>
          <w:u w:val="single"/>
        </w:rPr>
        <w:t xml:space="preserve">           </w:t>
      </w:r>
      <w:r>
        <w:rPr>
          <w:bCs/>
          <w:szCs w:val="21"/>
          <w:u w:val="single"/>
        </w:rPr>
        <w:t xml:space="preserve">       </w:t>
      </w:r>
    </w:p>
    <w:p w14:paraId="23B3A795">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rPr>
          <w:szCs w:val="21"/>
          <w:u w:val="single"/>
        </w:rPr>
      </w:pPr>
      <w:r>
        <w:rPr>
          <w:szCs w:val="21"/>
        </w:rPr>
        <w:t>账  号：</w:t>
      </w:r>
      <w:r>
        <w:rPr>
          <w:bCs/>
          <w:szCs w:val="21"/>
          <w:u w:val="single"/>
        </w:rPr>
        <w:t xml:space="preserve">               </w:t>
      </w:r>
      <w:r>
        <w:rPr>
          <w:rFonts w:hint="eastAsia"/>
          <w:bCs/>
          <w:szCs w:val="21"/>
          <w:u w:val="single"/>
        </w:rPr>
        <w:t xml:space="preserve"> </w:t>
      </w:r>
      <w:r>
        <w:rPr>
          <w:rFonts w:hint="eastAsia"/>
          <w:bCs/>
          <w:szCs w:val="21"/>
          <w:u w:val="single"/>
          <w:lang w:val="en-US" w:eastAsia="zh-CN"/>
        </w:rPr>
        <w:t xml:space="preserve">                                  </w:t>
      </w:r>
      <w:r>
        <w:rPr>
          <w:rFonts w:hint="eastAsia"/>
          <w:bCs/>
          <w:szCs w:val="21"/>
          <w:u w:val="single"/>
        </w:rPr>
        <w:t xml:space="preserve">        </w:t>
      </w:r>
      <w:r>
        <w:rPr>
          <w:bCs/>
          <w:szCs w:val="21"/>
          <w:u w:val="single"/>
        </w:rPr>
        <w:t xml:space="preserve">    </w:t>
      </w:r>
      <w:r>
        <w:rPr>
          <w:szCs w:val="21"/>
        </w:rPr>
        <w:t xml:space="preserve"> 账  号：</w:t>
      </w:r>
      <w:r>
        <w:rPr>
          <w:bCs/>
          <w:szCs w:val="21"/>
          <w:u w:val="single"/>
        </w:rPr>
        <w:t xml:space="preserve">           </w:t>
      </w:r>
      <w:r>
        <w:rPr>
          <w:rFonts w:hint="eastAsia"/>
          <w:bCs/>
          <w:szCs w:val="21"/>
          <w:u w:val="single"/>
        </w:rPr>
        <w:t xml:space="preserve">         </w:t>
      </w:r>
      <w:r>
        <w:rPr>
          <w:rFonts w:hint="eastAsia"/>
          <w:bCs/>
          <w:szCs w:val="21"/>
          <w:u w:val="single"/>
          <w:lang w:val="en-US" w:eastAsia="zh-CN"/>
        </w:rPr>
        <w:t xml:space="preserve">                                </w:t>
      </w:r>
      <w:r>
        <w:rPr>
          <w:rFonts w:hint="eastAsia"/>
          <w:bCs/>
          <w:szCs w:val="21"/>
          <w:u w:val="single"/>
        </w:rPr>
        <w:t xml:space="preserve">  </w:t>
      </w:r>
      <w:r>
        <w:rPr>
          <w:bCs/>
          <w:szCs w:val="21"/>
          <w:u w:val="single"/>
        </w:rPr>
        <w:t xml:space="preserve">        </w:t>
      </w:r>
      <w:r>
        <w:rPr>
          <w:szCs w:val="21"/>
          <w:u w:val="single"/>
        </w:rPr>
        <w:t xml:space="preserve"> </w:t>
      </w:r>
    </w:p>
    <w:p w14:paraId="59BCF8C2">
      <w:pPr>
        <w:spacing w:line="360" w:lineRule="exact"/>
        <w:ind w:firstLine="420" w:firstLineChars="200"/>
        <w:rPr>
          <w:szCs w:val="21"/>
        </w:rPr>
      </w:pPr>
      <w:bookmarkStart w:id="29" w:name="_Toc148964066"/>
    </w:p>
    <w:p w14:paraId="18EF27E5">
      <w:pPr>
        <w:spacing w:line="360" w:lineRule="exact"/>
        <w:ind w:firstLine="420" w:firstLineChars="200"/>
        <w:rPr>
          <w:szCs w:val="21"/>
          <w:u w:val="single"/>
        </w:rPr>
      </w:pPr>
      <w:r>
        <w:rPr>
          <w:rFonts w:hint="eastAsia"/>
          <w:szCs w:val="21"/>
          <w:lang w:eastAsia="zh-CN"/>
        </w:rPr>
        <w:t>代建单位</w:t>
      </w:r>
      <w:r>
        <w:rPr>
          <w:szCs w:val="21"/>
        </w:rPr>
        <w:t xml:space="preserve">：  (公章)             </w:t>
      </w:r>
      <w:r>
        <w:rPr>
          <w:rFonts w:hint="eastAsia"/>
          <w:szCs w:val="21"/>
        </w:rPr>
        <w:t xml:space="preserve">         </w:t>
      </w:r>
      <w:r>
        <w:rPr>
          <w:szCs w:val="21"/>
        </w:rPr>
        <w:t xml:space="preserve">                                 </w:t>
      </w:r>
    </w:p>
    <w:p w14:paraId="4905A11A">
      <w:pPr>
        <w:spacing w:line="360" w:lineRule="exact"/>
        <w:ind w:firstLine="420" w:firstLineChars="200"/>
        <w:rPr>
          <w:szCs w:val="21"/>
          <w:u w:val="single"/>
        </w:rPr>
      </w:pPr>
      <w:r>
        <w:rPr>
          <w:szCs w:val="21"/>
        </w:rPr>
        <w:t xml:space="preserve">法定代表人或其委托代理人： </w:t>
      </w:r>
      <w:r>
        <w:rPr>
          <w:rFonts w:hint="eastAsia"/>
          <w:szCs w:val="21"/>
        </w:rPr>
        <w:t xml:space="preserve">          </w:t>
      </w:r>
      <w:r>
        <w:rPr>
          <w:szCs w:val="21"/>
        </w:rPr>
        <w:t xml:space="preserve"> （签字）                   </w:t>
      </w:r>
    </w:p>
    <w:p w14:paraId="138E1BCA">
      <w:pPr>
        <w:keepNext w:val="0"/>
        <w:keepLines w:val="0"/>
        <w:pageBreakBefore w:val="0"/>
        <w:widowControl/>
        <w:tabs>
          <w:tab w:val="left" w:pos="4410"/>
        </w:tabs>
        <w:kinsoku w:val="0"/>
        <w:wordWrap/>
        <w:overflowPunct/>
        <w:topLinePunct w:val="0"/>
        <w:autoSpaceDE w:val="0"/>
        <w:autoSpaceDN w:val="0"/>
        <w:bidi w:val="0"/>
        <w:adjustRightInd w:val="0"/>
        <w:snapToGrid w:val="0"/>
        <w:spacing w:line="360" w:lineRule="auto"/>
        <w:ind w:firstLine="420" w:firstLineChars="200"/>
        <w:rPr>
          <w:szCs w:val="21"/>
        </w:rPr>
      </w:pPr>
      <w:r>
        <w:rPr>
          <w:rFonts w:hint="eastAsia"/>
          <w:szCs w:val="21"/>
        </w:rPr>
        <w:t>统一社会信用代</w:t>
      </w:r>
      <w:r>
        <w:rPr>
          <w:szCs w:val="21"/>
        </w:rPr>
        <w:t>码：</w:t>
      </w:r>
      <w:r>
        <w:rPr>
          <w:bCs/>
          <w:szCs w:val="21"/>
          <w:u w:val="single"/>
        </w:rPr>
        <w:t xml:space="preserve">        </w:t>
      </w:r>
      <w:r>
        <w:rPr>
          <w:rFonts w:hint="eastAsia"/>
          <w:bCs/>
          <w:szCs w:val="21"/>
          <w:u w:val="single"/>
          <w:lang w:val="en-US" w:eastAsia="zh-CN"/>
        </w:rPr>
        <w:t xml:space="preserve">                          </w:t>
      </w:r>
      <w:r>
        <w:rPr>
          <w:rFonts w:hint="eastAsia"/>
          <w:bCs/>
          <w:szCs w:val="21"/>
          <w:u w:val="single"/>
        </w:rPr>
        <w:t xml:space="preserve">        </w:t>
      </w:r>
      <w:r>
        <w:rPr>
          <w:bCs/>
          <w:szCs w:val="21"/>
          <w:u w:val="single"/>
        </w:rPr>
        <w:t xml:space="preserve">  </w:t>
      </w:r>
      <w:r>
        <w:rPr>
          <w:szCs w:val="21"/>
        </w:rPr>
        <w:t xml:space="preserve"> </w:t>
      </w:r>
    </w:p>
    <w:p w14:paraId="2055F3D0">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rPr>
          <w:bCs/>
          <w:szCs w:val="21"/>
          <w:u w:val="single"/>
        </w:rPr>
      </w:pPr>
      <w:r>
        <w:rPr>
          <w:szCs w:val="21"/>
        </w:rPr>
        <w:t>地  址：</w:t>
      </w:r>
      <w:r>
        <w:rPr>
          <w:bCs/>
          <w:szCs w:val="21"/>
          <w:u w:val="single"/>
        </w:rPr>
        <w:t xml:space="preserve">            </w:t>
      </w:r>
      <w:r>
        <w:rPr>
          <w:rFonts w:hint="eastAsia"/>
          <w:bCs/>
          <w:szCs w:val="21"/>
          <w:u w:val="single"/>
          <w:lang w:val="en-US" w:eastAsia="zh-CN"/>
        </w:rPr>
        <w:t xml:space="preserve">                                    </w:t>
      </w:r>
      <w:r>
        <w:rPr>
          <w:bCs/>
          <w:szCs w:val="21"/>
          <w:u w:val="single"/>
        </w:rPr>
        <w:t xml:space="preserve"> </w:t>
      </w:r>
      <w:r>
        <w:rPr>
          <w:rFonts w:hint="eastAsia"/>
          <w:bCs/>
          <w:szCs w:val="21"/>
          <w:u w:val="single"/>
        </w:rPr>
        <w:t xml:space="preserve">         </w:t>
      </w:r>
      <w:r>
        <w:rPr>
          <w:bCs/>
          <w:szCs w:val="21"/>
          <w:u w:val="single"/>
        </w:rPr>
        <w:t xml:space="preserve">       </w:t>
      </w:r>
    </w:p>
    <w:p w14:paraId="621CD2A2">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rPr>
          <w:rFonts w:hint="eastAsia"/>
          <w:bCs/>
          <w:szCs w:val="21"/>
          <w:u w:val="single"/>
        </w:rPr>
      </w:pPr>
      <w:r>
        <w:rPr>
          <w:szCs w:val="21"/>
        </w:rPr>
        <w:t>邮政编码：</w:t>
      </w:r>
      <w:r>
        <w:rPr>
          <w:bCs/>
          <w:szCs w:val="21"/>
          <w:u w:val="single"/>
        </w:rPr>
        <w:t xml:space="preserve">           </w:t>
      </w:r>
      <w:r>
        <w:rPr>
          <w:rFonts w:hint="eastAsia"/>
          <w:bCs/>
          <w:szCs w:val="21"/>
          <w:u w:val="single"/>
          <w:lang w:val="en-US" w:eastAsia="zh-CN"/>
        </w:rPr>
        <w:t xml:space="preserve">                                </w:t>
      </w:r>
      <w:r>
        <w:rPr>
          <w:bCs/>
          <w:szCs w:val="21"/>
          <w:u w:val="single"/>
        </w:rPr>
        <w:t xml:space="preserve"> </w:t>
      </w:r>
      <w:r>
        <w:rPr>
          <w:rFonts w:hint="eastAsia"/>
          <w:bCs/>
          <w:szCs w:val="21"/>
          <w:u w:val="single"/>
        </w:rPr>
        <w:t xml:space="preserve">        </w:t>
      </w:r>
      <w:r>
        <w:rPr>
          <w:bCs/>
          <w:szCs w:val="21"/>
          <w:u w:val="single"/>
        </w:rPr>
        <w:t xml:space="preserve">      </w:t>
      </w:r>
      <w:r>
        <w:rPr>
          <w:rFonts w:hint="eastAsia"/>
          <w:bCs/>
          <w:szCs w:val="21"/>
          <w:u w:val="single"/>
        </w:rPr>
        <w:t xml:space="preserve">  </w:t>
      </w:r>
    </w:p>
    <w:p w14:paraId="72F193C8">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rPr>
          <w:bCs/>
          <w:szCs w:val="21"/>
          <w:u w:val="single"/>
        </w:rPr>
      </w:pPr>
      <w:r>
        <w:rPr>
          <w:szCs w:val="21"/>
        </w:rPr>
        <w:t>法定代表人：</w:t>
      </w:r>
      <w:r>
        <w:rPr>
          <w:bCs/>
          <w:szCs w:val="21"/>
          <w:u w:val="single"/>
        </w:rPr>
        <w:t xml:space="preserve">         </w:t>
      </w:r>
      <w:r>
        <w:rPr>
          <w:rFonts w:hint="eastAsia"/>
          <w:bCs/>
          <w:szCs w:val="21"/>
          <w:u w:val="single"/>
        </w:rPr>
        <w:t xml:space="preserve">      </w:t>
      </w:r>
      <w:r>
        <w:rPr>
          <w:rFonts w:hint="eastAsia"/>
          <w:bCs/>
          <w:szCs w:val="21"/>
          <w:u w:val="single"/>
          <w:lang w:val="en-US" w:eastAsia="zh-CN"/>
        </w:rPr>
        <w:t xml:space="preserve">                              </w:t>
      </w:r>
      <w:r>
        <w:rPr>
          <w:rFonts w:hint="eastAsia"/>
          <w:bCs/>
          <w:szCs w:val="21"/>
          <w:u w:val="single"/>
        </w:rPr>
        <w:t xml:space="preserve">  </w:t>
      </w:r>
      <w:r>
        <w:rPr>
          <w:bCs/>
          <w:szCs w:val="21"/>
          <w:u w:val="single"/>
        </w:rPr>
        <w:t xml:space="preserve">       </w:t>
      </w:r>
    </w:p>
    <w:p w14:paraId="5ADB2B1D">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rPr>
          <w:szCs w:val="21"/>
        </w:rPr>
      </w:pPr>
      <w:r>
        <w:rPr>
          <w:szCs w:val="21"/>
        </w:rPr>
        <w:t>委托代理人：</w:t>
      </w:r>
      <w:r>
        <w:rPr>
          <w:bCs/>
          <w:szCs w:val="21"/>
          <w:u w:val="single"/>
        </w:rPr>
        <w:t xml:space="preserve">        </w:t>
      </w:r>
      <w:r>
        <w:rPr>
          <w:rFonts w:hint="eastAsia"/>
          <w:bCs/>
          <w:szCs w:val="21"/>
          <w:u w:val="single"/>
        </w:rPr>
        <w:t xml:space="preserve">    </w:t>
      </w:r>
      <w:r>
        <w:rPr>
          <w:rFonts w:hint="eastAsia"/>
          <w:bCs/>
          <w:szCs w:val="21"/>
          <w:u w:val="single"/>
          <w:lang w:val="en-US" w:eastAsia="zh-CN"/>
        </w:rPr>
        <w:t xml:space="preserve">                              </w:t>
      </w:r>
      <w:r>
        <w:rPr>
          <w:rFonts w:hint="eastAsia"/>
          <w:bCs/>
          <w:szCs w:val="21"/>
          <w:u w:val="single"/>
        </w:rPr>
        <w:t xml:space="preserve">    </w:t>
      </w:r>
      <w:r>
        <w:rPr>
          <w:bCs/>
          <w:szCs w:val="21"/>
          <w:u w:val="single"/>
        </w:rPr>
        <w:t xml:space="preserve">        </w:t>
      </w:r>
      <w:r>
        <w:rPr>
          <w:szCs w:val="21"/>
        </w:rPr>
        <w:t xml:space="preserve"> </w:t>
      </w:r>
    </w:p>
    <w:p w14:paraId="199AE824">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rPr>
          <w:szCs w:val="21"/>
        </w:rPr>
      </w:pPr>
      <w:r>
        <w:rPr>
          <w:szCs w:val="21"/>
        </w:rPr>
        <w:t>电  话：</w:t>
      </w:r>
      <w:r>
        <w:rPr>
          <w:bCs/>
          <w:szCs w:val="21"/>
          <w:u w:val="single"/>
        </w:rPr>
        <w:t xml:space="preserve">              </w:t>
      </w:r>
      <w:r>
        <w:rPr>
          <w:rFonts w:hint="eastAsia"/>
          <w:bCs/>
          <w:szCs w:val="21"/>
          <w:u w:val="single"/>
          <w:lang w:val="en-US" w:eastAsia="zh-CN"/>
        </w:rPr>
        <w:t xml:space="preserve">                                  </w:t>
      </w:r>
      <w:r>
        <w:rPr>
          <w:bCs/>
          <w:szCs w:val="21"/>
          <w:u w:val="single"/>
        </w:rPr>
        <w:t xml:space="preserve">  </w:t>
      </w:r>
      <w:r>
        <w:rPr>
          <w:rFonts w:hint="eastAsia"/>
          <w:bCs/>
          <w:szCs w:val="21"/>
          <w:u w:val="single"/>
        </w:rPr>
        <w:t xml:space="preserve">         </w:t>
      </w:r>
      <w:r>
        <w:rPr>
          <w:bCs/>
          <w:szCs w:val="21"/>
          <w:u w:val="single"/>
        </w:rPr>
        <w:t xml:space="preserve">   </w:t>
      </w:r>
      <w:r>
        <w:rPr>
          <w:szCs w:val="21"/>
        </w:rPr>
        <w:t xml:space="preserve"> </w:t>
      </w:r>
    </w:p>
    <w:p w14:paraId="4395D792">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rPr>
          <w:bCs/>
          <w:szCs w:val="21"/>
          <w:u w:val="single"/>
        </w:rPr>
      </w:pPr>
      <w:r>
        <w:rPr>
          <w:szCs w:val="21"/>
        </w:rPr>
        <w:t>传  真：</w:t>
      </w:r>
      <w:r>
        <w:rPr>
          <w:bCs/>
          <w:szCs w:val="21"/>
          <w:u w:val="single"/>
        </w:rPr>
        <w:t xml:space="preserve">         </w:t>
      </w:r>
      <w:r>
        <w:rPr>
          <w:rFonts w:hint="eastAsia"/>
          <w:bCs/>
          <w:szCs w:val="21"/>
          <w:u w:val="single"/>
          <w:lang w:val="en-US" w:eastAsia="zh-CN"/>
        </w:rPr>
        <w:t xml:space="preserve">                                  </w:t>
      </w:r>
      <w:r>
        <w:rPr>
          <w:bCs/>
          <w:szCs w:val="21"/>
          <w:u w:val="single"/>
        </w:rPr>
        <w:t xml:space="preserve">     </w:t>
      </w:r>
      <w:r>
        <w:rPr>
          <w:rFonts w:hint="eastAsia"/>
          <w:bCs/>
          <w:szCs w:val="21"/>
          <w:u w:val="single"/>
        </w:rPr>
        <w:t xml:space="preserve">        </w:t>
      </w:r>
      <w:r>
        <w:rPr>
          <w:bCs/>
          <w:szCs w:val="21"/>
          <w:u w:val="single"/>
        </w:rPr>
        <w:t xml:space="preserve">      </w:t>
      </w:r>
      <w:r>
        <w:rPr>
          <w:szCs w:val="21"/>
        </w:rPr>
        <w:t xml:space="preserve"> </w:t>
      </w:r>
    </w:p>
    <w:p w14:paraId="5CB59CBA">
      <w:pPr>
        <w:ind w:firstLine="420" w:firstLineChars="200"/>
        <w:rPr>
          <w:rFonts w:cs="Times New Roman"/>
          <w:sz w:val="32"/>
          <w:szCs w:val="32"/>
        </w:rPr>
      </w:pPr>
      <w:r>
        <w:rPr>
          <w:szCs w:val="21"/>
        </w:rPr>
        <w:t>账  号：</w:t>
      </w:r>
      <w:r>
        <w:rPr>
          <w:bCs/>
          <w:szCs w:val="21"/>
          <w:u w:val="single"/>
        </w:rPr>
        <w:t xml:space="preserve">               </w:t>
      </w:r>
      <w:r>
        <w:rPr>
          <w:rFonts w:hint="eastAsia"/>
          <w:bCs/>
          <w:szCs w:val="21"/>
          <w:u w:val="single"/>
        </w:rPr>
        <w:t xml:space="preserve"> </w:t>
      </w:r>
      <w:r>
        <w:rPr>
          <w:rFonts w:hint="eastAsia"/>
          <w:bCs/>
          <w:szCs w:val="21"/>
          <w:u w:val="single"/>
          <w:lang w:val="en-US" w:eastAsia="zh-CN"/>
        </w:rPr>
        <w:t xml:space="preserve">                                  </w:t>
      </w:r>
      <w:r>
        <w:rPr>
          <w:rFonts w:hint="eastAsia"/>
          <w:bCs/>
          <w:szCs w:val="21"/>
          <w:u w:val="single"/>
        </w:rPr>
        <w:t xml:space="preserve">        </w:t>
      </w:r>
      <w:r>
        <w:rPr>
          <w:bCs/>
          <w:szCs w:val="21"/>
          <w:u w:val="single"/>
        </w:rPr>
        <w:t xml:space="preserve">    </w:t>
      </w:r>
      <w:r>
        <w:rPr>
          <w:szCs w:val="21"/>
        </w:rPr>
        <w:t xml:space="preserve"> </w:t>
      </w:r>
      <w:r>
        <w:rPr>
          <w:rFonts w:cs="Times New Roman"/>
          <w:sz w:val="32"/>
          <w:szCs w:val="32"/>
        </w:rPr>
        <w:br w:type="page"/>
      </w:r>
    </w:p>
    <w:p w14:paraId="6417A2E1">
      <w:pPr>
        <w:pStyle w:val="29"/>
        <w:jc w:val="center"/>
      </w:pPr>
      <w:r>
        <w:rPr>
          <w:rFonts w:cs="Times New Roman"/>
          <w:sz w:val="32"/>
          <w:szCs w:val="32"/>
        </w:rPr>
        <w:t>第二部分   通用合同条款（略）</w:t>
      </w:r>
      <w:bookmarkEnd w:id="29"/>
    </w:p>
    <w:p w14:paraId="479AF755">
      <w:pPr>
        <w:pStyle w:val="30"/>
        <w:ind w:firstLine="420"/>
        <w:rPr>
          <w:rFonts w:cs="Times New Roman"/>
          <w:color w:val="auto"/>
          <w:sz w:val="32"/>
          <w:szCs w:val="32"/>
        </w:rPr>
      </w:pPr>
      <w:r>
        <w:rPr>
          <w:color w:val="auto"/>
        </w:rPr>
        <w:t>合同通用条款采用《建设工程施工合同（示范文本）》的通用条款（GF—201</w:t>
      </w:r>
      <w:r>
        <w:rPr>
          <w:rFonts w:hint="eastAsia"/>
          <w:color w:val="auto"/>
        </w:rPr>
        <w:t>7</w:t>
      </w:r>
      <w:r>
        <w:rPr>
          <w:color w:val="auto"/>
        </w:rPr>
        <w:t>—</w:t>
      </w:r>
      <w:r>
        <w:rPr>
          <w:rFonts w:hint="eastAsia"/>
          <w:color w:val="auto"/>
        </w:rPr>
        <w:t>0201</w:t>
      </w:r>
      <w:r>
        <w:rPr>
          <w:color w:val="auto"/>
        </w:rPr>
        <w:t>）</w:t>
      </w:r>
    </w:p>
    <w:p w14:paraId="6DD9A4DF">
      <w:pPr>
        <w:pStyle w:val="29"/>
        <w:jc w:val="center"/>
        <w:rPr>
          <w:rFonts w:cs="Times New Roman"/>
          <w:sz w:val="32"/>
          <w:szCs w:val="32"/>
        </w:rPr>
      </w:pPr>
      <w:bookmarkStart w:id="30" w:name="_Toc148964067"/>
      <w:bookmarkStart w:id="31" w:name="_Toc267919286"/>
      <w:bookmarkStart w:id="32" w:name="_Toc394573947"/>
      <w:bookmarkStart w:id="33" w:name="_Toc278377207"/>
      <w:r>
        <w:rPr>
          <w:rFonts w:cs="Times New Roman"/>
          <w:sz w:val="32"/>
          <w:szCs w:val="32"/>
        </w:rPr>
        <w:t>第三部分　　专用合同条款</w:t>
      </w:r>
      <w:bookmarkEnd w:id="30"/>
      <w:bookmarkEnd w:id="31"/>
      <w:bookmarkEnd w:id="32"/>
      <w:bookmarkEnd w:id="33"/>
    </w:p>
    <w:p w14:paraId="129DCBC2">
      <w:pPr>
        <w:spacing w:line="400" w:lineRule="exact"/>
        <w:ind w:firstLine="422" w:firstLineChars="200"/>
        <w:rPr>
          <w:b/>
          <w:szCs w:val="21"/>
        </w:rPr>
      </w:pPr>
      <w:bookmarkStart w:id="34" w:name="_Toc351203633"/>
      <w:r>
        <w:rPr>
          <w:b/>
          <w:szCs w:val="21"/>
        </w:rPr>
        <w:t>1. 一般约定</w:t>
      </w:r>
      <w:bookmarkEnd w:id="34"/>
    </w:p>
    <w:p w14:paraId="54E2B16D">
      <w:pPr>
        <w:spacing w:line="400" w:lineRule="exact"/>
        <w:ind w:firstLine="420" w:firstLineChars="200"/>
        <w:rPr>
          <w:szCs w:val="21"/>
        </w:rPr>
      </w:pPr>
      <w:r>
        <w:rPr>
          <w:szCs w:val="21"/>
        </w:rPr>
        <w:t>1.1 词语定义</w:t>
      </w:r>
    </w:p>
    <w:p w14:paraId="7D1BCA9C">
      <w:pPr>
        <w:spacing w:line="400" w:lineRule="exact"/>
        <w:ind w:firstLine="420" w:firstLineChars="200"/>
        <w:rPr>
          <w:kern w:val="0"/>
          <w:szCs w:val="21"/>
        </w:rPr>
      </w:pPr>
      <w:r>
        <w:rPr>
          <w:kern w:val="0"/>
          <w:szCs w:val="21"/>
        </w:rPr>
        <w:t>1.1.1合同</w:t>
      </w:r>
    </w:p>
    <w:p w14:paraId="37DEA219">
      <w:pPr>
        <w:spacing w:line="400" w:lineRule="exact"/>
        <w:ind w:firstLine="420" w:firstLineChars="200"/>
        <w:rPr>
          <w:rFonts w:hint="eastAsia"/>
          <w:kern w:val="0"/>
          <w:szCs w:val="21"/>
          <w:u w:val="single"/>
        </w:rPr>
      </w:pPr>
      <w:r>
        <w:rPr>
          <w:kern w:val="0"/>
          <w:szCs w:val="21"/>
        </w:rPr>
        <w:t>1.1.1.10其他合同文件包括：</w:t>
      </w:r>
      <w:r>
        <w:rPr>
          <w:rFonts w:hint="eastAsia"/>
          <w:kern w:val="0"/>
          <w:szCs w:val="21"/>
          <w:u w:val="single"/>
        </w:rPr>
        <w:t>工程招标文件、《关于印发三门县政府投资项目变更管理办法（试行）的通知》三政办规〔2023〕4号、《关于进一步规范报送工程变更资料的通知》（三发改【2021】42号除投标函及其附录和已标价工程量清单或预算审核书外的其它投标文件</w:t>
      </w:r>
      <w:r>
        <w:rPr>
          <w:rFonts w:hint="eastAsia"/>
          <w:kern w:val="0"/>
          <w:szCs w:val="21"/>
          <w:u w:val="single"/>
          <w:lang w:eastAsia="zh-CN"/>
        </w:rPr>
        <w:t>、</w:t>
      </w:r>
      <w:r>
        <w:rPr>
          <w:rFonts w:hint="eastAsia"/>
          <w:kern w:val="0"/>
          <w:szCs w:val="21"/>
          <w:u w:val="single"/>
        </w:rPr>
        <w:t>经批准的施工组织设计、专项施工方案</w:t>
      </w:r>
      <w:r>
        <w:rPr>
          <w:rFonts w:hint="eastAsia"/>
          <w:kern w:val="0"/>
          <w:szCs w:val="21"/>
          <w:u w:val="single"/>
          <w:lang w:eastAsia="zh-CN"/>
        </w:rPr>
        <w:t>，</w:t>
      </w:r>
      <w:r>
        <w:rPr>
          <w:rFonts w:hint="eastAsia"/>
          <w:kern w:val="0"/>
          <w:szCs w:val="21"/>
          <w:u w:val="single"/>
        </w:rPr>
        <w:t>上述管理办法如有变动时，按从新原则执行。</w:t>
      </w:r>
    </w:p>
    <w:p w14:paraId="175F639F">
      <w:pPr>
        <w:spacing w:line="400" w:lineRule="exact"/>
        <w:ind w:firstLine="420" w:firstLineChars="200"/>
        <w:rPr>
          <w:szCs w:val="21"/>
        </w:rPr>
      </w:pPr>
      <w:r>
        <w:rPr>
          <w:szCs w:val="21"/>
        </w:rPr>
        <w:t>1.1.2 合同当事人及其他相关方</w:t>
      </w:r>
    </w:p>
    <w:p w14:paraId="1165B975">
      <w:pPr>
        <w:spacing w:line="400" w:lineRule="exact"/>
        <w:ind w:firstLine="420" w:firstLineChars="200"/>
        <w:rPr>
          <w:szCs w:val="21"/>
        </w:rPr>
      </w:pPr>
      <w:r>
        <w:rPr>
          <w:szCs w:val="21"/>
        </w:rPr>
        <w:t>1.1.2.4监理人：</w:t>
      </w:r>
    </w:p>
    <w:p w14:paraId="19ECF130">
      <w:pPr>
        <w:spacing w:line="400" w:lineRule="exact"/>
        <w:ind w:firstLine="420" w:firstLineChars="200"/>
        <w:rPr>
          <w:szCs w:val="21"/>
        </w:rPr>
      </w:pPr>
      <w:r>
        <w:rPr>
          <w:szCs w:val="21"/>
        </w:rPr>
        <w:t>名    称：</w:t>
      </w:r>
      <w:r>
        <w:rPr>
          <w:bCs/>
          <w:szCs w:val="21"/>
          <w:u w:val="single"/>
        </w:rPr>
        <w:t xml:space="preserve">                      </w:t>
      </w:r>
      <w:r>
        <w:rPr>
          <w:rFonts w:hint="eastAsia"/>
          <w:bCs/>
          <w:szCs w:val="21"/>
          <w:u w:val="single"/>
        </w:rPr>
        <w:t xml:space="preserve">        </w:t>
      </w:r>
      <w:r>
        <w:rPr>
          <w:bCs/>
          <w:szCs w:val="21"/>
          <w:u w:val="single"/>
        </w:rPr>
        <w:t xml:space="preserve">            </w:t>
      </w:r>
      <w:r>
        <w:rPr>
          <w:szCs w:val="21"/>
          <w:u w:val="single"/>
        </w:rPr>
        <w:t xml:space="preserve"> </w:t>
      </w:r>
      <w:r>
        <w:rPr>
          <w:szCs w:val="21"/>
        </w:rPr>
        <w:t>；</w:t>
      </w:r>
    </w:p>
    <w:p w14:paraId="7FDD61E5">
      <w:pPr>
        <w:spacing w:line="400" w:lineRule="exact"/>
        <w:ind w:firstLine="420" w:firstLineChars="200"/>
        <w:rPr>
          <w:szCs w:val="21"/>
        </w:rPr>
      </w:pPr>
      <w:r>
        <w:rPr>
          <w:szCs w:val="21"/>
        </w:rPr>
        <w:t>资质类别和等级：</w:t>
      </w:r>
      <w:r>
        <w:rPr>
          <w:bCs/>
          <w:szCs w:val="21"/>
          <w:u w:val="single"/>
        </w:rPr>
        <w:t xml:space="preserve">                     </w:t>
      </w:r>
      <w:r>
        <w:rPr>
          <w:rFonts w:hint="eastAsia"/>
          <w:bCs/>
          <w:szCs w:val="21"/>
          <w:u w:val="single"/>
        </w:rPr>
        <w:t xml:space="preserve">           </w:t>
      </w:r>
      <w:r>
        <w:rPr>
          <w:bCs/>
          <w:szCs w:val="21"/>
          <w:u w:val="single"/>
        </w:rPr>
        <w:t xml:space="preserve">    </w:t>
      </w:r>
      <w:r>
        <w:rPr>
          <w:szCs w:val="21"/>
          <w:u w:val="single"/>
        </w:rPr>
        <w:t xml:space="preserve"> </w:t>
      </w:r>
      <w:r>
        <w:rPr>
          <w:szCs w:val="21"/>
        </w:rPr>
        <w:t>；</w:t>
      </w:r>
    </w:p>
    <w:p w14:paraId="08CBF940">
      <w:pPr>
        <w:spacing w:line="400" w:lineRule="exact"/>
        <w:ind w:firstLine="420" w:firstLineChars="200"/>
        <w:rPr>
          <w:szCs w:val="21"/>
        </w:rPr>
      </w:pPr>
      <w:r>
        <w:rPr>
          <w:szCs w:val="21"/>
        </w:rPr>
        <w:t>联系电话：</w:t>
      </w:r>
      <w:r>
        <w:rPr>
          <w:bCs/>
          <w:szCs w:val="21"/>
          <w:u w:val="single"/>
        </w:rPr>
        <w:t xml:space="preserve">                          </w:t>
      </w:r>
      <w:r>
        <w:rPr>
          <w:rFonts w:hint="eastAsia"/>
          <w:bCs/>
          <w:szCs w:val="21"/>
          <w:u w:val="single"/>
        </w:rPr>
        <w:t xml:space="preserve">         </w:t>
      </w:r>
      <w:r>
        <w:rPr>
          <w:bCs/>
          <w:szCs w:val="21"/>
          <w:u w:val="single"/>
        </w:rPr>
        <w:t xml:space="preserve">       </w:t>
      </w:r>
      <w:r>
        <w:rPr>
          <w:szCs w:val="21"/>
          <w:u w:val="single"/>
        </w:rPr>
        <w:t xml:space="preserve"> </w:t>
      </w:r>
      <w:r>
        <w:rPr>
          <w:szCs w:val="21"/>
        </w:rPr>
        <w:t>；</w:t>
      </w:r>
    </w:p>
    <w:p w14:paraId="24597BDA">
      <w:pPr>
        <w:spacing w:line="400" w:lineRule="exact"/>
        <w:ind w:firstLine="420" w:firstLineChars="200"/>
        <w:rPr>
          <w:szCs w:val="21"/>
        </w:rPr>
      </w:pPr>
      <w:r>
        <w:rPr>
          <w:szCs w:val="21"/>
        </w:rPr>
        <w:t>电子信箱：</w:t>
      </w:r>
      <w:r>
        <w:rPr>
          <w:bCs/>
          <w:szCs w:val="21"/>
          <w:u w:val="single"/>
        </w:rPr>
        <w:t xml:space="preserve">                        </w:t>
      </w:r>
      <w:r>
        <w:rPr>
          <w:rFonts w:hint="eastAsia"/>
          <w:bCs/>
          <w:szCs w:val="21"/>
          <w:u w:val="single"/>
        </w:rPr>
        <w:t xml:space="preserve">           </w:t>
      </w:r>
      <w:r>
        <w:rPr>
          <w:bCs/>
          <w:szCs w:val="21"/>
          <w:u w:val="single"/>
        </w:rPr>
        <w:t xml:space="preserve">       </w:t>
      </w:r>
      <w:r>
        <w:rPr>
          <w:szCs w:val="21"/>
          <w:u w:val="single"/>
        </w:rPr>
        <w:t xml:space="preserve"> </w:t>
      </w:r>
      <w:r>
        <w:rPr>
          <w:szCs w:val="21"/>
        </w:rPr>
        <w:t>；</w:t>
      </w:r>
    </w:p>
    <w:p w14:paraId="26AEAF5F">
      <w:pPr>
        <w:spacing w:line="400" w:lineRule="exact"/>
        <w:ind w:firstLine="420" w:firstLineChars="200"/>
        <w:rPr>
          <w:szCs w:val="21"/>
        </w:rPr>
      </w:pPr>
      <w:r>
        <w:rPr>
          <w:szCs w:val="21"/>
        </w:rPr>
        <w:t>通信地址：</w:t>
      </w:r>
      <w:r>
        <w:rPr>
          <w:bCs/>
          <w:szCs w:val="21"/>
          <w:u w:val="single"/>
        </w:rPr>
        <w:t xml:space="preserve">                       </w:t>
      </w:r>
      <w:r>
        <w:rPr>
          <w:rFonts w:hint="eastAsia"/>
          <w:bCs/>
          <w:szCs w:val="21"/>
          <w:u w:val="single"/>
        </w:rPr>
        <w:t xml:space="preserve">              </w:t>
      </w:r>
      <w:r>
        <w:rPr>
          <w:bCs/>
          <w:szCs w:val="21"/>
          <w:u w:val="single"/>
        </w:rPr>
        <w:t xml:space="preserve">     </w:t>
      </w:r>
      <w:r>
        <w:rPr>
          <w:szCs w:val="21"/>
          <w:u w:val="single"/>
        </w:rPr>
        <w:t xml:space="preserve"> </w:t>
      </w:r>
      <w:r>
        <w:rPr>
          <w:szCs w:val="21"/>
        </w:rPr>
        <w:t>。</w:t>
      </w:r>
    </w:p>
    <w:p w14:paraId="4EC80923">
      <w:pPr>
        <w:spacing w:line="400" w:lineRule="exact"/>
        <w:ind w:firstLine="420" w:firstLineChars="200"/>
        <w:rPr>
          <w:szCs w:val="21"/>
        </w:rPr>
      </w:pPr>
      <w:r>
        <w:rPr>
          <w:szCs w:val="21"/>
        </w:rPr>
        <w:t>1.1.2.5 设计人：</w:t>
      </w:r>
    </w:p>
    <w:p w14:paraId="618894D3">
      <w:pPr>
        <w:spacing w:line="400" w:lineRule="exact"/>
        <w:ind w:firstLine="420" w:firstLineChars="200"/>
        <w:rPr>
          <w:szCs w:val="21"/>
        </w:rPr>
      </w:pPr>
      <w:r>
        <w:rPr>
          <w:szCs w:val="21"/>
        </w:rPr>
        <w:t>名    称：</w:t>
      </w:r>
      <w:r>
        <w:rPr>
          <w:bCs/>
          <w:szCs w:val="21"/>
          <w:u w:val="single"/>
        </w:rPr>
        <w:t xml:space="preserve">                     </w:t>
      </w:r>
      <w:r>
        <w:rPr>
          <w:rFonts w:hint="eastAsia"/>
          <w:bCs/>
          <w:szCs w:val="21"/>
          <w:u w:val="single"/>
        </w:rPr>
        <w:t xml:space="preserve">        </w:t>
      </w:r>
      <w:r>
        <w:rPr>
          <w:bCs/>
          <w:szCs w:val="21"/>
          <w:u w:val="single"/>
        </w:rPr>
        <w:t xml:space="preserve">             </w:t>
      </w:r>
      <w:r>
        <w:rPr>
          <w:szCs w:val="21"/>
          <w:u w:val="single"/>
        </w:rPr>
        <w:t xml:space="preserve"> </w:t>
      </w:r>
      <w:r>
        <w:rPr>
          <w:szCs w:val="21"/>
        </w:rPr>
        <w:t>；</w:t>
      </w:r>
    </w:p>
    <w:p w14:paraId="43F50138">
      <w:pPr>
        <w:spacing w:line="400" w:lineRule="exact"/>
        <w:ind w:firstLine="420" w:firstLineChars="200"/>
        <w:rPr>
          <w:szCs w:val="21"/>
        </w:rPr>
      </w:pPr>
      <w:r>
        <w:rPr>
          <w:szCs w:val="21"/>
        </w:rPr>
        <w:t>资质类别和等级：</w:t>
      </w:r>
      <w:r>
        <w:rPr>
          <w:bCs/>
          <w:szCs w:val="21"/>
          <w:u w:val="single"/>
        </w:rPr>
        <w:t xml:space="preserve">                </w:t>
      </w:r>
      <w:r>
        <w:rPr>
          <w:rFonts w:hint="eastAsia"/>
          <w:bCs/>
          <w:szCs w:val="21"/>
          <w:u w:val="single"/>
        </w:rPr>
        <w:t xml:space="preserve">                </w:t>
      </w:r>
      <w:r>
        <w:rPr>
          <w:bCs/>
          <w:szCs w:val="21"/>
          <w:u w:val="single"/>
        </w:rPr>
        <w:t xml:space="preserve">     </w:t>
      </w:r>
      <w:r>
        <w:rPr>
          <w:szCs w:val="21"/>
        </w:rPr>
        <w:t>；</w:t>
      </w:r>
    </w:p>
    <w:p w14:paraId="0E8B8533">
      <w:pPr>
        <w:spacing w:line="400" w:lineRule="exact"/>
        <w:ind w:firstLine="420" w:firstLineChars="200"/>
        <w:rPr>
          <w:szCs w:val="21"/>
        </w:rPr>
      </w:pPr>
      <w:r>
        <w:rPr>
          <w:szCs w:val="21"/>
        </w:rPr>
        <w:t>联系电话：</w:t>
      </w:r>
      <w:r>
        <w:rPr>
          <w:bCs/>
          <w:szCs w:val="21"/>
          <w:u w:val="single"/>
        </w:rPr>
        <w:t xml:space="preserve">                                   </w:t>
      </w:r>
      <w:r>
        <w:rPr>
          <w:rFonts w:hint="eastAsia"/>
          <w:bCs/>
          <w:szCs w:val="21"/>
          <w:u w:val="single"/>
        </w:rPr>
        <w:t xml:space="preserve">      </w:t>
      </w:r>
      <w:r>
        <w:rPr>
          <w:bCs/>
          <w:szCs w:val="21"/>
          <w:u w:val="single"/>
        </w:rPr>
        <w:t xml:space="preserve"> </w:t>
      </w:r>
      <w:r>
        <w:rPr>
          <w:szCs w:val="21"/>
          <w:u w:val="single"/>
        </w:rPr>
        <w:t xml:space="preserve"> </w:t>
      </w:r>
      <w:r>
        <w:rPr>
          <w:szCs w:val="21"/>
        </w:rPr>
        <w:t>；</w:t>
      </w:r>
    </w:p>
    <w:p w14:paraId="501500E9">
      <w:pPr>
        <w:spacing w:line="400" w:lineRule="exact"/>
        <w:ind w:firstLine="420" w:firstLineChars="200"/>
        <w:rPr>
          <w:szCs w:val="21"/>
        </w:rPr>
      </w:pPr>
      <w:r>
        <w:rPr>
          <w:szCs w:val="21"/>
        </w:rPr>
        <w:t>电子信箱：</w:t>
      </w:r>
      <w:r>
        <w:rPr>
          <w:bCs/>
          <w:szCs w:val="21"/>
          <w:u w:val="single"/>
        </w:rPr>
        <w:t xml:space="preserve">                                </w:t>
      </w:r>
      <w:r>
        <w:rPr>
          <w:rFonts w:hint="eastAsia"/>
          <w:bCs/>
          <w:szCs w:val="21"/>
          <w:u w:val="single"/>
        </w:rPr>
        <w:t xml:space="preserve">   </w:t>
      </w:r>
      <w:r>
        <w:rPr>
          <w:bCs/>
          <w:szCs w:val="21"/>
          <w:u w:val="single"/>
        </w:rPr>
        <w:t xml:space="preserve">       </w:t>
      </w:r>
      <w:r>
        <w:rPr>
          <w:szCs w:val="21"/>
          <w:u w:val="single"/>
        </w:rPr>
        <w:t xml:space="preserve"> </w:t>
      </w:r>
      <w:r>
        <w:rPr>
          <w:szCs w:val="21"/>
        </w:rPr>
        <w:t>；</w:t>
      </w:r>
    </w:p>
    <w:p w14:paraId="5DA601AC">
      <w:pPr>
        <w:spacing w:line="400" w:lineRule="exact"/>
        <w:ind w:firstLine="420" w:firstLineChars="200"/>
        <w:rPr>
          <w:szCs w:val="21"/>
        </w:rPr>
      </w:pPr>
      <w:r>
        <w:rPr>
          <w:szCs w:val="21"/>
        </w:rPr>
        <w:t>通信地址：</w:t>
      </w:r>
      <w:r>
        <w:rPr>
          <w:bCs/>
          <w:szCs w:val="21"/>
          <w:u w:val="single"/>
        </w:rPr>
        <w:t xml:space="preserve">                          </w:t>
      </w:r>
      <w:r>
        <w:rPr>
          <w:rFonts w:hint="eastAsia"/>
          <w:bCs/>
          <w:szCs w:val="21"/>
          <w:u w:val="single"/>
        </w:rPr>
        <w:t xml:space="preserve">   </w:t>
      </w:r>
      <w:r>
        <w:rPr>
          <w:bCs/>
          <w:szCs w:val="21"/>
          <w:u w:val="single"/>
        </w:rPr>
        <w:t xml:space="preserve">             </w:t>
      </w:r>
      <w:r>
        <w:rPr>
          <w:szCs w:val="21"/>
          <w:u w:val="single"/>
        </w:rPr>
        <w:t xml:space="preserve"> </w:t>
      </w:r>
      <w:r>
        <w:rPr>
          <w:szCs w:val="21"/>
        </w:rPr>
        <w:t>。</w:t>
      </w:r>
    </w:p>
    <w:p w14:paraId="683B4A7B">
      <w:pPr>
        <w:spacing w:line="400" w:lineRule="exact"/>
        <w:ind w:firstLine="420" w:firstLineChars="200"/>
        <w:rPr>
          <w:szCs w:val="21"/>
        </w:rPr>
      </w:pPr>
      <w:r>
        <w:rPr>
          <w:szCs w:val="21"/>
        </w:rPr>
        <w:t>1.1.3 工程和设备</w:t>
      </w:r>
    </w:p>
    <w:p w14:paraId="740A8EBD">
      <w:pPr>
        <w:spacing w:line="400" w:lineRule="exact"/>
        <w:ind w:firstLine="420" w:firstLineChars="200"/>
        <w:rPr>
          <w:szCs w:val="21"/>
        </w:rPr>
      </w:pPr>
      <w:r>
        <w:rPr>
          <w:szCs w:val="21"/>
        </w:rPr>
        <w:t>1.1.3.7 作为施工现场组成部分的其他场所包括：</w:t>
      </w:r>
      <w:r>
        <w:rPr>
          <w:rFonts w:hint="eastAsia"/>
          <w:kern w:val="0"/>
          <w:szCs w:val="21"/>
          <w:u w:val="single"/>
        </w:rPr>
        <w:t>发包人提供部分临时占地的场地</w:t>
      </w:r>
      <w:r>
        <w:rPr>
          <w:kern w:val="0"/>
          <w:szCs w:val="21"/>
          <w:u w:val="single"/>
        </w:rPr>
        <w:t>。</w:t>
      </w:r>
    </w:p>
    <w:p w14:paraId="39275E34">
      <w:pPr>
        <w:spacing w:line="400" w:lineRule="exact"/>
        <w:ind w:firstLine="420" w:firstLineChars="200"/>
        <w:rPr>
          <w:kern w:val="0"/>
          <w:szCs w:val="21"/>
        </w:rPr>
      </w:pPr>
      <w:r>
        <w:rPr>
          <w:kern w:val="0"/>
          <w:szCs w:val="21"/>
        </w:rPr>
        <w:t>1.1.3.9 永久占地包括：</w:t>
      </w:r>
      <w:r>
        <w:rPr>
          <w:rFonts w:hint="eastAsia"/>
          <w:kern w:val="0"/>
          <w:szCs w:val="21"/>
          <w:u w:val="single"/>
        </w:rPr>
        <w:t>建设工程规划用地红线范围内的占地</w:t>
      </w:r>
      <w:r>
        <w:rPr>
          <w:kern w:val="0"/>
          <w:szCs w:val="21"/>
          <w:u w:val="single"/>
        </w:rPr>
        <w:t>。</w:t>
      </w:r>
    </w:p>
    <w:p w14:paraId="519873FF">
      <w:pPr>
        <w:spacing w:line="400" w:lineRule="exact"/>
        <w:ind w:firstLine="420" w:firstLineChars="200"/>
        <w:rPr>
          <w:rFonts w:hint="eastAsia"/>
          <w:kern w:val="0"/>
          <w:szCs w:val="21"/>
          <w:u w:val="single"/>
        </w:rPr>
      </w:pPr>
      <w:r>
        <w:rPr>
          <w:kern w:val="0"/>
          <w:szCs w:val="21"/>
        </w:rPr>
        <w:t>1.1.3.10 临时占地包括：</w:t>
      </w:r>
      <w:r>
        <w:rPr>
          <w:rFonts w:hint="eastAsia"/>
          <w:kern w:val="0"/>
          <w:szCs w:val="21"/>
          <w:u w:val="single"/>
        </w:rPr>
        <w:t>承包人应自行勘察现场，结合场地现状、合同要求、项目风险、工程设计文件、安全文明施工要求等，考虑临时占地的需求。承包人在本项目</w:t>
      </w:r>
      <w:r>
        <w:rPr>
          <w:rFonts w:hint="eastAsia"/>
          <w:kern w:val="0"/>
          <w:szCs w:val="21"/>
          <w:u w:val="single"/>
          <w:lang w:val="en-US" w:eastAsia="zh-CN"/>
        </w:rPr>
        <w:t>施工</w:t>
      </w:r>
      <w:r>
        <w:rPr>
          <w:rFonts w:hint="eastAsia"/>
          <w:kern w:val="0"/>
          <w:szCs w:val="21"/>
          <w:u w:val="single"/>
        </w:rPr>
        <w:t>红线范围内自行考虑临时场地，根据施工现场情况自行合理安排，费用由承包人承担。如因工程需要临时占用红线外场地及市政道路，由承包人自行协调并负责办理审批手续同时承担相应费用。施工期间借用道路的维护、管理及相应费用由承包人承担。</w:t>
      </w:r>
    </w:p>
    <w:p w14:paraId="4992CA18">
      <w:pPr>
        <w:spacing w:line="400" w:lineRule="exact"/>
        <w:ind w:firstLine="422" w:firstLineChars="200"/>
        <w:rPr>
          <w:szCs w:val="21"/>
        </w:rPr>
      </w:pPr>
      <w:r>
        <w:rPr>
          <w:b/>
          <w:szCs w:val="21"/>
        </w:rPr>
        <w:t>1.3法律</w:t>
      </w:r>
      <w:r>
        <w:rPr>
          <w:szCs w:val="21"/>
        </w:rPr>
        <w:t xml:space="preserve"> </w:t>
      </w:r>
    </w:p>
    <w:p w14:paraId="53CDC915">
      <w:pPr>
        <w:spacing w:line="400" w:lineRule="exact"/>
        <w:rPr>
          <w:rFonts w:hint="eastAsia"/>
          <w:szCs w:val="21"/>
          <w:highlight w:val="yellow"/>
          <w:u w:val="single"/>
        </w:rPr>
      </w:pPr>
      <w:r>
        <w:rPr>
          <w:szCs w:val="21"/>
        </w:rPr>
        <w:t>适用于合同的其他规范性文件</w:t>
      </w:r>
      <w:r>
        <w:rPr>
          <w:szCs w:val="21"/>
          <w:highlight w:val="none"/>
        </w:rPr>
        <w:t>：</w:t>
      </w:r>
      <w:r>
        <w:rPr>
          <w:rFonts w:hint="eastAsia"/>
          <w:szCs w:val="21"/>
          <w:highlight w:val="none"/>
          <w:u w:val="single"/>
        </w:rPr>
        <w:t>《建设工程工程量清单计价规范》（GB50500-2013）、《房屋建筑与装饰工程工程量计算规范》（GB50854-2013）、《通用安装工程工程量计算规范》（GB50856-2013）、《市政工程工程量计算规范》（GB50857-2013）、《园林绿化工程工程量计算规范》（GB50858-2013）、《浙江省建设工程计价规则》（2018版）、《浙江省房屋建筑与装饰工程预算定额》（2018版）、《浙江省通用安装工程预算定额》（2018版）、《浙江省市政工程预算定额》（2018版）、《浙江省园林绿化及仿古建筑工程预算定额》(2018版)、《浙江省建设工程施工机械台班费用定额》(2018版)、《浙江省建筑安装材料基期价格》以及相关补充规定与综合解释等；</w:t>
      </w:r>
    </w:p>
    <w:p w14:paraId="1A50029A">
      <w:pPr>
        <w:spacing w:line="400" w:lineRule="exact"/>
        <w:ind w:firstLine="422" w:firstLineChars="200"/>
        <w:rPr>
          <w:b/>
          <w:szCs w:val="21"/>
        </w:rPr>
      </w:pPr>
      <w:r>
        <w:rPr>
          <w:b/>
          <w:szCs w:val="21"/>
        </w:rPr>
        <w:t>1.4 标准和规范</w:t>
      </w:r>
    </w:p>
    <w:p w14:paraId="7311CBCC">
      <w:pPr>
        <w:spacing w:line="400" w:lineRule="exact"/>
        <w:rPr>
          <w:szCs w:val="21"/>
        </w:rPr>
      </w:pPr>
      <w:r>
        <w:rPr>
          <w:szCs w:val="21"/>
        </w:rPr>
        <w:t>1.4.1适用于工程的标准规范包括：</w:t>
      </w:r>
      <w:r>
        <w:rPr>
          <w:szCs w:val="21"/>
          <w:u w:val="single"/>
        </w:rPr>
        <w:t>按现行的国家、省、市施工验收规范、质量评定标准及有关规定。合同工期内的标准、规范，招标文件中的技术要求等</w:t>
      </w:r>
      <w:r>
        <w:rPr>
          <w:szCs w:val="21"/>
        </w:rPr>
        <w:t>。</w:t>
      </w:r>
    </w:p>
    <w:p w14:paraId="438DA997">
      <w:pPr>
        <w:spacing w:line="400" w:lineRule="exact"/>
        <w:rPr>
          <w:szCs w:val="21"/>
          <w:u w:val="single"/>
        </w:rPr>
      </w:pPr>
      <w:r>
        <w:rPr>
          <w:szCs w:val="21"/>
        </w:rPr>
        <w:t>1.4.2 发包人提供国外标准、规范的名称：</w:t>
      </w:r>
      <w:r>
        <w:rPr>
          <w:szCs w:val="21"/>
          <w:u w:val="single"/>
        </w:rPr>
        <w:t xml:space="preserve">       </w:t>
      </w:r>
      <w:r>
        <w:rPr>
          <w:rFonts w:hint="eastAsia"/>
          <w:szCs w:val="21"/>
          <w:u w:val="single"/>
        </w:rPr>
        <w:t xml:space="preserve">      /                  </w:t>
      </w:r>
      <w:r>
        <w:rPr>
          <w:szCs w:val="21"/>
          <w:u w:val="single"/>
        </w:rPr>
        <w:t xml:space="preserve">   </w:t>
      </w:r>
      <w:r>
        <w:rPr>
          <w:szCs w:val="21"/>
        </w:rPr>
        <w:t>；</w:t>
      </w:r>
    </w:p>
    <w:p w14:paraId="06722DED">
      <w:pPr>
        <w:spacing w:line="400" w:lineRule="exact"/>
        <w:rPr>
          <w:szCs w:val="21"/>
        </w:rPr>
      </w:pPr>
      <w:r>
        <w:rPr>
          <w:szCs w:val="21"/>
        </w:rPr>
        <w:t>发包人提供国外标准、规范的份数：</w:t>
      </w:r>
      <w:r>
        <w:rPr>
          <w:szCs w:val="21"/>
          <w:u w:val="single"/>
        </w:rPr>
        <w:t xml:space="preserve">          </w:t>
      </w:r>
      <w:r>
        <w:rPr>
          <w:rFonts w:hint="eastAsia"/>
          <w:szCs w:val="21"/>
          <w:u w:val="single"/>
        </w:rPr>
        <w:t xml:space="preserve">         /                  </w:t>
      </w:r>
      <w:r>
        <w:rPr>
          <w:szCs w:val="21"/>
          <w:u w:val="single"/>
        </w:rPr>
        <w:t xml:space="preserve">  </w:t>
      </w:r>
      <w:r>
        <w:rPr>
          <w:szCs w:val="21"/>
        </w:rPr>
        <w:t>；</w:t>
      </w:r>
    </w:p>
    <w:p w14:paraId="1750B267">
      <w:pPr>
        <w:spacing w:line="400" w:lineRule="exact"/>
        <w:rPr>
          <w:szCs w:val="21"/>
        </w:rPr>
      </w:pPr>
      <w:r>
        <w:rPr>
          <w:szCs w:val="21"/>
        </w:rPr>
        <w:t>发包人提供国外标准、规范的名称：</w:t>
      </w:r>
      <w:r>
        <w:rPr>
          <w:szCs w:val="21"/>
          <w:u w:val="single"/>
        </w:rPr>
        <w:t xml:space="preserve">            </w:t>
      </w:r>
      <w:r>
        <w:rPr>
          <w:rFonts w:hint="eastAsia"/>
          <w:szCs w:val="21"/>
          <w:u w:val="single"/>
        </w:rPr>
        <w:t xml:space="preserve">       /                 </w:t>
      </w:r>
      <w:r>
        <w:rPr>
          <w:szCs w:val="21"/>
          <w:u w:val="single"/>
        </w:rPr>
        <w:t xml:space="preserve">   </w:t>
      </w:r>
      <w:r>
        <w:rPr>
          <w:szCs w:val="21"/>
        </w:rPr>
        <w:t>。</w:t>
      </w:r>
    </w:p>
    <w:p w14:paraId="3C89F403">
      <w:pPr>
        <w:spacing w:line="400" w:lineRule="exact"/>
        <w:rPr>
          <w:szCs w:val="21"/>
          <w:u w:val="single"/>
        </w:rPr>
      </w:pPr>
      <w:r>
        <w:rPr>
          <w:szCs w:val="21"/>
        </w:rPr>
        <w:t>1.4.3发包人对工程的技术标准和功能要求的特殊要求：</w:t>
      </w:r>
      <w:r>
        <w:rPr>
          <w:rFonts w:hint="eastAsia"/>
          <w:szCs w:val="21"/>
          <w:u w:val="single"/>
        </w:rPr>
        <w:t>没有国家标准、规范时，有行业标准、规范的，使用行业标准、规范；没有国家和行业标准、规范的，使用地方的标准、规范。没有国家、行业和地方标准、规范的，且不使用国外标准、规范时，按发包人、承包人和设计单位商定的方案施工。</w:t>
      </w:r>
    </w:p>
    <w:p w14:paraId="44AA43E6">
      <w:pPr>
        <w:spacing w:line="400" w:lineRule="exact"/>
        <w:ind w:firstLine="422" w:firstLineChars="200"/>
        <w:rPr>
          <w:b/>
          <w:szCs w:val="21"/>
        </w:rPr>
      </w:pPr>
      <w:r>
        <w:rPr>
          <w:b/>
          <w:szCs w:val="21"/>
        </w:rPr>
        <w:t>1.5 合同文件的优先顺序</w:t>
      </w:r>
    </w:p>
    <w:p w14:paraId="5952BA76">
      <w:pPr>
        <w:spacing w:line="400" w:lineRule="exact"/>
        <w:ind w:firstLine="420" w:firstLineChars="200"/>
        <w:rPr>
          <w:rFonts w:hint="eastAsia"/>
          <w:szCs w:val="21"/>
        </w:rPr>
      </w:pPr>
      <w:r>
        <w:rPr>
          <w:szCs w:val="21"/>
        </w:rPr>
        <w:t>合同文件组成及优先顺序为：</w:t>
      </w:r>
    </w:p>
    <w:p w14:paraId="15AEDE94">
      <w:pPr>
        <w:spacing w:line="400" w:lineRule="exact"/>
        <w:rPr>
          <w:rFonts w:hint="eastAsia"/>
          <w:szCs w:val="21"/>
        </w:rPr>
      </w:pPr>
      <w:r>
        <w:rPr>
          <w:rFonts w:hint="eastAsia"/>
          <w:szCs w:val="21"/>
        </w:rPr>
        <w:t>（1）合同协议书；</w:t>
      </w:r>
    </w:p>
    <w:p w14:paraId="69B96CE8">
      <w:pPr>
        <w:spacing w:line="400" w:lineRule="exact"/>
        <w:rPr>
          <w:rFonts w:hint="eastAsia"/>
          <w:szCs w:val="21"/>
        </w:rPr>
      </w:pPr>
      <w:r>
        <w:rPr>
          <w:rFonts w:hint="eastAsia"/>
          <w:szCs w:val="21"/>
        </w:rPr>
        <w:t>（2）中标通知书（或项目发承包基本情况表）；</w:t>
      </w:r>
    </w:p>
    <w:p w14:paraId="0BA1B852">
      <w:pPr>
        <w:spacing w:line="400" w:lineRule="exact"/>
        <w:rPr>
          <w:rFonts w:hint="eastAsia"/>
          <w:szCs w:val="21"/>
        </w:rPr>
      </w:pPr>
      <w:r>
        <w:rPr>
          <w:rFonts w:hint="eastAsia"/>
          <w:szCs w:val="21"/>
        </w:rPr>
        <w:t>（3）投标函及其附录（如果有）；</w:t>
      </w:r>
    </w:p>
    <w:p w14:paraId="3F1D9FCE">
      <w:pPr>
        <w:spacing w:line="400" w:lineRule="exact"/>
        <w:rPr>
          <w:rFonts w:hint="eastAsia"/>
          <w:szCs w:val="21"/>
        </w:rPr>
      </w:pPr>
      <w:r>
        <w:rPr>
          <w:rFonts w:hint="eastAsia"/>
          <w:szCs w:val="21"/>
        </w:rPr>
        <w:t>（4）专用合同条款及其附件；</w:t>
      </w:r>
    </w:p>
    <w:p w14:paraId="7D5D4B0B">
      <w:pPr>
        <w:spacing w:line="400" w:lineRule="exact"/>
        <w:rPr>
          <w:rFonts w:hint="eastAsia"/>
          <w:szCs w:val="21"/>
        </w:rPr>
      </w:pPr>
      <w:r>
        <w:rPr>
          <w:rFonts w:hint="eastAsia"/>
          <w:szCs w:val="21"/>
        </w:rPr>
        <w:t>（5）通用合同条款；</w:t>
      </w:r>
    </w:p>
    <w:p w14:paraId="04BDB0C8">
      <w:pPr>
        <w:spacing w:line="400" w:lineRule="exact"/>
        <w:rPr>
          <w:rFonts w:hint="eastAsia"/>
          <w:szCs w:val="21"/>
        </w:rPr>
      </w:pPr>
      <w:r>
        <w:rPr>
          <w:rFonts w:hint="eastAsia"/>
          <w:szCs w:val="21"/>
        </w:rPr>
        <w:t>（6）技术标准和要求；</w:t>
      </w:r>
    </w:p>
    <w:p w14:paraId="05DCA315">
      <w:pPr>
        <w:spacing w:line="400" w:lineRule="exact"/>
        <w:rPr>
          <w:rFonts w:hint="eastAsia"/>
          <w:szCs w:val="21"/>
        </w:rPr>
      </w:pPr>
      <w:r>
        <w:rPr>
          <w:rFonts w:hint="eastAsia"/>
          <w:szCs w:val="21"/>
        </w:rPr>
        <w:t>（7）图纸；</w:t>
      </w:r>
    </w:p>
    <w:p w14:paraId="7D6BFDD1">
      <w:pPr>
        <w:spacing w:line="400" w:lineRule="exact"/>
        <w:rPr>
          <w:rFonts w:hint="eastAsia"/>
          <w:szCs w:val="21"/>
        </w:rPr>
      </w:pPr>
      <w:r>
        <w:rPr>
          <w:rFonts w:hint="eastAsia"/>
          <w:szCs w:val="21"/>
        </w:rPr>
        <w:t>（8）已标价工程量清单或预算审核书；</w:t>
      </w:r>
    </w:p>
    <w:p w14:paraId="22F58A51">
      <w:pPr>
        <w:spacing w:line="400" w:lineRule="exact"/>
        <w:rPr>
          <w:rFonts w:hint="eastAsia"/>
          <w:szCs w:val="21"/>
        </w:rPr>
      </w:pPr>
      <w:r>
        <w:rPr>
          <w:rFonts w:hint="eastAsia"/>
          <w:szCs w:val="21"/>
        </w:rPr>
        <w:t>（9）其他合同文件：</w:t>
      </w:r>
    </w:p>
    <w:p w14:paraId="473A69A2">
      <w:pPr>
        <w:spacing w:line="400" w:lineRule="exact"/>
        <w:rPr>
          <w:rFonts w:hint="eastAsia"/>
          <w:szCs w:val="21"/>
        </w:rPr>
      </w:pPr>
      <w:r>
        <w:rPr>
          <w:rFonts w:hint="eastAsia"/>
          <w:szCs w:val="21"/>
        </w:rPr>
        <w:t xml:space="preserve"> </w:t>
      </w:r>
      <w:r>
        <w:rPr>
          <w:szCs w:val="21"/>
        </w:rPr>
        <w:fldChar w:fldCharType="begin"/>
      </w:r>
      <w:r>
        <w:rPr>
          <w:szCs w:val="21"/>
        </w:rPr>
        <w:instrText xml:space="preserve"> </w:instrText>
      </w:r>
      <w:r>
        <w:rPr>
          <w:rFonts w:hint="eastAsia"/>
          <w:szCs w:val="21"/>
        </w:rPr>
        <w:instrText xml:space="preserve">= 1 \* GB3</w:instrText>
      </w:r>
      <w:r>
        <w:rPr>
          <w:szCs w:val="21"/>
        </w:rPr>
        <w:instrText xml:space="preserve"> </w:instrText>
      </w:r>
      <w:r>
        <w:rPr>
          <w:szCs w:val="21"/>
        </w:rPr>
        <w:fldChar w:fldCharType="separate"/>
      </w:r>
      <w:r>
        <w:rPr>
          <w:rFonts w:hint="eastAsia"/>
          <w:szCs w:val="21"/>
        </w:rPr>
        <w:t>①</w:t>
      </w:r>
      <w:r>
        <w:rPr>
          <w:szCs w:val="21"/>
        </w:rPr>
        <w:fldChar w:fldCharType="end"/>
      </w:r>
      <w:r>
        <w:rPr>
          <w:rFonts w:hint="eastAsia"/>
          <w:szCs w:val="21"/>
        </w:rPr>
        <w:t>施工组织设计；</w:t>
      </w:r>
    </w:p>
    <w:p w14:paraId="3613DE6F">
      <w:pPr>
        <w:spacing w:line="400" w:lineRule="exact"/>
        <w:ind w:firstLine="105" w:firstLineChars="50"/>
        <w:rPr>
          <w:szCs w:val="21"/>
        </w:rPr>
      </w:pPr>
      <w:r>
        <w:rPr>
          <w:rFonts w:hint="eastAsia"/>
          <w:szCs w:val="21"/>
        </w:rPr>
        <w:t>②其他：招标文件及招标答疑。</w:t>
      </w:r>
    </w:p>
    <w:p w14:paraId="6A41C13E">
      <w:pPr>
        <w:spacing w:line="400" w:lineRule="exact"/>
        <w:ind w:firstLine="422" w:firstLineChars="200"/>
        <w:rPr>
          <w:b/>
          <w:szCs w:val="21"/>
        </w:rPr>
      </w:pPr>
      <w:r>
        <w:rPr>
          <w:b/>
          <w:szCs w:val="21"/>
        </w:rPr>
        <w:t>1.6 图纸和承包人文件</w:t>
      </w:r>
      <w:r>
        <w:rPr>
          <w:b/>
          <w:szCs w:val="21"/>
        </w:rPr>
        <w:tab/>
      </w:r>
    </w:p>
    <w:p w14:paraId="7B43ECD7">
      <w:pPr>
        <w:spacing w:line="400" w:lineRule="exact"/>
        <w:ind w:firstLine="420" w:firstLineChars="200"/>
        <w:rPr>
          <w:szCs w:val="21"/>
        </w:rPr>
      </w:pPr>
      <w:r>
        <w:rPr>
          <w:szCs w:val="21"/>
        </w:rPr>
        <w:t>1.6.1 图纸的提供</w:t>
      </w:r>
    </w:p>
    <w:p w14:paraId="4CAE3819">
      <w:pPr>
        <w:spacing w:line="400" w:lineRule="exact"/>
        <w:ind w:firstLine="420" w:firstLineChars="200"/>
        <w:rPr>
          <w:szCs w:val="21"/>
        </w:rPr>
      </w:pPr>
      <w:r>
        <w:rPr>
          <w:szCs w:val="21"/>
        </w:rPr>
        <w:t>发包人向承包人提供图纸的期限：</w:t>
      </w:r>
      <w:r>
        <w:rPr>
          <w:szCs w:val="21"/>
          <w:u w:val="single"/>
        </w:rPr>
        <w:t>开工日期14天前</w:t>
      </w:r>
      <w:r>
        <w:rPr>
          <w:szCs w:val="21"/>
        </w:rPr>
        <w:t>；</w:t>
      </w:r>
    </w:p>
    <w:p w14:paraId="7E43A35A">
      <w:pPr>
        <w:spacing w:line="400" w:lineRule="exact"/>
        <w:ind w:firstLine="420" w:firstLineChars="200"/>
        <w:rPr>
          <w:szCs w:val="21"/>
          <w:u w:val="single"/>
        </w:rPr>
      </w:pPr>
      <w:r>
        <w:rPr>
          <w:szCs w:val="21"/>
        </w:rPr>
        <w:t>发包人向承包人提供图纸的数量：</w:t>
      </w:r>
      <w:r>
        <w:rPr>
          <w:rFonts w:hint="eastAsia"/>
          <w:szCs w:val="21"/>
          <w:u w:val="single"/>
        </w:rPr>
        <w:t>纸质施工图〔</w:t>
      </w:r>
      <w:r>
        <w:rPr>
          <w:szCs w:val="21"/>
          <w:u w:val="single"/>
        </w:rPr>
        <w:t>3</w:t>
      </w:r>
      <w:r>
        <w:rPr>
          <w:rFonts w:hint="eastAsia"/>
          <w:szCs w:val="21"/>
          <w:u w:val="single"/>
        </w:rPr>
        <w:t>〕套并附目录清单及与其一致的电子版施工图。</w:t>
      </w:r>
    </w:p>
    <w:p w14:paraId="32E40443">
      <w:pPr>
        <w:spacing w:line="400" w:lineRule="exact"/>
        <w:ind w:firstLine="420" w:firstLineChars="200"/>
        <w:rPr>
          <w:szCs w:val="21"/>
        </w:rPr>
      </w:pPr>
      <w:r>
        <w:rPr>
          <w:szCs w:val="21"/>
        </w:rPr>
        <w:t>发包人向承包人提供图纸的内容：</w:t>
      </w:r>
      <w:r>
        <w:rPr>
          <w:szCs w:val="21"/>
          <w:u w:val="single"/>
        </w:rPr>
        <w:t>（须载明施工图纸名称、工程号、版本、出图日期、目录、已有的变更联系单编号等）</w:t>
      </w:r>
      <w:r>
        <w:rPr>
          <w:szCs w:val="21"/>
        </w:rPr>
        <w:t>。</w:t>
      </w:r>
    </w:p>
    <w:p w14:paraId="7723A515">
      <w:pPr>
        <w:spacing w:line="400" w:lineRule="exact"/>
        <w:ind w:firstLine="420" w:firstLineChars="200"/>
        <w:rPr>
          <w:szCs w:val="21"/>
        </w:rPr>
      </w:pPr>
      <w:r>
        <w:rPr>
          <w:szCs w:val="21"/>
        </w:rPr>
        <w:t>1.6.4 承包人文件</w:t>
      </w:r>
    </w:p>
    <w:p w14:paraId="421AF390">
      <w:pPr>
        <w:spacing w:line="400" w:lineRule="exact"/>
        <w:ind w:firstLine="420" w:firstLineChars="200"/>
        <w:rPr>
          <w:szCs w:val="21"/>
          <w:u w:val="single"/>
        </w:rPr>
      </w:pPr>
      <w:r>
        <w:rPr>
          <w:szCs w:val="21"/>
        </w:rPr>
        <w:t>需要由承包人提供的文件，包括：</w:t>
      </w:r>
      <w:r>
        <w:rPr>
          <w:szCs w:val="21"/>
          <w:u w:val="single"/>
        </w:rPr>
        <w:t>施工组织设计、专项施工方案、工程总进度计划、工程月进度计划表等；承包人提交修正后的施工组织设计、专项施工方案等的技术标准不低于投标承诺</w:t>
      </w:r>
      <w:r>
        <w:rPr>
          <w:rFonts w:hint="eastAsia"/>
          <w:szCs w:val="21"/>
          <w:u w:val="single"/>
        </w:rPr>
        <w:t>或原有承诺标准</w:t>
      </w:r>
      <w:r>
        <w:rPr>
          <w:szCs w:val="21"/>
          <w:u w:val="single"/>
        </w:rPr>
        <w:t>，且修改或优化</w:t>
      </w:r>
      <w:r>
        <w:rPr>
          <w:rFonts w:hint="eastAsia"/>
          <w:szCs w:val="21"/>
          <w:u w:val="single"/>
        </w:rPr>
        <w:t>后的施工组织设计、专项施工</w:t>
      </w:r>
      <w:r>
        <w:rPr>
          <w:szCs w:val="21"/>
          <w:u w:val="single"/>
        </w:rPr>
        <w:t>方案</w:t>
      </w:r>
      <w:r>
        <w:rPr>
          <w:rFonts w:hint="eastAsia"/>
          <w:szCs w:val="21"/>
          <w:u w:val="single"/>
        </w:rPr>
        <w:t>须</w:t>
      </w:r>
      <w:r>
        <w:rPr>
          <w:szCs w:val="21"/>
          <w:u w:val="single"/>
        </w:rPr>
        <w:t>报监理人、发包人批准。</w:t>
      </w:r>
    </w:p>
    <w:p w14:paraId="68A5187C">
      <w:pPr>
        <w:spacing w:line="400" w:lineRule="exact"/>
        <w:ind w:firstLine="420" w:firstLineChars="200"/>
        <w:rPr>
          <w:szCs w:val="21"/>
        </w:rPr>
      </w:pPr>
      <w:r>
        <w:rPr>
          <w:szCs w:val="21"/>
        </w:rPr>
        <w:t>承包人提供的文件的期限为：</w:t>
      </w:r>
      <w:r>
        <w:rPr>
          <w:szCs w:val="21"/>
          <w:u w:val="single"/>
        </w:rPr>
        <w:t>施工组织设计、进度计划在接到开工通知（或确定开工日期）后7天内，专项施工方案在相应部位施工前7天；发包人对承包人的施工组织设计（或方案）和进度计划提出质疑和合理修正时，承包人应7天内提供修正完成并重新提交；每月20日前向发包方提交下一月进度计划和施工方案</w:t>
      </w:r>
      <w:r>
        <w:rPr>
          <w:rFonts w:hint="eastAsia"/>
          <w:szCs w:val="21"/>
          <w:u w:val="single"/>
        </w:rPr>
        <w:t>。</w:t>
      </w:r>
    </w:p>
    <w:p w14:paraId="4A51237E">
      <w:pPr>
        <w:spacing w:line="400" w:lineRule="exact"/>
        <w:ind w:firstLine="420" w:firstLineChars="200"/>
        <w:rPr>
          <w:szCs w:val="21"/>
        </w:rPr>
      </w:pPr>
      <w:r>
        <w:rPr>
          <w:szCs w:val="21"/>
        </w:rPr>
        <w:t>承包人提供的文件的数量为：</w:t>
      </w:r>
      <w:r>
        <w:rPr>
          <w:szCs w:val="21"/>
          <w:u w:val="single"/>
        </w:rPr>
        <w:t>按发包人要求         </w:t>
      </w:r>
      <w:r>
        <w:rPr>
          <w:szCs w:val="21"/>
        </w:rPr>
        <w:t>；</w:t>
      </w:r>
    </w:p>
    <w:p w14:paraId="579D1531">
      <w:pPr>
        <w:spacing w:line="400" w:lineRule="exact"/>
        <w:ind w:firstLine="420" w:firstLineChars="200"/>
        <w:rPr>
          <w:szCs w:val="21"/>
        </w:rPr>
      </w:pPr>
      <w:r>
        <w:rPr>
          <w:szCs w:val="21"/>
        </w:rPr>
        <w:t>承包人提供的文件的形式为：</w:t>
      </w:r>
      <w:r>
        <w:rPr>
          <w:szCs w:val="21"/>
          <w:u w:val="single"/>
        </w:rPr>
        <w:t>纸质及电子版本       </w:t>
      </w:r>
      <w:r>
        <w:rPr>
          <w:szCs w:val="21"/>
        </w:rPr>
        <w:t>；</w:t>
      </w:r>
    </w:p>
    <w:p w14:paraId="08014C6A">
      <w:pPr>
        <w:spacing w:line="400" w:lineRule="exact"/>
        <w:ind w:firstLine="420" w:firstLineChars="200"/>
        <w:rPr>
          <w:szCs w:val="21"/>
        </w:rPr>
      </w:pPr>
      <w:r>
        <w:rPr>
          <w:szCs w:val="21"/>
        </w:rPr>
        <w:t>发包人审批承包人文件的期限：</w:t>
      </w:r>
      <w:r>
        <w:rPr>
          <w:szCs w:val="21"/>
          <w:u w:val="single"/>
        </w:rPr>
        <w:t>收到相应文件后7天内</w:t>
      </w:r>
      <w:r>
        <w:rPr>
          <w:rFonts w:hint="eastAsia"/>
          <w:szCs w:val="21"/>
          <w:u w:val="single"/>
        </w:rPr>
        <w:t xml:space="preserve"> </w:t>
      </w:r>
      <w:r>
        <w:rPr>
          <w:szCs w:val="21"/>
          <w:u w:val="single"/>
        </w:rPr>
        <w:t></w:t>
      </w:r>
      <w:r>
        <w:rPr>
          <w:szCs w:val="21"/>
        </w:rPr>
        <w:t>。</w:t>
      </w:r>
    </w:p>
    <w:p w14:paraId="5D6C567B">
      <w:pPr>
        <w:spacing w:line="400" w:lineRule="exact"/>
        <w:ind w:firstLine="420" w:firstLineChars="200"/>
        <w:rPr>
          <w:szCs w:val="21"/>
        </w:rPr>
      </w:pPr>
      <w:r>
        <w:rPr>
          <w:szCs w:val="21"/>
        </w:rPr>
        <w:t>1.6.5 现场图纸准备</w:t>
      </w:r>
    </w:p>
    <w:p w14:paraId="76173814">
      <w:pPr>
        <w:spacing w:line="400" w:lineRule="exact"/>
        <w:ind w:firstLine="420" w:firstLineChars="200"/>
        <w:rPr>
          <w:szCs w:val="21"/>
        </w:rPr>
      </w:pPr>
      <w:r>
        <w:rPr>
          <w:szCs w:val="21"/>
        </w:rPr>
        <w:t>关于现场图纸准备的约定：</w:t>
      </w:r>
      <w:r>
        <w:rPr>
          <w:szCs w:val="21"/>
          <w:u w:val="single"/>
        </w:rPr>
        <w:t>由监理人在现场保管一套完整施工图，供发包人、监理人及有关人员进行工程检查等活动时使用 </w:t>
      </w:r>
      <w:r>
        <w:rPr>
          <w:szCs w:val="21"/>
        </w:rPr>
        <w:t>。</w:t>
      </w:r>
    </w:p>
    <w:p w14:paraId="79E2443F">
      <w:pPr>
        <w:spacing w:line="400" w:lineRule="exact"/>
        <w:ind w:firstLine="420" w:firstLineChars="200"/>
        <w:rPr>
          <w:szCs w:val="21"/>
        </w:rPr>
      </w:pPr>
      <w:r>
        <w:rPr>
          <w:szCs w:val="21"/>
        </w:rPr>
        <w:t>1.7 联络</w:t>
      </w:r>
    </w:p>
    <w:p w14:paraId="34926A7D">
      <w:pPr>
        <w:spacing w:line="400" w:lineRule="exact"/>
        <w:ind w:firstLine="420" w:firstLineChars="200"/>
        <w:rPr>
          <w:kern w:val="0"/>
          <w:szCs w:val="21"/>
        </w:rPr>
      </w:pPr>
      <w:r>
        <w:rPr>
          <w:kern w:val="0"/>
          <w:szCs w:val="21"/>
        </w:rPr>
        <w:t>1.7.1发包人和承包人应当在</w:t>
      </w:r>
      <w:r>
        <w:rPr>
          <w:kern w:val="0"/>
          <w:szCs w:val="21"/>
          <w:u w:val="single"/>
        </w:rPr>
        <w:t xml:space="preserve">7  </w:t>
      </w:r>
      <w:r>
        <w:rPr>
          <w:kern w:val="0"/>
          <w:szCs w:val="21"/>
        </w:rPr>
        <w:t>天内将与合同有关的通知、批准、证明、证书、指示、指令、要求、请求、同意、意见、确定和决定等书面函件送达对方当事人。</w:t>
      </w:r>
    </w:p>
    <w:p w14:paraId="21D015F9">
      <w:pPr>
        <w:spacing w:line="400" w:lineRule="exact"/>
        <w:ind w:firstLine="420" w:firstLineChars="200"/>
        <w:rPr>
          <w:rFonts w:hint="eastAsia"/>
          <w:kern w:val="0"/>
          <w:szCs w:val="21"/>
        </w:rPr>
      </w:pPr>
      <w:r>
        <w:rPr>
          <w:kern w:val="0"/>
          <w:szCs w:val="21"/>
        </w:rPr>
        <w:t>1.7.2 发包人接收文件的地点：</w:t>
      </w:r>
      <w:r>
        <w:rPr>
          <w:kern w:val="0"/>
          <w:szCs w:val="21"/>
          <w:u w:val="single"/>
        </w:rPr>
        <w:t>  </w:t>
      </w:r>
      <w:r>
        <w:rPr>
          <w:rFonts w:hint="eastAsia"/>
          <w:kern w:val="0"/>
          <w:szCs w:val="21"/>
          <w:u w:val="single"/>
          <w:lang w:val="en-US" w:eastAsia="zh-CN"/>
        </w:rPr>
        <w:t xml:space="preserve">         </w:t>
      </w:r>
      <w:r>
        <w:rPr>
          <w:kern w:val="0"/>
          <w:szCs w:val="21"/>
          <w:u w:val="single"/>
        </w:rPr>
        <w:t>        </w:t>
      </w:r>
      <w:r>
        <w:rPr>
          <w:kern w:val="0"/>
          <w:szCs w:val="21"/>
        </w:rPr>
        <w:t>；</w:t>
      </w:r>
    </w:p>
    <w:p w14:paraId="34CF456E">
      <w:pPr>
        <w:spacing w:line="400" w:lineRule="exact"/>
        <w:ind w:firstLine="420" w:firstLineChars="200"/>
        <w:rPr>
          <w:kern w:val="0"/>
          <w:szCs w:val="21"/>
        </w:rPr>
      </w:pPr>
      <w:r>
        <w:rPr>
          <w:rFonts w:hint="eastAsia"/>
          <w:kern w:val="0"/>
          <w:szCs w:val="21"/>
        </w:rPr>
        <w:t xml:space="preserve">发包人接收文件的电子信箱： </w:t>
      </w:r>
      <w:r>
        <w:rPr>
          <w:rFonts w:hint="eastAsia" w:hAnsi="仿宋"/>
          <w:kern w:val="0"/>
          <w:sz w:val="28"/>
          <w:szCs w:val="28"/>
          <w:u w:val="single"/>
        </w:rPr>
        <w:t xml:space="preserve">         </w:t>
      </w:r>
      <w:r>
        <w:rPr>
          <w:rFonts w:hint="eastAsia" w:hAnsi="仿宋"/>
          <w:kern w:val="0"/>
          <w:sz w:val="28"/>
          <w:szCs w:val="28"/>
          <w:u w:val="single"/>
          <w:lang w:val="en-US" w:eastAsia="zh-CN"/>
        </w:rPr>
        <w:t xml:space="preserve">                      </w:t>
      </w:r>
      <w:r>
        <w:rPr>
          <w:rFonts w:hint="eastAsia" w:hAnsi="仿宋"/>
          <w:kern w:val="0"/>
          <w:sz w:val="28"/>
          <w:szCs w:val="28"/>
          <w:u w:val="single"/>
        </w:rPr>
        <w:t xml:space="preserve">           </w:t>
      </w:r>
      <w:r>
        <w:rPr>
          <w:rFonts w:hint="eastAsia" w:hAnsi="仿宋"/>
          <w:kern w:val="0"/>
          <w:szCs w:val="21"/>
        </w:rPr>
        <w:t>。</w:t>
      </w:r>
    </w:p>
    <w:p w14:paraId="2F0101DC">
      <w:pPr>
        <w:spacing w:line="400" w:lineRule="exact"/>
        <w:ind w:firstLine="420" w:firstLineChars="200"/>
        <w:rPr>
          <w:kern w:val="0"/>
          <w:szCs w:val="21"/>
        </w:rPr>
      </w:pPr>
      <w:r>
        <w:rPr>
          <w:kern w:val="0"/>
          <w:szCs w:val="21"/>
        </w:rPr>
        <w:t>发包人指定的接收人为：</w:t>
      </w:r>
      <w:r>
        <w:rPr>
          <w:kern w:val="0"/>
          <w:szCs w:val="21"/>
          <w:u w:val="single"/>
        </w:rPr>
        <w:t></w:t>
      </w:r>
      <w:r>
        <w:rPr>
          <w:rFonts w:hint="eastAsia"/>
          <w:kern w:val="0"/>
          <w:szCs w:val="21"/>
          <w:u w:val="single"/>
        </w:rPr>
        <w:t xml:space="preserve">  </w:t>
      </w:r>
      <w:r>
        <w:rPr>
          <w:rFonts w:hint="eastAsia"/>
          <w:kern w:val="0"/>
          <w:szCs w:val="21"/>
          <w:u w:val="single"/>
          <w:lang w:val="en-US" w:eastAsia="zh-CN"/>
        </w:rPr>
        <w:t xml:space="preserve">           </w:t>
      </w:r>
      <w:r>
        <w:rPr>
          <w:kern w:val="0"/>
          <w:szCs w:val="21"/>
          <w:u w:val="single"/>
        </w:rPr>
        <w:t>（</w:t>
      </w:r>
      <w:r>
        <w:rPr>
          <w:rFonts w:hint="eastAsia"/>
          <w:kern w:val="0"/>
          <w:szCs w:val="21"/>
          <w:u w:val="single"/>
        </w:rPr>
        <w:t>注：</w:t>
      </w:r>
      <w:r>
        <w:rPr>
          <w:kern w:val="0"/>
          <w:szCs w:val="21"/>
          <w:u w:val="single"/>
        </w:rPr>
        <w:t>2人以上及联系电话）</w:t>
      </w:r>
      <w:r>
        <w:rPr>
          <w:rFonts w:hint="eastAsia"/>
          <w:kern w:val="0"/>
          <w:szCs w:val="21"/>
          <w:u w:val="single"/>
        </w:rPr>
        <w:t xml:space="preserve">  </w:t>
      </w:r>
      <w:r>
        <w:rPr>
          <w:kern w:val="0"/>
          <w:szCs w:val="21"/>
        </w:rPr>
        <w:t>。</w:t>
      </w:r>
    </w:p>
    <w:p w14:paraId="32D06F14">
      <w:pPr>
        <w:spacing w:line="400" w:lineRule="exact"/>
        <w:ind w:firstLine="420" w:firstLineChars="200"/>
        <w:rPr>
          <w:rFonts w:hint="eastAsia"/>
          <w:kern w:val="0"/>
          <w:szCs w:val="21"/>
        </w:rPr>
      </w:pPr>
      <w:r>
        <w:rPr>
          <w:kern w:val="0"/>
          <w:szCs w:val="21"/>
        </w:rPr>
        <w:t>承包人接收文件的地点：</w:t>
      </w:r>
      <w:r>
        <w:rPr>
          <w:kern w:val="0"/>
          <w:szCs w:val="21"/>
          <w:u w:val="single"/>
        </w:rPr>
        <w:t> </w:t>
      </w:r>
      <w:r>
        <w:rPr>
          <w:rFonts w:hint="eastAsia"/>
          <w:kern w:val="0"/>
          <w:szCs w:val="21"/>
          <w:u w:val="single"/>
          <w:lang w:val="en-US" w:eastAsia="zh-CN"/>
        </w:rPr>
        <w:t xml:space="preserve">              </w:t>
      </w:r>
      <w:r>
        <w:rPr>
          <w:kern w:val="0"/>
          <w:szCs w:val="21"/>
          <w:u w:val="single"/>
        </w:rPr>
        <w:t>                </w:t>
      </w:r>
      <w:r>
        <w:rPr>
          <w:kern w:val="0"/>
          <w:szCs w:val="21"/>
        </w:rPr>
        <w:t>；</w:t>
      </w:r>
    </w:p>
    <w:p w14:paraId="2C36C6EB">
      <w:pPr>
        <w:spacing w:line="400" w:lineRule="exact"/>
        <w:ind w:firstLine="420" w:firstLineChars="200"/>
        <w:rPr>
          <w:kern w:val="0"/>
          <w:szCs w:val="21"/>
        </w:rPr>
      </w:pPr>
      <w:r>
        <w:rPr>
          <w:rFonts w:hint="eastAsia"/>
          <w:kern w:val="0"/>
          <w:szCs w:val="21"/>
        </w:rPr>
        <w:t xml:space="preserve">承包人接收文件的电子信箱： </w:t>
      </w:r>
      <w:r>
        <w:rPr>
          <w:rFonts w:hint="eastAsia" w:hAnsi="仿宋"/>
          <w:kern w:val="0"/>
          <w:sz w:val="28"/>
          <w:szCs w:val="28"/>
          <w:u w:val="single"/>
        </w:rPr>
        <w:t xml:space="preserve">           </w:t>
      </w:r>
      <w:r>
        <w:rPr>
          <w:rFonts w:hint="eastAsia" w:hAnsi="仿宋"/>
          <w:kern w:val="0"/>
          <w:sz w:val="28"/>
          <w:szCs w:val="28"/>
          <w:u w:val="single"/>
          <w:lang w:val="en-US" w:eastAsia="zh-CN"/>
        </w:rPr>
        <w:t xml:space="preserve">                      </w:t>
      </w:r>
      <w:r>
        <w:rPr>
          <w:rFonts w:hint="eastAsia" w:hAnsi="仿宋"/>
          <w:kern w:val="0"/>
          <w:sz w:val="28"/>
          <w:szCs w:val="28"/>
          <w:u w:val="single"/>
        </w:rPr>
        <w:t xml:space="preserve">        </w:t>
      </w:r>
      <w:r>
        <w:rPr>
          <w:rFonts w:hint="eastAsia" w:hAnsi="仿宋"/>
          <w:kern w:val="0"/>
          <w:szCs w:val="21"/>
        </w:rPr>
        <w:t>。</w:t>
      </w:r>
    </w:p>
    <w:p w14:paraId="43595AF8">
      <w:pPr>
        <w:spacing w:line="400" w:lineRule="exact"/>
        <w:ind w:firstLine="420" w:firstLineChars="200"/>
        <w:rPr>
          <w:kern w:val="0"/>
          <w:szCs w:val="21"/>
        </w:rPr>
      </w:pPr>
      <w:r>
        <w:rPr>
          <w:kern w:val="0"/>
          <w:szCs w:val="21"/>
        </w:rPr>
        <w:t>承包人指定的接收人为：</w:t>
      </w:r>
      <w:r>
        <w:rPr>
          <w:kern w:val="0"/>
          <w:szCs w:val="21"/>
          <w:u w:val="single"/>
        </w:rPr>
        <w:t></w:t>
      </w:r>
      <w:r>
        <w:rPr>
          <w:rFonts w:hint="eastAsia"/>
          <w:kern w:val="0"/>
          <w:szCs w:val="21"/>
          <w:u w:val="single"/>
          <w:lang w:val="en-US" w:eastAsia="zh-CN"/>
        </w:rPr>
        <w:t xml:space="preserve">         </w:t>
      </w:r>
      <w:r>
        <w:rPr>
          <w:rFonts w:hint="eastAsia"/>
          <w:kern w:val="0"/>
          <w:szCs w:val="21"/>
          <w:u w:val="single"/>
        </w:rPr>
        <w:t xml:space="preserve">  </w:t>
      </w:r>
      <w:r>
        <w:rPr>
          <w:kern w:val="0"/>
          <w:szCs w:val="21"/>
          <w:u w:val="single"/>
        </w:rPr>
        <w:t>（</w:t>
      </w:r>
      <w:r>
        <w:rPr>
          <w:rFonts w:hint="eastAsia"/>
          <w:kern w:val="0"/>
          <w:szCs w:val="21"/>
          <w:u w:val="single"/>
        </w:rPr>
        <w:t>注：</w:t>
      </w:r>
      <w:r>
        <w:rPr>
          <w:kern w:val="0"/>
          <w:szCs w:val="21"/>
          <w:u w:val="single"/>
        </w:rPr>
        <w:t>2人以上及联系电话）</w:t>
      </w:r>
      <w:r>
        <w:rPr>
          <w:kern w:val="0"/>
          <w:szCs w:val="21"/>
        </w:rPr>
        <w:t>。</w:t>
      </w:r>
    </w:p>
    <w:p w14:paraId="475E9B26">
      <w:pPr>
        <w:spacing w:line="400" w:lineRule="exact"/>
        <w:ind w:firstLine="420" w:firstLineChars="200"/>
        <w:rPr>
          <w:rFonts w:hint="eastAsia"/>
          <w:kern w:val="0"/>
          <w:szCs w:val="21"/>
        </w:rPr>
      </w:pPr>
      <w:r>
        <w:rPr>
          <w:kern w:val="0"/>
          <w:szCs w:val="21"/>
        </w:rPr>
        <w:t>监理人接收文件的地点：</w:t>
      </w:r>
      <w:r>
        <w:rPr>
          <w:kern w:val="0"/>
          <w:szCs w:val="21"/>
          <w:u w:val="single"/>
        </w:rPr>
        <w:t> </w:t>
      </w:r>
      <w:r>
        <w:rPr>
          <w:rFonts w:hint="eastAsia"/>
          <w:kern w:val="0"/>
          <w:szCs w:val="21"/>
          <w:u w:val="single"/>
          <w:lang w:val="en-US" w:eastAsia="zh-CN"/>
        </w:rPr>
        <w:t xml:space="preserve">              </w:t>
      </w:r>
      <w:r>
        <w:rPr>
          <w:kern w:val="0"/>
          <w:szCs w:val="21"/>
          <w:u w:val="single"/>
        </w:rPr>
        <w:t xml:space="preserve">  </w:t>
      </w:r>
      <w:r>
        <w:rPr>
          <w:rFonts w:hint="eastAsia"/>
          <w:kern w:val="0"/>
          <w:szCs w:val="21"/>
          <w:u w:val="single"/>
        </w:rPr>
        <w:t xml:space="preserve"> </w:t>
      </w:r>
      <w:r>
        <w:rPr>
          <w:kern w:val="0"/>
          <w:szCs w:val="21"/>
          <w:u w:val="single"/>
        </w:rPr>
        <w:t xml:space="preserve">             </w:t>
      </w:r>
      <w:r>
        <w:rPr>
          <w:kern w:val="0"/>
          <w:szCs w:val="21"/>
        </w:rPr>
        <w:t>；</w:t>
      </w:r>
    </w:p>
    <w:p w14:paraId="287D0573">
      <w:pPr>
        <w:spacing w:line="400" w:lineRule="exact"/>
        <w:ind w:firstLine="420" w:firstLineChars="200"/>
        <w:rPr>
          <w:rFonts w:hint="eastAsia"/>
          <w:kern w:val="0"/>
          <w:szCs w:val="21"/>
          <w:u w:val="single"/>
        </w:rPr>
      </w:pPr>
      <w:r>
        <w:rPr>
          <w:rFonts w:hint="eastAsia"/>
          <w:kern w:val="0"/>
          <w:szCs w:val="21"/>
        </w:rPr>
        <w:t xml:space="preserve">监理人接收文件的电子信箱： </w:t>
      </w:r>
      <w:r>
        <w:rPr>
          <w:rFonts w:hint="eastAsia" w:hAnsi="仿宋"/>
          <w:kern w:val="0"/>
          <w:sz w:val="28"/>
          <w:szCs w:val="28"/>
          <w:u w:val="single"/>
        </w:rPr>
        <w:t xml:space="preserve">           </w:t>
      </w:r>
      <w:r>
        <w:rPr>
          <w:rFonts w:hint="eastAsia" w:hAnsi="仿宋"/>
          <w:kern w:val="0"/>
          <w:sz w:val="28"/>
          <w:szCs w:val="28"/>
          <w:u w:val="single"/>
          <w:lang w:val="en-US" w:eastAsia="zh-CN"/>
        </w:rPr>
        <w:t xml:space="preserve">                       </w:t>
      </w:r>
      <w:r>
        <w:rPr>
          <w:rFonts w:hint="eastAsia" w:hAnsi="仿宋"/>
          <w:kern w:val="0"/>
          <w:sz w:val="28"/>
          <w:szCs w:val="28"/>
          <w:u w:val="single"/>
        </w:rPr>
        <w:t xml:space="preserve">        </w:t>
      </w:r>
      <w:r>
        <w:rPr>
          <w:rFonts w:hint="eastAsia" w:hAnsi="仿宋"/>
          <w:kern w:val="0"/>
          <w:szCs w:val="21"/>
        </w:rPr>
        <w:t>。</w:t>
      </w:r>
    </w:p>
    <w:p w14:paraId="5CC6952F">
      <w:pPr>
        <w:spacing w:line="400" w:lineRule="exact"/>
        <w:ind w:firstLine="420" w:firstLineChars="200"/>
        <w:rPr>
          <w:kern w:val="0"/>
          <w:szCs w:val="21"/>
        </w:rPr>
      </w:pPr>
      <w:r>
        <w:rPr>
          <w:kern w:val="0"/>
          <w:szCs w:val="21"/>
        </w:rPr>
        <w:t>监理人指定的接收人为：</w:t>
      </w:r>
      <w:r>
        <w:rPr>
          <w:kern w:val="0"/>
          <w:szCs w:val="21"/>
          <w:u w:val="single"/>
        </w:rPr>
        <w:t></w:t>
      </w:r>
      <w:r>
        <w:rPr>
          <w:rFonts w:hint="eastAsia"/>
          <w:kern w:val="0"/>
          <w:szCs w:val="21"/>
          <w:u w:val="single"/>
          <w:lang w:val="en-US" w:eastAsia="zh-CN"/>
        </w:rPr>
        <w:t xml:space="preserve">              </w:t>
      </w:r>
      <w:r>
        <w:rPr>
          <w:rFonts w:hint="eastAsia"/>
          <w:kern w:val="0"/>
          <w:szCs w:val="21"/>
          <w:u w:val="single"/>
        </w:rPr>
        <w:t xml:space="preserve"> </w:t>
      </w:r>
      <w:r>
        <w:rPr>
          <w:kern w:val="0"/>
          <w:szCs w:val="21"/>
          <w:u w:val="single"/>
        </w:rPr>
        <w:t>（</w:t>
      </w:r>
      <w:r>
        <w:rPr>
          <w:rFonts w:hint="eastAsia"/>
          <w:kern w:val="0"/>
          <w:szCs w:val="21"/>
          <w:u w:val="single"/>
        </w:rPr>
        <w:t>注：</w:t>
      </w:r>
      <w:r>
        <w:rPr>
          <w:kern w:val="0"/>
          <w:szCs w:val="21"/>
          <w:u w:val="single"/>
        </w:rPr>
        <w:t xml:space="preserve">2人以上及联系电话） </w:t>
      </w:r>
      <w:r>
        <w:rPr>
          <w:rFonts w:hint="eastAsia"/>
          <w:kern w:val="0"/>
          <w:szCs w:val="21"/>
          <w:u w:val="single"/>
        </w:rPr>
        <w:t xml:space="preserve"> </w:t>
      </w:r>
      <w:r>
        <w:rPr>
          <w:kern w:val="0"/>
          <w:szCs w:val="21"/>
        </w:rPr>
        <w:t>。</w:t>
      </w:r>
    </w:p>
    <w:p w14:paraId="7E00F68D">
      <w:pPr>
        <w:spacing w:line="400" w:lineRule="exact"/>
        <w:ind w:firstLine="420" w:firstLineChars="200"/>
        <w:rPr>
          <w:rFonts w:hint="eastAsia"/>
          <w:kern w:val="0"/>
          <w:szCs w:val="21"/>
        </w:rPr>
      </w:pPr>
      <w:r>
        <w:rPr>
          <w:rFonts w:hint="eastAsia"/>
          <w:kern w:val="0"/>
          <w:szCs w:val="21"/>
          <w:u w:val="single"/>
        </w:rPr>
        <w:t>发包人、承包人、监理人的文件接收地址、接收人（含联系电话）发生变动的，应提前7天通知各方。</w:t>
      </w:r>
    </w:p>
    <w:p w14:paraId="742E065A">
      <w:pPr>
        <w:spacing w:line="400" w:lineRule="exact"/>
        <w:ind w:firstLine="420" w:firstLineChars="200"/>
        <w:rPr>
          <w:szCs w:val="21"/>
        </w:rPr>
      </w:pPr>
      <w:r>
        <w:rPr>
          <w:szCs w:val="21"/>
        </w:rPr>
        <w:t>1.10 交通运输</w:t>
      </w:r>
    </w:p>
    <w:p w14:paraId="593D6601">
      <w:pPr>
        <w:spacing w:line="400" w:lineRule="exact"/>
        <w:ind w:firstLine="420" w:firstLineChars="200"/>
        <w:rPr>
          <w:szCs w:val="21"/>
        </w:rPr>
      </w:pPr>
      <w:r>
        <w:rPr>
          <w:szCs w:val="21"/>
        </w:rPr>
        <w:t>1.10.1 出入现场的权利</w:t>
      </w:r>
    </w:p>
    <w:p w14:paraId="0FF157E5">
      <w:pPr>
        <w:spacing w:line="400" w:lineRule="exact"/>
        <w:ind w:firstLine="420" w:firstLineChars="200"/>
        <w:rPr>
          <w:szCs w:val="21"/>
        </w:rPr>
      </w:pPr>
      <w:r>
        <w:rPr>
          <w:szCs w:val="21"/>
        </w:rPr>
        <w:t>关于出入现场的权利的约定：</w:t>
      </w:r>
      <w:r>
        <w:rPr>
          <w:szCs w:val="21"/>
          <w:u w:val="single"/>
        </w:rPr>
        <w:t>按合同通用条款</w:t>
      </w:r>
      <w:r>
        <w:rPr>
          <w:rFonts w:hint="eastAsia"/>
          <w:szCs w:val="21"/>
          <w:u w:val="single"/>
        </w:rPr>
        <w:t>，可视工程实际双方再补充约定</w:t>
      </w:r>
      <w:r>
        <w:rPr>
          <w:szCs w:val="21"/>
        </w:rPr>
        <w:t>。</w:t>
      </w:r>
    </w:p>
    <w:p w14:paraId="6A7E5896">
      <w:pPr>
        <w:spacing w:line="400" w:lineRule="exact"/>
        <w:ind w:firstLine="420" w:firstLineChars="200"/>
        <w:rPr>
          <w:szCs w:val="21"/>
        </w:rPr>
      </w:pPr>
      <w:r>
        <w:rPr>
          <w:szCs w:val="21"/>
        </w:rPr>
        <w:t>1.10.3 场内交通</w:t>
      </w:r>
    </w:p>
    <w:p w14:paraId="0F4E7D76">
      <w:pPr>
        <w:spacing w:line="400" w:lineRule="exact"/>
        <w:ind w:firstLine="420" w:firstLineChars="200"/>
        <w:rPr>
          <w:color w:val="auto"/>
          <w:szCs w:val="21"/>
          <w:highlight w:val="none"/>
          <w:u w:val="single"/>
        </w:rPr>
      </w:pPr>
      <w:r>
        <w:rPr>
          <w:kern w:val="0"/>
          <w:szCs w:val="21"/>
        </w:rPr>
        <w:t>关于场外交通和场内交通的边界</w:t>
      </w:r>
      <w:r>
        <w:rPr>
          <w:color w:val="auto"/>
          <w:kern w:val="0"/>
          <w:szCs w:val="21"/>
          <w:highlight w:val="none"/>
        </w:rPr>
        <w:t>的约定：</w:t>
      </w:r>
      <w:r>
        <w:rPr>
          <w:rFonts w:hint="eastAsia"/>
          <w:color w:val="auto"/>
          <w:szCs w:val="21"/>
          <w:highlight w:val="none"/>
          <w:u w:val="single"/>
          <w:lang w:eastAsia="zh-CN"/>
        </w:rPr>
        <w:t>以现场红线为界，承包人应按照发包人划定的施工作业区范围施工，超出红线范围外费用由承包人负责</w:t>
      </w:r>
      <w:r>
        <w:rPr>
          <w:rFonts w:hint="eastAsia"/>
          <w:color w:val="auto"/>
          <w:szCs w:val="21"/>
          <w:highlight w:val="none"/>
          <w:u w:val="single"/>
        </w:rPr>
        <w:t>。</w:t>
      </w:r>
    </w:p>
    <w:p w14:paraId="4F5F9766">
      <w:pPr>
        <w:pStyle w:val="8"/>
        <w:spacing w:line="480" w:lineRule="exact"/>
        <w:ind w:left="0" w:firstLine="420" w:firstLineChars="200"/>
        <w:rPr>
          <w:rFonts w:hint="eastAsia"/>
          <w:b/>
          <w:color w:val="auto"/>
          <w:szCs w:val="21"/>
          <w:highlight w:val="none"/>
          <w:u w:val="single"/>
        </w:rPr>
      </w:pPr>
      <w:r>
        <w:rPr>
          <w:color w:val="auto"/>
          <w:kern w:val="0"/>
          <w:szCs w:val="21"/>
          <w:highlight w:val="none"/>
        </w:rPr>
        <w:t>关于发包人向承包人免费提供满足工程施工需要的场内道路和交通设施的约定：</w:t>
      </w:r>
      <w:r>
        <w:rPr>
          <w:rFonts w:hint="eastAsia"/>
          <w:b/>
          <w:color w:val="auto"/>
          <w:szCs w:val="21"/>
          <w:highlight w:val="none"/>
          <w:u w:val="single"/>
        </w:rPr>
        <w:t>由承包人自行考察了解现有场地及交通情况，并在投标报价中综合考虑，结算时不再另行计取费用。</w:t>
      </w:r>
      <w:r>
        <w:rPr>
          <w:b/>
          <w:bCs/>
          <w:color w:val="auto"/>
          <w:szCs w:val="21"/>
          <w:highlight w:val="none"/>
          <w:u w:val="single"/>
        </w:rPr>
        <w:t>如因工程需要临时占用红线外场地及市政道路，由承包人自行协调并负责办理审批手续同时承担相应费用。施工期间借用道路的维护、管理及相应费用由承包人承担。</w:t>
      </w:r>
    </w:p>
    <w:p w14:paraId="5B3A897F">
      <w:pPr>
        <w:spacing w:line="400" w:lineRule="exact"/>
        <w:ind w:firstLine="420" w:firstLineChars="200"/>
        <w:rPr>
          <w:kern w:val="0"/>
          <w:szCs w:val="21"/>
        </w:rPr>
      </w:pPr>
      <w:r>
        <w:rPr>
          <w:kern w:val="0"/>
          <w:szCs w:val="21"/>
        </w:rPr>
        <w:t>1.10.4超大件和超重件的运输</w:t>
      </w:r>
    </w:p>
    <w:p w14:paraId="60876FA8">
      <w:pPr>
        <w:spacing w:line="400" w:lineRule="exact"/>
        <w:ind w:firstLine="420" w:firstLineChars="200"/>
        <w:rPr>
          <w:szCs w:val="21"/>
        </w:rPr>
      </w:pPr>
      <w:r>
        <w:rPr>
          <w:kern w:val="0"/>
          <w:szCs w:val="21"/>
        </w:rPr>
        <w:t>运输超大件或超重件所需的道路和桥梁临时加固改造费用和其他有关费用由</w:t>
      </w:r>
      <w:r>
        <w:rPr>
          <w:szCs w:val="21"/>
          <w:u w:val="single"/>
        </w:rPr>
        <w:t>承包人在报价中综合考虑，并承担相应费用</w:t>
      </w:r>
      <w:r>
        <w:rPr>
          <w:szCs w:val="21"/>
        </w:rPr>
        <w:t>。</w:t>
      </w:r>
    </w:p>
    <w:p w14:paraId="10897B13">
      <w:pPr>
        <w:spacing w:line="400" w:lineRule="exact"/>
        <w:ind w:firstLine="420" w:firstLineChars="200"/>
        <w:rPr>
          <w:szCs w:val="21"/>
        </w:rPr>
      </w:pPr>
      <w:r>
        <w:rPr>
          <w:szCs w:val="21"/>
        </w:rPr>
        <w:t>1.11 知识产权</w:t>
      </w:r>
    </w:p>
    <w:p w14:paraId="09A81747">
      <w:pPr>
        <w:spacing w:line="400" w:lineRule="exact"/>
        <w:ind w:firstLine="420" w:firstLineChars="200"/>
        <w:rPr>
          <w:szCs w:val="21"/>
        </w:rPr>
      </w:pPr>
      <w:r>
        <w:rPr>
          <w:szCs w:val="21"/>
        </w:rPr>
        <w:t>1.11.1关于发包人提供给承包人的图纸、发包人为实施工程自行编制或委托编制的技术规范以及反映发包人关于合同要求或其他类似性质的文件的著作权的归属：</w:t>
      </w:r>
      <w:r>
        <w:rPr>
          <w:szCs w:val="21"/>
          <w:u w:val="single"/>
        </w:rPr>
        <w:t>按合同通用条款</w:t>
      </w:r>
      <w:r>
        <w:rPr>
          <w:szCs w:val="21"/>
        </w:rPr>
        <w:t>。</w:t>
      </w:r>
    </w:p>
    <w:p w14:paraId="7CF19164">
      <w:pPr>
        <w:spacing w:line="400" w:lineRule="exact"/>
        <w:ind w:firstLine="420" w:firstLineChars="200"/>
        <w:rPr>
          <w:szCs w:val="21"/>
        </w:rPr>
      </w:pPr>
      <w:r>
        <w:rPr>
          <w:szCs w:val="21"/>
        </w:rPr>
        <w:t>关于发包人提供的上述文件的使用限制的要求：</w:t>
      </w:r>
      <w:r>
        <w:rPr>
          <w:szCs w:val="21"/>
          <w:u w:val="single"/>
        </w:rPr>
        <w:t>按合同通用条款</w:t>
      </w:r>
      <w:r>
        <w:rPr>
          <w:szCs w:val="21"/>
        </w:rPr>
        <w:t>。</w:t>
      </w:r>
    </w:p>
    <w:p w14:paraId="79B45F8F">
      <w:pPr>
        <w:spacing w:line="400" w:lineRule="exact"/>
        <w:ind w:firstLine="420" w:firstLineChars="200"/>
        <w:rPr>
          <w:szCs w:val="21"/>
        </w:rPr>
      </w:pPr>
      <w:r>
        <w:rPr>
          <w:szCs w:val="21"/>
        </w:rPr>
        <w:t>1.11.2 关于承包人为实施工程所编制文件的著作权的归属：</w:t>
      </w:r>
      <w:r>
        <w:rPr>
          <w:szCs w:val="21"/>
          <w:u w:val="single"/>
        </w:rPr>
        <w:t xml:space="preserve"> 发包人</w:t>
      </w:r>
      <w:r>
        <w:rPr>
          <w:szCs w:val="21"/>
        </w:rPr>
        <w:t>。</w:t>
      </w:r>
    </w:p>
    <w:p w14:paraId="52A21EC3">
      <w:pPr>
        <w:spacing w:line="400" w:lineRule="exact"/>
        <w:ind w:firstLine="420" w:firstLineChars="200"/>
        <w:rPr>
          <w:szCs w:val="21"/>
        </w:rPr>
      </w:pPr>
      <w:r>
        <w:rPr>
          <w:szCs w:val="21"/>
        </w:rPr>
        <w:t>关于承包人提供的上述文件的使用限制的要求：</w:t>
      </w:r>
      <w:r>
        <w:rPr>
          <w:szCs w:val="21"/>
          <w:u w:val="single"/>
        </w:rPr>
        <w:t>按合同通用条款</w:t>
      </w:r>
      <w:r>
        <w:rPr>
          <w:szCs w:val="21"/>
        </w:rPr>
        <w:t>。</w:t>
      </w:r>
    </w:p>
    <w:p w14:paraId="4A310E0B">
      <w:pPr>
        <w:spacing w:line="400" w:lineRule="exact"/>
        <w:ind w:firstLine="420" w:firstLineChars="200"/>
        <w:rPr>
          <w:szCs w:val="21"/>
        </w:rPr>
      </w:pPr>
      <w:r>
        <w:rPr>
          <w:szCs w:val="21"/>
        </w:rPr>
        <w:t>1.11.4 承包人在施工过程中所采用的专利、专有技术、技术秘密的使用费的承担方式：</w:t>
      </w:r>
      <w:r>
        <w:rPr>
          <w:szCs w:val="21"/>
          <w:u w:val="single"/>
        </w:rPr>
        <w:t>包含在</w:t>
      </w:r>
      <w:r>
        <w:rPr>
          <w:rFonts w:hint="eastAsia"/>
          <w:szCs w:val="21"/>
          <w:u w:val="single"/>
          <w:lang w:eastAsia="zh-CN"/>
        </w:rPr>
        <w:t>签约</w:t>
      </w:r>
      <w:r>
        <w:rPr>
          <w:szCs w:val="21"/>
          <w:u w:val="single"/>
        </w:rPr>
        <w:t xml:space="preserve">合同价内  </w:t>
      </w:r>
      <w:r>
        <w:rPr>
          <w:szCs w:val="21"/>
        </w:rPr>
        <w:t>。</w:t>
      </w:r>
    </w:p>
    <w:p w14:paraId="36FF5E96">
      <w:pPr>
        <w:spacing w:line="400" w:lineRule="exact"/>
        <w:ind w:firstLine="422" w:firstLineChars="200"/>
        <w:rPr>
          <w:b/>
          <w:szCs w:val="21"/>
        </w:rPr>
      </w:pPr>
      <w:r>
        <w:rPr>
          <w:b/>
          <w:szCs w:val="21"/>
        </w:rPr>
        <w:t>1.13工程量清单错误的修正</w:t>
      </w:r>
    </w:p>
    <w:p w14:paraId="58F47266">
      <w:pPr>
        <w:spacing w:line="400" w:lineRule="exact"/>
        <w:ind w:firstLine="420" w:firstLineChars="200"/>
        <w:rPr>
          <w:szCs w:val="21"/>
          <w:u w:val="single"/>
        </w:rPr>
      </w:pPr>
      <w:r>
        <w:t>出现工程量清单错误时，是否调整合同价格：</w:t>
      </w:r>
      <w:r>
        <w:rPr>
          <w:rFonts w:hint="eastAsia"/>
          <w:szCs w:val="21"/>
          <w:u w:val="single"/>
        </w:rPr>
        <w:t>工程量清单特征描述不符引起造价变化的子目及工程量清单漏项子目按专用条款 10.4.1（2）（3）（4）条约定调整合同价格</w:t>
      </w:r>
      <w:r>
        <w:rPr>
          <w:szCs w:val="21"/>
          <w:u w:val="single"/>
        </w:rPr>
        <w:t>。</w:t>
      </w:r>
    </w:p>
    <w:p w14:paraId="1E38063E">
      <w:pPr>
        <w:spacing w:line="400" w:lineRule="exact"/>
        <w:ind w:firstLine="420" w:firstLineChars="200"/>
        <w:rPr>
          <w:szCs w:val="21"/>
          <w:u w:val="single"/>
        </w:rPr>
      </w:pPr>
      <w:r>
        <w:rPr>
          <w:rFonts w:hint="eastAsia"/>
        </w:rPr>
        <w:t>允许调整合同价格的工程量偏差范围</w:t>
      </w:r>
      <w:r>
        <w:rPr>
          <w:rFonts w:hint="eastAsia" w:hAnsi="仿宋"/>
          <w:sz w:val="28"/>
          <w:szCs w:val="28"/>
        </w:rPr>
        <w:t>：</w:t>
      </w:r>
      <w:r>
        <w:rPr>
          <w:rFonts w:hint="eastAsia"/>
          <w:szCs w:val="21"/>
          <w:u w:val="single"/>
        </w:rPr>
        <w:t>因招标工程量清单中的工程量计算偏差或工程变更等引起的工程量变化不调整综合单价；但如综合单价异常（综合单价异常是指：投标综合单价与按本项目招标控制价（或</w:t>
      </w:r>
      <w:r>
        <w:rPr>
          <w:szCs w:val="21"/>
          <w:u w:val="single"/>
        </w:rPr>
        <w:t>预算审核价</w:t>
      </w:r>
      <w:r>
        <w:rPr>
          <w:rFonts w:hint="eastAsia"/>
          <w:szCs w:val="21"/>
          <w:u w:val="single"/>
        </w:rPr>
        <w:t>）编制依据计算的综合单价偏差±30%以上），工程量增加，调整综合单价的工程量偏差范围及综合单价确定方法按专用条款 10.4.1（1）（2）（3）（4）条约定，工程量减少按投标综合单价计算，不调整综合单价。</w:t>
      </w:r>
    </w:p>
    <w:p w14:paraId="799A186C">
      <w:pPr>
        <w:pStyle w:val="4"/>
        <w:spacing w:before="0" w:after="0" w:line="400" w:lineRule="exact"/>
        <w:ind w:firstLine="422" w:firstLineChars="200"/>
        <w:rPr>
          <w:rFonts w:ascii="Times New Roman" w:hAnsi="Times New Roman"/>
          <w:sz w:val="21"/>
          <w:szCs w:val="21"/>
        </w:rPr>
      </w:pPr>
      <w:r>
        <w:rPr>
          <w:rFonts w:ascii="Times New Roman" w:hAnsi="Times New Roman"/>
          <w:sz w:val="21"/>
          <w:szCs w:val="21"/>
        </w:rPr>
        <w:t>2. 发包人</w:t>
      </w:r>
    </w:p>
    <w:p w14:paraId="6A10CF62">
      <w:pPr>
        <w:spacing w:line="400" w:lineRule="exact"/>
        <w:ind w:firstLine="420" w:firstLineChars="200"/>
        <w:rPr>
          <w:szCs w:val="21"/>
        </w:rPr>
      </w:pPr>
      <w:r>
        <w:rPr>
          <w:szCs w:val="21"/>
        </w:rPr>
        <w:t>2.2 发包人代表</w:t>
      </w:r>
    </w:p>
    <w:p w14:paraId="2835ED7C">
      <w:pPr>
        <w:spacing w:line="400" w:lineRule="exact"/>
        <w:ind w:firstLine="420" w:firstLineChars="200"/>
        <w:rPr>
          <w:szCs w:val="21"/>
        </w:rPr>
      </w:pPr>
      <w:r>
        <w:rPr>
          <w:szCs w:val="21"/>
        </w:rPr>
        <w:t>发包人代表：</w:t>
      </w:r>
    </w:p>
    <w:p w14:paraId="702EF191">
      <w:pPr>
        <w:spacing w:line="400" w:lineRule="exact"/>
        <w:ind w:firstLine="420" w:firstLineChars="200"/>
        <w:rPr>
          <w:rFonts w:hint="eastAsia" w:ascii="宋体" w:hAnsi="宋体"/>
          <w:szCs w:val="21"/>
        </w:rPr>
      </w:pPr>
      <w:r>
        <w:rPr>
          <w:rFonts w:hint="eastAsia" w:ascii="宋体" w:hAnsi="宋体"/>
          <w:szCs w:val="21"/>
        </w:rPr>
        <w:t>姓    名：</w:t>
      </w:r>
      <w:r>
        <w:rPr>
          <w:rFonts w:hint="eastAsia" w:ascii="宋体" w:hAnsi="宋体" w:cs="宋体"/>
          <w:szCs w:val="21"/>
          <w:u w:val="single"/>
        </w:rPr>
        <w:t></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rPr>
        <w:t>；身份证号：</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 </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rPr>
        <w:t>；</w:t>
      </w:r>
    </w:p>
    <w:p w14:paraId="605E583A">
      <w:pPr>
        <w:spacing w:line="400" w:lineRule="exact"/>
        <w:ind w:firstLine="420" w:firstLineChars="200"/>
        <w:rPr>
          <w:rFonts w:hint="eastAsia" w:ascii="宋体" w:hAnsi="宋体"/>
          <w:szCs w:val="21"/>
        </w:rPr>
      </w:pPr>
      <w:r>
        <w:rPr>
          <w:rFonts w:hint="eastAsia" w:ascii="宋体" w:hAnsi="宋体"/>
          <w:szCs w:val="21"/>
        </w:rPr>
        <w:t>职    务：</w:t>
      </w:r>
      <w:r>
        <w:rPr>
          <w:rFonts w:hint="eastAsia" w:ascii="宋体" w:hAnsi="宋体" w:cs="宋体"/>
          <w:szCs w:val="21"/>
          <w:u w:val="single"/>
        </w:rPr>
        <w:t></w:t>
      </w:r>
      <w:r>
        <w:rPr>
          <w:rFonts w:hint="eastAsia" w:ascii="宋体" w:hAnsi="宋体" w:cs="宋体"/>
          <w:szCs w:val="21"/>
          <w:u w:val="single"/>
          <w:lang w:val="en-US" w:eastAsia="zh-CN"/>
        </w:rPr>
        <w:t xml:space="preserve">   </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rPr>
        <w:t>；联系电话：</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rPr>
        <w:t>；</w:t>
      </w:r>
    </w:p>
    <w:p w14:paraId="4F24C8E1">
      <w:pPr>
        <w:spacing w:line="400" w:lineRule="exact"/>
        <w:ind w:firstLine="420" w:firstLineChars="200"/>
        <w:rPr>
          <w:color w:val="auto"/>
          <w:szCs w:val="21"/>
          <w:highlight w:val="none"/>
        </w:rPr>
      </w:pPr>
      <w:r>
        <w:rPr>
          <w:rFonts w:hint="eastAsia" w:ascii="宋体" w:hAnsi="宋体"/>
          <w:color w:val="auto"/>
          <w:szCs w:val="21"/>
          <w:highlight w:val="none"/>
        </w:rPr>
        <w:t>电子信箱：</w:t>
      </w:r>
      <w:r>
        <w:rPr>
          <w:rFonts w:hint="eastAsia" w:ascii="宋体" w:hAnsi="宋体" w:cs="宋体"/>
          <w:color w:val="auto"/>
          <w:szCs w:val="21"/>
          <w:highlight w:val="none"/>
          <w:u w:val="single"/>
        </w:rPr>
        <w:t></w:t>
      </w:r>
      <w:r>
        <w:rPr>
          <w:rFonts w:hint="eastAsia" w:ascii="宋体" w:hAnsi="宋体"/>
          <w:color w:val="auto"/>
          <w:szCs w:val="21"/>
          <w:highlight w:val="none"/>
          <w:u w:val="single"/>
        </w:rPr>
        <w:t xml:space="preserve">  </w:t>
      </w:r>
      <w:r>
        <w:rPr>
          <w:rFonts w:hint="eastAsia" w:ascii="宋体" w:hAnsi="宋体" w:cs="宋体"/>
          <w:color w:val="auto"/>
          <w:szCs w:val="21"/>
          <w:highlight w:val="none"/>
          <w:u w:val="single"/>
        </w:rPr>
        <w:t></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w:t>
      </w:r>
      <w:r>
        <w:rPr>
          <w:rFonts w:hint="eastAsia" w:ascii="宋体" w:hAnsi="宋体"/>
          <w:color w:val="auto"/>
          <w:szCs w:val="21"/>
          <w:highlight w:val="none"/>
          <w:u w:val="single"/>
        </w:rPr>
        <w:t xml:space="preserve"> </w:t>
      </w:r>
      <w:r>
        <w:rPr>
          <w:rFonts w:hint="eastAsia" w:ascii="宋体" w:hAnsi="宋体" w:cs="宋体"/>
          <w:color w:val="auto"/>
          <w:szCs w:val="21"/>
          <w:highlight w:val="none"/>
          <w:u w:val="single"/>
        </w:rPr>
        <w:t></w:t>
      </w:r>
      <w:r>
        <w:rPr>
          <w:rFonts w:hint="eastAsia" w:ascii="宋体" w:hAnsi="宋体"/>
          <w:color w:val="auto"/>
          <w:szCs w:val="21"/>
          <w:highlight w:val="none"/>
          <w:u w:val="single"/>
        </w:rPr>
        <w:t xml:space="preserve"> </w:t>
      </w:r>
      <w:r>
        <w:rPr>
          <w:rFonts w:hint="eastAsia" w:ascii="宋体" w:hAnsi="宋体" w:cs="宋体"/>
          <w:color w:val="auto"/>
          <w:szCs w:val="21"/>
          <w:highlight w:val="none"/>
          <w:u w:val="single"/>
        </w:rPr>
        <w:t></w:t>
      </w:r>
      <w:r>
        <w:rPr>
          <w:rFonts w:hint="eastAsia" w:ascii="宋体" w:hAnsi="宋体"/>
          <w:color w:val="auto"/>
          <w:szCs w:val="21"/>
          <w:highlight w:val="none"/>
        </w:rPr>
        <w:t>；通信地址：</w:t>
      </w:r>
      <w:r>
        <w:rPr>
          <w:rFonts w:hint="eastAsia" w:ascii="宋体" w:hAnsi="宋体" w:cs="宋体"/>
          <w:color w:val="auto"/>
          <w:szCs w:val="21"/>
          <w:highlight w:val="none"/>
          <w:u w:val="single"/>
        </w:rPr>
        <w:t></w:t>
      </w:r>
      <w:r>
        <w:rPr>
          <w:rFonts w:hint="eastAsia" w:ascii="宋体" w:hAnsi="宋体"/>
          <w:color w:val="auto"/>
          <w:szCs w:val="21"/>
          <w:highlight w:val="none"/>
          <w:u w:val="single"/>
        </w:rPr>
        <w:t xml:space="preserve"> </w:t>
      </w:r>
      <w:r>
        <w:rPr>
          <w:rFonts w:hint="eastAsia" w:ascii="宋体" w:hAnsi="宋体" w:cs="宋体"/>
          <w:color w:val="auto"/>
          <w:szCs w:val="21"/>
          <w:highlight w:val="none"/>
          <w:u w:val="single"/>
        </w:rPr>
        <w:t></w:t>
      </w:r>
      <w:r>
        <w:rPr>
          <w:rFonts w:hint="eastAsia" w:ascii="宋体" w:hAnsi="宋体"/>
          <w:color w:val="auto"/>
          <w:szCs w:val="21"/>
          <w:highlight w:val="none"/>
          <w:u w:val="single"/>
        </w:rPr>
        <w:t xml:space="preserve">  </w:t>
      </w:r>
      <w:r>
        <w:rPr>
          <w:rFonts w:hint="eastAsia" w:ascii="宋体" w:hAnsi="宋体" w:cs="宋体"/>
          <w:color w:val="auto"/>
          <w:szCs w:val="21"/>
          <w:highlight w:val="none"/>
          <w:u w:val="single"/>
        </w:rPr>
        <w:t></w:t>
      </w:r>
      <w:r>
        <w:rPr>
          <w:rFonts w:hint="eastAsia" w:ascii="宋体" w:hAnsi="宋体"/>
          <w:color w:val="auto"/>
          <w:szCs w:val="21"/>
          <w:highlight w:val="none"/>
        </w:rPr>
        <w:t>。</w:t>
      </w:r>
    </w:p>
    <w:p w14:paraId="54DE050A">
      <w:pPr>
        <w:pStyle w:val="12"/>
        <w:spacing w:line="400" w:lineRule="exact"/>
        <w:ind w:firstLine="500" w:firstLineChars="250"/>
        <w:rPr>
          <w:rFonts w:ascii="Times New Roman" w:hAnsi="Times New Roman"/>
          <w:b/>
          <w:color w:val="auto"/>
          <w:szCs w:val="21"/>
          <w:highlight w:val="none"/>
          <w:u w:val="single"/>
        </w:rPr>
      </w:pPr>
      <w:r>
        <w:rPr>
          <w:color w:val="auto"/>
          <w:szCs w:val="21"/>
          <w:highlight w:val="none"/>
        </w:rPr>
        <w:t>发包人对发包人代表的授权范围如下：</w:t>
      </w:r>
      <w:r>
        <w:rPr>
          <w:rFonts w:hint="eastAsia" w:ascii="Times New Roman" w:hAnsi="Times New Roman"/>
          <w:b/>
          <w:color w:val="auto"/>
          <w:szCs w:val="21"/>
          <w:highlight w:val="none"/>
          <w:u w:val="single"/>
        </w:rPr>
        <w:t>对质量、成本、安全、进度进行全面管理，但涉及合同价格变更、安全事故、质量事故等重大事项的处理须经发包人</w:t>
      </w:r>
      <w:r>
        <w:rPr>
          <w:rFonts w:hint="eastAsia" w:ascii="Times New Roman" w:hAnsi="Times New Roman"/>
          <w:b/>
          <w:color w:val="auto"/>
          <w:szCs w:val="21"/>
          <w:highlight w:val="none"/>
          <w:u w:val="single"/>
          <w:lang w:eastAsia="zh-CN"/>
        </w:rPr>
        <w:t>认可</w:t>
      </w:r>
      <w:r>
        <w:rPr>
          <w:rFonts w:hint="eastAsia" w:ascii="Times New Roman" w:hAnsi="Times New Roman"/>
          <w:b/>
          <w:color w:val="auto"/>
          <w:szCs w:val="21"/>
          <w:highlight w:val="none"/>
          <w:u w:val="single"/>
        </w:rPr>
        <w:t>。</w:t>
      </w:r>
    </w:p>
    <w:p w14:paraId="18A02474">
      <w:pPr>
        <w:spacing w:line="400" w:lineRule="exact"/>
        <w:ind w:firstLine="420" w:firstLineChars="200"/>
        <w:rPr>
          <w:color w:val="auto"/>
          <w:szCs w:val="21"/>
          <w:highlight w:val="none"/>
        </w:rPr>
      </w:pPr>
      <w:r>
        <w:rPr>
          <w:color w:val="auto"/>
          <w:szCs w:val="21"/>
          <w:highlight w:val="none"/>
        </w:rPr>
        <w:t>2.4 施工现场、施工条件和基础资料的提供</w:t>
      </w:r>
    </w:p>
    <w:p w14:paraId="41E895FB">
      <w:pPr>
        <w:spacing w:line="400" w:lineRule="exact"/>
        <w:ind w:firstLine="420" w:firstLineChars="200"/>
        <w:rPr>
          <w:szCs w:val="21"/>
        </w:rPr>
      </w:pPr>
      <w:r>
        <w:rPr>
          <w:szCs w:val="21"/>
        </w:rPr>
        <w:t>2.4.1 提供施工现场</w:t>
      </w:r>
    </w:p>
    <w:p w14:paraId="7B92FA00">
      <w:pPr>
        <w:spacing w:line="400" w:lineRule="exact"/>
        <w:ind w:firstLine="420" w:firstLineChars="200"/>
        <w:rPr>
          <w:szCs w:val="21"/>
        </w:rPr>
      </w:pPr>
      <w:r>
        <w:rPr>
          <w:szCs w:val="21"/>
        </w:rPr>
        <w:t>关于发包人移交施工现场的期限要求：</w:t>
      </w:r>
      <w:r>
        <w:rPr>
          <w:szCs w:val="21"/>
          <w:u w:val="single"/>
        </w:rPr>
        <w:t>开工日期</w:t>
      </w:r>
      <w:r>
        <w:rPr>
          <w:rFonts w:hint="eastAsia"/>
          <w:szCs w:val="21"/>
          <w:u w:val="single"/>
        </w:rPr>
        <w:t>7</w:t>
      </w:r>
      <w:r>
        <w:rPr>
          <w:szCs w:val="21"/>
          <w:u w:val="single"/>
        </w:rPr>
        <w:t xml:space="preserve">天前  </w:t>
      </w:r>
      <w:r>
        <w:rPr>
          <w:szCs w:val="21"/>
        </w:rPr>
        <w:t>。</w:t>
      </w:r>
    </w:p>
    <w:p w14:paraId="5ADBB1D6">
      <w:pPr>
        <w:spacing w:line="400" w:lineRule="exact"/>
        <w:ind w:firstLine="420" w:firstLineChars="200"/>
        <w:rPr>
          <w:szCs w:val="21"/>
        </w:rPr>
      </w:pPr>
      <w:r>
        <w:rPr>
          <w:szCs w:val="21"/>
        </w:rPr>
        <w:t>2.4.2 提供施工条件</w:t>
      </w:r>
    </w:p>
    <w:p w14:paraId="6AD59559">
      <w:pPr>
        <w:spacing w:line="480" w:lineRule="exact"/>
        <w:ind w:firstLine="420" w:firstLineChars="200"/>
        <w:rPr>
          <w:rFonts w:ascii="Times New Roman" w:hAnsi="Times New Roman"/>
          <w:szCs w:val="21"/>
          <w:u w:val="single"/>
        </w:rPr>
      </w:pPr>
      <w:r>
        <w:rPr>
          <w:szCs w:val="21"/>
        </w:rPr>
        <w:t>关于发包人应负责提供施工所需要的条件，包括：</w:t>
      </w:r>
      <w:r>
        <w:rPr>
          <w:rFonts w:hint="eastAsia"/>
          <w:szCs w:val="21"/>
          <w:u w:val="single"/>
        </w:rPr>
        <w:t>施工</w:t>
      </w:r>
      <w:r>
        <w:rPr>
          <w:rFonts w:hint="eastAsia" w:ascii="宋体" w:hAnsi="宋体"/>
          <w:u w:val="single"/>
        </w:rPr>
        <w:t>用临时水源、电源的</w:t>
      </w:r>
      <w:r>
        <w:rPr>
          <w:rFonts w:hint="eastAsia" w:ascii="宋体" w:hAnsi="宋体"/>
          <w:bCs/>
          <w:u w:val="single"/>
        </w:rPr>
        <w:t>接入、安装由承包人自行解决，并承担相关费用，发包人配合协调</w:t>
      </w:r>
      <w:r>
        <w:rPr>
          <w:szCs w:val="21"/>
          <w:u w:val="single"/>
        </w:rPr>
        <w:t xml:space="preserve">  </w:t>
      </w:r>
      <w:r>
        <w:rPr>
          <w:szCs w:val="21"/>
        </w:rPr>
        <w:t>。</w:t>
      </w:r>
    </w:p>
    <w:p w14:paraId="2789FF4D">
      <w:pPr>
        <w:spacing w:line="400" w:lineRule="exact"/>
        <w:ind w:firstLine="420" w:firstLineChars="200"/>
        <w:rPr>
          <w:szCs w:val="21"/>
        </w:rPr>
      </w:pPr>
      <w:r>
        <w:rPr>
          <w:szCs w:val="21"/>
        </w:rPr>
        <w:t>2.5 资金来源证明及支付担保</w:t>
      </w:r>
    </w:p>
    <w:p w14:paraId="6156D54F">
      <w:pPr>
        <w:spacing w:line="400" w:lineRule="exact"/>
        <w:ind w:firstLine="420" w:firstLineChars="200"/>
        <w:rPr>
          <w:szCs w:val="21"/>
        </w:rPr>
      </w:pPr>
      <w:r>
        <w:rPr>
          <w:szCs w:val="21"/>
        </w:rPr>
        <w:t>发包人提供资金来源证明的期限要求：</w:t>
      </w:r>
      <w:r>
        <w:rPr>
          <w:szCs w:val="21"/>
          <w:u w:val="single"/>
        </w:rPr>
        <w:t xml:space="preserve">       /  </w:t>
      </w:r>
      <w:r>
        <w:rPr>
          <w:rFonts w:hint="eastAsia"/>
          <w:szCs w:val="21"/>
          <w:u w:val="single"/>
        </w:rPr>
        <w:t xml:space="preserve"> </w:t>
      </w:r>
      <w:r>
        <w:rPr>
          <w:szCs w:val="21"/>
          <w:u w:val="single"/>
        </w:rPr>
        <w:t xml:space="preserve">       </w:t>
      </w:r>
      <w:r>
        <w:rPr>
          <w:szCs w:val="21"/>
        </w:rPr>
        <w:t>。</w:t>
      </w:r>
    </w:p>
    <w:p w14:paraId="7DD61F97">
      <w:pPr>
        <w:spacing w:line="400" w:lineRule="exact"/>
        <w:ind w:firstLine="420" w:firstLineChars="200"/>
        <w:rPr>
          <w:szCs w:val="21"/>
        </w:rPr>
      </w:pPr>
      <w:r>
        <w:rPr>
          <w:szCs w:val="21"/>
        </w:rPr>
        <w:t>发包人是否提供支付担保：</w:t>
      </w:r>
      <w:r>
        <w:rPr>
          <w:szCs w:val="21"/>
          <w:u w:val="single"/>
        </w:rPr>
        <w:t xml:space="preserve">       /         </w:t>
      </w:r>
      <w:r>
        <w:rPr>
          <w:szCs w:val="21"/>
        </w:rPr>
        <w:t>。</w:t>
      </w:r>
    </w:p>
    <w:p w14:paraId="78A71BF5">
      <w:pPr>
        <w:spacing w:line="400" w:lineRule="exact"/>
        <w:ind w:firstLine="420" w:firstLineChars="200"/>
        <w:rPr>
          <w:rFonts w:hint="eastAsia"/>
          <w:szCs w:val="21"/>
        </w:rPr>
      </w:pPr>
      <w:r>
        <w:rPr>
          <w:szCs w:val="21"/>
        </w:rPr>
        <w:t>发包人提供支付担保的形式：</w:t>
      </w:r>
      <w:r>
        <w:rPr>
          <w:szCs w:val="21"/>
          <w:u w:val="single"/>
        </w:rPr>
        <w:t xml:space="preserve">    /        </w:t>
      </w:r>
      <w:r>
        <w:rPr>
          <w:szCs w:val="21"/>
        </w:rPr>
        <w:t>。</w:t>
      </w:r>
    </w:p>
    <w:p w14:paraId="74952411">
      <w:pPr>
        <w:spacing w:line="400" w:lineRule="exact"/>
        <w:ind w:firstLine="420" w:firstLineChars="200"/>
        <w:rPr>
          <w:szCs w:val="21"/>
        </w:rPr>
      </w:pPr>
      <w:r>
        <w:rPr>
          <w:rFonts w:hint="eastAsia"/>
          <w:szCs w:val="21"/>
        </w:rPr>
        <w:t>2.6 支付合同价款</w:t>
      </w:r>
    </w:p>
    <w:p w14:paraId="1C7235C1">
      <w:pPr>
        <w:spacing w:line="400" w:lineRule="exact"/>
        <w:ind w:firstLine="420" w:firstLineChars="200"/>
        <w:rPr>
          <w:szCs w:val="21"/>
        </w:rPr>
      </w:pPr>
      <w:r>
        <w:rPr>
          <w:rFonts w:hint="eastAsia"/>
          <w:szCs w:val="21"/>
        </w:rPr>
        <w:t>发包人应按合同约定向承包人及时支付合同价款。</w:t>
      </w:r>
    </w:p>
    <w:p w14:paraId="725AEEBD">
      <w:pPr>
        <w:spacing w:line="400" w:lineRule="exact"/>
        <w:ind w:firstLine="420" w:firstLineChars="200"/>
        <w:rPr>
          <w:szCs w:val="21"/>
        </w:rPr>
      </w:pPr>
      <w:r>
        <w:rPr>
          <w:rFonts w:hint="eastAsia"/>
          <w:szCs w:val="21"/>
        </w:rPr>
        <w:t>2.7 组织竣工验收</w:t>
      </w:r>
    </w:p>
    <w:p w14:paraId="64FAD8E6">
      <w:pPr>
        <w:spacing w:line="400" w:lineRule="exact"/>
        <w:ind w:firstLine="420" w:firstLineChars="200"/>
        <w:rPr>
          <w:szCs w:val="21"/>
        </w:rPr>
      </w:pPr>
      <w:r>
        <w:rPr>
          <w:rFonts w:hint="eastAsia"/>
          <w:szCs w:val="21"/>
        </w:rPr>
        <w:t>发包人应按合同约定及时组织竣工验收。</w:t>
      </w:r>
    </w:p>
    <w:p w14:paraId="32D9A2EA">
      <w:pPr>
        <w:spacing w:line="400" w:lineRule="exact"/>
        <w:ind w:firstLine="420" w:firstLineChars="200"/>
        <w:rPr>
          <w:szCs w:val="21"/>
          <w:u w:val="single"/>
        </w:rPr>
      </w:pPr>
      <w:r>
        <w:rPr>
          <w:rFonts w:hint="eastAsia" w:ascii="宋体" w:hAnsi="宋体"/>
          <w:szCs w:val="21"/>
          <w:u w:val="single"/>
        </w:rPr>
        <w:t>承包人完成合同范围内工程内容，发包人应根据施工图纸、现行施工验收规范和质量验收标准及时组织工程质量验收。</w:t>
      </w:r>
    </w:p>
    <w:p w14:paraId="654E54A8">
      <w:pPr>
        <w:pStyle w:val="4"/>
        <w:spacing w:before="0" w:after="0" w:line="400" w:lineRule="exact"/>
        <w:ind w:firstLine="422" w:firstLineChars="200"/>
        <w:rPr>
          <w:rFonts w:ascii="Times New Roman" w:hAnsi="Times New Roman"/>
          <w:sz w:val="21"/>
          <w:szCs w:val="21"/>
        </w:rPr>
      </w:pPr>
      <w:bookmarkStart w:id="35" w:name="_Toc351203635"/>
      <w:r>
        <w:rPr>
          <w:rFonts w:ascii="Times New Roman" w:hAnsi="Times New Roman"/>
          <w:sz w:val="21"/>
          <w:szCs w:val="21"/>
        </w:rPr>
        <w:t>3. 承包人</w:t>
      </w:r>
      <w:bookmarkEnd w:id="35"/>
    </w:p>
    <w:p w14:paraId="12264F54">
      <w:pPr>
        <w:spacing w:line="400" w:lineRule="exact"/>
        <w:ind w:firstLine="420" w:firstLineChars="200"/>
        <w:rPr>
          <w:szCs w:val="21"/>
        </w:rPr>
      </w:pPr>
      <w:r>
        <w:rPr>
          <w:szCs w:val="21"/>
        </w:rPr>
        <w:t>3.1 承包人的一般义务</w:t>
      </w:r>
    </w:p>
    <w:p w14:paraId="5DAD0035">
      <w:pPr>
        <w:spacing w:line="400" w:lineRule="exact"/>
        <w:ind w:firstLine="420" w:firstLineChars="200"/>
        <w:rPr>
          <w:szCs w:val="21"/>
        </w:rPr>
      </w:pPr>
      <w:r>
        <w:rPr>
          <w:szCs w:val="21"/>
        </w:rPr>
        <w:t>（9）承包人提交的竣工资料的内容：</w:t>
      </w:r>
      <w:r>
        <w:rPr>
          <w:szCs w:val="21"/>
          <w:u w:val="single"/>
        </w:rPr>
        <w:t>向发包人提交按规范规定应由承包人编制部分的竣工资料</w:t>
      </w:r>
      <w:r>
        <w:rPr>
          <w:rFonts w:hint="eastAsia"/>
          <w:szCs w:val="21"/>
          <w:u w:val="single"/>
        </w:rPr>
        <w:t>，包括含施工过程中验收、检查时拍摄或录制的相片、影像资料等，并符合建设工程资料存档要求</w:t>
      </w:r>
      <w:r>
        <w:rPr>
          <w:szCs w:val="21"/>
        </w:rPr>
        <w:t>。</w:t>
      </w:r>
    </w:p>
    <w:p w14:paraId="590B6DF5">
      <w:pPr>
        <w:spacing w:line="400" w:lineRule="exact"/>
        <w:ind w:firstLine="420" w:firstLineChars="200"/>
        <w:rPr>
          <w:szCs w:val="21"/>
        </w:rPr>
      </w:pPr>
      <w:r>
        <w:rPr>
          <w:szCs w:val="21"/>
        </w:rPr>
        <w:t>承包人需要提交的竣工资料套数：</w:t>
      </w:r>
      <w:r>
        <w:rPr>
          <w:szCs w:val="21"/>
          <w:u w:val="single"/>
        </w:rPr>
        <w:t xml:space="preserve">  4</w:t>
      </w:r>
      <w:r>
        <w:rPr>
          <w:rFonts w:hint="eastAsia"/>
          <w:szCs w:val="21"/>
          <w:u w:val="single"/>
        </w:rPr>
        <w:t>套</w:t>
      </w:r>
      <w:r>
        <w:rPr>
          <w:szCs w:val="21"/>
          <w:u w:val="single"/>
        </w:rPr>
        <w:t xml:space="preserve">   </w:t>
      </w:r>
      <w:r>
        <w:rPr>
          <w:szCs w:val="21"/>
        </w:rPr>
        <w:t>。</w:t>
      </w:r>
    </w:p>
    <w:p w14:paraId="54CEDA94">
      <w:pPr>
        <w:spacing w:line="400" w:lineRule="exact"/>
        <w:ind w:firstLine="420" w:firstLineChars="200"/>
        <w:rPr>
          <w:szCs w:val="21"/>
        </w:rPr>
      </w:pPr>
      <w:r>
        <w:rPr>
          <w:szCs w:val="21"/>
        </w:rPr>
        <w:t>承包人提交的竣工资料的费用承担：</w:t>
      </w:r>
      <w:r>
        <w:rPr>
          <w:szCs w:val="21"/>
          <w:u w:val="single"/>
        </w:rPr>
        <w:t xml:space="preserve">由承包人承担  </w:t>
      </w:r>
      <w:r>
        <w:rPr>
          <w:szCs w:val="21"/>
        </w:rPr>
        <w:t>。</w:t>
      </w:r>
    </w:p>
    <w:p w14:paraId="35C82838">
      <w:pPr>
        <w:spacing w:line="400" w:lineRule="exact"/>
        <w:ind w:firstLine="420" w:firstLineChars="200"/>
        <w:rPr>
          <w:szCs w:val="21"/>
        </w:rPr>
      </w:pPr>
      <w:r>
        <w:rPr>
          <w:szCs w:val="21"/>
        </w:rPr>
        <w:t>承包人提交的竣工资料移交时间：</w:t>
      </w:r>
      <w:r>
        <w:rPr>
          <w:szCs w:val="21"/>
          <w:u w:val="single"/>
        </w:rPr>
        <w:t>工程竣工验收合格后7天内</w:t>
      </w:r>
      <w:r>
        <w:rPr>
          <w:rFonts w:hint="eastAsia"/>
          <w:szCs w:val="21"/>
          <w:u w:val="single"/>
        </w:rPr>
        <w:t xml:space="preserve"> </w:t>
      </w:r>
      <w:r>
        <w:rPr>
          <w:szCs w:val="21"/>
        </w:rPr>
        <w:t>。</w:t>
      </w:r>
    </w:p>
    <w:p w14:paraId="22A51B1D">
      <w:pPr>
        <w:spacing w:line="400" w:lineRule="exact"/>
        <w:ind w:firstLine="420" w:firstLineChars="200"/>
        <w:rPr>
          <w:szCs w:val="21"/>
        </w:rPr>
      </w:pPr>
      <w:r>
        <w:rPr>
          <w:szCs w:val="21"/>
        </w:rPr>
        <w:t>承包人提交的竣工资料形式要求：</w:t>
      </w:r>
      <w:r>
        <w:rPr>
          <w:szCs w:val="21"/>
          <w:u w:val="single"/>
        </w:rPr>
        <w:t xml:space="preserve">   纸质及相关电子数据  </w:t>
      </w:r>
      <w:r>
        <w:rPr>
          <w:szCs w:val="21"/>
        </w:rPr>
        <w:t>。</w:t>
      </w:r>
    </w:p>
    <w:p w14:paraId="634A0636">
      <w:pPr>
        <w:spacing w:line="400" w:lineRule="exact"/>
        <w:ind w:firstLine="420" w:firstLineChars="200"/>
        <w:rPr>
          <w:szCs w:val="21"/>
          <w:u w:val="single"/>
        </w:rPr>
      </w:pPr>
      <w:r>
        <w:rPr>
          <w:szCs w:val="21"/>
        </w:rPr>
        <w:t>（10）承包人应履行的其他义务：</w:t>
      </w:r>
    </w:p>
    <w:p w14:paraId="268CC69D">
      <w:pPr>
        <w:spacing w:line="400" w:lineRule="exact"/>
        <w:ind w:firstLine="420" w:firstLineChars="200"/>
        <w:rPr>
          <w:szCs w:val="21"/>
          <w:u w:val="single"/>
        </w:rPr>
      </w:pPr>
      <w:r>
        <w:rPr>
          <w:szCs w:val="21"/>
          <w:u w:val="single"/>
        </w:rPr>
        <w:t xml:space="preserve">a.向发包人、监理人提供施工现场办公室各1间免费使用。 </w:t>
      </w:r>
    </w:p>
    <w:p w14:paraId="022A2178">
      <w:pPr>
        <w:spacing w:line="400" w:lineRule="exact"/>
        <w:ind w:firstLine="420" w:firstLineChars="200"/>
        <w:rPr>
          <w:szCs w:val="21"/>
          <w:u w:val="single"/>
        </w:rPr>
      </w:pPr>
      <w:r>
        <w:rPr>
          <w:szCs w:val="21"/>
          <w:u w:val="single"/>
        </w:rPr>
        <w:t>b.在施工中必须严格按照规范操作，并针对邻近建筑物实际情况，采取相应防护措施，对不按规范要求施工或未采取防护措施的，造成的损失由承包人承担。</w:t>
      </w:r>
    </w:p>
    <w:p w14:paraId="5A8869D1">
      <w:pPr>
        <w:spacing w:line="400" w:lineRule="exact"/>
        <w:ind w:firstLine="420" w:firstLineChars="200"/>
        <w:rPr>
          <w:szCs w:val="21"/>
          <w:u w:val="single"/>
        </w:rPr>
      </w:pPr>
      <w:r>
        <w:rPr>
          <w:szCs w:val="21"/>
          <w:u w:val="single"/>
        </w:rPr>
        <w:t>c.本项目施工安全由承包人负总责。</w:t>
      </w:r>
    </w:p>
    <w:p w14:paraId="1B641308">
      <w:pPr>
        <w:spacing w:line="400" w:lineRule="exact"/>
        <w:ind w:firstLine="420" w:firstLineChars="200"/>
        <w:rPr>
          <w:szCs w:val="21"/>
          <w:u w:val="single"/>
        </w:rPr>
      </w:pPr>
      <w:r>
        <w:rPr>
          <w:szCs w:val="21"/>
          <w:u w:val="single"/>
        </w:rPr>
        <w:t>d.按当地有关部门要求，由承包人办理的有关施工场地交通、环卫和施工噪音管理等手续。</w:t>
      </w:r>
    </w:p>
    <w:p w14:paraId="19FE27B2">
      <w:pPr>
        <w:widowControl/>
        <w:spacing w:line="400" w:lineRule="exact"/>
        <w:ind w:firstLine="422" w:firstLineChars="200"/>
        <w:rPr>
          <w:rFonts w:ascii="宋体" w:hAnsi="宋体"/>
          <w:b/>
          <w:szCs w:val="21"/>
          <w:u w:val="single"/>
        </w:rPr>
      </w:pPr>
      <w:r>
        <w:rPr>
          <w:rFonts w:ascii="宋体" w:hAnsi="宋体"/>
          <w:b/>
          <w:szCs w:val="21"/>
          <w:u w:val="single"/>
        </w:rPr>
        <w:t>e、其他：</w:t>
      </w:r>
    </w:p>
    <w:p w14:paraId="71CEF6A2">
      <w:pPr>
        <w:spacing w:line="480" w:lineRule="exact"/>
        <w:ind w:firstLine="422" w:firstLineChars="200"/>
        <w:rPr>
          <w:rFonts w:ascii="Times New Roman" w:hAnsi="Times New Roman"/>
          <w:b/>
          <w:szCs w:val="21"/>
          <w:u w:val="single"/>
        </w:rPr>
      </w:pPr>
      <w:r>
        <w:rPr>
          <w:rFonts w:hint="eastAsia" w:ascii="宋体" w:hAnsi="宋体" w:cs="宋体"/>
          <w:b/>
        </w:rPr>
        <w:t>①</w:t>
      </w:r>
      <w:r>
        <w:rPr>
          <w:rFonts w:ascii="Times New Roman" w:hAnsi="Times New Roman"/>
          <w:b/>
          <w:u w:val="single"/>
        </w:rPr>
        <w:t>承包人必须遵守浙江省、台州市等地方法规，服从行业主管部门的管理，凡涉及到承包单位的施工备案、车辆准运等有关行政或者事业许可、备案、审批等程序，均由承包人自行办理，发包人给予配合，发生的费用全部由承包人承担，包括施工备案费用、排污管理费、噪声管理费、垃圾管理费、交通组织设计方案编制费及审批等</w:t>
      </w:r>
      <w:r>
        <w:rPr>
          <w:rFonts w:ascii="Times New Roman" w:hAnsi="Times New Roman"/>
          <w:b/>
        </w:rPr>
        <w:t>。</w:t>
      </w:r>
    </w:p>
    <w:p w14:paraId="789C4427">
      <w:pPr>
        <w:snapToGrid w:val="0"/>
        <w:spacing w:line="480" w:lineRule="exact"/>
        <w:ind w:firstLine="443" w:firstLineChars="210"/>
        <w:rPr>
          <w:rFonts w:ascii="Times New Roman" w:hAnsi="Times New Roman"/>
          <w:b/>
          <w:u w:val="single"/>
        </w:rPr>
      </w:pPr>
      <w:r>
        <w:rPr>
          <w:rFonts w:hint="eastAsia" w:ascii="宋体" w:hAnsi="宋体" w:cs="宋体"/>
          <w:b/>
        </w:rPr>
        <w:t>②</w:t>
      </w:r>
      <w:r>
        <w:rPr>
          <w:rFonts w:ascii="Times New Roman" w:hAnsi="Times New Roman"/>
          <w:b/>
          <w:u w:val="single"/>
        </w:rPr>
        <w:t>承包人应负责协助办理质量监督委托、安全监督委托及施工许可证等开工手续，费用按相关规定承担。</w:t>
      </w:r>
      <w:r>
        <w:rPr>
          <w:rFonts w:hint="eastAsia" w:ascii="Times New Roman" w:hAnsi="Times New Roman"/>
          <w:b/>
          <w:u w:val="single"/>
        </w:rPr>
        <w:t>承包人负责汇集其他专业工程竣工资料的归档，并向发包人提交由承包人编制部分的竣工资料，由发包人委托第三方档案整理咨询服务单位进行汇编归档工作，相关费用由承包人负责。并</w:t>
      </w:r>
      <w:r>
        <w:rPr>
          <w:rFonts w:ascii="Times New Roman" w:hAnsi="Times New Roman"/>
          <w:b/>
          <w:u w:val="single"/>
        </w:rPr>
        <w:t>协助办理竣工验收备案、工程项目移交（包括发包人另行招标的专业分包、设备安装工程）的相关手续，并协助发包人进行工程移交。承包人协助组织施工过程中的专项验收、竣工验收等，承包人自身发生相关费用含在本合同价款中，发包人不再另行支付。</w:t>
      </w:r>
    </w:p>
    <w:p w14:paraId="0B774CB3">
      <w:pPr>
        <w:widowControl/>
        <w:spacing w:line="480" w:lineRule="exact"/>
        <w:ind w:firstLine="422" w:firstLineChars="200"/>
        <w:rPr>
          <w:rFonts w:ascii="Times New Roman" w:hAnsi="Times New Roman"/>
          <w:b/>
          <w:u w:val="single"/>
        </w:rPr>
      </w:pPr>
      <w:r>
        <w:rPr>
          <w:rFonts w:hint="eastAsia" w:ascii="宋体" w:hAnsi="宋体" w:cs="宋体"/>
          <w:b/>
        </w:rPr>
        <w:t>③</w:t>
      </w:r>
      <w:r>
        <w:rPr>
          <w:rFonts w:ascii="Times New Roman" w:hAnsi="Times New Roman"/>
          <w:b/>
          <w:u w:val="single"/>
        </w:rPr>
        <w:t>对发包人的现场监督工作予以充分的配合与协助。承包人服从发包人、监理公司的管理，做好交叉施工事宜及其他与本工程施工相关的工作。</w:t>
      </w:r>
    </w:p>
    <w:p w14:paraId="11F43B55">
      <w:pPr>
        <w:widowControl/>
        <w:spacing w:line="480" w:lineRule="exact"/>
        <w:ind w:firstLine="422" w:firstLineChars="200"/>
        <w:rPr>
          <w:rFonts w:ascii="Times New Roman" w:hAnsi="Times New Roman"/>
          <w:b/>
          <w:szCs w:val="21"/>
          <w:u w:val="single"/>
        </w:rPr>
      </w:pPr>
      <w:r>
        <w:rPr>
          <w:rFonts w:hint="eastAsia" w:ascii="宋体" w:hAnsi="宋体" w:cs="宋体"/>
          <w:b/>
        </w:rPr>
        <w:t>④</w:t>
      </w:r>
      <w:r>
        <w:rPr>
          <w:rFonts w:ascii="Times New Roman" w:hAnsi="Times New Roman"/>
          <w:b/>
          <w:u w:val="single"/>
        </w:rPr>
        <w:t>承包人承担施工期间的水、电费用，承包人必须每月按水、电部门的计价标准，按所需缴纳金额及时足额向水、电部门缴纳，若承包人不按时缴纳，则发包人有权采取相应措施。</w:t>
      </w:r>
    </w:p>
    <w:p w14:paraId="392F91B1">
      <w:pPr>
        <w:tabs>
          <w:tab w:val="left" w:pos="450"/>
        </w:tabs>
        <w:snapToGrid w:val="0"/>
        <w:spacing w:line="480" w:lineRule="exact"/>
        <w:ind w:firstLine="474" w:firstLineChars="225"/>
        <w:rPr>
          <w:rFonts w:ascii="Times New Roman" w:hAnsi="Times New Roman"/>
          <w:b/>
          <w:u w:val="single"/>
        </w:rPr>
      </w:pPr>
      <w:r>
        <w:rPr>
          <w:rFonts w:hint="eastAsia" w:ascii="宋体" w:hAnsi="宋体" w:cs="宋体"/>
          <w:b/>
        </w:rPr>
        <w:t>⑤</w:t>
      </w:r>
      <w:r>
        <w:rPr>
          <w:rFonts w:ascii="Times New Roman" w:hAnsi="Times New Roman"/>
          <w:b/>
          <w:u w:val="single"/>
        </w:rPr>
        <w:t>承包人负责落实对施工现场的安全文明施工的管理制度、交底，进行定期及不定期检查，并提出整改意见，承包人负责落实整个工地现场的保安、防盗工作。承包人应专人负责妥善处理因施工引起的、对相邻或周边的建筑物或环境的各种影响，并承担相关的索赔费用。</w:t>
      </w:r>
    </w:p>
    <w:p w14:paraId="2039FEDF">
      <w:pPr>
        <w:widowControl/>
        <w:spacing w:line="480" w:lineRule="exact"/>
        <w:ind w:firstLine="422" w:firstLineChars="200"/>
        <w:rPr>
          <w:rFonts w:ascii="Times New Roman" w:hAnsi="Times New Roman"/>
          <w:b/>
          <w:u w:val="single"/>
        </w:rPr>
      </w:pPr>
      <w:r>
        <w:rPr>
          <w:rFonts w:hint="eastAsia" w:ascii="宋体" w:hAnsi="宋体" w:cs="宋体"/>
          <w:b/>
        </w:rPr>
        <w:t>⑥</w:t>
      </w:r>
      <w:r>
        <w:rPr>
          <w:rFonts w:ascii="Times New Roman" w:hAnsi="Times New Roman"/>
          <w:b/>
          <w:u w:val="single"/>
        </w:rPr>
        <w:t xml:space="preserve">不管投标时有无承诺，施工现场必须配备能满足停电时施工所需要的发电机组。承包人应充分考虑发包人提供电源容量与施工所需机器设备用电是否相匹配，并采取包括自备电源在内的必要措施解决施工用电的临时断电问题以保证施工的顺利进行。该笔费用已包含在合同价内，不再另行计取。 </w:t>
      </w:r>
    </w:p>
    <w:p w14:paraId="5DDD3CCB">
      <w:pPr>
        <w:snapToGrid w:val="0"/>
        <w:spacing w:line="480" w:lineRule="exact"/>
        <w:ind w:firstLine="443" w:firstLineChars="210"/>
        <w:rPr>
          <w:rFonts w:ascii="Times New Roman" w:hAnsi="Times New Roman"/>
          <w:b/>
          <w:u w:val="single"/>
        </w:rPr>
      </w:pPr>
      <w:r>
        <w:rPr>
          <w:rFonts w:hint="eastAsia" w:ascii="宋体" w:hAnsi="宋体" w:cs="宋体"/>
          <w:b/>
        </w:rPr>
        <w:t>⑦</w:t>
      </w:r>
      <w:r>
        <w:rPr>
          <w:rFonts w:ascii="Times New Roman" w:hAnsi="Times New Roman"/>
          <w:b/>
          <w:u w:val="single"/>
        </w:rPr>
        <w:t>施工现场的标语、条幅和围挡图案、廉政文化宣传等制作，在悬挂和喷涂前应征得发包人同意，如发包人提出修改意见，承包人应无条件修改，直到符合要求为止，合同价款不予调整。</w:t>
      </w:r>
    </w:p>
    <w:p w14:paraId="77E650F2">
      <w:pPr>
        <w:snapToGrid w:val="0"/>
        <w:spacing w:line="480" w:lineRule="exact"/>
        <w:ind w:firstLine="443" w:firstLineChars="210"/>
        <w:rPr>
          <w:rFonts w:ascii="Times New Roman" w:hAnsi="Times New Roman"/>
          <w:b/>
          <w:u w:val="single"/>
        </w:rPr>
      </w:pPr>
      <w:r>
        <w:rPr>
          <w:rFonts w:hint="eastAsia" w:ascii="宋体" w:hAnsi="宋体" w:cs="宋体"/>
          <w:b/>
        </w:rPr>
        <w:t>⑧</w:t>
      </w:r>
      <w:r>
        <w:rPr>
          <w:rFonts w:ascii="Times New Roman" w:hAnsi="Times New Roman"/>
          <w:b/>
          <w:u w:val="single"/>
        </w:rPr>
        <w:t>承包人在合同履行过程中，应严格遵守和执行发包人制定的各项管理制度和规定，严格执行发包人关于工程设计变更、签证等方面的审批程序及制度。</w:t>
      </w:r>
    </w:p>
    <w:p w14:paraId="12ACE818">
      <w:pPr>
        <w:tabs>
          <w:tab w:val="left" w:pos="450"/>
        </w:tabs>
        <w:snapToGrid w:val="0"/>
        <w:spacing w:line="480" w:lineRule="exact"/>
        <w:ind w:firstLine="474" w:firstLineChars="225"/>
        <w:rPr>
          <w:rFonts w:ascii="Times New Roman" w:hAnsi="Times New Roman"/>
          <w:b/>
          <w:u w:val="single"/>
        </w:rPr>
      </w:pPr>
      <w:r>
        <w:rPr>
          <w:rFonts w:hint="eastAsia" w:ascii="宋体" w:hAnsi="宋体" w:cs="宋体"/>
          <w:b/>
        </w:rPr>
        <w:t>⑨</w:t>
      </w:r>
      <w:r>
        <w:rPr>
          <w:rFonts w:ascii="Times New Roman" w:hAnsi="Times New Roman"/>
          <w:b/>
          <w:u w:val="single"/>
        </w:rPr>
        <w:t>由承包人的质量安全职能部门每月对本工程施工现场的质量、安全文明、进度等进行全面督查，并将督查结果向发包人汇报。</w:t>
      </w:r>
    </w:p>
    <w:p w14:paraId="0EFA326A">
      <w:pPr>
        <w:tabs>
          <w:tab w:val="left" w:pos="450"/>
        </w:tabs>
        <w:snapToGrid w:val="0"/>
        <w:spacing w:line="480" w:lineRule="exact"/>
        <w:ind w:firstLine="474" w:firstLineChars="225"/>
        <w:rPr>
          <w:rFonts w:ascii="Times New Roman" w:hAnsi="Times New Roman"/>
          <w:b/>
          <w:u w:val="single"/>
        </w:rPr>
      </w:pPr>
      <w:r>
        <w:rPr>
          <w:rFonts w:hint="eastAsia" w:ascii="宋体" w:hAnsi="宋体" w:cs="宋体"/>
          <w:b/>
        </w:rPr>
        <w:t>⑩</w:t>
      </w:r>
      <w:r>
        <w:rPr>
          <w:rFonts w:ascii="Times New Roman" w:hAnsi="Times New Roman"/>
          <w:b/>
          <w:u w:val="single"/>
        </w:rPr>
        <w:t>已竣工工程未验收合格之前，承包人按协议条款约定负责已完工程的保护工作，保护期间发生损坏，责任方自费予以修复至符合验收条件。</w:t>
      </w:r>
    </w:p>
    <w:p w14:paraId="1A741D54">
      <w:pPr>
        <w:tabs>
          <w:tab w:val="left" w:pos="450"/>
        </w:tabs>
        <w:snapToGrid w:val="0"/>
        <w:spacing w:line="480" w:lineRule="exact"/>
        <w:ind w:firstLine="310" w:firstLineChars="147"/>
        <w:rPr>
          <w:rFonts w:ascii="Times New Roman" w:hAnsi="Times New Roman"/>
          <w:b/>
          <w:u w:val="single"/>
        </w:rPr>
      </w:pPr>
      <w:r>
        <w:rPr>
          <w:rFonts w:ascii="Times New Roman" w:hAnsi="Times New Roman"/>
          <w:b/>
          <w:u w:val="single"/>
        </w:rPr>
        <w:t>f、</w:t>
      </w:r>
      <w:r>
        <w:rPr>
          <w:rFonts w:ascii="Times New Roman" w:hAnsi="Times New Roman" w:eastAsia="黑体"/>
          <w:b/>
          <w:u w:val="single"/>
        </w:rPr>
        <w:t>农民工工资按三人社〔2019〕41号关于全面治理拖欠农民工工资问题的实施意见执行。</w:t>
      </w:r>
    </w:p>
    <w:p w14:paraId="57052F2C">
      <w:pPr>
        <w:spacing w:line="480" w:lineRule="exact"/>
        <w:ind w:firstLine="420" w:firstLineChars="200"/>
        <w:rPr>
          <w:rFonts w:ascii="Times New Roman" w:hAnsi="Times New Roman"/>
          <w:szCs w:val="21"/>
          <w:u w:val="single"/>
        </w:rPr>
      </w:pPr>
      <w:r>
        <w:rPr>
          <w:rFonts w:ascii="Times New Roman" w:hAnsi="Times New Roman"/>
          <w:szCs w:val="21"/>
        </w:rPr>
        <w:t>（11）承包人诚实信用的承诺：</w:t>
      </w:r>
      <w:r>
        <w:rPr>
          <w:rFonts w:ascii="Times New Roman" w:hAnsi="Times New Roman"/>
          <w:szCs w:val="21"/>
          <w:u w:val="single"/>
        </w:rPr>
        <w:t xml:space="preserve"> 承包人向发包人承诺按照本合同约定及现场甲方和监理工程师的指令进行施工。竣工后，保修期内承担工程质量保修责任，并履行本合同约定的全部义务 。</w:t>
      </w:r>
    </w:p>
    <w:p w14:paraId="225266DA">
      <w:pPr>
        <w:spacing w:line="480" w:lineRule="exact"/>
        <w:ind w:firstLine="420" w:firstLineChars="200"/>
        <w:rPr>
          <w:rFonts w:ascii="Times New Roman" w:hAnsi="Times New Roman"/>
          <w:szCs w:val="21"/>
          <w:u w:val="single"/>
        </w:rPr>
      </w:pPr>
      <w:r>
        <w:rPr>
          <w:rFonts w:ascii="Times New Roman" w:hAnsi="Times New Roman"/>
          <w:szCs w:val="21"/>
        </w:rPr>
        <w:t>（12）承包人使用新技术、工法、工艺的承诺：</w:t>
      </w:r>
      <w:r>
        <w:rPr>
          <w:rFonts w:ascii="Times New Roman" w:hAnsi="Times New Roman"/>
          <w:szCs w:val="21"/>
          <w:u w:val="single"/>
        </w:rPr>
        <w:t xml:space="preserve">                     /              。</w:t>
      </w:r>
    </w:p>
    <w:p w14:paraId="41D0BF82">
      <w:pPr>
        <w:spacing w:line="400" w:lineRule="exact"/>
        <w:ind w:firstLine="420" w:firstLineChars="200"/>
        <w:rPr>
          <w:szCs w:val="21"/>
        </w:rPr>
      </w:pPr>
      <w:r>
        <w:rPr>
          <w:szCs w:val="21"/>
        </w:rPr>
        <w:t>3.2 项目经理</w:t>
      </w:r>
    </w:p>
    <w:p w14:paraId="03376D73">
      <w:pPr>
        <w:spacing w:line="400" w:lineRule="exact"/>
        <w:ind w:firstLine="420" w:firstLineChars="200"/>
        <w:rPr>
          <w:szCs w:val="21"/>
        </w:rPr>
      </w:pPr>
      <w:r>
        <w:rPr>
          <w:kern w:val="0"/>
          <w:szCs w:val="21"/>
        </w:rPr>
        <w:t xml:space="preserve">3.2.1 </w:t>
      </w:r>
      <w:r>
        <w:rPr>
          <w:szCs w:val="21"/>
        </w:rPr>
        <w:t>项目经理：</w:t>
      </w:r>
    </w:p>
    <w:p w14:paraId="5C4A87AF">
      <w:pPr>
        <w:spacing w:line="400" w:lineRule="exact"/>
        <w:ind w:firstLine="420" w:firstLineChars="200"/>
        <w:rPr>
          <w:rFonts w:hint="eastAsia" w:ascii="宋体" w:hAnsi="宋体"/>
          <w:szCs w:val="21"/>
        </w:rPr>
      </w:pPr>
      <w:r>
        <w:rPr>
          <w:rFonts w:hint="eastAsia" w:ascii="宋体" w:hAnsi="宋体"/>
          <w:szCs w:val="21"/>
        </w:rPr>
        <w:t>姓    名：</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rPr>
        <w:t>；身份证号：</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cs="宋体"/>
          <w:szCs w:val="21"/>
          <w:u w:val="single"/>
          <w:lang w:val="en-US" w:eastAsia="zh-CN"/>
        </w:rPr>
        <w:t xml:space="preserve">    </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rPr>
        <w:t>；</w:t>
      </w:r>
    </w:p>
    <w:p w14:paraId="0B2C7222">
      <w:pPr>
        <w:spacing w:line="400" w:lineRule="exact"/>
        <w:ind w:firstLine="420" w:firstLineChars="200"/>
        <w:rPr>
          <w:rFonts w:hint="eastAsia" w:ascii="宋体" w:hAnsi="宋体"/>
          <w:szCs w:val="21"/>
        </w:rPr>
      </w:pPr>
      <w:r>
        <w:rPr>
          <w:rFonts w:hint="eastAsia" w:ascii="宋体" w:hAnsi="宋体"/>
          <w:szCs w:val="21"/>
        </w:rPr>
        <w:t>建造师执业资格等级：</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rPr>
        <w:t>；建造师注册证书号：</w:t>
      </w:r>
      <w:r>
        <w:rPr>
          <w:rFonts w:hint="eastAsia" w:ascii="宋体" w:hAnsi="宋体" w:cs="宋体"/>
          <w:szCs w:val="21"/>
          <w:u w:val="single"/>
        </w:rPr>
        <w:t></w:t>
      </w:r>
      <w:r>
        <w:rPr>
          <w:rFonts w:hint="eastAsia" w:ascii="宋体" w:hAnsi="宋体" w:cs="宋体"/>
          <w:szCs w:val="21"/>
          <w:u w:val="single"/>
          <w:lang w:val="en-US" w:eastAsia="zh-CN"/>
        </w:rPr>
        <w:t xml:space="preserve">   </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rPr>
        <w:t>；</w:t>
      </w:r>
    </w:p>
    <w:p w14:paraId="4CE725EB">
      <w:pPr>
        <w:spacing w:line="400" w:lineRule="exact"/>
        <w:ind w:firstLine="420" w:firstLineChars="200"/>
        <w:rPr>
          <w:rFonts w:hint="eastAsia" w:ascii="宋体" w:hAnsi="宋体"/>
          <w:szCs w:val="21"/>
        </w:rPr>
      </w:pPr>
      <w:r>
        <w:rPr>
          <w:rFonts w:hint="eastAsia" w:ascii="宋体" w:hAnsi="宋体"/>
          <w:szCs w:val="21"/>
        </w:rPr>
        <w:t>建造师执业印章号：</w:t>
      </w:r>
      <w:r>
        <w:rPr>
          <w:rFonts w:hint="eastAsia" w:ascii="宋体" w:hAnsi="宋体" w:cs="宋体"/>
          <w:szCs w:val="21"/>
          <w:u w:val="single"/>
        </w:rPr>
        <w:t></w:t>
      </w:r>
      <w:r>
        <w:rPr>
          <w:rFonts w:hint="eastAsia" w:ascii="宋体" w:hAnsi="宋体"/>
          <w:szCs w:val="21"/>
        </w:rPr>
        <w:t>；安全生产考核合格证书号：</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cs="宋体"/>
          <w:szCs w:val="21"/>
          <w:u w:val="single"/>
          <w:lang w:val="en-US" w:eastAsia="zh-CN"/>
        </w:rPr>
        <w:t xml:space="preserve">   </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rPr>
        <w:t>；</w:t>
      </w:r>
    </w:p>
    <w:p w14:paraId="118E5C40">
      <w:pPr>
        <w:spacing w:line="400" w:lineRule="exact"/>
        <w:ind w:firstLine="420" w:firstLineChars="200"/>
        <w:rPr>
          <w:rFonts w:hint="eastAsia" w:ascii="宋体" w:hAnsi="宋体"/>
          <w:szCs w:val="21"/>
        </w:rPr>
      </w:pPr>
      <w:r>
        <w:rPr>
          <w:rFonts w:hint="eastAsia" w:ascii="宋体" w:hAnsi="宋体"/>
          <w:szCs w:val="21"/>
        </w:rPr>
        <w:t>联系电话：</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cs="宋体"/>
          <w:szCs w:val="21"/>
          <w:u w:val="single"/>
          <w:lang w:val="en-US" w:eastAsia="zh-CN"/>
        </w:rPr>
        <w:t xml:space="preserve"> </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rPr>
        <w:t>；电子信箱：</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cs="宋体"/>
          <w:szCs w:val="21"/>
          <w:u w:val="single"/>
          <w:lang w:val="en-US" w:eastAsia="zh-CN"/>
        </w:rPr>
        <w:t xml:space="preserve"> </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rPr>
        <w:t>；</w:t>
      </w:r>
    </w:p>
    <w:p w14:paraId="7BF05EC3">
      <w:pPr>
        <w:spacing w:line="400" w:lineRule="exact"/>
        <w:ind w:firstLine="420" w:firstLineChars="200"/>
        <w:rPr>
          <w:szCs w:val="21"/>
        </w:rPr>
      </w:pPr>
      <w:r>
        <w:rPr>
          <w:rFonts w:hint="eastAsia" w:ascii="宋体" w:hAnsi="宋体"/>
          <w:szCs w:val="21"/>
        </w:rPr>
        <w:t>通信地址：</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cs="宋体"/>
          <w:szCs w:val="21"/>
          <w:u w:val="single"/>
          <w:lang w:val="en-US" w:eastAsia="zh-CN"/>
        </w:rPr>
        <w:t xml:space="preserve">    </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rPr>
        <w:t>；</w:t>
      </w:r>
    </w:p>
    <w:p w14:paraId="04C1A333">
      <w:pPr>
        <w:spacing w:line="400" w:lineRule="exact"/>
        <w:rPr>
          <w:szCs w:val="21"/>
        </w:rPr>
      </w:pPr>
      <w:r>
        <w:rPr>
          <w:szCs w:val="21"/>
        </w:rPr>
        <w:t>承包人对项目经理的授权范围如下：</w:t>
      </w:r>
      <w:r>
        <w:rPr>
          <w:szCs w:val="21"/>
          <w:u w:val="single"/>
        </w:rPr>
        <w:t xml:space="preserve">                    </w:t>
      </w:r>
      <w:r>
        <w:rPr>
          <w:rFonts w:hint="eastAsia"/>
          <w:szCs w:val="21"/>
          <w:u w:val="single"/>
        </w:rPr>
        <w:t xml:space="preserve">          </w:t>
      </w:r>
      <w:r>
        <w:rPr>
          <w:szCs w:val="21"/>
          <w:u w:val="single"/>
        </w:rPr>
        <w:t xml:space="preserve">                 </w:t>
      </w:r>
      <w:r>
        <w:rPr>
          <w:szCs w:val="21"/>
        </w:rPr>
        <w:t>。</w:t>
      </w:r>
    </w:p>
    <w:p w14:paraId="529DA985">
      <w:pPr>
        <w:spacing w:line="400" w:lineRule="exact"/>
        <w:ind w:firstLine="420" w:firstLineChars="200"/>
        <w:rPr>
          <w:spacing w:val="-3"/>
          <w:u w:val="single" w:color="000000"/>
        </w:rPr>
      </w:pPr>
      <w:r>
        <w:rPr>
          <w:kern w:val="0"/>
          <w:szCs w:val="21"/>
        </w:rPr>
        <w:t>关于项目经理每月在施工现场的时间要求：</w:t>
      </w:r>
      <w:r>
        <w:rPr>
          <w:rFonts w:hint="eastAsia"/>
          <w:spacing w:val="-3"/>
          <w:u w:val="single" w:color="000000"/>
        </w:rPr>
        <w:t>月到岗须不少于24天，月到岗达不到约定天数，按相关行业主管部</w:t>
      </w:r>
      <w:r>
        <w:rPr>
          <w:rFonts w:hint="eastAsia"/>
          <w:spacing w:val="-3"/>
          <w:u w:val="single" w:color="000000"/>
          <w:lang w:eastAsia="zh-CN"/>
        </w:rPr>
        <w:t>门</w:t>
      </w:r>
      <w:r>
        <w:rPr>
          <w:rFonts w:hint="eastAsia"/>
          <w:spacing w:val="-3"/>
          <w:u w:val="single" w:color="000000"/>
        </w:rPr>
        <w:t>发布的规定处理；遇有工程检查、验收或参观等活动时，无特殊原因不得离开施工现场。</w:t>
      </w:r>
    </w:p>
    <w:p w14:paraId="0434AB92">
      <w:pPr>
        <w:spacing w:line="400" w:lineRule="exact"/>
        <w:ind w:firstLine="420" w:firstLineChars="200"/>
        <w:rPr>
          <w:kern w:val="0"/>
          <w:szCs w:val="21"/>
          <w:u w:val="single"/>
        </w:rPr>
      </w:pPr>
      <w:r>
        <w:rPr>
          <w:kern w:val="0"/>
          <w:szCs w:val="21"/>
        </w:rPr>
        <w:t>承包人未提交劳动合同，以及没有为项目经理缴纳社会保险证明的违约责任：</w:t>
      </w:r>
      <w:r>
        <w:rPr>
          <w:rFonts w:hint="eastAsia"/>
          <w:spacing w:val="-3"/>
          <w:u w:val="single" w:color="000000"/>
        </w:rPr>
        <w:t>发包人有权要求更换项目经理，由此增加的费用和(或)延误的工期由承包人承担，并承担违约责任</w:t>
      </w:r>
      <w:r>
        <w:rPr>
          <w:spacing w:val="-3"/>
          <w:u w:val="single" w:color="000000"/>
        </w:rPr>
        <w:t>。</w:t>
      </w:r>
    </w:p>
    <w:p w14:paraId="0ED6C2B1">
      <w:pPr>
        <w:spacing w:line="400" w:lineRule="exact"/>
        <w:ind w:firstLine="420" w:firstLineChars="200"/>
        <w:rPr>
          <w:spacing w:val="-3"/>
          <w:u w:val="single" w:color="000000"/>
        </w:rPr>
      </w:pPr>
      <w:r>
        <w:rPr>
          <w:kern w:val="0"/>
          <w:szCs w:val="21"/>
        </w:rPr>
        <w:t>项目经理未经批准，擅自离开施工现场的违约责任：</w:t>
      </w:r>
      <w:r>
        <w:rPr>
          <w:rFonts w:hint="eastAsia"/>
          <w:spacing w:val="-3"/>
          <w:u w:val="single" w:color="000000"/>
        </w:rPr>
        <w:t>月到岗率须不少于 24 天，不足天数，每天扣除履约担保金额的 0.1%，每月结算，在当期工程款支付时扣除；连续三个月达不到要求且项目经理不能到岗的，发包人有权终止合同，没收全部履约担保金，同时由承包人赔偿发包人由此造成的损失。另遇有工程检查、验收或参观等活动时，无特殊原因不得离开施工现场。</w:t>
      </w:r>
    </w:p>
    <w:p w14:paraId="69D67915">
      <w:pPr>
        <w:spacing w:line="400" w:lineRule="exact"/>
        <w:ind w:firstLine="420" w:firstLineChars="200"/>
        <w:rPr>
          <w:szCs w:val="21"/>
          <w:u w:val="single"/>
        </w:rPr>
      </w:pPr>
      <w:r>
        <w:rPr>
          <w:szCs w:val="21"/>
        </w:rPr>
        <w:t>3.2.3 承包人擅自更换项目经理的违约责任：</w:t>
      </w:r>
      <w:r>
        <w:rPr>
          <w:szCs w:val="21"/>
          <w:u w:val="single"/>
        </w:rPr>
        <w:t>项目经理因发生重大安全事故、生病住院、终止劳动合同关系（提供相关部门或单位证明材料）、被责令停止执业、羁押或判刑情形，无法继续担任项目经理，承包人向发包人提出申请，发包人应同意更换，并报所在地建设行政主管部门批准、备案，更换到位的项目经理资质、信用等级不低于原项目经理；除上述情形外不允许更换，如承包人擅自更换，按每更换一人次扣除履约担保金额的20%；及至发包人可通知承包人全部解除合同，所有履约担保金归发包人，并赔偿发包人损失。</w:t>
      </w:r>
    </w:p>
    <w:p w14:paraId="518DB3A0">
      <w:pPr>
        <w:spacing w:line="400" w:lineRule="exact"/>
        <w:ind w:firstLine="420" w:firstLineChars="200"/>
        <w:rPr>
          <w:szCs w:val="21"/>
          <w:u w:val="single"/>
        </w:rPr>
      </w:pPr>
      <w:r>
        <w:rPr>
          <w:szCs w:val="21"/>
        </w:rPr>
        <w:t>3.2.4 承包人无正当理由拒绝更换项目经理的违约责任：</w:t>
      </w:r>
      <w:r>
        <w:rPr>
          <w:szCs w:val="21"/>
          <w:u w:val="single"/>
        </w:rPr>
        <w:t>发包人可通知承包人全部解除合同，所有履约担保金归发包人</w:t>
      </w:r>
      <w:r>
        <w:rPr>
          <w:rFonts w:hint="eastAsia"/>
          <w:szCs w:val="21"/>
          <w:u w:val="single"/>
        </w:rPr>
        <w:t>，同时赔偿发包人损失</w:t>
      </w:r>
      <w:r>
        <w:rPr>
          <w:szCs w:val="21"/>
          <w:u w:val="single"/>
        </w:rPr>
        <w:t>。</w:t>
      </w:r>
    </w:p>
    <w:p w14:paraId="1B6E1167">
      <w:pPr>
        <w:spacing w:line="400" w:lineRule="exact"/>
        <w:ind w:firstLine="420" w:firstLineChars="200"/>
        <w:rPr>
          <w:szCs w:val="21"/>
        </w:rPr>
      </w:pPr>
      <w:r>
        <w:rPr>
          <w:szCs w:val="21"/>
        </w:rPr>
        <w:t>3.3 承包人人员</w:t>
      </w:r>
    </w:p>
    <w:p w14:paraId="63A84AA6">
      <w:pPr>
        <w:spacing w:line="400" w:lineRule="exact"/>
        <w:ind w:firstLine="420" w:firstLineChars="200"/>
        <w:rPr>
          <w:szCs w:val="21"/>
        </w:rPr>
      </w:pPr>
      <w:r>
        <w:rPr>
          <w:szCs w:val="21"/>
        </w:rPr>
        <w:t>3.3.1 承包人提交项目管理机构及施工现场管理人员安排报告的期限：</w:t>
      </w:r>
      <w:r>
        <w:rPr>
          <w:szCs w:val="21"/>
          <w:u w:val="single"/>
        </w:rPr>
        <w:t xml:space="preserve"> 接到开工通知（或确定开工日期）后7天内 </w:t>
      </w:r>
      <w:r>
        <w:rPr>
          <w:szCs w:val="21"/>
        </w:rPr>
        <w:t>。</w:t>
      </w:r>
    </w:p>
    <w:p w14:paraId="4955DC50">
      <w:pPr>
        <w:spacing w:line="400" w:lineRule="exact"/>
        <w:ind w:firstLine="420" w:firstLineChars="200"/>
        <w:rPr>
          <w:szCs w:val="21"/>
        </w:rPr>
      </w:pPr>
      <w:r>
        <w:rPr>
          <w:szCs w:val="21"/>
        </w:rPr>
        <w:t>3.3.3 承包人无正当理由拒绝撤换主要施工管理人员的违约责任：</w:t>
      </w:r>
      <w:r>
        <w:rPr>
          <w:szCs w:val="21"/>
          <w:u w:val="single"/>
        </w:rPr>
        <w:t>发包人可通知承包人全部解除合同，所有履约担保金归发包人</w:t>
      </w:r>
      <w:r>
        <w:rPr>
          <w:rFonts w:hint="eastAsia"/>
          <w:szCs w:val="21"/>
          <w:u w:val="single"/>
        </w:rPr>
        <w:t>，同时赔偿发包人损失</w:t>
      </w:r>
      <w:r>
        <w:rPr>
          <w:szCs w:val="21"/>
          <w:u w:val="single"/>
        </w:rPr>
        <w:t>。</w:t>
      </w:r>
    </w:p>
    <w:p w14:paraId="1DCAC3F5">
      <w:pPr>
        <w:spacing w:line="400" w:lineRule="exact"/>
        <w:ind w:firstLine="420" w:firstLineChars="200"/>
        <w:rPr>
          <w:szCs w:val="21"/>
          <w:u w:val="single"/>
        </w:rPr>
      </w:pPr>
      <w:r>
        <w:rPr>
          <w:szCs w:val="21"/>
        </w:rPr>
        <w:t>3.3.4 承包人主要施工管理人员离开施工现场的批准要求：</w:t>
      </w:r>
      <w:r>
        <w:rPr>
          <w:szCs w:val="21"/>
          <w:u w:val="single"/>
        </w:rPr>
        <w:t>按通用条款执行；</w:t>
      </w:r>
      <w:r>
        <w:rPr>
          <w:rFonts w:hint="eastAsia"/>
          <w:szCs w:val="21"/>
          <w:u w:val="single"/>
        </w:rPr>
        <w:t>未经批准擅自离开施工现场按相关行业主管部</w:t>
      </w:r>
      <w:r>
        <w:rPr>
          <w:rFonts w:hint="eastAsia"/>
          <w:szCs w:val="21"/>
          <w:u w:val="single"/>
          <w:lang w:eastAsia="zh-CN"/>
        </w:rPr>
        <w:t>门</w:t>
      </w:r>
      <w:r>
        <w:rPr>
          <w:rFonts w:hint="eastAsia"/>
          <w:szCs w:val="21"/>
          <w:u w:val="single"/>
        </w:rPr>
        <w:t>发布的规定处理；另遇有工程检查、验收或参观等活动时，无特殊原因不得请假</w:t>
      </w:r>
      <w:r>
        <w:rPr>
          <w:szCs w:val="21"/>
          <w:u w:val="single"/>
        </w:rPr>
        <w:t>。</w:t>
      </w:r>
    </w:p>
    <w:p w14:paraId="61D19C13">
      <w:pPr>
        <w:spacing w:line="400" w:lineRule="exact"/>
        <w:ind w:firstLine="420" w:firstLineChars="200"/>
        <w:rPr>
          <w:szCs w:val="21"/>
        </w:rPr>
      </w:pPr>
      <w:r>
        <w:rPr>
          <w:szCs w:val="21"/>
        </w:rPr>
        <w:t>3.3.5承包人擅自更换主要施工管理人员的违约责任：</w:t>
      </w:r>
      <w:r>
        <w:rPr>
          <w:szCs w:val="21"/>
          <w:u w:val="single"/>
        </w:rPr>
        <w:t>因发生重大安全事故、因生病住院、终止劳动合同关系（提供相关部门或单位证明材料）、被责令停止执业、羁押或判刑情形，无法继续担任相应岗位工作，承包人向发包人提出申请，发包人应同意更换，并报工程所在地建设行政主管部门批准、备案，对更换到位的技术负责人资质、信用等级应不低于原技术负责人。除上述情形外不允许更换，如承包人擅自更换，按技术负责人每更换一人次扣除履约担保金的10%；其他关键岗位人员每更换一人次扣除履约担保金额的5%。</w:t>
      </w:r>
    </w:p>
    <w:p w14:paraId="4C80A5B1">
      <w:pPr>
        <w:spacing w:line="400" w:lineRule="exact"/>
        <w:ind w:firstLine="420" w:firstLineChars="200"/>
        <w:rPr>
          <w:szCs w:val="21"/>
          <w:u w:val="single"/>
        </w:rPr>
      </w:pPr>
      <w:r>
        <w:rPr>
          <w:szCs w:val="21"/>
        </w:rPr>
        <w:t>承包人主要施工管理人员擅自离开施工现场的违约责任</w:t>
      </w:r>
      <w:r>
        <w:rPr>
          <w:rFonts w:hint="eastAsia"/>
          <w:szCs w:val="21"/>
        </w:rPr>
        <w:t>：</w:t>
      </w:r>
      <w:r>
        <w:rPr>
          <w:rFonts w:hint="eastAsia"/>
          <w:szCs w:val="21"/>
          <w:u w:val="single"/>
        </w:rPr>
        <w:t>按《台州市建设工程施工现场关键岗位人员管理办法的通知》（台建〔2018〕110号）文件规定，关键岗位人员到岗达不到 24 天的，不足天数每人次每天扣除履约担保金额的 0.05%，每月结算，在当期工程款支付时扣除。某关键岗位人员连续三个月到岗率达不到要求且不能到岗的，一次性扣除履约担保金的 5%（含前三个月已扣除的履约担保金），且发包人有权要求承包人更换该关键岗位人员。</w:t>
      </w:r>
    </w:p>
    <w:p w14:paraId="3F8F2D5A">
      <w:pPr>
        <w:spacing w:line="400" w:lineRule="exact"/>
        <w:ind w:firstLine="420" w:firstLineChars="200"/>
        <w:rPr>
          <w:szCs w:val="21"/>
        </w:rPr>
      </w:pPr>
      <w:r>
        <w:rPr>
          <w:szCs w:val="21"/>
        </w:rPr>
        <w:t>3.5 分包</w:t>
      </w:r>
    </w:p>
    <w:p w14:paraId="31C88722">
      <w:pPr>
        <w:spacing w:line="400" w:lineRule="exact"/>
        <w:ind w:firstLine="420" w:firstLineChars="200"/>
        <w:rPr>
          <w:szCs w:val="21"/>
        </w:rPr>
      </w:pPr>
      <w:r>
        <w:rPr>
          <w:szCs w:val="21"/>
        </w:rPr>
        <w:t>3.5.1 分包的一般约定</w:t>
      </w:r>
    </w:p>
    <w:p w14:paraId="442E964A">
      <w:pPr>
        <w:spacing w:line="400" w:lineRule="exact"/>
        <w:ind w:firstLine="420" w:firstLineChars="200"/>
        <w:rPr>
          <w:szCs w:val="21"/>
        </w:rPr>
      </w:pPr>
      <w:r>
        <w:rPr>
          <w:szCs w:val="21"/>
        </w:rPr>
        <w:t>禁止分包的工程包括：</w:t>
      </w:r>
      <w:r>
        <w:rPr>
          <w:szCs w:val="21"/>
          <w:u w:val="single"/>
        </w:rPr>
        <w:t></w:t>
      </w:r>
      <w:r>
        <w:rPr>
          <w:rFonts w:hint="eastAsia"/>
          <w:szCs w:val="21"/>
          <w:u w:val="single"/>
        </w:rPr>
        <w:t xml:space="preserve">   </w:t>
      </w:r>
      <w:r>
        <w:rPr>
          <w:szCs w:val="21"/>
          <w:u w:val="single"/>
        </w:rPr>
        <w:t>工程主体结构、关键性工作</w:t>
      </w:r>
      <w:r>
        <w:rPr>
          <w:rFonts w:hint="eastAsia"/>
          <w:szCs w:val="21"/>
          <w:u w:val="single"/>
        </w:rPr>
        <w:t xml:space="preserve">   </w:t>
      </w:r>
      <w:r>
        <w:rPr>
          <w:szCs w:val="21"/>
          <w:u w:val="single"/>
        </w:rPr>
        <w:t xml:space="preserve">   </w:t>
      </w:r>
      <w:r>
        <w:rPr>
          <w:szCs w:val="21"/>
        </w:rPr>
        <w:t>。</w:t>
      </w:r>
    </w:p>
    <w:p w14:paraId="13B17391">
      <w:pPr>
        <w:spacing w:line="400" w:lineRule="exact"/>
        <w:ind w:firstLine="420" w:firstLineChars="200"/>
        <w:rPr>
          <w:szCs w:val="21"/>
          <w:u w:val="single"/>
        </w:rPr>
      </w:pPr>
      <w:r>
        <w:rPr>
          <w:szCs w:val="21"/>
        </w:rPr>
        <w:t>主体结构、关键性工作的范围：</w:t>
      </w:r>
      <w:r>
        <w:rPr>
          <w:szCs w:val="21"/>
          <w:u w:val="single"/>
        </w:rPr>
        <w:t xml:space="preserve">  </w:t>
      </w:r>
      <w:r>
        <w:rPr>
          <w:rFonts w:hint="eastAsia"/>
          <w:szCs w:val="21"/>
          <w:u w:val="single"/>
        </w:rPr>
        <w:t xml:space="preserve">    /          </w:t>
      </w:r>
      <w:r>
        <w:rPr>
          <w:szCs w:val="21"/>
          <w:u w:val="single"/>
        </w:rPr>
        <w:t xml:space="preserve">       </w:t>
      </w:r>
      <w:r>
        <w:rPr>
          <w:szCs w:val="21"/>
        </w:rPr>
        <w:t>。</w:t>
      </w:r>
    </w:p>
    <w:p w14:paraId="676EB74B">
      <w:pPr>
        <w:spacing w:line="400" w:lineRule="exact"/>
        <w:ind w:firstLine="315" w:firstLineChars="150"/>
        <w:rPr>
          <w:szCs w:val="21"/>
        </w:rPr>
      </w:pPr>
      <w:r>
        <w:rPr>
          <w:szCs w:val="21"/>
        </w:rPr>
        <w:t xml:space="preserve"> 3.5.2分包的确定</w:t>
      </w:r>
    </w:p>
    <w:p w14:paraId="6952B666">
      <w:pPr>
        <w:spacing w:line="400" w:lineRule="exact"/>
        <w:ind w:firstLine="420" w:firstLineChars="200"/>
        <w:rPr>
          <w:szCs w:val="21"/>
          <w:u w:val="single"/>
        </w:rPr>
      </w:pPr>
      <w:r>
        <w:rPr>
          <w:szCs w:val="21"/>
        </w:rPr>
        <w:t>允许分包的专业工程包括：</w:t>
      </w:r>
      <w:r>
        <w:rPr>
          <w:szCs w:val="21"/>
          <w:u w:val="single"/>
        </w:rPr>
        <w:t></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rPr>
        <w:t>。</w:t>
      </w:r>
    </w:p>
    <w:p w14:paraId="785F930B">
      <w:pPr>
        <w:spacing w:line="400" w:lineRule="exact"/>
        <w:ind w:firstLine="420" w:firstLineChars="200"/>
        <w:rPr>
          <w:szCs w:val="21"/>
        </w:rPr>
      </w:pPr>
      <w:r>
        <w:rPr>
          <w:szCs w:val="21"/>
        </w:rPr>
        <w:t>其他关于分包的约定：</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r>
        <w:rPr>
          <w:szCs w:val="21"/>
        </w:rPr>
        <w:t>。</w:t>
      </w:r>
    </w:p>
    <w:p w14:paraId="45632A03">
      <w:pPr>
        <w:spacing w:line="400" w:lineRule="exact"/>
        <w:ind w:firstLine="420" w:firstLineChars="200"/>
        <w:rPr>
          <w:szCs w:val="21"/>
        </w:rPr>
      </w:pPr>
      <w:r>
        <w:rPr>
          <w:szCs w:val="21"/>
        </w:rPr>
        <w:t>3.5.4 分包合同价款</w:t>
      </w:r>
    </w:p>
    <w:p w14:paraId="6DF36D15">
      <w:pPr>
        <w:spacing w:line="400" w:lineRule="exact"/>
        <w:ind w:firstLine="420" w:firstLineChars="200"/>
        <w:rPr>
          <w:szCs w:val="21"/>
        </w:rPr>
      </w:pPr>
      <w:r>
        <w:rPr>
          <w:szCs w:val="21"/>
        </w:rPr>
        <w:t>关于分包合同价款支付的约定：</w:t>
      </w:r>
      <w:r>
        <w:rPr>
          <w:szCs w:val="21"/>
          <w:u w:val="single"/>
        </w:rPr>
        <w:t></w:t>
      </w:r>
      <w:r>
        <w:rPr>
          <w:rFonts w:hint="eastAsia"/>
          <w:szCs w:val="21"/>
          <w:u w:val="single"/>
        </w:rPr>
        <w:t xml:space="preserve">    /         </w:t>
      </w:r>
      <w:r>
        <w:rPr>
          <w:szCs w:val="21"/>
        </w:rPr>
        <w:t>。</w:t>
      </w:r>
    </w:p>
    <w:p w14:paraId="4CF38D86">
      <w:pPr>
        <w:spacing w:line="400" w:lineRule="exact"/>
        <w:ind w:firstLine="420" w:firstLineChars="200"/>
        <w:rPr>
          <w:szCs w:val="21"/>
        </w:rPr>
      </w:pPr>
      <w:r>
        <w:rPr>
          <w:szCs w:val="21"/>
        </w:rPr>
        <w:t>3.6 工程照管与成品、半成品保护</w:t>
      </w:r>
    </w:p>
    <w:p w14:paraId="5D558B5B">
      <w:pPr>
        <w:spacing w:line="400" w:lineRule="exact"/>
        <w:ind w:firstLine="420" w:firstLineChars="200"/>
        <w:rPr>
          <w:kern w:val="0"/>
          <w:szCs w:val="21"/>
          <w:u w:val="single"/>
        </w:rPr>
      </w:pPr>
      <w:r>
        <w:rPr>
          <w:kern w:val="0"/>
          <w:szCs w:val="21"/>
        </w:rPr>
        <w:t>承包人负责照管工程及工程相关的材料、工程设备的起始时间：</w:t>
      </w:r>
      <w:r>
        <w:rPr>
          <w:kern w:val="0"/>
          <w:szCs w:val="21"/>
          <w:u w:val="single"/>
        </w:rPr>
        <w:t>按合同通用条款执行</w:t>
      </w:r>
      <w:r>
        <w:rPr>
          <w:kern w:val="0"/>
          <w:szCs w:val="21"/>
        </w:rPr>
        <w:t>。</w:t>
      </w:r>
    </w:p>
    <w:p w14:paraId="748F2449">
      <w:pPr>
        <w:spacing w:line="400" w:lineRule="exact"/>
        <w:ind w:firstLine="420" w:firstLineChars="200"/>
        <w:rPr>
          <w:szCs w:val="21"/>
        </w:rPr>
      </w:pPr>
      <w:r>
        <w:rPr>
          <w:szCs w:val="21"/>
        </w:rPr>
        <w:t>3.7 履约担保</w:t>
      </w:r>
    </w:p>
    <w:p w14:paraId="3E710B68">
      <w:pPr>
        <w:spacing w:line="480" w:lineRule="exact"/>
        <w:ind w:firstLine="420" w:firstLineChars="200"/>
        <w:rPr>
          <w:rFonts w:hint="eastAsia" w:ascii="宋体" w:hAnsi="宋体" w:eastAsia="宋体" w:cs="宋体"/>
          <w:szCs w:val="21"/>
        </w:rPr>
      </w:pPr>
      <w:r>
        <w:rPr>
          <w:rFonts w:hint="eastAsia" w:ascii="宋体" w:hAnsi="宋体" w:eastAsia="宋体" w:cs="宋体"/>
          <w:szCs w:val="21"/>
        </w:rPr>
        <w:t>承包人是否提供履约担保：</w:t>
      </w:r>
      <w:r>
        <w:rPr>
          <w:rFonts w:hint="eastAsia" w:ascii="宋体" w:hAnsi="宋体" w:eastAsia="宋体" w:cs="宋体"/>
          <w:szCs w:val="21"/>
          <w:u w:val="single"/>
        </w:rPr>
        <w:t xml:space="preserve"> 提</w:t>
      </w:r>
      <w:r>
        <w:rPr>
          <w:rFonts w:hint="eastAsia" w:ascii="宋体" w:hAnsi="宋体" w:eastAsia="宋体" w:cs="宋体"/>
          <w:u w:val="single"/>
        </w:rPr>
        <w:t>供履约担保</w:t>
      </w:r>
      <w:r>
        <w:rPr>
          <w:rFonts w:hint="eastAsia" w:ascii="宋体" w:hAnsi="宋体" w:eastAsia="宋体" w:cs="宋体"/>
          <w:szCs w:val="21"/>
          <w:u w:val="single"/>
        </w:rPr>
        <w:t xml:space="preserve"> </w:t>
      </w:r>
      <w:r>
        <w:rPr>
          <w:rFonts w:hint="eastAsia" w:ascii="宋体" w:hAnsi="宋体" w:eastAsia="宋体" w:cs="宋体"/>
          <w:szCs w:val="21"/>
        </w:rPr>
        <w:t>。</w:t>
      </w:r>
    </w:p>
    <w:p w14:paraId="38BE2A47">
      <w:pPr>
        <w:spacing w:line="480" w:lineRule="exact"/>
        <w:ind w:firstLine="420" w:firstLineChars="200"/>
        <w:rPr>
          <w:rFonts w:hint="eastAsia" w:ascii="宋体" w:hAnsi="宋体" w:eastAsia="宋体" w:cs="宋体"/>
          <w:snapToGrid w:val="0"/>
          <w:szCs w:val="21"/>
        </w:rPr>
      </w:pPr>
      <w:r>
        <w:rPr>
          <w:rFonts w:hint="eastAsia" w:ascii="宋体" w:hAnsi="宋体" w:eastAsia="宋体" w:cs="宋体"/>
          <w:snapToGrid w:val="0"/>
          <w:szCs w:val="21"/>
        </w:rPr>
        <w:t>履约担保的方式、金额及期限: 工程履约担保金额为合同总价的2%；签订工程合同时提供。工程履约担保采用现金或工程保函（仅指银行保函、保险机构保</w:t>
      </w:r>
      <w:r>
        <w:rPr>
          <w:rFonts w:hint="eastAsia" w:ascii="宋体" w:hAnsi="宋体" w:eastAsia="宋体" w:cs="宋体"/>
          <w:snapToGrid w:val="0"/>
          <w:color w:val="auto"/>
          <w:szCs w:val="21"/>
        </w:rPr>
        <w:t>证保险保单、</w:t>
      </w:r>
      <w:r>
        <w:rPr>
          <w:rFonts w:hint="eastAsia" w:ascii="宋体" w:hAnsi="宋体" w:eastAsia="宋体" w:cs="宋体"/>
          <w:b/>
          <w:snapToGrid w:val="0"/>
          <w:color w:val="auto"/>
          <w:szCs w:val="21"/>
          <w:u w:val="single"/>
        </w:rPr>
        <w:t>国有担保公司保函</w:t>
      </w:r>
      <w:r>
        <w:rPr>
          <w:rFonts w:hint="eastAsia" w:ascii="宋体" w:hAnsi="宋体" w:eastAsia="宋体" w:cs="宋体"/>
          <w:snapToGrid w:val="0"/>
          <w:color w:val="auto"/>
          <w:szCs w:val="21"/>
        </w:rPr>
        <w:t>）。如采用现金的，承包人必须通过其基本账户转出的转帐、电汇或银行汇票方式解入发包人指定帐户。采用银行保函、保险机构保证保险保单、</w:t>
      </w:r>
      <w:r>
        <w:rPr>
          <w:rFonts w:hint="eastAsia" w:ascii="宋体" w:hAnsi="宋体" w:eastAsia="宋体" w:cs="宋体"/>
          <w:b/>
          <w:snapToGrid w:val="0"/>
          <w:color w:val="auto"/>
          <w:szCs w:val="21"/>
          <w:u w:val="single"/>
        </w:rPr>
        <w:t>国有担保公司保函</w:t>
      </w:r>
      <w:r>
        <w:rPr>
          <w:rFonts w:hint="eastAsia" w:ascii="宋体" w:hAnsi="宋体" w:eastAsia="宋体" w:cs="宋体"/>
          <w:snapToGrid w:val="0"/>
          <w:color w:val="auto"/>
          <w:szCs w:val="21"/>
        </w:rPr>
        <w:t>（以下合称“履约保函”）的，要符合以下条件：（1）履约保函的受益人：</w:t>
      </w:r>
      <w:r>
        <w:rPr>
          <w:rFonts w:hint="eastAsia" w:ascii="宋体" w:hAnsi="宋体" w:eastAsia="宋体" w:cs="宋体"/>
          <w:snapToGrid w:val="0"/>
          <w:color w:val="auto"/>
          <w:szCs w:val="21"/>
          <w:lang w:eastAsia="zh-CN"/>
        </w:rPr>
        <w:t>三门县民政局</w:t>
      </w:r>
      <w:r>
        <w:rPr>
          <w:rFonts w:hint="eastAsia" w:ascii="宋体" w:hAnsi="宋体" w:eastAsia="宋体" w:cs="宋体"/>
          <w:snapToGrid w:val="0"/>
          <w:color w:val="auto"/>
          <w:szCs w:val="21"/>
        </w:rPr>
        <w:t>；（2）履约保函提交人为承包人（如果联合体中标则为牵头人）；（3）履约保函的有效期为1年及以上，但是承</w:t>
      </w:r>
      <w:r>
        <w:rPr>
          <w:rFonts w:hint="eastAsia" w:ascii="宋体" w:hAnsi="宋体" w:eastAsia="宋体" w:cs="宋体"/>
          <w:snapToGrid w:val="0"/>
          <w:szCs w:val="21"/>
        </w:rPr>
        <w:t>包人必须承担费用并保证使履约保函按年出具并始终使其有效并足额相互衔接至至本工程竣工验收通过；（4）履约保函可以是独立保函或者非独立保函；非独立保函的保证方式：连带保证责任；（5）履约保函纠纷处理法院为三门县人民法院。</w:t>
      </w:r>
    </w:p>
    <w:p w14:paraId="4385EBD8">
      <w:pPr>
        <w:spacing w:line="480" w:lineRule="exact"/>
        <w:ind w:firstLine="420" w:firstLineChars="200"/>
        <w:rPr>
          <w:rFonts w:hint="eastAsia" w:ascii="宋体" w:hAnsi="宋体" w:eastAsia="宋体" w:cs="宋体"/>
          <w:snapToGrid w:val="0"/>
          <w:szCs w:val="21"/>
        </w:rPr>
      </w:pPr>
      <w:r>
        <w:rPr>
          <w:rFonts w:hint="eastAsia" w:ascii="宋体" w:hAnsi="宋体" w:eastAsia="宋体" w:cs="宋体"/>
          <w:snapToGrid w:val="0"/>
          <w:szCs w:val="21"/>
        </w:rPr>
        <w:t>特别约定：履约保函的合同性质为担保合同，承包人不得提交保险合同代替担保合同。承包人未按照本合同约定履行义务，需要用履约保证金赔偿损失时，由保函的开立人承担独立保函责任或者承担连带担保责任（非独立保函）；格式由出具单位自拟，但可以参照招标文件第四章附件4格式，由发包人审核同意后采用。</w:t>
      </w:r>
    </w:p>
    <w:p w14:paraId="4348CA56">
      <w:pPr>
        <w:spacing w:line="480" w:lineRule="exact"/>
        <w:ind w:firstLine="420" w:firstLineChars="200"/>
        <w:rPr>
          <w:rFonts w:hint="eastAsia" w:ascii="宋体" w:hAnsi="宋体" w:eastAsia="宋体" w:cs="宋体"/>
          <w:color w:val="FF0000"/>
          <w:szCs w:val="21"/>
        </w:rPr>
      </w:pPr>
      <w:r>
        <w:rPr>
          <w:rFonts w:hint="eastAsia" w:ascii="宋体" w:hAnsi="宋体" w:eastAsia="宋体" w:cs="宋体"/>
          <w:snapToGrid w:val="0"/>
          <w:szCs w:val="21"/>
        </w:rPr>
        <w:t>发包人在工程竣工验收合格后10天内，向承包人全额返还；承包人应保证履约担保在工程竣工验收前持续</w:t>
      </w:r>
      <w:r>
        <w:rPr>
          <w:rFonts w:hint="eastAsia" w:ascii="宋体" w:hAnsi="宋体" w:eastAsia="宋体" w:cs="宋体"/>
          <w:snapToGrid w:val="0"/>
          <w:szCs w:val="21"/>
          <w:u w:val="none"/>
        </w:rPr>
        <w:t>有效。</w:t>
      </w:r>
    </w:p>
    <w:p w14:paraId="3CB7EF1A">
      <w:pPr>
        <w:pStyle w:val="4"/>
        <w:spacing w:before="0" w:after="0" w:line="400" w:lineRule="exact"/>
        <w:ind w:firstLine="422" w:firstLineChars="200"/>
        <w:rPr>
          <w:rFonts w:ascii="Times New Roman" w:hAnsi="Times New Roman"/>
          <w:sz w:val="21"/>
          <w:szCs w:val="21"/>
        </w:rPr>
      </w:pPr>
      <w:r>
        <w:rPr>
          <w:rFonts w:ascii="Times New Roman" w:hAnsi="Times New Roman"/>
          <w:sz w:val="21"/>
          <w:szCs w:val="21"/>
        </w:rPr>
        <w:t>4</w:t>
      </w:r>
      <w:bookmarkStart w:id="36" w:name="_Toc296891202"/>
      <w:bookmarkStart w:id="37" w:name="_Toc267251413"/>
      <w:bookmarkStart w:id="38" w:name="_Toc297048348"/>
      <w:bookmarkStart w:id="39" w:name="_Toc296347161"/>
      <w:bookmarkStart w:id="40" w:name="_Toc296503162"/>
      <w:bookmarkStart w:id="41" w:name="_Toc297120462"/>
      <w:bookmarkStart w:id="42" w:name="_Toc296346663"/>
      <w:bookmarkStart w:id="43" w:name="_Toc296890990"/>
      <w:bookmarkStart w:id="44" w:name="_Toc292559871"/>
      <w:bookmarkStart w:id="45" w:name="_Toc292559366"/>
      <w:bookmarkStart w:id="46" w:name="_Toc296944501"/>
      <w:r>
        <w:rPr>
          <w:rFonts w:ascii="Times New Roman" w:hAnsi="Times New Roman"/>
          <w:sz w:val="21"/>
          <w:szCs w:val="21"/>
        </w:rPr>
        <w:t>. 监</w:t>
      </w:r>
      <w:bookmarkEnd w:id="36"/>
      <w:bookmarkEnd w:id="37"/>
      <w:bookmarkEnd w:id="38"/>
      <w:bookmarkEnd w:id="39"/>
      <w:bookmarkEnd w:id="40"/>
      <w:bookmarkEnd w:id="41"/>
      <w:bookmarkEnd w:id="42"/>
      <w:bookmarkEnd w:id="43"/>
      <w:bookmarkEnd w:id="44"/>
      <w:bookmarkEnd w:id="45"/>
      <w:bookmarkEnd w:id="46"/>
      <w:r>
        <w:rPr>
          <w:rFonts w:ascii="Times New Roman" w:hAnsi="Times New Roman"/>
          <w:sz w:val="21"/>
          <w:szCs w:val="21"/>
        </w:rPr>
        <w:t>理人</w:t>
      </w:r>
    </w:p>
    <w:p w14:paraId="2BDB0FE5">
      <w:pPr>
        <w:autoSpaceDE w:val="0"/>
        <w:autoSpaceDN w:val="0"/>
        <w:adjustRightInd w:val="0"/>
        <w:spacing w:line="400" w:lineRule="exact"/>
        <w:ind w:firstLine="420" w:firstLineChars="200"/>
        <w:rPr>
          <w:szCs w:val="21"/>
        </w:rPr>
      </w:pPr>
      <w:r>
        <w:rPr>
          <w:szCs w:val="21"/>
        </w:rPr>
        <w:t>4.1监理人的一般规定</w:t>
      </w:r>
    </w:p>
    <w:p w14:paraId="6BA3649D">
      <w:pPr>
        <w:autoSpaceDE w:val="0"/>
        <w:autoSpaceDN w:val="0"/>
        <w:adjustRightInd w:val="0"/>
        <w:spacing w:line="400" w:lineRule="exact"/>
        <w:ind w:firstLine="420" w:firstLineChars="200"/>
        <w:rPr>
          <w:szCs w:val="21"/>
        </w:rPr>
      </w:pPr>
      <w:r>
        <w:rPr>
          <w:szCs w:val="21"/>
        </w:rPr>
        <w:t>关于监理人的监理内容：</w:t>
      </w:r>
      <w:r>
        <w:rPr>
          <w:szCs w:val="21"/>
          <w:u w:val="single"/>
        </w:rPr>
        <w:t xml:space="preserve"> 按本工程监理合同约定内容</w:t>
      </w:r>
      <w:r>
        <w:rPr>
          <w:szCs w:val="21"/>
        </w:rPr>
        <w:t>。</w:t>
      </w:r>
    </w:p>
    <w:p w14:paraId="7FE05A09">
      <w:pPr>
        <w:autoSpaceDE w:val="0"/>
        <w:autoSpaceDN w:val="0"/>
        <w:adjustRightInd w:val="0"/>
        <w:spacing w:line="400" w:lineRule="exact"/>
        <w:ind w:firstLine="420" w:firstLineChars="200"/>
        <w:rPr>
          <w:szCs w:val="21"/>
        </w:rPr>
      </w:pPr>
      <w:r>
        <w:rPr>
          <w:szCs w:val="21"/>
        </w:rPr>
        <w:t>关于监理人的监理权限：〔</w:t>
      </w:r>
      <w:r>
        <w:rPr>
          <w:szCs w:val="21"/>
          <w:u w:val="single"/>
        </w:rPr>
        <w:t>按本工程监理合同约定内容，涉及工程变更（含设计变更等参建各方变更）均需报发包人审批后生效</w:t>
      </w:r>
      <w:r>
        <w:rPr>
          <w:szCs w:val="21"/>
        </w:rPr>
        <w:t>〕。</w:t>
      </w:r>
    </w:p>
    <w:p w14:paraId="7C29F7F0">
      <w:pPr>
        <w:autoSpaceDE w:val="0"/>
        <w:autoSpaceDN w:val="0"/>
        <w:adjustRightInd w:val="0"/>
        <w:spacing w:line="400" w:lineRule="exact"/>
        <w:ind w:firstLine="420" w:firstLineChars="200"/>
        <w:rPr>
          <w:szCs w:val="21"/>
        </w:rPr>
      </w:pPr>
      <w:r>
        <w:rPr>
          <w:szCs w:val="21"/>
        </w:rPr>
        <w:t>关于监理人在施工现场的办公场所、生活场所的提供和费用承担的约定：</w:t>
      </w:r>
      <w:r>
        <w:rPr>
          <w:szCs w:val="21"/>
          <w:u w:val="single"/>
        </w:rPr>
        <w:t xml:space="preserve"> 由承包人免费提供办公室1间使用。</w:t>
      </w:r>
    </w:p>
    <w:p w14:paraId="1F9F5549">
      <w:pPr>
        <w:autoSpaceDE w:val="0"/>
        <w:autoSpaceDN w:val="0"/>
        <w:adjustRightInd w:val="0"/>
        <w:spacing w:line="400" w:lineRule="exact"/>
        <w:ind w:firstLine="420" w:firstLineChars="200"/>
        <w:rPr>
          <w:szCs w:val="21"/>
        </w:rPr>
      </w:pPr>
      <w:r>
        <w:rPr>
          <w:szCs w:val="21"/>
        </w:rPr>
        <w:t>4.2 监理人员</w:t>
      </w:r>
    </w:p>
    <w:p w14:paraId="221AA192">
      <w:pPr>
        <w:autoSpaceDE w:val="0"/>
        <w:autoSpaceDN w:val="0"/>
        <w:adjustRightInd w:val="0"/>
        <w:spacing w:line="400" w:lineRule="exact"/>
        <w:ind w:firstLine="420" w:firstLineChars="200"/>
        <w:rPr>
          <w:szCs w:val="21"/>
        </w:rPr>
      </w:pPr>
      <w:r>
        <w:rPr>
          <w:szCs w:val="21"/>
        </w:rPr>
        <w:t>总监理工程师：</w:t>
      </w:r>
    </w:p>
    <w:p w14:paraId="34EA8940">
      <w:pPr>
        <w:spacing w:line="400" w:lineRule="exact"/>
        <w:ind w:firstLine="420" w:firstLineChars="200"/>
        <w:rPr>
          <w:rFonts w:hint="eastAsia" w:ascii="宋体" w:hAnsi="宋体"/>
          <w:szCs w:val="21"/>
        </w:rPr>
      </w:pPr>
      <w:r>
        <w:rPr>
          <w:rFonts w:hint="eastAsia" w:ascii="宋体" w:hAnsi="宋体"/>
          <w:szCs w:val="21"/>
        </w:rPr>
        <w:t>姓    名：</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cs="宋体"/>
          <w:szCs w:val="21"/>
          <w:u w:val="single"/>
          <w:lang w:val="en-US" w:eastAsia="zh-CN"/>
        </w:rPr>
        <w:t xml:space="preserve">     </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rPr>
        <w:t>；职    务：</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cs="宋体"/>
          <w:szCs w:val="21"/>
          <w:u w:val="single"/>
          <w:lang w:val="en-US" w:eastAsia="zh-CN"/>
        </w:rPr>
        <w:t xml:space="preserve">   </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rPr>
        <w:t>；</w:t>
      </w:r>
    </w:p>
    <w:p w14:paraId="508559D1">
      <w:pPr>
        <w:spacing w:line="400" w:lineRule="exact"/>
        <w:ind w:firstLine="420" w:firstLineChars="200"/>
        <w:rPr>
          <w:rFonts w:hint="eastAsia" w:ascii="宋体" w:hAnsi="宋体"/>
          <w:szCs w:val="21"/>
        </w:rPr>
      </w:pPr>
      <w:r>
        <w:rPr>
          <w:rFonts w:hint="eastAsia" w:ascii="宋体" w:hAnsi="宋体"/>
          <w:szCs w:val="21"/>
        </w:rPr>
        <w:t>监理工程师执业资格证书号：</w:t>
      </w:r>
      <w:r>
        <w:rPr>
          <w:rFonts w:hint="eastAsia" w:ascii="宋体" w:hAnsi="宋体" w:cs="宋体"/>
          <w:szCs w:val="21"/>
          <w:u w:val="single"/>
        </w:rPr>
        <w:t></w:t>
      </w:r>
      <w:r>
        <w:rPr>
          <w:rFonts w:hint="eastAsia" w:ascii="宋体" w:hAnsi="宋体" w:cs="宋体"/>
          <w:szCs w:val="21"/>
          <w:u w:val="single"/>
          <w:lang w:val="en-US" w:eastAsia="zh-CN"/>
        </w:rPr>
        <w:t xml:space="preserve">     </w:t>
      </w:r>
      <w:r>
        <w:rPr>
          <w:rFonts w:hint="eastAsia" w:ascii="宋体" w:hAnsi="宋体" w:cs="宋体"/>
          <w:szCs w:val="21"/>
          <w:u w:val="single"/>
        </w:rPr>
        <w:t></w:t>
      </w:r>
      <w:r>
        <w:rPr>
          <w:rFonts w:hint="eastAsia" w:ascii="宋体" w:hAnsi="宋体"/>
          <w:szCs w:val="21"/>
        </w:rPr>
        <w:t>；联系电话：</w:t>
      </w:r>
      <w:r>
        <w:rPr>
          <w:rFonts w:hint="eastAsia" w:ascii="宋体" w:hAnsi="宋体" w:cs="宋体"/>
          <w:szCs w:val="21"/>
          <w:u w:val="single"/>
        </w:rPr>
        <w:t></w:t>
      </w:r>
      <w:r>
        <w:rPr>
          <w:rFonts w:hint="eastAsia" w:ascii="宋体" w:hAnsi="宋体" w:cs="宋体"/>
          <w:szCs w:val="21"/>
          <w:u w:val="single"/>
          <w:lang w:val="en-US" w:eastAsia="zh-CN"/>
        </w:rPr>
        <w:t xml:space="preserve"> </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rPr>
        <w:t>；</w:t>
      </w:r>
    </w:p>
    <w:p w14:paraId="76C35B2C">
      <w:pPr>
        <w:spacing w:line="400" w:lineRule="exact"/>
        <w:ind w:firstLine="420" w:firstLineChars="200"/>
        <w:rPr>
          <w:rFonts w:hint="eastAsia" w:ascii="宋体" w:hAnsi="宋体"/>
          <w:szCs w:val="21"/>
        </w:rPr>
      </w:pPr>
      <w:r>
        <w:rPr>
          <w:rFonts w:hint="eastAsia" w:ascii="宋体" w:hAnsi="宋体"/>
          <w:szCs w:val="21"/>
        </w:rPr>
        <w:t>电子信箱：</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r>
        <w:rPr>
          <w:rFonts w:hint="eastAsia" w:ascii="宋体" w:hAnsi="宋体"/>
          <w:szCs w:val="21"/>
        </w:rPr>
        <w:t>；通信地址：</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rPr>
        <w:t>；</w:t>
      </w:r>
    </w:p>
    <w:p w14:paraId="3599920C">
      <w:pPr>
        <w:autoSpaceDE w:val="0"/>
        <w:autoSpaceDN w:val="0"/>
        <w:adjustRightInd w:val="0"/>
        <w:spacing w:line="400" w:lineRule="exact"/>
        <w:ind w:firstLine="420" w:firstLineChars="200"/>
        <w:rPr>
          <w:szCs w:val="21"/>
          <w:u w:val="single"/>
        </w:rPr>
      </w:pPr>
      <w:r>
        <w:rPr>
          <w:szCs w:val="21"/>
        </w:rPr>
        <w:t>关于监理人的其他约定：</w:t>
      </w:r>
    </w:p>
    <w:p w14:paraId="2E5119F2">
      <w:pPr>
        <w:autoSpaceDE w:val="0"/>
        <w:autoSpaceDN w:val="0"/>
        <w:adjustRightInd w:val="0"/>
        <w:spacing w:line="400" w:lineRule="exact"/>
        <w:ind w:firstLine="420" w:firstLineChars="200"/>
        <w:rPr>
          <w:szCs w:val="21"/>
          <w:u w:val="single"/>
        </w:rPr>
      </w:pPr>
      <w:r>
        <w:rPr>
          <w:szCs w:val="21"/>
          <w:u w:val="single"/>
        </w:rPr>
        <w:t>（1）监理人授权超出合同约定，承包人有权提出异议，如监理人对于承包人合理的异议不予接受，则承包人可要求发包人就该事项作出处理决定；</w:t>
      </w:r>
    </w:p>
    <w:p w14:paraId="20C8E31D">
      <w:pPr>
        <w:autoSpaceDE w:val="0"/>
        <w:autoSpaceDN w:val="0"/>
        <w:adjustRightInd w:val="0"/>
        <w:spacing w:line="400" w:lineRule="exact"/>
        <w:ind w:firstLine="420" w:firstLineChars="200"/>
        <w:rPr>
          <w:szCs w:val="21"/>
          <w:u w:val="single"/>
        </w:rPr>
      </w:pPr>
      <w:r>
        <w:rPr>
          <w:szCs w:val="21"/>
          <w:u w:val="single"/>
        </w:rPr>
        <w:t>（2）对于监理人更换其委派的监理人员的，监理人在征得发包人同意后应当提前48小时书面通知承包人；</w:t>
      </w:r>
    </w:p>
    <w:p w14:paraId="51AB344F">
      <w:pPr>
        <w:autoSpaceDE w:val="0"/>
        <w:autoSpaceDN w:val="0"/>
        <w:adjustRightInd w:val="0"/>
        <w:spacing w:line="400" w:lineRule="exact"/>
        <w:ind w:firstLine="420" w:firstLineChars="200"/>
        <w:rPr>
          <w:rFonts w:hint="eastAsia"/>
          <w:szCs w:val="21"/>
          <w:u w:val="single"/>
        </w:rPr>
      </w:pPr>
      <w:r>
        <w:rPr>
          <w:szCs w:val="21"/>
          <w:u w:val="single"/>
        </w:rPr>
        <w:t>（3）监理人对其监理人员的任何授权，承包人均应当要求监理人提供书面的授权，否则，承包人有权拒绝接受监理人员的指示。</w:t>
      </w:r>
    </w:p>
    <w:p w14:paraId="7BAF9DD2">
      <w:pPr>
        <w:autoSpaceDE w:val="0"/>
        <w:autoSpaceDN w:val="0"/>
        <w:adjustRightInd w:val="0"/>
        <w:spacing w:line="400" w:lineRule="exact"/>
        <w:ind w:firstLine="420" w:firstLineChars="200"/>
        <w:rPr>
          <w:szCs w:val="21"/>
        </w:rPr>
      </w:pPr>
      <w:r>
        <w:rPr>
          <w:szCs w:val="21"/>
        </w:rPr>
        <w:t>4.4 商定或确定</w:t>
      </w:r>
    </w:p>
    <w:p w14:paraId="0F8E48C7">
      <w:pPr>
        <w:autoSpaceDE w:val="0"/>
        <w:autoSpaceDN w:val="0"/>
        <w:adjustRightInd w:val="0"/>
        <w:spacing w:line="400" w:lineRule="exact"/>
        <w:ind w:firstLine="420" w:firstLineChars="200"/>
        <w:rPr>
          <w:szCs w:val="21"/>
        </w:rPr>
      </w:pPr>
      <w:r>
        <w:rPr>
          <w:szCs w:val="21"/>
        </w:rPr>
        <w:t>在发包人和承包人不能通过协商达成一致意见时，发包人授权监理人对以下事项进行确定：</w:t>
      </w:r>
    </w:p>
    <w:p w14:paraId="672E9F1D">
      <w:pPr>
        <w:autoSpaceDE w:val="0"/>
        <w:autoSpaceDN w:val="0"/>
        <w:adjustRightInd w:val="0"/>
        <w:spacing w:line="400" w:lineRule="exact"/>
        <w:ind w:firstLine="420" w:firstLineChars="200"/>
        <w:rPr>
          <w:szCs w:val="21"/>
        </w:rPr>
      </w:pPr>
      <w:r>
        <w:rPr>
          <w:szCs w:val="21"/>
        </w:rPr>
        <w:t>（1）</w:t>
      </w:r>
      <w:r>
        <w:rPr>
          <w:szCs w:val="21"/>
          <w:u w:val="single"/>
        </w:rPr>
        <w:t xml:space="preserve">                   </w:t>
      </w:r>
      <w:r>
        <w:rPr>
          <w:rFonts w:hint="eastAsia"/>
          <w:szCs w:val="21"/>
          <w:u w:val="single"/>
        </w:rPr>
        <w:t xml:space="preserve">                                      </w:t>
      </w:r>
      <w:r>
        <w:rPr>
          <w:szCs w:val="21"/>
          <w:u w:val="single"/>
        </w:rPr>
        <w:t xml:space="preserve">     </w:t>
      </w:r>
      <w:r>
        <w:rPr>
          <w:szCs w:val="21"/>
        </w:rPr>
        <w:t>；</w:t>
      </w:r>
    </w:p>
    <w:p w14:paraId="2553D63D">
      <w:pPr>
        <w:autoSpaceDE w:val="0"/>
        <w:autoSpaceDN w:val="0"/>
        <w:adjustRightInd w:val="0"/>
        <w:spacing w:line="400" w:lineRule="exact"/>
        <w:ind w:firstLine="420" w:firstLineChars="200"/>
        <w:rPr>
          <w:szCs w:val="21"/>
        </w:rPr>
      </w:pPr>
      <w:r>
        <w:rPr>
          <w:szCs w:val="21"/>
        </w:rPr>
        <w:t>（2）</w:t>
      </w:r>
      <w:r>
        <w:rPr>
          <w:szCs w:val="21"/>
          <w:u w:val="single"/>
        </w:rPr>
        <w:t xml:space="preserve">                           </w:t>
      </w:r>
      <w:r>
        <w:rPr>
          <w:rFonts w:hint="eastAsia"/>
          <w:szCs w:val="21"/>
          <w:u w:val="single"/>
        </w:rPr>
        <w:t xml:space="preserve">                                  </w:t>
      </w:r>
      <w:r>
        <w:rPr>
          <w:szCs w:val="21"/>
          <w:u w:val="single"/>
        </w:rPr>
        <w:t xml:space="preserve"> </w:t>
      </w:r>
      <w:r>
        <w:rPr>
          <w:szCs w:val="21"/>
        </w:rPr>
        <w:t>；</w:t>
      </w:r>
    </w:p>
    <w:p w14:paraId="345C5788">
      <w:pPr>
        <w:autoSpaceDE w:val="0"/>
        <w:autoSpaceDN w:val="0"/>
        <w:adjustRightInd w:val="0"/>
        <w:spacing w:line="400" w:lineRule="exact"/>
        <w:ind w:firstLine="420" w:firstLineChars="200"/>
        <w:rPr>
          <w:kern w:val="0"/>
          <w:szCs w:val="21"/>
        </w:rPr>
      </w:pPr>
      <w:r>
        <w:rPr>
          <w:szCs w:val="21"/>
        </w:rPr>
        <w:t>（3）</w:t>
      </w:r>
      <w:r>
        <w:rPr>
          <w:szCs w:val="21"/>
          <w:u w:val="single"/>
        </w:rPr>
        <w:t xml:space="preserve">                            </w:t>
      </w:r>
      <w:r>
        <w:rPr>
          <w:rFonts w:hint="eastAsia"/>
          <w:szCs w:val="21"/>
          <w:u w:val="single"/>
        </w:rPr>
        <w:t xml:space="preserve">                                 </w:t>
      </w:r>
      <w:r>
        <w:rPr>
          <w:szCs w:val="21"/>
          <w:u w:val="single"/>
        </w:rPr>
        <w:t xml:space="preserve"> </w:t>
      </w:r>
      <w:r>
        <w:rPr>
          <w:szCs w:val="21"/>
        </w:rPr>
        <w:t>。</w:t>
      </w:r>
    </w:p>
    <w:p w14:paraId="5710F62F">
      <w:pPr>
        <w:pStyle w:val="4"/>
        <w:spacing w:before="0" w:after="0" w:line="400" w:lineRule="exact"/>
        <w:ind w:firstLine="422" w:firstLineChars="200"/>
        <w:rPr>
          <w:rFonts w:ascii="Times New Roman" w:hAnsi="Times New Roman"/>
          <w:sz w:val="21"/>
          <w:szCs w:val="21"/>
        </w:rPr>
      </w:pPr>
      <w:bookmarkStart w:id="47" w:name="_Toc351203637"/>
      <w:r>
        <w:rPr>
          <w:rFonts w:ascii="Times New Roman" w:hAnsi="Times New Roman"/>
          <w:sz w:val="21"/>
          <w:szCs w:val="21"/>
        </w:rPr>
        <w:t>5. 工程质量</w:t>
      </w:r>
      <w:bookmarkEnd w:id="47"/>
    </w:p>
    <w:p w14:paraId="68909137">
      <w:pPr>
        <w:spacing w:line="400" w:lineRule="exact"/>
        <w:ind w:firstLine="420" w:firstLineChars="200"/>
        <w:jc w:val="left"/>
        <w:rPr>
          <w:szCs w:val="21"/>
        </w:rPr>
      </w:pPr>
      <w:r>
        <w:rPr>
          <w:szCs w:val="21"/>
        </w:rPr>
        <w:t>5.1 质量要求</w:t>
      </w:r>
    </w:p>
    <w:p w14:paraId="170E3324">
      <w:pPr>
        <w:spacing w:line="400" w:lineRule="exact"/>
        <w:ind w:firstLine="420" w:firstLineChars="200"/>
        <w:jc w:val="left"/>
        <w:rPr>
          <w:color w:val="auto"/>
          <w:szCs w:val="21"/>
        </w:rPr>
      </w:pPr>
      <w:r>
        <w:rPr>
          <w:color w:val="auto"/>
          <w:szCs w:val="21"/>
        </w:rPr>
        <w:t>5.1.1 特殊质量标准和要求：</w:t>
      </w:r>
      <w:r>
        <w:rPr>
          <w:rFonts w:hint="eastAsia"/>
          <w:color w:val="auto"/>
          <w:u w:val="single"/>
        </w:rPr>
        <w:t>除通用条款约定外，要达到设计及国家、地方现行的有关规范和标准的质量要求，并最终一次性验收合格</w:t>
      </w:r>
      <w:r>
        <w:rPr>
          <w:color w:val="auto"/>
          <w:u w:val="single"/>
        </w:rPr>
        <w:t>。</w:t>
      </w:r>
    </w:p>
    <w:p w14:paraId="0B6DD3E2">
      <w:pPr>
        <w:spacing w:line="400" w:lineRule="exact"/>
        <w:ind w:firstLine="420" w:firstLineChars="200"/>
        <w:jc w:val="left"/>
        <w:rPr>
          <w:szCs w:val="21"/>
        </w:rPr>
      </w:pPr>
      <w:r>
        <w:rPr>
          <w:color w:val="auto"/>
          <w:szCs w:val="21"/>
        </w:rPr>
        <w:t>关于工程奖项的约定：</w:t>
      </w:r>
      <w:r>
        <w:rPr>
          <w:color w:val="auto"/>
          <w:szCs w:val="21"/>
          <w:u w:val="single"/>
        </w:rPr>
        <w:t xml:space="preserve">                 </w:t>
      </w:r>
      <w:r>
        <w:rPr>
          <w:rFonts w:hint="eastAsia"/>
          <w:color w:val="auto"/>
          <w:szCs w:val="21"/>
          <w:u w:val="single"/>
        </w:rPr>
        <w:t xml:space="preserve">     /                     </w:t>
      </w:r>
      <w:r>
        <w:rPr>
          <w:rFonts w:hint="eastAsia"/>
          <w:szCs w:val="21"/>
          <w:u w:val="single"/>
        </w:rPr>
        <w:t xml:space="preserve">  </w:t>
      </w:r>
      <w:r>
        <w:rPr>
          <w:szCs w:val="21"/>
          <w:u w:val="single"/>
        </w:rPr>
        <w:t xml:space="preserve">  </w:t>
      </w:r>
      <w:r>
        <w:rPr>
          <w:szCs w:val="21"/>
        </w:rPr>
        <w:t>。</w:t>
      </w:r>
    </w:p>
    <w:p w14:paraId="3C3E3F34">
      <w:pPr>
        <w:spacing w:line="400" w:lineRule="exact"/>
        <w:ind w:firstLine="420" w:firstLineChars="200"/>
        <w:jc w:val="left"/>
        <w:rPr>
          <w:szCs w:val="21"/>
        </w:rPr>
      </w:pPr>
      <w:r>
        <w:rPr>
          <w:szCs w:val="21"/>
        </w:rPr>
        <w:t>5.3 隐蔽工程检查</w:t>
      </w:r>
    </w:p>
    <w:p w14:paraId="10DE80E7">
      <w:pPr>
        <w:spacing w:line="400" w:lineRule="exact"/>
        <w:ind w:firstLine="420" w:firstLineChars="200"/>
        <w:jc w:val="left"/>
        <w:rPr>
          <w:szCs w:val="21"/>
        </w:rPr>
      </w:pPr>
      <w:r>
        <w:rPr>
          <w:szCs w:val="21"/>
        </w:rPr>
        <w:t>5.3.2承包人提前通知监理人隐蔽工程检查的期限的约定：</w:t>
      </w:r>
      <w:r>
        <w:rPr>
          <w:szCs w:val="21"/>
          <w:u w:val="single"/>
        </w:rPr>
        <w:t xml:space="preserve"> 按通用合同条款执行。</w:t>
      </w:r>
    </w:p>
    <w:p w14:paraId="08B783CF">
      <w:pPr>
        <w:spacing w:line="400" w:lineRule="exact"/>
        <w:ind w:firstLine="420" w:firstLineChars="200"/>
        <w:jc w:val="left"/>
        <w:rPr>
          <w:szCs w:val="21"/>
        </w:rPr>
      </w:pPr>
      <w:r>
        <w:rPr>
          <w:szCs w:val="21"/>
        </w:rPr>
        <w:t>监理人不能按时进行检查时，应提前</w:t>
      </w:r>
      <w:r>
        <w:rPr>
          <w:szCs w:val="21"/>
          <w:u w:val="single"/>
        </w:rPr>
        <w:t xml:space="preserve"> 24 </w:t>
      </w:r>
      <w:r>
        <w:rPr>
          <w:szCs w:val="21"/>
        </w:rPr>
        <w:t>小时提交书面延期要求。</w:t>
      </w:r>
    </w:p>
    <w:p w14:paraId="03865FF6">
      <w:pPr>
        <w:spacing w:line="400" w:lineRule="exact"/>
        <w:ind w:firstLine="420" w:firstLineChars="200"/>
        <w:jc w:val="left"/>
        <w:rPr>
          <w:szCs w:val="21"/>
        </w:rPr>
      </w:pPr>
      <w:r>
        <w:rPr>
          <w:szCs w:val="21"/>
        </w:rPr>
        <w:t>关于延期最长不得超过：</w:t>
      </w:r>
      <w:r>
        <w:rPr>
          <w:szCs w:val="21"/>
          <w:u w:val="single"/>
        </w:rPr>
        <w:t xml:space="preserve"> 24 </w:t>
      </w:r>
      <w:r>
        <w:rPr>
          <w:szCs w:val="21"/>
        </w:rPr>
        <w:t>小时，由此导致工期延误的，工期予以顺延。</w:t>
      </w:r>
    </w:p>
    <w:p w14:paraId="0AEE1C0F">
      <w:pPr>
        <w:spacing w:line="400" w:lineRule="exact"/>
        <w:ind w:firstLine="420" w:firstLineChars="200"/>
        <w:jc w:val="left"/>
        <w:rPr>
          <w:rFonts w:hint="eastAsia"/>
          <w:szCs w:val="21"/>
        </w:rPr>
      </w:pPr>
      <w:r>
        <w:rPr>
          <w:rFonts w:hint="eastAsia"/>
          <w:u w:val="single"/>
        </w:rPr>
        <w:t>隐蔽工程验收过程、验收部位除办理纸质验收记录，承包人还应保留验收部位、验收过程、验收人员相片、影像等资料。</w:t>
      </w:r>
    </w:p>
    <w:p w14:paraId="414507CF">
      <w:pPr>
        <w:pStyle w:val="4"/>
        <w:spacing w:before="0" w:after="0" w:line="400" w:lineRule="exact"/>
        <w:ind w:firstLine="422" w:firstLineChars="200"/>
        <w:rPr>
          <w:rFonts w:ascii="Times New Roman" w:hAnsi="Times New Roman" w:eastAsia="宋体"/>
          <w:b w:val="0"/>
          <w:sz w:val="21"/>
          <w:szCs w:val="21"/>
        </w:rPr>
      </w:pPr>
      <w:r>
        <w:rPr>
          <w:rFonts w:ascii="Times New Roman" w:hAnsi="Times New Roman"/>
          <w:sz w:val="21"/>
          <w:szCs w:val="21"/>
        </w:rPr>
        <w:t>6. 安全文明施工与环境保护</w:t>
      </w:r>
    </w:p>
    <w:p w14:paraId="70B89C93">
      <w:pPr>
        <w:spacing w:line="400" w:lineRule="exact"/>
        <w:ind w:firstLine="420" w:firstLineChars="200"/>
        <w:rPr>
          <w:szCs w:val="21"/>
        </w:rPr>
      </w:pPr>
      <w:r>
        <w:rPr>
          <w:szCs w:val="21"/>
        </w:rPr>
        <w:t>6.1安全文明施工</w:t>
      </w:r>
    </w:p>
    <w:p w14:paraId="65FE36F8">
      <w:pPr>
        <w:spacing w:line="400" w:lineRule="exact"/>
        <w:ind w:firstLine="420" w:firstLineChars="200"/>
        <w:jc w:val="left"/>
        <w:rPr>
          <w:rFonts w:hint="eastAsia"/>
          <w:u w:val="single"/>
        </w:rPr>
      </w:pPr>
      <w:r>
        <w:rPr>
          <w:szCs w:val="21"/>
        </w:rPr>
        <w:t>6.1.1 项目安全生产的达标目标及相应事项的约定：</w:t>
      </w:r>
      <w:r>
        <w:rPr>
          <w:rFonts w:hint="eastAsia"/>
          <w:u w:val="single"/>
        </w:rPr>
        <w:t>按《浙江省建筑施工安全标准化管理规定》（浙建建〔2012〕54 号），及工程所在地相关主管部门发布的有关施工现场安全文明施工（含扬尘防护、监测），门禁考勤管理，噪音、污水排放，视频监控等管理规定执行。（注：根据工程所在地管理部门对该区域内现场安全文明施工要求不同调整）</w:t>
      </w:r>
    </w:p>
    <w:p w14:paraId="148EC953">
      <w:pPr>
        <w:spacing w:line="400" w:lineRule="exact"/>
        <w:ind w:firstLine="420" w:firstLineChars="200"/>
        <w:jc w:val="left"/>
        <w:rPr>
          <w:rFonts w:hint="eastAsia"/>
          <w:u w:val="single"/>
        </w:rPr>
      </w:pPr>
      <w:r>
        <w:rPr>
          <w:rFonts w:hint="eastAsia"/>
          <w:u w:val="single"/>
        </w:rPr>
        <w:t>（1）承包人在施工期间，应严格执行工程所在地有关建设工程安全、文明施工的规定，由于管理不善引起政府有关部门罚款或责令停工整改等，其发生的费用或导致的损失应由承包人自行承担，在施工单位整改前发包人保留因此而缓付工程进度款的权利。</w:t>
      </w:r>
    </w:p>
    <w:p w14:paraId="60FD7C22">
      <w:pPr>
        <w:spacing w:line="400" w:lineRule="exact"/>
        <w:ind w:firstLine="420" w:firstLineChars="200"/>
        <w:jc w:val="left"/>
        <w:rPr>
          <w:rFonts w:hint="eastAsia"/>
          <w:u w:val="single"/>
        </w:rPr>
      </w:pPr>
      <w:r>
        <w:rPr>
          <w:rFonts w:hint="eastAsia"/>
          <w:u w:val="single"/>
        </w:rPr>
        <w:t>（2）承包人在施工过程中造成发包人或第三方人身、财产等损失的，由承包人承担赔偿责任。</w:t>
      </w:r>
    </w:p>
    <w:p w14:paraId="15B67589">
      <w:pPr>
        <w:spacing w:line="400" w:lineRule="exact"/>
        <w:ind w:firstLine="420" w:firstLineChars="200"/>
        <w:rPr>
          <w:szCs w:val="21"/>
        </w:rPr>
      </w:pPr>
      <w:r>
        <w:rPr>
          <w:szCs w:val="21"/>
        </w:rPr>
        <w:t>6.1.4 关于治安保卫的特别约定：</w:t>
      </w:r>
      <w:r>
        <w:rPr>
          <w:szCs w:val="21"/>
          <w:u w:val="single"/>
        </w:rPr>
        <w:t>按通用合同条款</w:t>
      </w:r>
      <w:r>
        <w:rPr>
          <w:szCs w:val="21"/>
        </w:rPr>
        <w:t>。</w:t>
      </w:r>
    </w:p>
    <w:p w14:paraId="182B670F">
      <w:pPr>
        <w:spacing w:line="400" w:lineRule="exact"/>
        <w:ind w:firstLine="420" w:firstLineChars="200"/>
        <w:rPr>
          <w:szCs w:val="21"/>
        </w:rPr>
      </w:pPr>
      <w:r>
        <w:rPr>
          <w:szCs w:val="21"/>
        </w:rPr>
        <w:t>关于编制施工场地治安管理计划的约定：</w:t>
      </w:r>
      <w:r>
        <w:rPr>
          <w:szCs w:val="21"/>
          <w:u w:val="single"/>
        </w:rPr>
        <w:t>按通用合同条款</w:t>
      </w:r>
      <w:r>
        <w:rPr>
          <w:szCs w:val="21"/>
        </w:rPr>
        <w:t>。</w:t>
      </w:r>
    </w:p>
    <w:p w14:paraId="086015EB">
      <w:pPr>
        <w:spacing w:line="400" w:lineRule="exact"/>
        <w:ind w:firstLine="420" w:firstLineChars="200"/>
        <w:rPr>
          <w:szCs w:val="21"/>
        </w:rPr>
      </w:pPr>
      <w:r>
        <w:rPr>
          <w:szCs w:val="21"/>
        </w:rPr>
        <w:t>6.1.5 文明施工</w:t>
      </w:r>
    </w:p>
    <w:p w14:paraId="4402AB7D">
      <w:pPr>
        <w:spacing w:line="400" w:lineRule="exact"/>
        <w:ind w:firstLine="420" w:firstLineChars="200"/>
        <w:rPr>
          <w:szCs w:val="21"/>
          <w:u w:val="single"/>
        </w:rPr>
      </w:pPr>
      <w:r>
        <w:rPr>
          <w:szCs w:val="21"/>
        </w:rPr>
        <w:t>合同当事人对文明施工的要求：</w:t>
      </w:r>
      <w:r>
        <w:rPr>
          <w:szCs w:val="21"/>
          <w:u w:val="single"/>
        </w:rPr>
        <w:t>按省、市发有关文明施工管理规定执行。</w:t>
      </w:r>
    </w:p>
    <w:p w14:paraId="7FCCADA3">
      <w:pPr>
        <w:spacing w:line="400" w:lineRule="exact"/>
        <w:ind w:firstLine="420" w:firstLineChars="200"/>
        <w:rPr>
          <w:rFonts w:hint="eastAsia"/>
          <w:szCs w:val="21"/>
          <w:u w:val="single"/>
        </w:rPr>
      </w:pPr>
      <w:r>
        <w:rPr>
          <w:szCs w:val="21"/>
        </w:rPr>
        <w:t>6.1.6 关于安全文明施工费支付比例和支付期限的约定：</w:t>
      </w:r>
      <w:r>
        <w:rPr>
          <w:rFonts w:hint="eastAsia"/>
          <w:szCs w:val="21"/>
          <w:u w:val="single"/>
        </w:rPr>
        <w:t>安全文明施工费预付费用包含在工程预付款内，与工程预付款一并支付，支付比例为安全文明施工费(不含创标化工地增加费) 总额的(50) %（注：合同工期在一年以内的，预付费用不得低于该费用总额的50%；合同工期在一年以上的（含一年）项目，预付费用不得低于该费用总额的30%），其余部分与进度款同期支付。安全文明施工费承包人应专款专用，在财务账目中应单独列项备查，不得挪作他用。</w:t>
      </w:r>
    </w:p>
    <w:p w14:paraId="0432C4A4">
      <w:pPr>
        <w:spacing w:line="400" w:lineRule="exact"/>
        <w:ind w:firstLine="420" w:firstLineChars="200"/>
        <w:rPr>
          <w:szCs w:val="21"/>
        </w:rPr>
      </w:pPr>
      <w:r>
        <w:rPr>
          <w:szCs w:val="21"/>
          <w:u w:val="single"/>
        </w:rPr>
        <w:t>安全文明施工费包含在签约合同价内。承包人经发包人同意采取合同以外的安全措施所产生的费用，由发、承包人协商处理；未经发包人同意，发包人可不承担由此增加费用</w:t>
      </w:r>
      <w:r>
        <w:rPr>
          <w:szCs w:val="21"/>
        </w:rPr>
        <w:t>。</w:t>
      </w:r>
    </w:p>
    <w:p w14:paraId="360FE14D">
      <w:pPr>
        <w:pStyle w:val="4"/>
        <w:spacing w:before="0" w:after="0" w:line="400" w:lineRule="exact"/>
        <w:ind w:firstLine="422" w:firstLineChars="200"/>
        <w:rPr>
          <w:rFonts w:ascii="Times New Roman" w:hAnsi="Times New Roman"/>
          <w:sz w:val="21"/>
          <w:szCs w:val="21"/>
        </w:rPr>
      </w:pPr>
      <w:bookmarkStart w:id="48" w:name="_Toc351203639"/>
      <w:r>
        <w:rPr>
          <w:rFonts w:ascii="Times New Roman" w:hAnsi="Times New Roman"/>
          <w:sz w:val="21"/>
          <w:szCs w:val="21"/>
        </w:rPr>
        <w:t>7. 工期和进度</w:t>
      </w:r>
      <w:bookmarkEnd w:id="48"/>
    </w:p>
    <w:p w14:paraId="08851C9A">
      <w:pPr>
        <w:spacing w:line="400" w:lineRule="exact"/>
        <w:ind w:firstLine="420" w:firstLineChars="200"/>
        <w:rPr>
          <w:szCs w:val="21"/>
        </w:rPr>
      </w:pPr>
      <w:r>
        <w:rPr>
          <w:szCs w:val="21"/>
        </w:rPr>
        <w:t>7.1 施工组织设计</w:t>
      </w:r>
    </w:p>
    <w:p w14:paraId="19205C3B">
      <w:pPr>
        <w:autoSpaceDE w:val="0"/>
        <w:autoSpaceDN w:val="0"/>
        <w:adjustRightInd w:val="0"/>
        <w:spacing w:line="400" w:lineRule="exact"/>
        <w:ind w:firstLine="420" w:firstLineChars="200"/>
        <w:rPr>
          <w:rFonts w:ascii="宋体" w:hAnsi="宋体" w:cs="宋体"/>
          <w:szCs w:val="21"/>
          <w:u w:val="single"/>
        </w:rPr>
      </w:pPr>
      <w:r>
        <w:rPr>
          <w:szCs w:val="21"/>
        </w:rPr>
        <w:t>7.1.</w:t>
      </w:r>
      <w:r>
        <w:rPr>
          <w:rFonts w:hint="eastAsia"/>
          <w:szCs w:val="21"/>
        </w:rPr>
        <w:t>1 合</w:t>
      </w:r>
      <w:r>
        <w:rPr>
          <w:rFonts w:hint="eastAsia"/>
          <w:kern w:val="0"/>
          <w:szCs w:val="21"/>
        </w:rPr>
        <w:t>同当事人约定的</w:t>
      </w:r>
      <w:r>
        <w:rPr>
          <w:kern w:val="0"/>
          <w:szCs w:val="21"/>
        </w:rPr>
        <w:t>施工组织设计</w:t>
      </w:r>
      <w:r>
        <w:rPr>
          <w:rFonts w:hint="eastAsia"/>
          <w:kern w:val="0"/>
          <w:szCs w:val="21"/>
        </w:rPr>
        <w:t>应包括的其他内容</w:t>
      </w:r>
      <w:r>
        <w:rPr>
          <w:kern w:val="0"/>
          <w:szCs w:val="21"/>
        </w:rPr>
        <w:t>：</w:t>
      </w:r>
      <w:r>
        <w:rPr>
          <w:rFonts w:hint="eastAsia" w:ascii="宋体" w:hAnsi="宋体" w:cs="宋体"/>
          <w:szCs w:val="21"/>
          <w:u w:val="single"/>
        </w:rPr>
        <w:t>对特殊工艺施工、危险性较大分部分项工程施工（如基坑支护方案、高大支模架方案、外墙悬挑架等专项施工方案），应按规定组织专家论证及办理审批手续。</w:t>
      </w:r>
    </w:p>
    <w:p w14:paraId="19C80564">
      <w:pPr>
        <w:autoSpaceDE w:val="0"/>
        <w:autoSpaceDN w:val="0"/>
        <w:adjustRightInd w:val="0"/>
        <w:spacing w:line="400" w:lineRule="exact"/>
        <w:ind w:firstLine="420" w:firstLineChars="200"/>
        <w:rPr>
          <w:szCs w:val="21"/>
        </w:rPr>
      </w:pPr>
      <w:r>
        <w:rPr>
          <w:rFonts w:hint="eastAsia" w:ascii="宋体" w:hAnsi="宋体" w:cs="宋体"/>
          <w:szCs w:val="21"/>
          <w:u w:val="single"/>
        </w:rPr>
        <w:t>监理人、发包人对施工组织设计、专项施工方案的批准，仅表示对施工技术方案的认可；如构成工程变更或者涉及工程价款调整的，承包人应在提交的审批表中载明，并同时提交工程造价文件，经监理人、发包人审批后作为结算依据（注：政府性投资项目，应按当地政府规定的项目变更办理程序办理）。</w:t>
      </w:r>
    </w:p>
    <w:p w14:paraId="18F87C40">
      <w:pPr>
        <w:autoSpaceDE w:val="0"/>
        <w:autoSpaceDN w:val="0"/>
        <w:adjustRightInd w:val="0"/>
        <w:spacing w:line="400" w:lineRule="exact"/>
        <w:ind w:firstLine="420" w:firstLineChars="200"/>
        <w:rPr>
          <w:kern w:val="0"/>
          <w:szCs w:val="21"/>
        </w:rPr>
      </w:pPr>
      <w:r>
        <w:rPr>
          <w:szCs w:val="21"/>
        </w:rPr>
        <w:t xml:space="preserve">7.1.2 </w:t>
      </w:r>
      <w:r>
        <w:rPr>
          <w:kern w:val="0"/>
          <w:szCs w:val="21"/>
        </w:rPr>
        <w:t>施工组织设计的提交和修改</w:t>
      </w:r>
    </w:p>
    <w:p w14:paraId="650F7586">
      <w:pPr>
        <w:autoSpaceDE w:val="0"/>
        <w:autoSpaceDN w:val="0"/>
        <w:adjustRightInd w:val="0"/>
        <w:spacing w:line="400" w:lineRule="exact"/>
        <w:ind w:firstLine="420" w:firstLineChars="200"/>
        <w:rPr>
          <w:szCs w:val="21"/>
        </w:rPr>
      </w:pPr>
      <w:r>
        <w:rPr>
          <w:kern w:val="0"/>
          <w:szCs w:val="21"/>
        </w:rPr>
        <w:t>承包人提交详细施工组织设计的期限的约定：</w:t>
      </w:r>
      <w:r>
        <w:rPr>
          <w:rFonts w:hint="eastAsia" w:ascii="宋体" w:hAnsi="宋体"/>
          <w:szCs w:val="21"/>
          <w:u w:val="single"/>
        </w:rPr>
        <w:t>接到开工通知（或确定开工日期）后7天内，专项施工方案在相应部位施工前7天。发包人对承包人的施工组织设计（或方案）提出质疑和合理修正时，承包人应7天内提供修正完成并重新提交；每月20日前向发包方提交下一月进度计划和施工方案</w:t>
      </w:r>
      <w:r>
        <w:rPr>
          <w:rFonts w:ascii="宋体" w:hAnsi="宋体"/>
          <w:szCs w:val="21"/>
          <w:u w:val="single"/>
        </w:rPr>
        <w:t>。</w:t>
      </w:r>
    </w:p>
    <w:p w14:paraId="3E739230">
      <w:pPr>
        <w:spacing w:line="400" w:lineRule="exact"/>
        <w:ind w:firstLine="420" w:firstLineChars="200"/>
        <w:rPr>
          <w:szCs w:val="21"/>
        </w:rPr>
      </w:pPr>
      <w:r>
        <w:rPr>
          <w:szCs w:val="21"/>
        </w:rPr>
        <w:t>发包人和监理人在收到</w:t>
      </w:r>
      <w:r>
        <w:rPr>
          <w:rFonts w:hint="eastAsia"/>
          <w:szCs w:val="21"/>
        </w:rPr>
        <w:t>详细的施工组织设计</w:t>
      </w:r>
      <w:r>
        <w:rPr>
          <w:szCs w:val="21"/>
        </w:rPr>
        <w:t>后确认或提出修改意见的期限：</w:t>
      </w:r>
      <w:r>
        <w:rPr>
          <w:rFonts w:hint="eastAsia"/>
          <w:szCs w:val="21"/>
          <w:u w:val="single"/>
        </w:rPr>
        <w:t>收到相应文件后7天内</w:t>
      </w:r>
      <w:r>
        <w:rPr>
          <w:szCs w:val="21"/>
          <w:u w:val="single"/>
        </w:rPr>
        <w:t>。</w:t>
      </w:r>
    </w:p>
    <w:p w14:paraId="5C0AB8E8">
      <w:pPr>
        <w:spacing w:line="400" w:lineRule="exact"/>
        <w:ind w:firstLine="420" w:firstLineChars="200"/>
        <w:rPr>
          <w:szCs w:val="21"/>
        </w:rPr>
      </w:pPr>
      <w:r>
        <w:rPr>
          <w:szCs w:val="21"/>
        </w:rPr>
        <w:t>7.2 施工进度计划</w:t>
      </w:r>
    </w:p>
    <w:p w14:paraId="07B30961">
      <w:pPr>
        <w:spacing w:line="400" w:lineRule="exact"/>
        <w:ind w:firstLine="420" w:firstLineChars="200"/>
        <w:rPr>
          <w:szCs w:val="21"/>
        </w:rPr>
      </w:pPr>
      <w:r>
        <w:rPr>
          <w:szCs w:val="21"/>
        </w:rPr>
        <w:t>7.2.2 施工进度计划的修订</w:t>
      </w:r>
    </w:p>
    <w:p w14:paraId="7AE94BF3">
      <w:pPr>
        <w:spacing w:line="400" w:lineRule="exact"/>
        <w:ind w:firstLine="420" w:firstLineChars="200"/>
        <w:rPr>
          <w:szCs w:val="21"/>
        </w:rPr>
      </w:pPr>
      <w:r>
        <w:rPr>
          <w:szCs w:val="21"/>
        </w:rPr>
        <w:t>发包人和监理人在收到修订的施工进度计划后确认或提出修改意见的期限：</w:t>
      </w:r>
      <w:r>
        <w:rPr>
          <w:szCs w:val="21"/>
          <w:u w:val="single"/>
        </w:rPr>
        <w:t xml:space="preserve"> 收到相应文件后7天内 </w:t>
      </w:r>
      <w:r>
        <w:rPr>
          <w:szCs w:val="21"/>
        </w:rPr>
        <w:t>。</w:t>
      </w:r>
    </w:p>
    <w:p w14:paraId="7B71989F">
      <w:pPr>
        <w:spacing w:line="400" w:lineRule="exact"/>
        <w:ind w:firstLine="420" w:firstLineChars="200"/>
        <w:rPr>
          <w:szCs w:val="21"/>
        </w:rPr>
      </w:pPr>
      <w:r>
        <w:rPr>
          <w:szCs w:val="21"/>
        </w:rPr>
        <w:t>7.3 开工</w:t>
      </w:r>
    </w:p>
    <w:p w14:paraId="268FAB30">
      <w:pPr>
        <w:spacing w:line="400" w:lineRule="exact"/>
        <w:ind w:firstLine="420" w:firstLineChars="200"/>
        <w:rPr>
          <w:szCs w:val="21"/>
        </w:rPr>
      </w:pPr>
      <w:r>
        <w:rPr>
          <w:szCs w:val="21"/>
        </w:rPr>
        <w:t>7.3.1 开工准备</w:t>
      </w:r>
    </w:p>
    <w:p w14:paraId="2C2F4F61">
      <w:pPr>
        <w:spacing w:line="400" w:lineRule="exact"/>
        <w:ind w:firstLine="420" w:firstLineChars="200"/>
        <w:rPr>
          <w:color w:val="auto"/>
          <w:szCs w:val="21"/>
          <w:u w:val="single"/>
        </w:rPr>
      </w:pPr>
      <w:r>
        <w:rPr>
          <w:szCs w:val="21"/>
        </w:rPr>
        <w:t>关于承包人提交工程开工报审表的</w:t>
      </w:r>
      <w:r>
        <w:rPr>
          <w:color w:val="auto"/>
          <w:szCs w:val="21"/>
        </w:rPr>
        <w:t>期限：</w:t>
      </w:r>
      <w:r>
        <w:rPr>
          <w:color w:val="auto"/>
          <w:szCs w:val="21"/>
          <w:u w:val="single"/>
        </w:rPr>
        <w:t xml:space="preserve">接到开工通知（或确定开工日期）后7天内 </w:t>
      </w:r>
      <w:r>
        <w:rPr>
          <w:color w:val="auto"/>
          <w:szCs w:val="21"/>
        </w:rPr>
        <w:t>。</w:t>
      </w:r>
    </w:p>
    <w:p w14:paraId="05ED4926">
      <w:pPr>
        <w:spacing w:line="400" w:lineRule="exact"/>
        <w:ind w:firstLine="420" w:firstLineChars="200"/>
        <w:rPr>
          <w:szCs w:val="21"/>
        </w:rPr>
      </w:pPr>
      <w:r>
        <w:rPr>
          <w:szCs w:val="21"/>
        </w:rPr>
        <w:t>关于发包人应完成的其他开工准备工作及期限：</w:t>
      </w:r>
      <w:r>
        <w:rPr>
          <w:szCs w:val="21"/>
          <w:u w:val="single"/>
        </w:rPr>
        <w:t>开工前7天</w:t>
      </w:r>
      <w:r>
        <w:rPr>
          <w:szCs w:val="21"/>
        </w:rPr>
        <w:t>。</w:t>
      </w:r>
    </w:p>
    <w:p w14:paraId="4E40767A">
      <w:pPr>
        <w:spacing w:line="400" w:lineRule="exact"/>
        <w:ind w:firstLine="420" w:firstLineChars="200"/>
        <w:rPr>
          <w:szCs w:val="21"/>
        </w:rPr>
      </w:pPr>
      <w:r>
        <w:rPr>
          <w:szCs w:val="21"/>
        </w:rPr>
        <w:t>关于承包人应完成的其他开工准备工作及期限：</w:t>
      </w:r>
      <w:r>
        <w:rPr>
          <w:szCs w:val="21"/>
          <w:u w:val="single"/>
        </w:rPr>
        <w:t>开工前。</w:t>
      </w:r>
    </w:p>
    <w:p w14:paraId="75AD1A3A">
      <w:pPr>
        <w:spacing w:line="400" w:lineRule="exact"/>
        <w:ind w:firstLine="420" w:firstLineChars="200"/>
        <w:rPr>
          <w:szCs w:val="21"/>
        </w:rPr>
      </w:pPr>
      <w:r>
        <w:rPr>
          <w:szCs w:val="21"/>
        </w:rPr>
        <w:t>7.3.2开工通知</w:t>
      </w:r>
    </w:p>
    <w:p w14:paraId="0F7BC642">
      <w:pPr>
        <w:spacing w:line="400" w:lineRule="exact"/>
        <w:ind w:firstLine="420" w:firstLineChars="200"/>
        <w:rPr>
          <w:szCs w:val="21"/>
        </w:rPr>
      </w:pPr>
      <w:r>
        <w:rPr>
          <w:szCs w:val="21"/>
        </w:rPr>
        <w:t>发包人（或监理人）在计划开工日期前7天向承包人发出开工通知，工期自开工通知中载明的开工日期起算。</w:t>
      </w:r>
    </w:p>
    <w:p w14:paraId="0559FF14">
      <w:pPr>
        <w:spacing w:line="400" w:lineRule="exact"/>
        <w:ind w:firstLine="420" w:firstLineChars="200"/>
        <w:rPr>
          <w:szCs w:val="21"/>
          <w:u w:val="single"/>
        </w:rPr>
      </w:pPr>
      <w:r>
        <w:rPr>
          <w:szCs w:val="21"/>
          <w:u w:val="single"/>
        </w:rPr>
        <w:t>因发包人原因造成监理人未能在计划开工日期之日起</w:t>
      </w:r>
      <w:r>
        <w:rPr>
          <w:rFonts w:hint="eastAsia"/>
          <w:szCs w:val="21"/>
          <w:u w:val="single"/>
        </w:rPr>
        <w:t>90</w:t>
      </w:r>
      <w:r>
        <w:rPr>
          <w:szCs w:val="21"/>
          <w:u w:val="single"/>
        </w:rPr>
        <w:t>天内发出开工通知的，承包人有权提出价格调整要求，或者解除合同。发包人应当承担由此增加的费用或赔偿承包人的损失。</w:t>
      </w:r>
    </w:p>
    <w:p w14:paraId="5F179A71">
      <w:pPr>
        <w:spacing w:line="400" w:lineRule="exact"/>
        <w:ind w:firstLine="420" w:firstLineChars="200"/>
        <w:rPr>
          <w:szCs w:val="21"/>
        </w:rPr>
      </w:pPr>
      <w:r>
        <w:rPr>
          <w:szCs w:val="21"/>
        </w:rPr>
        <w:t>7.4 测量放线</w:t>
      </w:r>
    </w:p>
    <w:p w14:paraId="7303677D">
      <w:pPr>
        <w:spacing w:line="400" w:lineRule="exact"/>
        <w:ind w:firstLine="420" w:firstLineChars="200"/>
        <w:rPr>
          <w:color w:val="auto"/>
          <w:szCs w:val="21"/>
          <w:highlight w:val="none"/>
        </w:rPr>
      </w:pPr>
      <w:r>
        <w:rPr>
          <w:szCs w:val="21"/>
        </w:rPr>
        <w:t>7.4.1发包人通过监理人向承包人提供测量基准点、基准线和水准点及其书面资料的期限：</w:t>
      </w:r>
      <w:r>
        <w:rPr>
          <w:szCs w:val="21"/>
          <w:u w:val="single"/>
        </w:rPr>
        <w:t xml:space="preserve"> 按通用合同条款执行</w:t>
      </w:r>
      <w:r>
        <w:rPr>
          <w:color w:val="auto"/>
          <w:szCs w:val="21"/>
          <w:highlight w:val="none"/>
          <w:u w:val="single"/>
        </w:rPr>
        <w:t xml:space="preserve"> </w:t>
      </w:r>
      <w:r>
        <w:rPr>
          <w:rFonts w:hint="eastAsia"/>
          <w:color w:val="auto"/>
          <w:szCs w:val="21"/>
          <w:highlight w:val="none"/>
          <w:u w:val="single"/>
          <w:lang w:eastAsia="zh-CN"/>
        </w:rPr>
        <w:t>，其中测量放线的费用由承包人承担</w:t>
      </w:r>
      <w:r>
        <w:rPr>
          <w:color w:val="auto"/>
          <w:szCs w:val="21"/>
          <w:highlight w:val="none"/>
        </w:rPr>
        <w:t>。</w:t>
      </w:r>
    </w:p>
    <w:p w14:paraId="4B50E2BB">
      <w:pPr>
        <w:spacing w:line="400" w:lineRule="exact"/>
        <w:ind w:firstLine="420" w:firstLineChars="200"/>
        <w:rPr>
          <w:color w:val="auto"/>
          <w:szCs w:val="21"/>
          <w:highlight w:val="none"/>
        </w:rPr>
      </w:pPr>
      <w:r>
        <w:rPr>
          <w:color w:val="auto"/>
          <w:szCs w:val="21"/>
          <w:highlight w:val="none"/>
        </w:rPr>
        <w:t>7.5 工期延误</w:t>
      </w:r>
    </w:p>
    <w:p w14:paraId="4D482EC6">
      <w:pPr>
        <w:spacing w:line="400" w:lineRule="exact"/>
        <w:ind w:firstLine="420" w:firstLineChars="200"/>
        <w:rPr>
          <w:color w:val="auto"/>
          <w:szCs w:val="21"/>
          <w:highlight w:val="none"/>
        </w:rPr>
      </w:pPr>
      <w:r>
        <w:rPr>
          <w:color w:val="auto"/>
          <w:szCs w:val="21"/>
          <w:highlight w:val="none"/>
        </w:rPr>
        <w:t>7.5.1 因发包人原因导致工期延误</w:t>
      </w:r>
    </w:p>
    <w:p w14:paraId="32175D4A">
      <w:pPr>
        <w:spacing w:line="400" w:lineRule="exact"/>
        <w:ind w:firstLine="420" w:firstLineChars="200"/>
        <w:rPr>
          <w:rFonts w:ascii="Times New Roman" w:hAnsi="Times New Roman"/>
          <w:color w:val="auto"/>
          <w:szCs w:val="21"/>
          <w:highlight w:val="none"/>
        </w:rPr>
      </w:pPr>
      <w:r>
        <w:rPr>
          <w:color w:val="auto"/>
          <w:szCs w:val="21"/>
          <w:highlight w:val="none"/>
        </w:rPr>
        <w:t>（7）因发包人原因导致工期延误的其他情形：</w:t>
      </w:r>
      <w:r>
        <w:rPr>
          <w:rFonts w:hint="eastAsia"/>
          <w:color w:val="auto"/>
          <w:szCs w:val="21"/>
          <w:highlight w:val="none"/>
          <w:u w:val="single"/>
        </w:rPr>
        <w:t>①设计变更；②因政策处理不完善导致无法施工；③由于配合政府单位要求检查、活动等引起的停工（承包人必须且有义务留存政府单位下达要求的正式文件）。注：因以上原因造成工期延误或停工的，需提供相关证明材料，同时仅顺延工期，费用不增加</w:t>
      </w:r>
      <w:r>
        <w:rPr>
          <w:color w:val="auto"/>
          <w:szCs w:val="21"/>
          <w:highlight w:val="none"/>
          <w:u w:val="single"/>
        </w:rPr>
        <w:t>。</w:t>
      </w:r>
    </w:p>
    <w:p w14:paraId="42729536">
      <w:pPr>
        <w:spacing w:line="400" w:lineRule="exact"/>
        <w:ind w:firstLine="420" w:firstLineChars="200"/>
        <w:rPr>
          <w:color w:val="auto"/>
          <w:szCs w:val="21"/>
          <w:highlight w:val="none"/>
        </w:rPr>
      </w:pPr>
      <w:r>
        <w:rPr>
          <w:color w:val="auto"/>
          <w:szCs w:val="21"/>
          <w:highlight w:val="none"/>
        </w:rPr>
        <w:t>7.5.2 因承包人原因导致工期延误</w:t>
      </w:r>
    </w:p>
    <w:p w14:paraId="1795F20B">
      <w:pPr>
        <w:spacing w:line="400" w:lineRule="exact"/>
        <w:ind w:firstLine="420" w:firstLineChars="200"/>
        <w:rPr>
          <w:rFonts w:hint="eastAsia" w:ascii="宋体" w:hAnsi="宋体" w:cs="宋体"/>
          <w:color w:val="auto"/>
          <w:sz w:val="22"/>
          <w:szCs w:val="20"/>
          <w:highlight w:val="none"/>
          <w:u w:val="single"/>
          <w:lang w:eastAsia="zh-CN"/>
        </w:rPr>
      </w:pPr>
      <w:r>
        <w:rPr>
          <w:color w:val="auto"/>
          <w:szCs w:val="21"/>
          <w:highlight w:val="none"/>
        </w:rPr>
        <w:t>因</w:t>
      </w:r>
      <w:bookmarkStart w:id="49" w:name="_Toc318581170"/>
      <w:bookmarkStart w:id="50" w:name="_Toc312678013"/>
      <w:bookmarkStart w:id="51" w:name="_Toc312677487"/>
      <w:r>
        <w:rPr>
          <w:color w:val="auto"/>
          <w:szCs w:val="21"/>
          <w:highlight w:val="none"/>
        </w:rPr>
        <w:t>承包人原因造成工期延误，逾期竣工违约金的计算方法为：</w:t>
      </w:r>
      <w:bookmarkEnd w:id="49"/>
      <w:bookmarkEnd w:id="50"/>
      <w:bookmarkEnd w:id="51"/>
      <w:r>
        <w:rPr>
          <w:rFonts w:hint="eastAsia" w:ascii="Times New Roman" w:hAnsi="Times New Roman" w:eastAsia="宋体" w:cs="Times New Roman"/>
          <w:color w:val="auto"/>
          <w:szCs w:val="21"/>
          <w:highlight w:val="none"/>
          <w:u w:val="single"/>
          <w:lang w:val="en-US" w:eastAsia="zh-CN"/>
        </w:rPr>
        <w:t>1000</w:t>
      </w:r>
      <w:r>
        <w:rPr>
          <w:rFonts w:hint="eastAsia" w:ascii="Times New Roman" w:hAnsi="Times New Roman" w:eastAsia="宋体" w:cs="Times New Roman"/>
          <w:color w:val="auto"/>
          <w:szCs w:val="21"/>
          <w:highlight w:val="none"/>
          <w:u w:val="single"/>
        </w:rPr>
        <w:t>元/天</w:t>
      </w:r>
      <w:r>
        <w:rPr>
          <w:rFonts w:hint="eastAsia" w:ascii="Times New Roman" w:hAnsi="Times New Roman" w:eastAsia="宋体" w:cs="Times New Roman"/>
          <w:color w:val="auto"/>
          <w:szCs w:val="21"/>
          <w:highlight w:val="none"/>
          <w:u w:val="single"/>
          <w:lang w:eastAsia="zh-CN"/>
        </w:rPr>
        <w:t>。</w:t>
      </w:r>
    </w:p>
    <w:p w14:paraId="67ABA5F7">
      <w:pPr>
        <w:spacing w:line="400" w:lineRule="exact"/>
        <w:ind w:firstLine="420" w:firstLineChars="200"/>
        <w:rPr>
          <w:rFonts w:hint="eastAsia" w:ascii="Times New Roman" w:hAnsi="Times New Roman" w:eastAsia="宋体" w:cs="Times New Roman"/>
          <w:color w:val="auto"/>
          <w:szCs w:val="21"/>
          <w:u w:val="single"/>
        </w:rPr>
      </w:pPr>
      <w:r>
        <w:rPr>
          <w:color w:val="auto"/>
          <w:szCs w:val="21"/>
        </w:rPr>
        <w:t>因承包人原因造成工期延误，逾期竣工违约金的上限：</w:t>
      </w:r>
      <w:r>
        <w:rPr>
          <w:rFonts w:hint="eastAsia" w:ascii="Times New Roman" w:hAnsi="Times New Roman" w:eastAsia="宋体" w:cs="Times New Roman"/>
          <w:color w:val="auto"/>
          <w:szCs w:val="21"/>
          <w:u w:val="single"/>
        </w:rPr>
        <w:t>履约保证金额度，对发包人造成损失超过违约金的，除承担违约金外同时赔偿发包人损失。</w:t>
      </w:r>
    </w:p>
    <w:p w14:paraId="412E28A8">
      <w:pPr>
        <w:spacing w:line="400" w:lineRule="exact"/>
        <w:ind w:firstLine="420" w:firstLineChars="200"/>
        <w:rPr>
          <w:szCs w:val="21"/>
        </w:rPr>
      </w:pPr>
      <w:r>
        <w:rPr>
          <w:szCs w:val="21"/>
        </w:rPr>
        <w:t>7</w:t>
      </w:r>
      <w:bookmarkStart w:id="52" w:name="_Toc297123519"/>
      <w:bookmarkStart w:id="53" w:name="_Toc303539128"/>
      <w:bookmarkStart w:id="54" w:name="_Toc312678015"/>
      <w:bookmarkStart w:id="55" w:name="_Toc304295549"/>
      <w:bookmarkStart w:id="56" w:name="_Toc300934971"/>
      <w:bookmarkStart w:id="57" w:name="_Toc297216178"/>
      <w:r>
        <w:rPr>
          <w:szCs w:val="21"/>
        </w:rPr>
        <w:t>.6 不</w:t>
      </w:r>
      <w:bookmarkEnd w:id="52"/>
      <w:bookmarkEnd w:id="53"/>
      <w:bookmarkEnd w:id="54"/>
      <w:bookmarkEnd w:id="55"/>
      <w:bookmarkEnd w:id="56"/>
      <w:bookmarkEnd w:id="57"/>
      <w:r>
        <w:rPr>
          <w:szCs w:val="21"/>
        </w:rPr>
        <w:t>利物质条件</w:t>
      </w:r>
    </w:p>
    <w:p w14:paraId="6254190A">
      <w:pPr>
        <w:spacing w:line="400" w:lineRule="exact"/>
        <w:ind w:firstLine="420" w:firstLineChars="200"/>
        <w:rPr>
          <w:szCs w:val="21"/>
        </w:rPr>
      </w:pPr>
      <w:r>
        <w:rPr>
          <w:szCs w:val="21"/>
        </w:rPr>
        <w:t>不利物质条件的其他情形和有关约定：</w:t>
      </w:r>
    </w:p>
    <w:p w14:paraId="4DEA6AB4">
      <w:pPr>
        <w:spacing w:line="400" w:lineRule="exact"/>
        <w:ind w:firstLine="420" w:firstLineChars="200"/>
        <w:rPr>
          <w:szCs w:val="21"/>
        </w:rPr>
      </w:pPr>
      <w:r>
        <w:rPr>
          <w:szCs w:val="21"/>
        </w:rPr>
        <w:t>（1）</w:t>
      </w:r>
      <w:r>
        <w:rPr>
          <w:szCs w:val="21"/>
          <w:u w:val="single"/>
        </w:rPr>
        <w:t>每天连续停水、停电超过8小时以上。</w:t>
      </w:r>
    </w:p>
    <w:p w14:paraId="5C0E0BA5">
      <w:pPr>
        <w:spacing w:line="400" w:lineRule="exact"/>
        <w:ind w:firstLine="420" w:firstLineChars="200"/>
        <w:rPr>
          <w:szCs w:val="21"/>
          <w:u w:val="single"/>
        </w:rPr>
      </w:pPr>
      <w:r>
        <w:rPr>
          <w:szCs w:val="21"/>
        </w:rPr>
        <w:t>（2）</w:t>
      </w:r>
      <w:r>
        <w:rPr>
          <w:szCs w:val="21"/>
          <w:u w:val="single"/>
        </w:rPr>
        <w:t>因政府行政命令（因承包人原因的除外）。</w:t>
      </w:r>
    </w:p>
    <w:p w14:paraId="61319F0F">
      <w:pPr>
        <w:spacing w:line="400" w:lineRule="exact"/>
        <w:ind w:firstLine="420" w:firstLineChars="200"/>
        <w:rPr>
          <w:szCs w:val="21"/>
          <w:u w:val="single"/>
        </w:rPr>
      </w:pPr>
      <w:r>
        <w:rPr>
          <w:szCs w:val="21"/>
        </w:rPr>
        <w:t>（3）</w:t>
      </w:r>
      <w:r>
        <w:rPr>
          <w:szCs w:val="21"/>
          <w:u w:val="single"/>
        </w:rPr>
        <w:t>非因双方原因而无法控制的爆炸、火灾等事件。</w:t>
      </w:r>
    </w:p>
    <w:p w14:paraId="66DA504A">
      <w:pPr>
        <w:spacing w:line="400" w:lineRule="exact"/>
        <w:ind w:firstLine="420" w:firstLineChars="200"/>
        <w:rPr>
          <w:szCs w:val="21"/>
          <w:u w:val="single"/>
        </w:rPr>
      </w:pPr>
      <w:r>
        <w:rPr>
          <w:szCs w:val="21"/>
        </w:rPr>
        <w:t>（4）</w:t>
      </w:r>
      <w:r>
        <w:rPr>
          <w:szCs w:val="21"/>
          <w:u w:val="single"/>
        </w:rPr>
        <w:t>施工场地周围地下管线保护，地下障碍物和污染物排除，邻近建筑物、构筑物的保护要求。</w:t>
      </w:r>
    </w:p>
    <w:p w14:paraId="571ADCF6">
      <w:pPr>
        <w:spacing w:line="400" w:lineRule="exact"/>
        <w:ind w:firstLine="420" w:firstLineChars="200"/>
        <w:rPr>
          <w:rFonts w:hint="eastAsia"/>
          <w:szCs w:val="21"/>
          <w:u w:val="single"/>
        </w:rPr>
      </w:pPr>
      <w:r>
        <w:rPr>
          <w:szCs w:val="21"/>
          <w:u w:val="single"/>
        </w:rPr>
        <w:t>（5）地质勘探资料未涉及的地下管道、暗沟、岩层等。</w:t>
      </w:r>
    </w:p>
    <w:p w14:paraId="7ADDADF8">
      <w:pPr>
        <w:spacing w:line="400" w:lineRule="exact"/>
        <w:ind w:firstLine="420" w:firstLineChars="200"/>
        <w:rPr>
          <w:rFonts w:hint="eastAsia"/>
          <w:szCs w:val="21"/>
          <w:u w:val="single"/>
        </w:rPr>
      </w:pPr>
      <w:r>
        <w:rPr>
          <w:rFonts w:hint="eastAsia"/>
          <w:szCs w:val="21"/>
          <w:u w:val="single"/>
        </w:rPr>
        <w:t>承包人为克服不利物质条件，所采取合理措施而增加的费用和延误的工期由发包人承担；承包人虽然采取了合理的措施，但不利物质条件发生后，仍导致了工程现场损失，则参照</w:t>
      </w:r>
      <w:r>
        <w:rPr>
          <w:rFonts w:hint="eastAsia"/>
          <w:szCs w:val="21"/>
          <w:u w:val="single"/>
          <w:lang w:val="en-US" w:eastAsia="zh-CN"/>
        </w:rPr>
        <w:t>专用</w:t>
      </w:r>
      <w:r>
        <w:rPr>
          <w:rFonts w:hint="eastAsia"/>
          <w:szCs w:val="21"/>
          <w:u w:val="single"/>
        </w:rPr>
        <w:t>合同条款17.3</w:t>
      </w:r>
      <w:r>
        <w:rPr>
          <w:rFonts w:hint="eastAsia"/>
          <w:szCs w:val="21"/>
          <w:u w:val="single"/>
          <w:lang w:val="en-US" w:eastAsia="zh-CN"/>
        </w:rPr>
        <w:t>条</w:t>
      </w:r>
      <w:r>
        <w:rPr>
          <w:rFonts w:hint="eastAsia"/>
          <w:szCs w:val="21"/>
          <w:u w:val="single"/>
        </w:rPr>
        <w:t>处理。</w:t>
      </w:r>
    </w:p>
    <w:p w14:paraId="2F25D5C9">
      <w:pPr>
        <w:spacing w:line="400" w:lineRule="exact"/>
        <w:ind w:firstLine="420" w:firstLineChars="200"/>
        <w:rPr>
          <w:szCs w:val="21"/>
        </w:rPr>
      </w:pPr>
      <w:r>
        <w:rPr>
          <w:szCs w:val="21"/>
        </w:rPr>
        <w:t>7.7异常恶劣的气候条件</w:t>
      </w:r>
    </w:p>
    <w:p w14:paraId="0BC1888E">
      <w:pPr>
        <w:spacing w:line="400" w:lineRule="exact"/>
        <w:ind w:firstLine="420" w:firstLineChars="200"/>
        <w:rPr>
          <w:szCs w:val="21"/>
        </w:rPr>
      </w:pPr>
      <w:r>
        <w:rPr>
          <w:szCs w:val="21"/>
        </w:rPr>
        <w:t>发包人和承包人同意以下情形视为异常恶劣的气候条件：</w:t>
      </w:r>
    </w:p>
    <w:p w14:paraId="3B4D3731">
      <w:pPr>
        <w:spacing w:line="400" w:lineRule="exact"/>
        <w:ind w:firstLine="420" w:firstLineChars="200"/>
        <w:rPr>
          <w:szCs w:val="21"/>
          <w:u w:val="single"/>
        </w:rPr>
      </w:pPr>
      <w:r>
        <w:rPr>
          <w:szCs w:val="21"/>
        </w:rPr>
        <w:t>（1）</w:t>
      </w:r>
      <w:r>
        <w:rPr>
          <w:szCs w:val="21"/>
          <w:u w:val="single"/>
        </w:rPr>
        <w:t>8</w:t>
      </w:r>
      <w:r>
        <w:rPr>
          <w:rFonts w:hint="eastAsia"/>
          <w:szCs w:val="21"/>
          <w:u w:val="single"/>
        </w:rPr>
        <w:t>-10</w:t>
      </w:r>
      <w:r>
        <w:rPr>
          <w:szCs w:val="21"/>
          <w:u w:val="single"/>
        </w:rPr>
        <w:t>级</w:t>
      </w:r>
      <w:r>
        <w:rPr>
          <w:rFonts w:hint="eastAsia"/>
          <w:szCs w:val="21"/>
          <w:u w:val="single"/>
        </w:rPr>
        <w:t>（含10级）</w:t>
      </w:r>
      <w:r>
        <w:rPr>
          <w:szCs w:val="21"/>
          <w:u w:val="single"/>
        </w:rPr>
        <w:t>持续24小时的大风</w:t>
      </w:r>
      <w:r>
        <w:rPr>
          <w:rFonts w:hint="eastAsia"/>
          <w:szCs w:val="21"/>
          <w:u w:val="single"/>
        </w:rPr>
        <w:t>（台风）</w:t>
      </w:r>
      <w:r>
        <w:rPr>
          <w:szCs w:val="21"/>
          <w:u w:val="single"/>
        </w:rPr>
        <w:t>；</w:t>
      </w:r>
    </w:p>
    <w:p w14:paraId="5DF14BB2">
      <w:pPr>
        <w:spacing w:line="400" w:lineRule="exact"/>
        <w:ind w:firstLine="420" w:firstLineChars="200"/>
        <w:rPr>
          <w:szCs w:val="21"/>
        </w:rPr>
      </w:pPr>
      <w:r>
        <w:rPr>
          <w:szCs w:val="21"/>
        </w:rPr>
        <w:t>（2）</w:t>
      </w:r>
      <w:r>
        <w:rPr>
          <w:szCs w:val="21"/>
          <w:u w:val="single"/>
        </w:rPr>
        <w:t>24小时内持续降雨且降水量为200mm以上；</w:t>
      </w:r>
    </w:p>
    <w:p w14:paraId="6D05FF31">
      <w:pPr>
        <w:spacing w:line="400" w:lineRule="exact"/>
        <w:ind w:firstLine="420" w:firstLineChars="200"/>
        <w:rPr>
          <w:rFonts w:hint="eastAsia"/>
          <w:szCs w:val="21"/>
        </w:rPr>
      </w:pPr>
      <w:r>
        <w:rPr>
          <w:szCs w:val="21"/>
        </w:rPr>
        <w:t>（3）</w:t>
      </w:r>
      <w:r>
        <w:rPr>
          <w:szCs w:val="21"/>
          <w:u w:val="single"/>
        </w:rPr>
        <w:t>40摄氏度及以上且持续2天以上的高温天气。</w:t>
      </w:r>
    </w:p>
    <w:p w14:paraId="145731CF">
      <w:pPr>
        <w:spacing w:line="400" w:lineRule="exact"/>
        <w:ind w:firstLine="420" w:firstLineChars="200"/>
        <w:rPr>
          <w:rFonts w:hint="eastAsia"/>
          <w:szCs w:val="21"/>
          <w:u w:val="single"/>
        </w:rPr>
      </w:pPr>
      <w:r>
        <w:rPr>
          <w:rFonts w:hint="eastAsia"/>
          <w:szCs w:val="21"/>
          <w:u w:val="single"/>
        </w:rPr>
        <w:t>承包人为克服异常恶劣的气候条件，所采取合理措施而增加的费用和延误的工期由发包人承担；承包人虽然采取了合理的措施，但异常恶劣的气候条件发生后，仍导致了工程现场损失，则参照通用合同条款17.3处理。</w:t>
      </w:r>
    </w:p>
    <w:p w14:paraId="6AF9E2C9">
      <w:pPr>
        <w:spacing w:line="400" w:lineRule="exact"/>
        <w:ind w:firstLine="420" w:firstLineChars="200"/>
        <w:rPr>
          <w:szCs w:val="21"/>
        </w:rPr>
      </w:pPr>
      <w:r>
        <w:rPr>
          <w:szCs w:val="21"/>
        </w:rPr>
        <w:t>7.9 提前竣工的奖励</w:t>
      </w:r>
    </w:p>
    <w:p w14:paraId="0A097C76">
      <w:pPr>
        <w:spacing w:line="400" w:lineRule="exact"/>
        <w:ind w:firstLine="420" w:firstLineChars="200"/>
        <w:rPr>
          <w:color w:val="auto"/>
          <w:szCs w:val="21"/>
          <w:u w:val="single"/>
        </w:rPr>
      </w:pPr>
      <w:r>
        <w:rPr>
          <w:szCs w:val="21"/>
        </w:rPr>
        <w:t>7.9.2提前竣工</w:t>
      </w:r>
      <w:r>
        <w:rPr>
          <w:szCs w:val="21"/>
          <w:highlight w:val="none"/>
        </w:rPr>
        <w:t>的奖</w:t>
      </w:r>
      <w:r>
        <w:rPr>
          <w:color w:val="auto"/>
          <w:szCs w:val="21"/>
          <w:highlight w:val="none"/>
        </w:rPr>
        <w:t>励：</w:t>
      </w:r>
      <w:r>
        <w:rPr>
          <w:rFonts w:hint="eastAsia" w:ascii="Times New Roman" w:hAnsi="Times New Roman" w:eastAsia="宋体" w:cs="Times New Roman"/>
          <w:color w:val="auto"/>
          <w:szCs w:val="21"/>
          <w:highlight w:val="none"/>
          <w:u w:val="single"/>
          <w:lang w:val="en-US" w:eastAsia="zh-CN"/>
        </w:rPr>
        <w:t>1000</w:t>
      </w:r>
      <w:r>
        <w:rPr>
          <w:rFonts w:hint="eastAsia" w:ascii="Times New Roman" w:hAnsi="Times New Roman" w:eastAsia="宋体" w:cs="Times New Roman"/>
          <w:color w:val="auto"/>
          <w:szCs w:val="21"/>
          <w:highlight w:val="none"/>
          <w:u w:val="single"/>
        </w:rPr>
        <w:t>元/天</w:t>
      </w:r>
      <w:r>
        <w:rPr>
          <w:rFonts w:hint="eastAsia" w:ascii="Times New Roman" w:hAnsi="Times New Roman" w:eastAsia="宋体" w:cs="Times New Roman"/>
          <w:color w:val="auto"/>
          <w:szCs w:val="21"/>
          <w:highlight w:val="none"/>
          <w:u w:val="single"/>
          <w:lang w:eastAsia="zh-CN"/>
        </w:rPr>
        <w:t>。</w:t>
      </w:r>
    </w:p>
    <w:p w14:paraId="1895C5BD">
      <w:pPr>
        <w:spacing w:line="400" w:lineRule="exact"/>
        <w:ind w:firstLine="420" w:firstLineChars="200"/>
        <w:rPr>
          <w:rFonts w:hint="eastAsia" w:eastAsia="宋体"/>
          <w:szCs w:val="21"/>
          <w:lang w:eastAsia="zh-CN"/>
        </w:rPr>
      </w:pPr>
      <w:r>
        <w:rPr>
          <w:rFonts w:hint="eastAsia"/>
          <w:szCs w:val="21"/>
        </w:rPr>
        <w:t>提前竣工奖励的上限：</w:t>
      </w:r>
      <w:r>
        <w:rPr>
          <w:rFonts w:hint="eastAsia" w:ascii="Times New Roman" w:hAnsi="Times New Roman" w:eastAsia="宋体" w:cs="Times New Roman"/>
          <w:color w:val="auto"/>
          <w:szCs w:val="21"/>
          <w:u w:val="single"/>
        </w:rPr>
        <w:t>履约保证金额度</w:t>
      </w:r>
      <w:r>
        <w:rPr>
          <w:rFonts w:hint="eastAsia" w:ascii="Times New Roman" w:hAnsi="Times New Roman" w:eastAsia="宋体" w:cs="Times New Roman"/>
          <w:color w:val="auto"/>
          <w:szCs w:val="21"/>
          <w:u w:val="single"/>
          <w:lang w:eastAsia="zh-CN"/>
        </w:rPr>
        <w:t>。</w:t>
      </w:r>
    </w:p>
    <w:p w14:paraId="49855DC4">
      <w:pPr>
        <w:pStyle w:val="4"/>
        <w:spacing w:before="0" w:after="0" w:line="400" w:lineRule="exact"/>
        <w:ind w:firstLine="422" w:firstLineChars="200"/>
        <w:rPr>
          <w:rFonts w:ascii="Times New Roman" w:hAnsi="Times New Roman"/>
          <w:sz w:val="21"/>
          <w:szCs w:val="21"/>
        </w:rPr>
      </w:pPr>
      <w:bookmarkStart w:id="58" w:name="_Toc351203640"/>
      <w:r>
        <w:rPr>
          <w:rFonts w:ascii="Times New Roman" w:hAnsi="Times New Roman"/>
          <w:sz w:val="21"/>
          <w:szCs w:val="21"/>
        </w:rPr>
        <w:t>8. 材料与设备</w:t>
      </w:r>
      <w:bookmarkEnd w:id="58"/>
    </w:p>
    <w:p w14:paraId="35A18067">
      <w:pPr>
        <w:autoSpaceDE w:val="0"/>
        <w:autoSpaceDN w:val="0"/>
        <w:adjustRightInd w:val="0"/>
        <w:spacing w:line="400" w:lineRule="exact"/>
        <w:ind w:firstLine="420" w:firstLineChars="200"/>
        <w:rPr>
          <w:rFonts w:hint="eastAsia"/>
          <w:szCs w:val="21"/>
        </w:rPr>
      </w:pPr>
      <w:r>
        <w:rPr>
          <w:szCs w:val="21"/>
        </w:rPr>
        <w:t>8.1 发包人供应材料与工程设备</w:t>
      </w:r>
      <w:r>
        <w:rPr>
          <w:rFonts w:hint="eastAsia"/>
          <w:szCs w:val="21"/>
        </w:rPr>
        <w:t>：</w:t>
      </w:r>
    </w:p>
    <w:p w14:paraId="02943CA7">
      <w:pPr>
        <w:spacing w:line="400" w:lineRule="exact"/>
        <w:ind w:firstLine="615"/>
        <w:rPr>
          <w:rFonts w:hAnsi="仿宋"/>
          <w:szCs w:val="21"/>
        </w:rPr>
      </w:pPr>
      <w:r>
        <w:rPr>
          <w:rFonts w:hint="eastAsia" w:hAnsi="仿宋"/>
          <w:szCs w:val="21"/>
        </w:rPr>
        <w:t>本工程中</w:t>
      </w:r>
      <w:r>
        <w:rPr>
          <w:rFonts w:hint="eastAsia" w:hAnsi="仿宋"/>
          <w:szCs w:val="21"/>
          <w:u w:val="single"/>
        </w:rPr>
        <w:t xml:space="preserve">       /    </w:t>
      </w:r>
      <w:r>
        <w:rPr>
          <w:rFonts w:hint="eastAsia" w:hAnsi="仿宋"/>
          <w:szCs w:val="21"/>
        </w:rPr>
        <w:t>材料由发包人提供，详见附件2：发包人供应材料设备一览表。</w:t>
      </w:r>
    </w:p>
    <w:p w14:paraId="5C07CE12">
      <w:pPr>
        <w:autoSpaceDE w:val="0"/>
        <w:autoSpaceDN w:val="0"/>
        <w:adjustRightInd w:val="0"/>
        <w:spacing w:line="400" w:lineRule="exact"/>
        <w:ind w:firstLine="420" w:firstLineChars="200"/>
        <w:rPr>
          <w:rFonts w:hint="eastAsia" w:hAnsi="仿宋"/>
          <w:szCs w:val="21"/>
        </w:rPr>
      </w:pPr>
      <w:r>
        <w:rPr>
          <w:rFonts w:hint="eastAsia" w:hAnsi="仿宋"/>
          <w:szCs w:val="21"/>
        </w:rPr>
        <w:t>发包人提供的</w:t>
      </w:r>
      <w:r>
        <w:rPr>
          <w:rFonts w:hint="eastAsia" w:hAnsi="仿宋"/>
          <w:szCs w:val="21"/>
          <w:u w:val="single"/>
        </w:rPr>
        <w:t xml:space="preserve">     /       </w:t>
      </w:r>
      <w:r>
        <w:rPr>
          <w:rFonts w:hint="eastAsia" w:hAnsi="仿宋"/>
          <w:szCs w:val="21"/>
        </w:rPr>
        <w:t>材料费用（除税价款）在每期应付工程款（或竣工结算）的税前工程造价中扣回。（适用一般计税方法）</w:t>
      </w:r>
    </w:p>
    <w:p w14:paraId="53BBEBB9">
      <w:pPr>
        <w:spacing w:line="400" w:lineRule="exact"/>
        <w:ind w:firstLine="615"/>
        <w:rPr>
          <w:rFonts w:hAnsi="仿宋"/>
          <w:szCs w:val="21"/>
          <w:u w:val="single"/>
        </w:rPr>
      </w:pPr>
      <w:r>
        <w:rPr>
          <w:rFonts w:hint="eastAsia" w:hAnsi="仿宋"/>
          <w:szCs w:val="21"/>
          <w:u w:val="single"/>
        </w:rPr>
        <w:t xml:space="preserve"> (注：应具体约定发包人提供材料数量、价格的计算方法)</w:t>
      </w:r>
    </w:p>
    <w:p w14:paraId="1B74FF81">
      <w:pPr>
        <w:autoSpaceDE w:val="0"/>
        <w:autoSpaceDN w:val="0"/>
        <w:adjustRightInd w:val="0"/>
        <w:spacing w:line="400" w:lineRule="exact"/>
        <w:ind w:firstLine="420" w:firstLineChars="200"/>
        <w:rPr>
          <w:szCs w:val="21"/>
        </w:rPr>
      </w:pPr>
      <w:r>
        <w:rPr>
          <w:szCs w:val="21"/>
        </w:rPr>
        <w:t>8.2 承包人采购材料与工程设备</w:t>
      </w:r>
    </w:p>
    <w:p w14:paraId="00945D80">
      <w:pPr>
        <w:autoSpaceDE w:val="0"/>
        <w:autoSpaceDN w:val="0"/>
        <w:adjustRightInd w:val="0"/>
        <w:spacing w:line="400" w:lineRule="exact"/>
        <w:ind w:firstLine="420" w:firstLineChars="200"/>
        <w:rPr>
          <w:szCs w:val="21"/>
          <w:u w:val="single"/>
        </w:rPr>
      </w:pPr>
      <w:r>
        <w:rPr>
          <w:szCs w:val="21"/>
          <w:u w:val="single"/>
        </w:rPr>
        <w:t>（1）材料品牌、规格和使用要求：按招标文件（相应）技术标准和要求执行。</w:t>
      </w:r>
      <w:r>
        <w:rPr>
          <w:rFonts w:hint="eastAsia"/>
          <w:szCs w:val="21"/>
          <w:u w:val="single"/>
        </w:rPr>
        <w:t>凡是招标文件注明规格、型号或品牌、产地的材料，承包人必须按照招标文件要求采购和施工；如需调整，必须经得发包人认可。</w:t>
      </w:r>
    </w:p>
    <w:p w14:paraId="78AA55CA">
      <w:pPr>
        <w:autoSpaceDE w:val="0"/>
        <w:autoSpaceDN w:val="0"/>
        <w:adjustRightInd w:val="0"/>
        <w:spacing w:line="400" w:lineRule="exact"/>
        <w:ind w:firstLine="420" w:firstLineChars="200"/>
        <w:rPr>
          <w:rFonts w:hint="eastAsia"/>
          <w:szCs w:val="21"/>
          <w:u w:val="single"/>
        </w:rPr>
      </w:pPr>
      <w:r>
        <w:rPr>
          <w:szCs w:val="21"/>
          <w:u w:val="single"/>
        </w:rPr>
        <w:t>（2）本工程</w:t>
      </w:r>
      <w:r>
        <w:rPr>
          <w:rFonts w:hint="eastAsia"/>
          <w:szCs w:val="21"/>
          <w:u w:val="single"/>
        </w:rPr>
        <w:t>已确定承包价的建筑材料均由承包人自行询价、采购、运输和保管。水泥、商品混凝土材料的使用须符合相关规定，否则相关押金由承包人承担。</w:t>
      </w:r>
    </w:p>
    <w:p w14:paraId="2DD03208">
      <w:pPr>
        <w:autoSpaceDE w:val="0"/>
        <w:autoSpaceDN w:val="0"/>
        <w:adjustRightInd w:val="0"/>
        <w:spacing w:line="400" w:lineRule="exact"/>
        <w:ind w:firstLine="420" w:firstLineChars="200"/>
        <w:rPr>
          <w:color w:val="auto"/>
          <w:szCs w:val="21"/>
          <w:u w:val="single"/>
        </w:rPr>
      </w:pPr>
      <w:r>
        <w:rPr>
          <w:color w:val="auto"/>
          <w:szCs w:val="21"/>
          <w:u w:val="single"/>
        </w:rPr>
        <w:t>（3）本工程要求使用材料要求</w:t>
      </w:r>
      <w:r>
        <w:rPr>
          <w:rFonts w:hint="eastAsia"/>
          <w:color w:val="auto"/>
          <w:szCs w:val="21"/>
          <w:u w:val="single"/>
        </w:rPr>
        <w:t>：</w:t>
      </w:r>
      <w:r>
        <w:rPr>
          <w:rFonts w:hint="eastAsia"/>
          <w:color w:val="auto"/>
          <w:szCs w:val="21"/>
          <w:u w:val="single"/>
          <w:lang w:val="en-US" w:eastAsia="zh-CN"/>
        </w:rPr>
        <w:t xml:space="preserve">商品砼  </w:t>
      </w:r>
      <w:r>
        <w:rPr>
          <w:color w:val="auto"/>
          <w:szCs w:val="21"/>
          <w:u w:val="single"/>
        </w:rPr>
        <w:t>。</w:t>
      </w:r>
    </w:p>
    <w:p w14:paraId="251ADFFE">
      <w:pPr>
        <w:autoSpaceDE w:val="0"/>
        <w:autoSpaceDN w:val="0"/>
        <w:adjustRightInd w:val="0"/>
        <w:spacing w:line="400" w:lineRule="exact"/>
        <w:ind w:firstLine="420" w:firstLineChars="200"/>
        <w:rPr>
          <w:color w:val="auto"/>
          <w:szCs w:val="21"/>
          <w:u w:val="single"/>
        </w:rPr>
      </w:pPr>
      <w:r>
        <w:rPr>
          <w:color w:val="auto"/>
          <w:szCs w:val="21"/>
          <w:u w:val="single"/>
        </w:rPr>
        <w:t>（4）所有材料必须有质保书或合格证，符合施工图纸和规范要求，且品牌、产地需报</w:t>
      </w:r>
      <w:r>
        <w:rPr>
          <w:rFonts w:hint="eastAsia"/>
          <w:color w:val="auto"/>
          <w:szCs w:val="21"/>
          <w:u w:val="single"/>
        </w:rPr>
        <w:t>监理人及</w:t>
      </w:r>
      <w:r>
        <w:rPr>
          <w:color w:val="auto"/>
          <w:szCs w:val="21"/>
          <w:u w:val="single"/>
        </w:rPr>
        <w:t>发包人备案</w:t>
      </w:r>
      <w:r>
        <w:rPr>
          <w:rFonts w:hint="eastAsia"/>
          <w:color w:val="auto"/>
          <w:szCs w:val="21"/>
          <w:u w:val="single"/>
        </w:rPr>
        <w:t>后方可进场</w:t>
      </w:r>
      <w:r>
        <w:rPr>
          <w:color w:val="auto"/>
          <w:szCs w:val="21"/>
          <w:u w:val="single"/>
        </w:rPr>
        <w:t>。</w:t>
      </w:r>
    </w:p>
    <w:p w14:paraId="2138A113">
      <w:pPr>
        <w:autoSpaceDE w:val="0"/>
        <w:autoSpaceDN w:val="0"/>
        <w:adjustRightInd w:val="0"/>
        <w:spacing w:line="400" w:lineRule="exact"/>
        <w:ind w:firstLine="420" w:firstLineChars="200"/>
        <w:rPr>
          <w:rFonts w:hint="eastAsia"/>
          <w:color w:val="auto"/>
          <w:szCs w:val="21"/>
          <w:u w:val="single"/>
        </w:rPr>
      </w:pPr>
      <w:r>
        <w:rPr>
          <w:color w:val="auto"/>
          <w:szCs w:val="21"/>
          <w:u w:val="single"/>
        </w:rPr>
        <w:t>（</w:t>
      </w:r>
      <w:r>
        <w:rPr>
          <w:rFonts w:hint="eastAsia"/>
          <w:color w:val="auto"/>
          <w:szCs w:val="21"/>
          <w:u w:val="single"/>
        </w:rPr>
        <w:t>5</w:t>
      </w:r>
      <w:r>
        <w:rPr>
          <w:color w:val="auto"/>
          <w:szCs w:val="21"/>
          <w:u w:val="single"/>
        </w:rPr>
        <w:t>）</w:t>
      </w:r>
      <w:r>
        <w:rPr>
          <w:rFonts w:hint="eastAsia"/>
          <w:color w:val="auto"/>
          <w:szCs w:val="21"/>
          <w:u w:val="single"/>
        </w:rPr>
        <w:t>凡是招标文件注明规格、型号或相当于的厂家(品牌、产地) 的材料，承包人必须按照招标文件要求采购和施工，优先使用相当于的厂家(品牌、产地) ，如需调整，必须经得发包人认可，否则由此引起的后果由承包人承担。</w:t>
      </w:r>
    </w:p>
    <w:p w14:paraId="49CDB987">
      <w:pPr>
        <w:autoSpaceDE w:val="0"/>
        <w:autoSpaceDN w:val="0"/>
        <w:adjustRightInd w:val="0"/>
        <w:spacing w:line="400" w:lineRule="exact"/>
        <w:ind w:firstLine="420" w:firstLineChars="200"/>
        <w:rPr>
          <w:rFonts w:hint="eastAsia"/>
          <w:color w:val="auto"/>
          <w:szCs w:val="21"/>
          <w:u w:val="single"/>
        </w:rPr>
      </w:pPr>
      <w:r>
        <w:rPr>
          <w:rFonts w:hint="eastAsia"/>
          <w:color w:val="auto"/>
          <w:szCs w:val="21"/>
          <w:u w:val="single"/>
        </w:rPr>
        <w:t>(6) 所有设备、材料和预制构件等均需有产品合格证和质保书、试验(试车) 报告等必要资料，符合国家规定的技术标准和设计图纸要求的标准，并且须经发包人及监理单位验收合格后方可使用。</w:t>
      </w:r>
    </w:p>
    <w:p w14:paraId="78C500D3">
      <w:pPr>
        <w:autoSpaceDE w:val="0"/>
        <w:autoSpaceDN w:val="0"/>
        <w:adjustRightInd w:val="0"/>
        <w:spacing w:line="400" w:lineRule="exact"/>
        <w:ind w:firstLine="420" w:firstLineChars="200"/>
        <w:rPr>
          <w:rFonts w:hint="eastAsia"/>
          <w:color w:val="auto"/>
          <w:szCs w:val="21"/>
          <w:u w:val="single"/>
        </w:rPr>
      </w:pPr>
      <w:r>
        <w:rPr>
          <w:rFonts w:hint="eastAsia"/>
          <w:color w:val="auto"/>
          <w:szCs w:val="21"/>
          <w:u w:val="single"/>
        </w:rPr>
        <w:t>(7) 根据工程需要，发包人有权对承包人投标时确认的品牌进行更换，更换后的材料价格由发包人签证进行结算。</w:t>
      </w:r>
    </w:p>
    <w:p w14:paraId="407E5B32">
      <w:pPr>
        <w:autoSpaceDE w:val="0"/>
        <w:autoSpaceDN w:val="0"/>
        <w:adjustRightInd w:val="0"/>
        <w:spacing w:line="400" w:lineRule="exact"/>
        <w:ind w:firstLine="420" w:firstLineChars="200"/>
        <w:rPr>
          <w:rFonts w:hint="eastAsia"/>
          <w:szCs w:val="21"/>
          <w:u w:val="single"/>
        </w:rPr>
      </w:pPr>
      <w:r>
        <w:rPr>
          <w:rFonts w:hint="eastAsia"/>
          <w:szCs w:val="21"/>
          <w:u w:val="single"/>
        </w:rPr>
        <w:t>(8) 合同中原暂定价材料或由工程变更产生的无价材料(按有关规定可不组织招标采购的)由承包人采购时，应由发包人签证确定价格后采购，发包人收到承包人价格确定申请后，7 日内审批完毕。</w:t>
      </w:r>
    </w:p>
    <w:p w14:paraId="72757BE5">
      <w:pPr>
        <w:autoSpaceDE w:val="0"/>
        <w:autoSpaceDN w:val="0"/>
        <w:adjustRightInd w:val="0"/>
        <w:spacing w:line="400" w:lineRule="exact"/>
        <w:ind w:firstLine="420" w:firstLineChars="200"/>
        <w:rPr>
          <w:szCs w:val="21"/>
        </w:rPr>
      </w:pPr>
      <w:r>
        <w:rPr>
          <w:szCs w:val="21"/>
        </w:rPr>
        <w:t>8.4材料与工程设备的保管与使用</w:t>
      </w:r>
    </w:p>
    <w:p w14:paraId="73668CAB">
      <w:pPr>
        <w:spacing w:line="400" w:lineRule="exact"/>
        <w:ind w:firstLine="420" w:firstLineChars="200"/>
        <w:rPr>
          <w:rFonts w:hint="eastAsia"/>
          <w:szCs w:val="21"/>
        </w:rPr>
      </w:pPr>
      <w:r>
        <w:rPr>
          <w:szCs w:val="21"/>
        </w:rPr>
        <w:t>8</w:t>
      </w:r>
      <w:bookmarkStart w:id="59" w:name="_Toc292559373"/>
      <w:bookmarkStart w:id="60" w:name="_Toc292559878"/>
      <w:r>
        <w:rPr>
          <w:szCs w:val="21"/>
        </w:rPr>
        <w:t>.4.1发包人供应的材料设备的保管费用的承担</w:t>
      </w:r>
      <w:bookmarkEnd w:id="59"/>
      <w:bookmarkEnd w:id="60"/>
      <w:r>
        <w:rPr>
          <w:rFonts w:hint="eastAsia"/>
          <w:szCs w:val="21"/>
        </w:rPr>
        <w:t>：</w:t>
      </w:r>
    </w:p>
    <w:p w14:paraId="720F2274">
      <w:pPr>
        <w:spacing w:line="400" w:lineRule="exact"/>
        <w:ind w:firstLine="420" w:firstLineChars="200"/>
        <w:rPr>
          <w:rFonts w:ascii="宋体" w:hAnsi="宋体"/>
          <w:szCs w:val="21"/>
          <w:u w:val="single"/>
        </w:rPr>
      </w:pPr>
      <w:r>
        <w:rPr>
          <w:rFonts w:hint="eastAsia" w:ascii="宋体" w:hAnsi="宋体"/>
          <w:szCs w:val="21"/>
        </w:rPr>
        <w:t>（1）</w:t>
      </w:r>
      <w:r>
        <w:rPr>
          <w:rFonts w:hint="eastAsia" w:ascii="宋体" w:hAnsi="宋体"/>
          <w:szCs w:val="21"/>
          <w:u w:val="single"/>
        </w:rPr>
        <w:t>发包人支付承包人保管费（或称总承包服务费），以提供材料金额（含进项税）为基数，乘以费率（  /  ）%计算。</w:t>
      </w:r>
    </w:p>
    <w:p w14:paraId="5FB6F06B">
      <w:pPr>
        <w:spacing w:line="400" w:lineRule="exact"/>
        <w:ind w:firstLine="420" w:firstLineChars="200"/>
        <w:rPr>
          <w:rFonts w:hAnsi="仿宋"/>
          <w:sz w:val="28"/>
          <w:szCs w:val="28"/>
        </w:rPr>
      </w:pPr>
      <w:r>
        <w:rPr>
          <w:rFonts w:hint="eastAsia" w:ascii="宋体" w:hAnsi="宋体"/>
          <w:szCs w:val="21"/>
        </w:rPr>
        <w:t>（2）</w:t>
      </w:r>
      <w:r>
        <w:rPr>
          <w:rFonts w:hint="eastAsia" w:ascii="宋体" w:hAnsi="宋体"/>
          <w:szCs w:val="21"/>
          <w:u w:val="single"/>
        </w:rPr>
        <w:t>发包人支付承包人保管费（或称总承包服务费），以提供设备金额（含进项税）为基数，乘以费率（  /   ）%计算。</w:t>
      </w:r>
    </w:p>
    <w:p w14:paraId="7BEBDDCD">
      <w:pPr>
        <w:autoSpaceDE w:val="0"/>
        <w:autoSpaceDN w:val="0"/>
        <w:adjustRightInd w:val="0"/>
        <w:spacing w:line="400" w:lineRule="exact"/>
        <w:ind w:firstLine="420" w:firstLineChars="200"/>
        <w:rPr>
          <w:szCs w:val="21"/>
        </w:rPr>
      </w:pPr>
      <w:r>
        <w:rPr>
          <w:szCs w:val="21"/>
        </w:rPr>
        <w:t>8.6 样品</w:t>
      </w:r>
    </w:p>
    <w:p w14:paraId="094BB5A5">
      <w:pPr>
        <w:autoSpaceDE w:val="0"/>
        <w:autoSpaceDN w:val="0"/>
        <w:adjustRightInd w:val="0"/>
        <w:spacing w:line="400" w:lineRule="exact"/>
        <w:ind w:firstLine="420" w:firstLineChars="200"/>
        <w:rPr>
          <w:szCs w:val="21"/>
        </w:rPr>
      </w:pPr>
      <w:r>
        <w:rPr>
          <w:szCs w:val="21"/>
        </w:rPr>
        <w:t>8.6.1 样品的报送与封存</w:t>
      </w:r>
    </w:p>
    <w:p w14:paraId="3A65C6D7">
      <w:pPr>
        <w:spacing w:line="400" w:lineRule="exact"/>
        <w:ind w:firstLine="420" w:firstLineChars="200"/>
        <w:rPr>
          <w:rFonts w:ascii="宋体" w:hAnsi="宋体"/>
          <w:szCs w:val="21"/>
          <w:u w:val="single"/>
        </w:rPr>
      </w:pPr>
      <w:r>
        <w:rPr>
          <w:szCs w:val="21"/>
        </w:rPr>
        <w:t>需要承包人报送样品的材料或工程设备，样品的种类、名称、规格、数量要求：</w:t>
      </w:r>
      <w:r>
        <w:rPr>
          <w:rFonts w:hint="eastAsia" w:ascii="宋体" w:hAnsi="宋体"/>
          <w:szCs w:val="21"/>
          <w:u w:val="single"/>
        </w:rPr>
        <w:t>（如有</w:t>
      </w:r>
      <w:r>
        <w:rPr>
          <w:rFonts w:ascii="宋体" w:hAnsi="宋体"/>
          <w:szCs w:val="21"/>
          <w:u w:val="single"/>
        </w:rPr>
        <w:t>，</w:t>
      </w:r>
      <w:r>
        <w:rPr>
          <w:rFonts w:hint="eastAsia" w:ascii="宋体" w:hAnsi="宋体"/>
          <w:szCs w:val="21"/>
          <w:u w:val="single"/>
        </w:rPr>
        <w:t>承包人须按发包人要求提供样品，样品的报送与封存按合同通用条款执行。样品费用包含在合同价内，不再另行计取，承包人综合考虑。）</w:t>
      </w:r>
    </w:p>
    <w:p w14:paraId="182F9885">
      <w:pPr>
        <w:autoSpaceDE w:val="0"/>
        <w:autoSpaceDN w:val="0"/>
        <w:adjustRightInd w:val="0"/>
        <w:spacing w:line="400" w:lineRule="exact"/>
        <w:ind w:firstLine="420" w:firstLineChars="200"/>
        <w:rPr>
          <w:szCs w:val="21"/>
        </w:rPr>
      </w:pPr>
      <w:r>
        <w:rPr>
          <w:szCs w:val="21"/>
        </w:rPr>
        <w:t>8.8 施工设备和临时设施</w:t>
      </w:r>
    </w:p>
    <w:p w14:paraId="04ED6620">
      <w:pPr>
        <w:autoSpaceDE w:val="0"/>
        <w:autoSpaceDN w:val="0"/>
        <w:adjustRightInd w:val="0"/>
        <w:spacing w:line="400" w:lineRule="exact"/>
        <w:ind w:firstLine="420" w:firstLineChars="200"/>
        <w:rPr>
          <w:szCs w:val="21"/>
        </w:rPr>
      </w:pPr>
      <w:r>
        <w:rPr>
          <w:szCs w:val="21"/>
        </w:rPr>
        <w:t>8.8.1 承包人提供的施工设备和临时设施</w:t>
      </w:r>
    </w:p>
    <w:p w14:paraId="2C5C8D40">
      <w:pPr>
        <w:autoSpaceDE w:val="0"/>
        <w:autoSpaceDN w:val="0"/>
        <w:adjustRightInd w:val="0"/>
        <w:spacing w:line="400" w:lineRule="exact"/>
        <w:ind w:firstLine="420" w:firstLineChars="200"/>
        <w:rPr>
          <w:szCs w:val="21"/>
        </w:rPr>
      </w:pPr>
      <w:r>
        <w:rPr>
          <w:szCs w:val="21"/>
        </w:rPr>
        <w:t>关于修建临时设施费用承担的约定：</w:t>
      </w:r>
      <w:r>
        <w:rPr>
          <w:szCs w:val="21"/>
          <w:u w:val="single"/>
        </w:rPr>
        <w:t xml:space="preserve"> 由承包人承担  </w:t>
      </w:r>
      <w:r>
        <w:rPr>
          <w:szCs w:val="21"/>
        </w:rPr>
        <w:t>。</w:t>
      </w:r>
    </w:p>
    <w:p w14:paraId="088F2BA2">
      <w:pPr>
        <w:pStyle w:val="4"/>
        <w:spacing w:before="0" w:after="0" w:line="400" w:lineRule="exact"/>
        <w:ind w:firstLine="422" w:firstLineChars="200"/>
        <w:rPr>
          <w:rFonts w:ascii="Times New Roman" w:hAnsi="Times New Roman"/>
          <w:sz w:val="21"/>
          <w:szCs w:val="21"/>
        </w:rPr>
      </w:pPr>
      <w:bookmarkStart w:id="61" w:name="_Toc351203641"/>
      <w:r>
        <w:rPr>
          <w:rFonts w:ascii="Times New Roman" w:hAnsi="Times New Roman"/>
          <w:sz w:val="21"/>
          <w:szCs w:val="21"/>
        </w:rPr>
        <w:t>9. 试验与检验</w:t>
      </w:r>
      <w:bookmarkEnd w:id="61"/>
    </w:p>
    <w:p w14:paraId="673FF83A">
      <w:pPr>
        <w:spacing w:line="400" w:lineRule="exact"/>
        <w:ind w:firstLine="420" w:firstLineChars="200"/>
        <w:rPr>
          <w:szCs w:val="21"/>
        </w:rPr>
      </w:pPr>
      <w:r>
        <w:rPr>
          <w:szCs w:val="21"/>
        </w:rPr>
        <w:t>9.1试验设备与试验人员</w:t>
      </w:r>
    </w:p>
    <w:p w14:paraId="20EA00BF">
      <w:pPr>
        <w:spacing w:line="400" w:lineRule="exact"/>
        <w:ind w:firstLine="420" w:firstLineChars="200"/>
        <w:rPr>
          <w:szCs w:val="21"/>
        </w:rPr>
      </w:pPr>
      <w:r>
        <w:rPr>
          <w:szCs w:val="21"/>
        </w:rPr>
        <w:t>9.1.2 试验设备</w:t>
      </w:r>
    </w:p>
    <w:p w14:paraId="0DC56CB8">
      <w:pPr>
        <w:spacing w:line="400" w:lineRule="exact"/>
        <w:ind w:firstLine="420" w:firstLineChars="200"/>
        <w:rPr>
          <w:szCs w:val="21"/>
        </w:rPr>
      </w:pPr>
      <w:r>
        <w:rPr>
          <w:szCs w:val="21"/>
        </w:rPr>
        <w:t>施工现场需要配置的试验场所：</w:t>
      </w:r>
      <w:r>
        <w:rPr>
          <w:rFonts w:hint="eastAsia" w:hAnsi="仿宋"/>
          <w:szCs w:val="21"/>
          <w:u w:val="single"/>
        </w:rPr>
        <w:t>按规范及（当地）建设行政主管部门要求配置</w:t>
      </w:r>
      <w:r>
        <w:rPr>
          <w:szCs w:val="21"/>
        </w:rPr>
        <w:t>。</w:t>
      </w:r>
    </w:p>
    <w:p w14:paraId="41308280">
      <w:pPr>
        <w:spacing w:line="400" w:lineRule="exact"/>
        <w:ind w:firstLine="420" w:firstLineChars="200"/>
        <w:rPr>
          <w:szCs w:val="21"/>
        </w:rPr>
      </w:pPr>
      <w:r>
        <w:rPr>
          <w:szCs w:val="21"/>
        </w:rPr>
        <w:t>施工现场需要配备的试验设备：</w:t>
      </w:r>
      <w:r>
        <w:rPr>
          <w:rFonts w:hint="eastAsia" w:hAnsi="仿宋"/>
          <w:szCs w:val="21"/>
          <w:u w:val="single"/>
        </w:rPr>
        <w:t>按规范及（当地）建设行政主管部门要求配置</w:t>
      </w:r>
      <w:r>
        <w:rPr>
          <w:szCs w:val="21"/>
        </w:rPr>
        <w:t>。</w:t>
      </w:r>
    </w:p>
    <w:p w14:paraId="7F2E910C">
      <w:pPr>
        <w:spacing w:line="400" w:lineRule="exact"/>
        <w:ind w:firstLine="420" w:firstLineChars="200"/>
        <w:rPr>
          <w:szCs w:val="21"/>
        </w:rPr>
      </w:pPr>
      <w:r>
        <w:rPr>
          <w:szCs w:val="21"/>
        </w:rPr>
        <w:t>施工现场需要具备的其他试验条件：</w:t>
      </w:r>
      <w:r>
        <w:rPr>
          <w:rFonts w:hint="eastAsia" w:hAnsi="仿宋"/>
          <w:szCs w:val="21"/>
          <w:u w:val="single"/>
        </w:rPr>
        <w:t>按规范及（当地）建设行政主管部门要求配置</w:t>
      </w:r>
      <w:r>
        <w:rPr>
          <w:szCs w:val="21"/>
        </w:rPr>
        <w:t>。</w:t>
      </w:r>
    </w:p>
    <w:p w14:paraId="6477AF14">
      <w:pPr>
        <w:spacing w:line="400" w:lineRule="exact"/>
        <w:ind w:firstLine="420" w:firstLineChars="200"/>
        <w:rPr>
          <w:szCs w:val="21"/>
        </w:rPr>
      </w:pPr>
      <w:r>
        <w:rPr>
          <w:szCs w:val="21"/>
        </w:rPr>
        <w:t>9.3 材料、工程设备和工程的试验和检验</w:t>
      </w:r>
    </w:p>
    <w:p w14:paraId="2CD1E5F9">
      <w:pPr>
        <w:spacing w:line="400" w:lineRule="exact"/>
        <w:ind w:firstLine="420" w:firstLineChars="200"/>
        <w:rPr>
          <w:szCs w:val="21"/>
        </w:rPr>
      </w:pPr>
      <w:r>
        <w:rPr>
          <w:szCs w:val="21"/>
        </w:rPr>
        <w:t>材料、设备和工程的试验和检验的费用：</w:t>
      </w:r>
    </w:p>
    <w:p w14:paraId="0E81F117">
      <w:pPr>
        <w:spacing w:line="400" w:lineRule="exact"/>
        <w:ind w:firstLine="420" w:firstLineChars="200"/>
        <w:rPr>
          <w:rFonts w:hint="eastAsia" w:ascii="宋体" w:hAnsi="宋体"/>
          <w:szCs w:val="21"/>
          <w:u w:val="single"/>
        </w:rPr>
      </w:pPr>
      <w:r>
        <w:rPr>
          <w:rFonts w:hint="eastAsia" w:ascii="宋体" w:hAnsi="宋体"/>
          <w:szCs w:val="21"/>
          <w:u w:val="single"/>
        </w:rPr>
        <w:t>（1）材料、设备和工程的试验按《建设工程质量管理条例》、《房屋建筑工程和市政基础设施工程实行见证取样和送检的规定》、《浙江省房屋建筑和市政基础设施工程质量检测管理实施办法》等及工程所在地有关工程质量检测的规定实施。</w:t>
      </w:r>
    </w:p>
    <w:p w14:paraId="608A63AC">
      <w:pPr>
        <w:spacing w:line="400" w:lineRule="exact"/>
        <w:ind w:firstLine="420" w:firstLineChars="200"/>
        <w:rPr>
          <w:rFonts w:ascii="宋体" w:hAnsi="宋体"/>
          <w:szCs w:val="21"/>
          <w:u w:val="single"/>
        </w:rPr>
      </w:pPr>
      <w:r>
        <w:rPr>
          <w:rFonts w:hint="eastAsia" w:ascii="宋体" w:hAnsi="宋体"/>
          <w:szCs w:val="21"/>
          <w:u w:val="single"/>
        </w:rPr>
        <w:t>（2）对建筑材料、构件和建筑安装物进行一般鉴定、检查所发生的费用，包括建设工程质量见证取样检测费、建筑施工企业配合检测及自设试验室进行试验所耗用的材料和化学药品等费用由承包人承担；专项检测试验费、新结构、新材料、构件破坏性试验及其他特殊要求检测试验等检测试验费由发包人承担。</w:t>
      </w:r>
    </w:p>
    <w:p w14:paraId="302E7465">
      <w:pPr>
        <w:spacing w:line="400" w:lineRule="exact"/>
        <w:ind w:firstLine="420" w:firstLineChars="200"/>
        <w:rPr>
          <w:rFonts w:ascii="宋体" w:hAnsi="宋体"/>
          <w:szCs w:val="21"/>
          <w:u w:val="single"/>
        </w:rPr>
      </w:pPr>
      <w:r>
        <w:rPr>
          <w:rFonts w:hint="eastAsia" w:ascii="宋体" w:hAnsi="宋体"/>
          <w:szCs w:val="21"/>
          <w:u w:val="single"/>
        </w:rPr>
        <w:t>（3）当发包人或监理人指示承包人为核实本工程某一部分或某种材料设备是否有缺陷时，承包人应按要求进行检（试）验。如果该检（试）验表明确有缺陷存在，则检（试）验和试样的费用，发包人供应材料设备的，由发包人承担；承包人采购材料设备的，由承包人承担。如果该检（试）验表明没有缺陷，则由发包人承担检（试）验和试样的费用。</w:t>
      </w:r>
    </w:p>
    <w:p w14:paraId="70799FBF">
      <w:pPr>
        <w:spacing w:line="400" w:lineRule="exact"/>
        <w:ind w:firstLine="420" w:firstLineChars="200"/>
        <w:rPr>
          <w:rFonts w:ascii="宋体" w:hAnsi="宋体"/>
          <w:szCs w:val="21"/>
          <w:u w:val="single"/>
        </w:rPr>
      </w:pPr>
      <w:r>
        <w:rPr>
          <w:rFonts w:hint="eastAsia" w:ascii="宋体" w:hAnsi="宋体"/>
          <w:szCs w:val="21"/>
          <w:u w:val="single"/>
        </w:rPr>
        <w:t>（4）当质量安全管理机构根据规范，要求发包人与承包人开展本工程某一部分质量实体或某项材料设备质量抽检，如地基基础工程检测、主体结构工程现场实体检测、建筑节能检验、空气检测等专项检测需要时，发包人与承包人应配合，按要求进行检（试）验，检测、恢复费用由发包人承担。如检测不合格，则由承包人承担本次及重新检测、恢复费用。</w:t>
      </w:r>
    </w:p>
    <w:p w14:paraId="6425BBD3">
      <w:pPr>
        <w:spacing w:line="400" w:lineRule="exact"/>
        <w:ind w:firstLine="420" w:firstLineChars="200"/>
        <w:rPr>
          <w:szCs w:val="21"/>
        </w:rPr>
      </w:pPr>
      <w:r>
        <w:rPr>
          <w:szCs w:val="21"/>
        </w:rPr>
        <w:t>9.4 现场工艺试验</w:t>
      </w:r>
    </w:p>
    <w:p w14:paraId="31DB5666">
      <w:pPr>
        <w:autoSpaceDE w:val="0"/>
        <w:autoSpaceDN w:val="0"/>
        <w:adjustRightInd w:val="0"/>
        <w:spacing w:line="400" w:lineRule="exact"/>
        <w:ind w:firstLine="420" w:firstLineChars="200"/>
        <w:rPr>
          <w:rFonts w:ascii="宋体" w:hAnsi="宋体"/>
          <w:szCs w:val="21"/>
          <w:u w:val="single"/>
        </w:rPr>
      </w:pPr>
      <w:r>
        <w:rPr>
          <w:szCs w:val="21"/>
        </w:rPr>
        <w:t>现场工艺试验的有关约定：</w:t>
      </w:r>
      <w:r>
        <w:rPr>
          <w:rFonts w:hint="eastAsia" w:ascii="宋体" w:hAnsi="宋体"/>
          <w:szCs w:val="21"/>
          <w:u w:val="single"/>
        </w:rPr>
        <w:t>按通用合同条款执行，试验检验应符合施工图纸、验收规范要求，并符合工程所在地质量监督部门的要求</w:t>
      </w:r>
      <w:r>
        <w:rPr>
          <w:rFonts w:ascii="宋体" w:hAnsi="宋体"/>
          <w:szCs w:val="21"/>
          <w:u w:val="single"/>
        </w:rPr>
        <w:t>。</w:t>
      </w:r>
    </w:p>
    <w:p w14:paraId="1C1541B2">
      <w:pPr>
        <w:pStyle w:val="4"/>
        <w:spacing w:before="0" w:after="0" w:line="400" w:lineRule="exact"/>
        <w:ind w:firstLine="422" w:firstLineChars="200"/>
        <w:rPr>
          <w:rFonts w:ascii="Times New Roman" w:hAnsi="Times New Roman"/>
          <w:sz w:val="21"/>
          <w:szCs w:val="21"/>
        </w:rPr>
      </w:pPr>
      <w:bookmarkStart w:id="62" w:name="_Toc351203642"/>
      <w:r>
        <w:rPr>
          <w:rFonts w:ascii="Times New Roman" w:hAnsi="Times New Roman"/>
          <w:sz w:val="21"/>
          <w:szCs w:val="21"/>
        </w:rPr>
        <w:t>1</w:t>
      </w:r>
      <w:bookmarkStart w:id="63" w:name="_Toc297216199"/>
      <w:bookmarkStart w:id="64" w:name="_Toc292559903"/>
      <w:bookmarkStart w:id="65" w:name="_Toc297120493"/>
      <w:bookmarkStart w:id="66" w:name="_Toc296347192"/>
      <w:bookmarkStart w:id="67" w:name="_Toc296503193"/>
      <w:bookmarkStart w:id="68" w:name="_Toc300934989"/>
      <w:bookmarkStart w:id="69" w:name="_Toc297048379"/>
      <w:bookmarkStart w:id="70" w:name="_Toc304295566"/>
      <w:bookmarkStart w:id="71" w:name="_Toc296891233"/>
      <w:bookmarkStart w:id="72" w:name="_Toc292559398"/>
      <w:bookmarkStart w:id="73" w:name="_Toc296346694"/>
      <w:bookmarkStart w:id="74" w:name="_Toc303539146"/>
      <w:bookmarkStart w:id="75" w:name="_Toc297123540"/>
      <w:bookmarkStart w:id="76" w:name="_Toc296891021"/>
      <w:bookmarkStart w:id="77" w:name="_Toc296944532"/>
      <w:r>
        <w:rPr>
          <w:rFonts w:ascii="Times New Roman" w:hAnsi="Times New Roman"/>
          <w:sz w:val="21"/>
          <w:szCs w:val="21"/>
        </w:rPr>
        <w:t>0. 变更</w:t>
      </w:r>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p>
    <w:p w14:paraId="3A887429">
      <w:pPr>
        <w:autoSpaceDE w:val="0"/>
        <w:autoSpaceDN w:val="0"/>
        <w:adjustRightInd w:val="0"/>
        <w:spacing w:line="400" w:lineRule="exact"/>
        <w:ind w:firstLine="420" w:firstLineChars="200"/>
        <w:rPr>
          <w:szCs w:val="21"/>
        </w:rPr>
      </w:pPr>
      <w:r>
        <w:rPr>
          <w:szCs w:val="21"/>
        </w:rPr>
        <w:t>10.1变更的范围</w:t>
      </w:r>
    </w:p>
    <w:p w14:paraId="1C46724C">
      <w:pPr>
        <w:autoSpaceDE w:val="0"/>
        <w:autoSpaceDN w:val="0"/>
        <w:adjustRightInd w:val="0"/>
        <w:spacing w:line="400" w:lineRule="exact"/>
        <w:ind w:firstLine="420" w:firstLineChars="200"/>
        <w:rPr>
          <w:rFonts w:ascii="宋体" w:hAnsi="宋体"/>
          <w:szCs w:val="21"/>
          <w:u w:val="single"/>
        </w:rPr>
      </w:pPr>
      <w:r>
        <w:rPr>
          <w:szCs w:val="21"/>
        </w:rPr>
        <w:t>关于变更的范围的约定：</w:t>
      </w:r>
      <w:r>
        <w:rPr>
          <w:rFonts w:hint="eastAsia" w:ascii="宋体" w:hAnsi="宋体"/>
          <w:szCs w:val="21"/>
          <w:u w:val="single"/>
        </w:rPr>
        <w:t>按通用合同条款。工程变更引起工程量的减少或增加，承包人不得因此拒绝施工。</w:t>
      </w:r>
    </w:p>
    <w:p w14:paraId="2E100BBA">
      <w:pPr>
        <w:autoSpaceDE w:val="0"/>
        <w:autoSpaceDN w:val="0"/>
        <w:adjustRightInd w:val="0"/>
        <w:spacing w:line="400" w:lineRule="exact"/>
        <w:ind w:firstLine="420" w:firstLineChars="200"/>
        <w:rPr>
          <w:szCs w:val="21"/>
        </w:rPr>
      </w:pPr>
      <w:r>
        <w:rPr>
          <w:szCs w:val="21"/>
        </w:rPr>
        <w:t>10.4 变更估价</w:t>
      </w:r>
    </w:p>
    <w:p w14:paraId="4613E7E6">
      <w:pPr>
        <w:autoSpaceDE w:val="0"/>
        <w:autoSpaceDN w:val="0"/>
        <w:adjustRightInd w:val="0"/>
        <w:spacing w:line="400" w:lineRule="exact"/>
        <w:ind w:firstLine="420" w:firstLineChars="200"/>
        <w:rPr>
          <w:szCs w:val="21"/>
        </w:rPr>
      </w:pPr>
      <w:r>
        <w:rPr>
          <w:szCs w:val="21"/>
        </w:rPr>
        <w:t>10.4.1 变更估价原则</w:t>
      </w:r>
    </w:p>
    <w:p w14:paraId="423C0275">
      <w:pPr>
        <w:autoSpaceDE w:val="0"/>
        <w:autoSpaceDN w:val="0"/>
        <w:adjustRightInd w:val="0"/>
        <w:spacing w:line="400" w:lineRule="exact"/>
        <w:ind w:firstLine="420" w:firstLineChars="200"/>
        <w:rPr>
          <w:szCs w:val="21"/>
          <w:u w:val="single"/>
        </w:rPr>
      </w:pPr>
      <w:r>
        <w:rPr>
          <w:szCs w:val="21"/>
        </w:rPr>
        <w:t>关于变更估价的约定</w:t>
      </w:r>
      <w:r>
        <w:rPr>
          <w:rFonts w:hint="eastAsia"/>
          <w:szCs w:val="21"/>
        </w:rPr>
        <w:t>：</w:t>
      </w:r>
    </w:p>
    <w:p w14:paraId="6CCC5D45">
      <w:pPr>
        <w:spacing w:line="400" w:lineRule="exact"/>
        <w:ind w:firstLine="420" w:firstLineChars="200"/>
        <w:rPr>
          <w:rFonts w:ascii="宋体" w:hAnsi="宋体"/>
          <w:szCs w:val="21"/>
          <w:u w:val="single"/>
        </w:rPr>
      </w:pPr>
      <w:r>
        <w:rPr>
          <w:rFonts w:hint="eastAsia" w:ascii="宋体" w:hAnsi="宋体"/>
          <w:szCs w:val="21"/>
          <w:u w:val="single"/>
        </w:rPr>
        <w:t>（1）变更后项目与承包人已标价工程量清单有相同项目的，按照相同项目综合单价确定。如该综合单价异常，则投标清单中合价金额占合同总价2%及以上的分部分项清单项目，其工程量增加超过本项目工程数量15%以上；或投标清单中合价金额占合同总价不到2%的分部分项清单项目，工程量增加超过本项目工程数量25%以上，该分部分项清单超过约定幅度外部分工程量的综合单价按专用条款10.4.1（2）（3）（4）条约定调整，工程量减少按投标综合单价计算，不调整综合单价。</w:t>
      </w:r>
    </w:p>
    <w:p w14:paraId="61BD60E2">
      <w:pPr>
        <w:spacing w:line="400" w:lineRule="exact"/>
        <w:ind w:firstLine="420" w:firstLineChars="200"/>
        <w:rPr>
          <w:rFonts w:ascii="宋体" w:hAnsi="宋体"/>
          <w:szCs w:val="21"/>
          <w:u w:val="single"/>
        </w:rPr>
      </w:pPr>
      <w:r>
        <w:rPr>
          <w:rFonts w:hint="eastAsia" w:ascii="宋体" w:hAnsi="宋体"/>
          <w:szCs w:val="21"/>
          <w:u w:val="single"/>
        </w:rPr>
        <w:t>综合单价异常是指：投标综合单价与本项目招标控制价（预算审核价）编制依据计算的综合单价偏差±30%以上。</w:t>
      </w:r>
    </w:p>
    <w:p w14:paraId="04F13937">
      <w:pPr>
        <w:spacing w:line="400" w:lineRule="exact"/>
        <w:ind w:firstLine="420" w:firstLineChars="200"/>
        <w:rPr>
          <w:rFonts w:ascii="宋体" w:hAnsi="宋体"/>
          <w:szCs w:val="21"/>
          <w:u w:val="single"/>
        </w:rPr>
      </w:pPr>
      <w:r>
        <w:rPr>
          <w:rFonts w:hint="eastAsia" w:ascii="宋体" w:hAnsi="宋体"/>
          <w:szCs w:val="21"/>
          <w:u w:val="single"/>
        </w:rPr>
        <w:t>（2）变更后项目与承包人已标价工程量清单中没有适用的综合单价，但有类似的工程项目综合单价，承包人可参照类似工程项目综合单价计算，并报发包人确定。</w:t>
      </w:r>
    </w:p>
    <w:p w14:paraId="59B69FA3">
      <w:pPr>
        <w:spacing w:line="400" w:lineRule="exact"/>
        <w:ind w:firstLine="420" w:firstLineChars="200"/>
        <w:rPr>
          <w:rFonts w:hint="eastAsia" w:ascii="宋体" w:hAnsi="宋体"/>
          <w:szCs w:val="21"/>
          <w:u w:val="single"/>
        </w:rPr>
      </w:pPr>
      <w:r>
        <w:rPr>
          <w:rFonts w:hint="eastAsia" w:ascii="宋体" w:hAnsi="宋体"/>
          <w:szCs w:val="21"/>
        </w:rPr>
        <w:t>a、</w:t>
      </w:r>
      <w:r>
        <w:rPr>
          <w:rFonts w:hint="eastAsia" w:ascii="宋体" w:hAnsi="宋体"/>
          <w:szCs w:val="21"/>
          <w:u w:val="single"/>
        </w:rPr>
        <w:t>某种材料（或半成品及成品）等级、标准变化的，清单组合子目不变，仅调整不同的材料市场价格之差；</w:t>
      </w:r>
    </w:p>
    <w:p w14:paraId="4A6B4FDB">
      <w:pPr>
        <w:spacing w:line="400" w:lineRule="exact"/>
        <w:ind w:firstLine="420" w:firstLineChars="200"/>
        <w:rPr>
          <w:rFonts w:ascii="宋体" w:hAnsi="宋体"/>
          <w:szCs w:val="21"/>
          <w:u w:val="single"/>
        </w:rPr>
      </w:pPr>
      <w:r>
        <w:rPr>
          <w:rFonts w:hint="eastAsia" w:ascii="宋体" w:hAnsi="宋体"/>
          <w:szCs w:val="21"/>
        </w:rPr>
        <w:t>b、</w:t>
      </w:r>
      <w:r>
        <w:rPr>
          <w:rFonts w:hint="eastAsia" w:ascii="宋体" w:hAnsi="宋体"/>
          <w:szCs w:val="21"/>
          <w:u w:val="single"/>
        </w:rPr>
        <w:t>清单项目组合内容中某一个（或多个）定额子目发生变化，不影响其他特征及工程内容价格的，仅调整发生变化的定额子目价格。</w:t>
      </w:r>
    </w:p>
    <w:p w14:paraId="15547D84">
      <w:pPr>
        <w:spacing w:line="400" w:lineRule="exact"/>
        <w:ind w:firstLine="420" w:firstLineChars="200"/>
        <w:rPr>
          <w:rFonts w:ascii="宋体" w:hAnsi="宋体"/>
          <w:szCs w:val="21"/>
          <w:u w:val="single"/>
        </w:rPr>
      </w:pPr>
      <w:r>
        <w:rPr>
          <w:rFonts w:hint="eastAsia" w:ascii="宋体" w:hAnsi="宋体"/>
          <w:szCs w:val="21"/>
        </w:rPr>
        <w:t>c、</w:t>
      </w:r>
      <w:r>
        <w:rPr>
          <w:rFonts w:hint="eastAsia" w:ascii="宋体" w:hAnsi="宋体"/>
          <w:szCs w:val="21"/>
          <w:u w:val="single"/>
        </w:rPr>
        <w:t>如该类似工程项目的综合单价异常，则不宜参照，按专用条款10.4.1（3）（4）款重新计算综合单价。</w:t>
      </w:r>
    </w:p>
    <w:p w14:paraId="19CCB50D">
      <w:pPr>
        <w:spacing w:line="400" w:lineRule="exact"/>
        <w:ind w:firstLine="420" w:firstLineChars="200"/>
        <w:rPr>
          <w:rFonts w:hint="eastAsia" w:ascii="宋体" w:hAnsi="宋体"/>
          <w:szCs w:val="21"/>
          <w:u w:val="single"/>
        </w:rPr>
      </w:pPr>
      <w:r>
        <w:rPr>
          <w:rFonts w:hint="eastAsia" w:ascii="宋体" w:hAnsi="宋体"/>
          <w:szCs w:val="21"/>
          <w:u w:val="single"/>
        </w:rPr>
        <w:t>（3）变更后项目与已标价工程量清单没有适用的综合单价，由承包人按招标控制价（或预算审核价）编制依据计算综合单</w:t>
      </w:r>
      <w:r>
        <w:rPr>
          <w:rFonts w:hint="eastAsia" w:ascii="宋体" w:hAnsi="宋体"/>
          <w:color w:val="auto"/>
          <w:szCs w:val="21"/>
          <w:u w:val="single"/>
        </w:rPr>
        <w:t>价，乘以投标总报价与招标控制价（或预算审核价）下降幅度（即结算综合单价=按招标控制价（或预算审核价）编制依据计算的综合单价×投标总报价/招标控制价（或预算审核价））编制变更项目的综合单价，报发包</w:t>
      </w:r>
      <w:r>
        <w:rPr>
          <w:rFonts w:hint="eastAsia" w:ascii="宋体" w:hAnsi="宋体"/>
          <w:szCs w:val="21"/>
          <w:u w:val="single"/>
        </w:rPr>
        <w:t>人审核后确定。但确定综合单价时，合同中约定的人工、材料、机械可调整的内容，仍按合同约定调整;合同中未约定的，按施工期信息价（或签证价）确定。</w:t>
      </w:r>
    </w:p>
    <w:p w14:paraId="5EBF1999">
      <w:pPr>
        <w:spacing w:line="400" w:lineRule="exact"/>
        <w:ind w:firstLine="420" w:firstLineChars="200"/>
        <w:rPr>
          <w:rFonts w:hint="eastAsia" w:ascii="宋体" w:hAnsi="宋体"/>
          <w:szCs w:val="21"/>
          <w:u w:val="single"/>
        </w:rPr>
      </w:pPr>
      <w:r>
        <w:rPr>
          <w:rFonts w:hint="eastAsia" w:ascii="宋体" w:hAnsi="宋体"/>
          <w:szCs w:val="21"/>
          <w:u w:val="single"/>
        </w:rPr>
        <w:t>（4）如按以上编制依据缺项的内容，承包人应通过市场调查等手段提出单价，并报发包人确定后执行。</w:t>
      </w:r>
    </w:p>
    <w:p w14:paraId="7DB0EA1C">
      <w:pPr>
        <w:spacing w:line="400" w:lineRule="exact"/>
        <w:ind w:firstLine="420" w:firstLineChars="200"/>
        <w:rPr>
          <w:rFonts w:ascii="宋体" w:hAnsi="宋体"/>
          <w:szCs w:val="21"/>
          <w:u w:val="single"/>
        </w:rPr>
      </w:pPr>
      <w:r>
        <w:rPr>
          <w:rFonts w:hint="eastAsia" w:ascii="宋体" w:hAnsi="宋体"/>
          <w:szCs w:val="21"/>
          <w:u w:val="single"/>
        </w:rPr>
        <w:t>（5）清单项目组合内容项目特征描述中，局部工程内容对应的工程数量变化，可仅调整计算变化部分的差价。</w:t>
      </w:r>
    </w:p>
    <w:p w14:paraId="53167D12">
      <w:pPr>
        <w:autoSpaceDE w:val="0"/>
        <w:autoSpaceDN w:val="0"/>
        <w:adjustRightInd w:val="0"/>
        <w:spacing w:line="400" w:lineRule="exact"/>
        <w:ind w:firstLine="420" w:firstLineChars="200"/>
        <w:rPr>
          <w:szCs w:val="21"/>
        </w:rPr>
      </w:pPr>
      <w:r>
        <w:rPr>
          <w:szCs w:val="21"/>
        </w:rPr>
        <w:t>10.4.2 变更估价程序</w:t>
      </w:r>
    </w:p>
    <w:p w14:paraId="419D384D">
      <w:pPr>
        <w:autoSpaceDE w:val="0"/>
        <w:autoSpaceDN w:val="0"/>
        <w:adjustRightInd w:val="0"/>
        <w:spacing w:line="400" w:lineRule="exact"/>
        <w:ind w:firstLine="420" w:firstLineChars="200"/>
        <w:rPr>
          <w:rFonts w:hint="eastAsia"/>
          <w:szCs w:val="21"/>
          <w:u w:val="single"/>
        </w:rPr>
      </w:pPr>
      <w:r>
        <w:rPr>
          <w:szCs w:val="21"/>
          <w:u w:val="single"/>
        </w:rPr>
        <w:t>承包人收到发包人、监理人、设计单位的变更指示后14日内向发包人提交变更估价申请</w:t>
      </w:r>
      <w:r>
        <w:rPr>
          <w:rFonts w:hint="eastAsia"/>
          <w:szCs w:val="21"/>
          <w:u w:val="single"/>
        </w:rPr>
        <w:t>。</w:t>
      </w:r>
    </w:p>
    <w:p w14:paraId="5045A1A6">
      <w:pPr>
        <w:autoSpaceDE w:val="0"/>
        <w:autoSpaceDN w:val="0"/>
        <w:adjustRightInd w:val="0"/>
        <w:spacing w:line="400" w:lineRule="exact"/>
        <w:ind w:firstLine="420" w:firstLineChars="200"/>
        <w:rPr>
          <w:szCs w:val="21"/>
          <w:u w:val="single"/>
        </w:rPr>
      </w:pPr>
      <w:r>
        <w:rPr>
          <w:szCs w:val="21"/>
          <w:u w:val="single"/>
        </w:rPr>
        <w:t>承包人提出工程变更、</w:t>
      </w:r>
      <w:r>
        <w:rPr>
          <w:rFonts w:hint="eastAsia"/>
          <w:szCs w:val="21"/>
          <w:u w:val="single"/>
        </w:rPr>
        <w:t>专项</w:t>
      </w:r>
      <w:r>
        <w:rPr>
          <w:szCs w:val="21"/>
          <w:u w:val="single"/>
        </w:rPr>
        <w:t>施工方案等变更应同时提交变更估价申请。</w:t>
      </w:r>
    </w:p>
    <w:p w14:paraId="7747424C">
      <w:pPr>
        <w:autoSpaceDE w:val="0"/>
        <w:autoSpaceDN w:val="0"/>
        <w:adjustRightInd w:val="0"/>
        <w:spacing w:line="400" w:lineRule="exact"/>
        <w:ind w:firstLine="420" w:firstLineChars="200"/>
        <w:rPr>
          <w:rFonts w:hint="eastAsia"/>
          <w:szCs w:val="21"/>
          <w:u w:val="single"/>
        </w:rPr>
      </w:pPr>
      <w:r>
        <w:rPr>
          <w:szCs w:val="21"/>
          <w:u w:val="single"/>
        </w:rPr>
        <w:t>承包人提交的变更估价申请，发包人</w:t>
      </w:r>
      <w:r>
        <w:rPr>
          <w:rFonts w:hint="eastAsia"/>
          <w:szCs w:val="21"/>
          <w:u w:val="single"/>
        </w:rPr>
        <w:t>和监理人</w:t>
      </w:r>
      <w:r>
        <w:rPr>
          <w:szCs w:val="21"/>
          <w:u w:val="single"/>
        </w:rPr>
        <w:t>应予以签收，并在14日内审批完毕。</w:t>
      </w:r>
    </w:p>
    <w:p w14:paraId="472CD3EC">
      <w:pPr>
        <w:autoSpaceDE w:val="0"/>
        <w:autoSpaceDN w:val="0"/>
        <w:adjustRightInd w:val="0"/>
        <w:spacing w:line="400" w:lineRule="exact"/>
        <w:ind w:firstLine="422" w:firstLineChars="200"/>
        <w:rPr>
          <w:rFonts w:hint="eastAsia"/>
          <w:b/>
          <w:szCs w:val="21"/>
          <w:u w:val="single"/>
        </w:rPr>
      </w:pPr>
      <w:r>
        <w:rPr>
          <w:b/>
          <w:szCs w:val="21"/>
          <w:u w:val="single"/>
        </w:rPr>
        <w:t>工程中</w:t>
      </w:r>
      <w:r>
        <w:rPr>
          <w:rFonts w:hint="eastAsia"/>
          <w:b/>
          <w:szCs w:val="21"/>
          <w:u w:val="single"/>
        </w:rPr>
        <w:t>凡涉及工程项目变更管理均严格按《三门县政府投资项目变更管理办法》（三政办规【2023】4号）、《关于进一步规范报送工程变更资料的通知》（三发改【2021】42号）执行，具体详见三门县政府性投资项目工程变更操作手册。</w:t>
      </w:r>
      <w:r>
        <w:rPr>
          <w:rFonts w:hint="eastAsia"/>
          <w:szCs w:val="21"/>
          <w:u w:val="single"/>
        </w:rPr>
        <w:t>上述管理办法如有变动时，按从新原则执行。</w:t>
      </w:r>
    </w:p>
    <w:p w14:paraId="3ED523FD">
      <w:pPr>
        <w:autoSpaceDE w:val="0"/>
        <w:autoSpaceDN w:val="0"/>
        <w:adjustRightInd w:val="0"/>
        <w:spacing w:line="400" w:lineRule="exact"/>
        <w:ind w:firstLine="420" w:firstLineChars="200"/>
        <w:rPr>
          <w:szCs w:val="21"/>
        </w:rPr>
      </w:pPr>
      <w:r>
        <w:rPr>
          <w:szCs w:val="21"/>
        </w:rPr>
        <w:t>1</w:t>
      </w:r>
      <w:bookmarkStart w:id="78" w:name="_Toc297216203"/>
      <w:bookmarkStart w:id="79" w:name="_Toc300934993"/>
      <w:bookmarkStart w:id="80" w:name="_Toc296891025"/>
      <w:bookmarkStart w:id="81" w:name="_Toc297123544"/>
      <w:bookmarkStart w:id="82" w:name="_Toc297120497"/>
      <w:bookmarkStart w:id="83" w:name="_Toc303539150"/>
      <w:bookmarkStart w:id="84" w:name="_Toc296891237"/>
      <w:bookmarkStart w:id="85" w:name="_Toc296346698"/>
      <w:bookmarkStart w:id="86" w:name="_Toc296347196"/>
      <w:bookmarkStart w:id="87" w:name="_Toc292559402"/>
      <w:bookmarkStart w:id="88" w:name="_Toc297048383"/>
      <w:bookmarkStart w:id="89" w:name="_Toc296944536"/>
      <w:bookmarkStart w:id="90" w:name="_Toc292559907"/>
      <w:bookmarkStart w:id="91" w:name="_Toc296503197"/>
      <w:r>
        <w:rPr>
          <w:szCs w:val="21"/>
        </w:rPr>
        <w:t>0.5承</w:t>
      </w:r>
      <w:bookmarkEnd w:id="78"/>
      <w:bookmarkEnd w:id="79"/>
      <w:bookmarkEnd w:id="80"/>
      <w:bookmarkEnd w:id="81"/>
      <w:bookmarkEnd w:id="82"/>
      <w:bookmarkEnd w:id="83"/>
      <w:bookmarkEnd w:id="84"/>
      <w:bookmarkEnd w:id="85"/>
      <w:bookmarkEnd w:id="86"/>
      <w:bookmarkEnd w:id="87"/>
      <w:bookmarkEnd w:id="88"/>
      <w:bookmarkEnd w:id="89"/>
      <w:bookmarkEnd w:id="90"/>
      <w:bookmarkEnd w:id="91"/>
      <w:r>
        <w:rPr>
          <w:szCs w:val="21"/>
        </w:rPr>
        <w:t>包人的合理化建议</w:t>
      </w:r>
    </w:p>
    <w:p w14:paraId="5EA6AD49">
      <w:pPr>
        <w:autoSpaceDE w:val="0"/>
        <w:autoSpaceDN w:val="0"/>
        <w:adjustRightInd w:val="0"/>
        <w:spacing w:line="400" w:lineRule="exact"/>
        <w:ind w:firstLine="420" w:firstLineChars="200"/>
        <w:rPr>
          <w:szCs w:val="21"/>
        </w:rPr>
      </w:pPr>
      <w:r>
        <w:rPr>
          <w:szCs w:val="21"/>
        </w:rPr>
        <w:t>监理人审查承包人合理化建议的期限：</w:t>
      </w:r>
      <w:r>
        <w:rPr>
          <w:szCs w:val="21"/>
          <w:u w:val="single"/>
        </w:rPr>
        <w:t xml:space="preserve"> 按通用条款执行  </w:t>
      </w:r>
      <w:r>
        <w:rPr>
          <w:szCs w:val="21"/>
        </w:rPr>
        <w:t>。</w:t>
      </w:r>
    </w:p>
    <w:p w14:paraId="088A93AB">
      <w:pPr>
        <w:autoSpaceDE w:val="0"/>
        <w:autoSpaceDN w:val="0"/>
        <w:adjustRightInd w:val="0"/>
        <w:spacing w:line="400" w:lineRule="exact"/>
        <w:ind w:firstLine="420" w:firstLineChars="200"/>
        <w:rPr>
          <w:szCs w:val="21"/>
        </w:rPr>
      </w:pPr>
      <w:r>
        <w:rPr>
          <w:szCs w:val="21"/>
        </w:rPr>
        <w:t>发包人审批承包人合理化建议的期限：</w:t>
      </w:r>
      <w:r>
        <w:rPr>
          <w:szCs w:val="21"/>
          <w:u w:val="single"/>
        </w:rPr>
        <w:t xml:space="preserve">按通用条款执行   </w:t>
      </w:r>
      <w:r>
        <w:rPr>
          <w:szCs w:val="21"/>
        </w:rPr>
        <w:t>。</w:t>
      </w:r>
    </w:p>
    <w:p w14:paraId="2760C918">
      <w:pPr>
        <w:autoSpaceDE w:val="0"/>
        <w:autoSpaceDN w:val="0"/>
        <w:adjustRightInd w:val="0"/>
        <w:spacing w:line="400" w:lineRule="exact"/>
        <w:ind w:firstLine="420" w:firstLineChars="200"/>
        <w:rPr>
          <w:szCs w:val="21"/>
          <w:u w:val="single"/>
        </w:rPr>
      </w:pPr>
      <w:r>
        <w:rPr>
          <w:szCs w:val="21"/>
        </w:rPr>
        <w:t>承包人提出的合理化建议降低了合同价格或者提高了工程经济效益的奖励的方法和金额为：</w:t>
      </w:r>
      <w:r>
        <w:rPr>
          <w:szCs w:val="21"/>
          <w:u w:val="single"/>
        </w:rPr>
        <w:t xml:space="preserve">                </w:t>
      </w:r>
      <w:r>
        <w:rPr>
          <w:szCs w:val="21"/>
        </w:rPr>
        <w:t>。</w:t>
      </w:r>
    </w:p>
    <w:p w14:paraId="7B4E6C85">
      <w:pPr>
        <w:autoSpaceDE w:val="0"/>
        <w:autoSpaceDN w:val="0"/>
        <w:adjustRightInd w:val="0"/>
        <w:spacing w:line="400" w:lineRule="exact"/>
        <w:ind w:firstLine="420" w:firstLineChars="200"/>
        <w:rPr>
          <w:szCs w:val="21"/>
        </w:rPr>
      </w:pPr>
      <w:r>
        <w:rPr>
          <w:szCs w:val="21"/>
        </w:rPr>
        <w:t>10.7 暂估价</w:t>
      </w:r>
    </w:p>
    <w:p w14:paraId="3F644D61">
      <w:pPr>
        <w:autoSpaceDE w:val="0"/>
        <w:autoSpaceDN w:val="0"/>
        <w:adjustRightInd w:val="0"/>
        <w:spacing w:line="400" w:lineRule="exact"/>
        <w:ind w:firstLine="420" w:firstLineChars="200"/>
        <w:rPr>
          <w:szCs w:val="21"/>
        </w:rPr>
      </w:pPr>
      <w:r>
        <w:rPr>
          <w:szCs w:val="21"/>
        </w:rPr>
        <w:t>暂估价材料和工程设备的明细详见附件11：《暂估价一览表》。</w:t>
      </w:r>
    </w:p>
    <w:p w14:paraId="28397EFE">
      <w:pPr>
        <w:autoSpaceDE w:val="0"/>
        <w:autoSpaceDN w:val="0"/>
        <w:adjustRightInd w:val="0"/>
        <w:spacing w:line="400" w:lineRule="exact"/>
        <w:ind w:firstLine="420" w:firstLineChars="200"/>
        <w:rPr>
          <w:szCs w:val="21"/>
        </w:rPr>
      </w:pPr>
      <w:r>
        <w:rPr>
          <w:szCs w:val="21"/>
        </w:rPr>
        <w:t>10.7.1 依法必须招标的暂估价项目</w:t>
      </w:r>
    </w:p>
    <w:p w14:paraId="02BE6B9E">
      <w:pPr>
        <w:autoSpaceDE w:val="0"/>
        <w:autoSpaceDN w:val="0"/>
        <w:adjustRightInd w:val="0"/>
        <w:spacing w:line="400" w:lineRule="exact"/>
        <w:ind w:firstLine="420" w:firstLineChars="200"/>
        <w:rPr>
          <w:szCs w:val="21"/>
          <w:u w:val="single"/>
        </w:rPr>
      </w:pPr>
      <w:r>
        <w:rPr>
          <w:rFonts w:hint="eastAsia"/>
          <w:szCs w:val="21"/>
          <w:u w:val="single"/>
        </w:rPr>
        <w:t>无承包价（暂定价）或工程变更新增的单项材料、设备、专</w:t>
      </w:r>
      <w:r>
        <w:rPr>
          <w:rFonts w:hint="eastAsia"/>
          <w:color w:val="auto"/>
          <w:szCs w:val="21"/>
          <w:highlight w:val="none"/>
          <w:u w:val="single"/>
        </w:rPr>
        <w:t>业分包工程估算价在（</w:t>
      </w:r>
      <w:r>
        <w:rPr>
          <w:rFonts w:hint="eastAsia"/>
          <w:color w:val="auto"/>
          <w:szCs w:val="21"/>
          <w:highlight w:val="none"/>
          <w:u w:val="single"/>
          <w:lang w:val="en-US" w:eastAsia="zh-CN"/>
        </w:rPr>
        <w:t>30</w:t>
      </w:r>
      <w:r>
        <w:rPr>
          <w:rFonts w:hint="eastAsia"/>
          <w:color w:val="auto"/>
          <w:szCs w:val="21"/>
          <w:highlight w:val="none"/>
          <w:u w:val="single"/>
        </w:rPr>
        <w:t>）万</w:t>
      </w:r>
      <w:r>
        <w:rPr>
          <w:rFonts w:hint="eastAsia"/>
          <w:szCs w:val="21"/>
          <w:u w:val="single"/>
        </w:rPr>
        <w:t>元以上的（指可以向同一家供应商采购的同类材料总价），须由发、承包双方通过招标确定价格、供应商或分包人。承包人应按照施工进度计划，在招标工作启动前 28 天通知发包人，并提交暂估价招标方案和工作分工</w:t>
      </w:r>
      <w:r>
        <w:rPr>
          <w:rFonts w:hint="eastAsia"/>
          <w:szCs w:val="21"/>
          <w:u w:val="single"/>
          <w:lang w:eastAsia="zh-CN"/>
        </w:rPr>
        <w:t>，</w:t>
      </w:r>
      <w:r>
        <w:rPr>
          <w:rFonts w:hint="eastAsia"/>
          <w:szCs w:val="21"/>
          <w:u w:val="single"/>
        </w:rPr>
        <w:t>招标工作接受有管辖权的建设工程招投标监督部门的监督。与组织招标工作有关的费用由发包人承担。</w:t>
      </w:r>
    </w:p>
    <w:p w14:paraId="25ED1BA6">
      <w:pPr>
        <w:autoSpaceDE w:val="0"/>
        <w:autoSpaceDN w:val="0"/>
        <w:adjustRightInd w:val="0"/>
        <w:spacing w:line="400" w:lineRule="exact"/>
        <w:ind w:firstLine="420" w:firstLineChars="200"/>
        <w:rPr>
          <w:szCs w:val="21"/>
        </w:rPr>
      </w:pPr>
      <w:r>
        <w:rPr>
          <w:szCs w:val="21"/>
        </w:rPr>
        <w:t>10.7.2 不属于依法必须招标的暂估价项目：</w:t>
      </w:r>
      <w:r>
        <w:rPr>
          <w:rFonts w:hint="eastAsia"/>
          <w:szCs w:val="21"/>
          <w:u w:val="single"/>
        </w:rPr>
        <w:t>按通用合同条款执行</w:t>
      </w:r>
      <w:r>
        <w:rPr>
          <w:szCs w:val="21"/>
          <w:u w:val="single"/>
        </w:rPr>
        <w:t>。</w:t>
      </w:r>
    </w:p>
    <w:p w14:paraId="5B36E47E">
      <w:pPr>
        <w:autoSpaceDE w:val="0"/>
        <w:autoSpaceDN w:val="0"/>
        <w:adjustRightInd w:val="0"/>
        <w:spacing w:line="400" w:lineRule="exact"/>
        <w:ind w:firstLine="420" w:firstLineChars="200"/>
        <w:rPr>
          <w:szCs w:val="21"/>
        </w:rPr>
      </w:pPr>
      <w:r>
        <w:rPr>
          <w:szCs w:val="21"/>
        </w:rPr>
        <w:t>第3种方式：承包人直接实施的暂估价项目</w:t>
      </w:r>
    </w:p>
    <w:p w14:paraId="23A6E58B">
      <w:pPr>
        <w:autoSpaceDE w:val="0"/>
        <w:autoSpaceDN w:val="0"/>
        <w:adjustRightInd w:val="0"/>
        <w:spacing w:line="400" w:lineRule="exact"/>
        <w:ind w:firstLine="420" w:firstLineChars="200"/>
        <w:rPr>
          <w:rFonts w:hint="eastAsia"/>
          <w:szCs w:val="21"/>
        </w:rPr>
      </w:pPr>
      <w:r>
        <w:rPr>
          <w:szCs w:val="21"/>
        </w:rPr>
        <w:t>承包人直接实施的暂估价项目的约定：</w:t>
      </w:r>
      <w:r>
        <w:rPr>
          <w:szCs w:val="21"/>
          <w:u w:val="single"/>
        </w:rPr>
        <w:t xml:space="preserve">    </w:t>
      </w:r>
      <w:r>
        <w:rPr>
          <w:rFonts w:hint="eastAsia" w:ascii="宋体" w:hAnsi="宋体"/>
          <w:b/>
          <w:szCs w:val="21"/>
          <w:u w:val="single"/>
        </w:rPr>
        <w:t>/</w:t>
      </w:r>
      <w:r>
        <w:rPr>
          <w:szCs w:val="21"/>
          <w:u w:val="single"/>
        </w:rPr>
        <w:t xml:space="preserve">    </w:t>
      </w:r>
      <w:r>
        <w:rPr>
          <w:szCs w:val="21"/>
        </w:rPr>
        <w:t>。</w:t>
      </w:r>
    </w:p>
    <w:p w14:paraId="34A85556">
      <w:pPr>
        <w:spacing w:line="400" w:lineRule="exact"/>
        <w:ind w:firstLine="420" w:firstLineChars="200"/>
        <w:rPr>
          <w:rFonts w:ascii="宋体" w:hAnsi="宋体"/>
          <w:szCs w:val="21"/>
        </w:rPr>
      </w:pPr>
      <w:r>
        <w:rPr>
          <w:rFonts w:hint="eastAsia" w:ascii="宋体" w:hAnsi="宋体"/>
          <w:szCs w:val="21"/>
        </w:rPr>
        <w:t>10.7.4专业发包工程管理费</w:t>
      </w:r>
    </w:p>
    <w:p w14:paraId="44240A98">
      <w:pPr>
        <w:autoSpaceDE w:val="0"/>
        <w:autoSpaceDN w:val="0"/>
        <w:adjustRightInd w:val="0"/>
        <w:spacing w:line="400" w:lineRule="exact"/>
        <w:ind w:firstLine="420" w:firstLineChars="200"/>
        <w:rPr>
          <w:rFonts w:hint="eastAsia"/>
          <w:szCs w:val="21"/>
        </w:rPr>
      </w:pPr>
      <w:r>
        <w:rPr>
          <w:rFonts w:hint="eastAsia"/>
          <w:szCs w:val="21"/>
        </w:rPr>
        <w:t>本工程</w:t>
      </w:r>
      <w:r>
        <w:rPr>
          <w:szCs w:val="21"/>
        </w:rPr>
        <w:t>无专业发包。</w:t>
      </w:r>
    </w:p>
    <w:p w14:paraId="0640F513">
      <w:pPr>
        <w:spacing w:line="400" w:lineRule="exact"/>
        <w:ind w:firstLine="420" w:firstLineChars="200"/>
        <w:rPr>
          <w:rFonts w:ascii="宋体" w:hAnsi="宋体"/>
          <w:szCs w:val="21"/>
        </w:rPr>
      </w:pPr>
      <w:r>
        <w:rPr>
          <w:rFonts w:hint="eastAsia" w:ascii="宋体" w:hAnsi="宋体"/>
          <w:szCs w:val="21"/>
        </w:rPr>
        <w:t>需总承包人配合的具体事项：</w:t>
      </w:r>
      <w:r>
        <w:rPr>
          <w:rFonts w:hint="eastAsia" w:ascii="宋体" w:hAnsi="宋体"/>
          <w:szCs w:val="21"/>
          <w:u w:val="single"/>
        </w:rPr>
        <w:t xml:space="preserve">                  </w:t>
      </w:r>
      <w:r>
        <w:rPr>
          <w:rFonts w:ascii="宋体" w:hAnsi="宋体"/>
          <w:szCs w:val="21"/>
          <w:u w:val="single"/>
        </w:rPr>
        <w:t>/</w:t>
      </w:r>
      <w:r>
        <w:rPr>
          <w:rFonts w:hint="eastAsia" w:ascii="宋体" w:hAnsi="宋体"/>
          <w:szCs w:val="21"/>
          <w:u w:val="single"/>
        </w:rPr>
        <w:t xml:space="preserve">                </w:t>
      </w:r>
      <w:r>
        <w:rPr>
          <w:rFonts w:hint="eastAsia" w:ascii="宋体" w:hAnsi="宋体"/>
          <w:szCs w:val="21"/>
        </w:rPr>
        <w:t>。</w:t>
      </w:r>
    </w:p>
    <w:p w14:paraId="2173482C">
      <w:pPr>
        <w:autoSpaceDE w:val="0"/>
        <w:autoSpaceDN w:val="0"/>
        <w:adjustRightInd w:val="0"/>
        <w:spacing w:line="400" w:lineRule="exact"/>
        <w:ind w:firstLine="420" w:firstLineChars="200"/>
        <w:rPr>
          <w:szCs w:val="21"/>
        </w:rPr>
      </w:pPr>
      <w:r>
        <w:rPr>
          <w:rFonts w:hint="eastAsia" w:ascii="宋体" w:hAnsi="宋体"/>
          <w:szCs w:val="21"/>
        </w:rPr>
        <w:t>发包人另行发包的专业工程：</w:t>
      </w:r>
      <w:r>
        <w:rPr>
          <w:rFonts w:hint="eastAsia" w:ascii="宋体" w:hAnsi="宋体"/>
          <w:szCs w:val="21"/>
          <w:u w:val="single"/>
        </w:rPr>
        <w:t xml:space="preserve">                  </w:t>
      </w:r>
      <w:r>
        <w:rPr>
          <w:rFonts w:ascii="宋体" w:hAnsi="宋体"/>
          <w:szCs w:val="21"/>
          <w:u w:val="single"/>
        </w:rPr>
        <w:t>/</w:t>
      </w:r>
      <w:r>
        <w:rPr>
          <w:rFonts w:hint="eastAsia" w:ascii="宋体" w:hAnsi="宋体"/>
          <w:szCs w:val="21"/>
          <w:u w:val="single"/>
        </w:rPr>
        <w:t xml:space="preserve">                </w:t>
      </w:r>
      <w:r>
        <w:rPr>
          <w:rFonts w:hint="eastAsia" w:ascii="宋体" w:hAnsi="宋体"/>
          <w:szCs w:val="21"/>
        </w:rPr>
        <w:t>。</w:t>
      </w:r>
    </w:p>
    <w:p w14:paraId="0D5BB004">
      <w:pPr>
        <w:autoSpaceDE w:val="0"/>
        <w:autoSpaceDN w:val="0"/>
        <w:adjustRightInd w:val="0"/>
        <w:spacing w:line="400" w:lineRule="exact"/>
        <w:ind w:firstLine="420" w:firstLineChars="200"/>
        <w:rPr>
          <w:szCs w:val="21"/>
        </w:rPr>
      </w:pPr>
      <w:r>
        <w:rPr>
          <w:szCs w:val="21"/>
        </w:rPr>
        <w:t>10.8 暂列金额</w:t>
      </w:r>
    </w:p>
    <w:p w14:paraId="6BF40AF2">
      <w:pPr>
        <w:autoSpaceDE w:val="0"/>
        <w:autoSpaceDN w:val="0"/>
        <w:adjustRightInd w:val="0"/>
        <w:spacing w:line="400" w:lineRule="exact"/>
        <w:ind w:firstLine="420" w:firstLineChars="200"/>
        <w:rPr>
          <w:szCs w:val="21"/>
        </w:rPr>
      </w:pPr>
      <w:r>
        <w:rPr>
          <w:szCs w:val="21"/>
        </w:rPr>
        <w:t>合同当事人关于暂列金额使用的约定：</w:t>
      </w:r>
      <w:r>
        <w:rPr>
          <w:szCs w:val="21"/>
          <w:u w:val="single"/>
        </w:rPr>
        <w:t xml:space="preserve">     </w:t>
      </w:r>
      <w:r>
        <w:rPr>
          <w:rFonts w:hint="eastAsia"/>
          <w:szCs w:val="21"/>
          <w:u w:val="single"/>
        </w:rPr>
        <w:t xml:space="preserve">     </w:t>
      </w:r>
      <w:r>
        <w:rPr>
          <w:szCs w:val="21"/>
          <w:u w:val="single"/>
        </w:rPr>
        <w:t>/</w:t>
      </w:r>
      <w:r>
        <w:rPr>
          <w:rFonts w:hint="eastAsia"/>
          <w:szCs w:val="21"/>
          <w:u w:val="single"/>
        </w:rPr>
        <w:t xml:space="preserve">        </w:t>
      </w:r>
      <w:r>
        <w:rPr>
          <w:szCs w:val="21"/>
          <w:u w:val="single"/>
        </w:rPr>
        <w:t xml:space="preserve">        </w:t>
      </w:r>
      <w:r>
        <w:rPr>
          <w:szCs w:val="21"/>
        </w:rPr>
        <w:t>。</w:t>
      </w:r>
    </w:p>
    <w:p w14:paraId="401717EF">
      <w:pPr>
        <w:autoSpaceDE w:val="0"/>
        <w:autoSpaceDN w:val="0"/>
        <w:adjustRightInd w:val="0"/>
        <w:spacing w:line="400" w:lineRule="exact"/>
        <w:ind w:firstLine="420" w:firstLineChars="200"/>
        <w:rPr>
          <w:szCs w:val="21"/>
          <w:u w:val="single"/>
        </w:rPr>
      </w:pPr>
      <w:r>
        <w:rPr>
          <w:szCs w:val="21"/>
        </w:rPr>
        <w:t>创标化工地增加费</w:t>
      </w:r>
      <w:r>
        <w:rPr>
          <w:rFonts w:hint="eastAsia"/>
          <w:szCs w:val="21"/>
        </w:rPr>
        <w:t>计算方法：</w:t>
      </w:r>
      <w:r>
        <w:rPr>
          <w:rFonts w:hint="eastAsia"/>
          <w:szCs w:val="21"/>
          <w:u w:val="single"/>
        </w:rPr>
        <w:t>本工程无创标化工地目标</w:t>
      </w:r>
      <w:r>
        <w:rPr>
          <w:szCs w:val="21"/>
          <w:u w:val="single"/>
        </w:rPr>
        <w:t>。</w:t>
      </w:r>
    </w:p>
    <w:p w14:paraId="718DA2BD">
      <w:pPr>
        <w:autoSpaceDE w:val="0"/>
        <w:autoSpaceDN w:val="0"/>
        <w:adjustRightInd w:val="0"/>
        <w:spacing w:line="400" w:lineRule="exact"/>
        <w:ind w:firstLine="420" w:firstLineChars="200"/>
        <w:rPr>
          <w:szCs w:val="21"/>
        </w:rPr>
      </w:pPr>
      <w:r>
        <w:rPr>
          <w:szCs w:val="21"/>
        </w:rPr>
        <w:t>创优质工程增加费</w:t>
      </w:r>
      <w:r>
        <w:rPr>
          <w:rFonts w:hint="eastAsia"/>
          <w:szCs w:val="21"/>
        </w:rPr>
        <w:t>计算方法：</w:t>
      </w:r>
      <w:r>
        <w:rPr>
          <w:rFonts w:hint="eastAsia"/>
          <w:szCs w:val="21"/>
          <w:u w:val="single"/>
        </w:rPr>
        <w:t>本工程无创优质工程目标</w:t>
      </w:r>
      <w:r>
        <w:rPr>
          <w:szCs w:val="21"/>
          <w:u w:val="single"/>
        </w:rPr>
        <w:t>。</w:t>
      </w:r>
    </w:p>
    <w:p w14:paraId="7474C0FF">
      <w:pPr>
        <w:pStyle w:val="4"/>
        <w:spacing w:before="0" w:after="0" w:line="400" w:lineRule="exact"/>
        <w:ind w:firstLine="422" w:firstLineChars="200"/>
        <w:rPr>
          <w:rFonts w:ascii="Times New Roman" w:hAnsi="Times New Roman"/>
          <w:sz w:val="21"/>
          <w:szCs w:val="21"/>
        </w:rPr>
      </w:pPr>
      <w:bookmarkStart w:id="92" w:name="_Toc351203643"/>
      <w:r>
        <w:rPr>
          <w:rFonts w:ascii="Times New Roman" w:hAnsi="Times New Roman"/>
          <w:sz w:val="21"/>
          <w:szCs w:val="21"/>
        </w:rPr>
        <w:t>11. 价格调整</w:t>
      </w:r>
      <w:bookmarkEnd w:id="92"/>
    </w:p>
    <w:p w14:paraId="7043D27C">
      <w:pPr>
        <w:spacing w:line="400" w:lineRule="exact"/>
        <w:ind w:firstLine="420" w:firstLineChars="200"/>
        <w:rPr>
          <w:rFonts w:ascii="宋体" w:hAnsi="宋体"/>
          <w:szCs w:val="21"/>
        </w:rPr>
      </w:pPr>
      <w:r>
        <w:rPr>
          <w:rFonts w:ascii="宋体" w:hAnsi="宋体"/>
          <w:szCs w:val="21"/>
        </w:rPr>
        <w:t>11.1 市场价格波动引起的调整</w:t>
      </w:r>
    </w:p>
    <w:p w14:paraId="4EB30B33">
      <w:pPr>
        <w:autoSpaceDE w:val="0"/>
        <w:autoSpaceDN w:val="0"/>
        <w:adjustRightInd w:val="0"/>
        <w:spacing w:line="400" w:lineRule="exact"/>
        <w:ind w:firstLine="420" w:firstLineChars="200"/>
        <w:rPr>
          <w:rFonts w:hint="eastAsia"/>
          <w:szCs w:val="21"/>
          <w:u w:val="single"/>
        </w:rPr>
      </w:pPr>
      <w:r>
        <w:rPr>
          <w:rFonts w:ascii="宋体" w:hAnsi="宋体"/>
          <w:szCs w:val="21"/>
        </w:rPr>
        <w:t>市场价格波动是否调整合同价格的约定：</w:t>
      </w:r>
      <w:r>
        <w:rPr>
          <w:rFonts w:hint="eastAsia"/>
          <w:szCs w:val="21"/>
          <w:highlight w:val="none"/>
          <w:u w:val="single"/>
        </w:rPr>
        <w:t>分</w:t>
      </w:r>
      <w:r>
        <w:rPr>
          <w:rFonts w:hint="eastAsia"/>
          <w:color w:val="auto"/>
          <w:szCs w:val="21"/>
          <w:highlight w:val="none"/>
          <w:u w:val="single"/>
        </w:rPr>
        <w:t>部分项及技术措施项目综合单价中的〔具体调整的材料（</w:t>
      </w:r>
      <w:r>
        <w:rPr>
          <w:rFonts w:hint="eastAsia" w:ascii="宋体" w:hAnsi="宋体"/>
          <w:color w:val="auto"/>
          <w:szCs w:val="21"/>
          <w:u w:val="single"/>
        </w:rPr>
        <w:t>钢材、水泥、商品砼、砂、石子、砖</w:t>
      </w:r>
      <w:r>
        <w:rPr>
          <w:rFonts w:hint="eastAsia"/>
          <w:color w:val="auto"/>
          <w:szCs w:val="21"/>
          <w:highlight w:val="none"/>
          <w:u w:val="single"/>
        </w:rPr>
        <w:t>）〕市场价</w:t>
      </w:r>
      <w:r>
        <w:rPr>
          <w:rFonts w:hint="eastAsia"/>
          <w:szCs w:val="21"/>
          <w:highlight w:val="none"/>
          <w:u w:val="single"/>
        </w:rPr>
        <w:t>格波动调整价格，再按投标含量调整综合单价；其余材料及人工市场价格波动不调整。调整时间均为在合同工期范围内。</w:t>
      </w:r>
    </w:p>
    <w:p w14:paraId="27524D79">
      <w:pPr>
        <w:autoSpaceDE w:val="0"/>
        <w:autoSpaceDN w:val="0"/>
        <w:adjustRightInd w:val="0"/>
        <w:spacing w:line="400" w:lineRule="exact"/>
        <w:ind w:firstLine="420" w:firstLineChars="200"/>
        <w:rPr>
          <w:rFonts w:hint="eastAsia"/>
          <w:szCs w:val="21"/>
        </w:rPr>
      </w:pPr>
      <w:r>
        <w:rPr>
          <w:rFonts w:hint="eastAsia"/>
          <w:szCs w:val="21"/>
        </w:rPr>
        <w:t>因市场价格波动调整合同价格，采用以下第</w:t>
      </w:r>
      <w:r>
        <w:rPr>
          <w:rFonts w:hint="eastAsia"/>
          <w:szCs w:val="21"/>
          <w:u w:val="single"/>
        </w:rPr>
        <w:t xml:space="preserve"> </w:t>
      </w:r>
      <w:r>
        <w:rPr>
          <w:szCs w:val="21"/>
          <w:u w:val="single"/>
        </w:rPr>
        <w:t>2</w:t>
      </w:r>
      <w:r>
        <w:rPr>
          <w:rFonts w:hint="eastAsia"/>
          <w:szCs w:val="21"/>
          <w:u w:val="single"/>
        </w:rPr>
        <w:t xml:space="preserve"> </w:t>
      </w:r>
      <w:r>
        <w:rPr>
          <w:rFonts w:hint="eastAsia"/>
          <w:szCs w:val="21"/>
        </w:rPr>
        <w:t>种方式对合同价格进行调整：</w:t>
      </w:r>
    </w:p>
    <w:p w14:paraId="426319A3">
      <w:pPr>
        <w:autoSpaceDE w:val="0"/>
        <w:autoSpaceDN w:val="0"/>
        <w:adjustRightInd w:val="0"/>
        <w:spacing w:line="400" w:lineRule="exact"/>
        <w:ind w:firstLine="420" w:firstLineChars="200"/>
        <w:rPr>
          <w:rFonts w:hint="eastAsia"/>
          <w:szCs w:val="21"/>
        </w:rPr>
      </w:pPr>
      <w:r>
        <w:rPr>
          <w:rFonts w:hint="eastAsia"/>
          <w:szCs w:val="21"/>
        </w:rPr>
        <w:t>第 1 种方式：采用价格指数进行价格调整。</w:t>
      </w:r>
    </w:p>
    <w:p w14:paraId="06599614">
      <w:pPr>
        <w:autoSpaceDE w:val="0"/>
        <w:autoSpaceDN w:val="0"/>
        <w:adjustRightInd w:val="0"/>
        <w:spacing w:line="400" w:lineRule="exact"/>
        <w:ind w:firstLine="420" w:firstLineChars="200"/>
        <w:rPr>
          <w:rFonts w:hint="eastAsia"/>
          <w:szCs w:val="21"/>
          <w:u w:val="single"/>
        </w:rPr>
      </w:pPr>
      <w:r>
        <w:rPr>
          <w:rFonts w:hint="eastAsia"/>
          <w:szCs w:val="21"/>
        </w:rPr>
        <w:t>关于各可调因子、定值和变值权重，以及基本价格指数及其来源的约定：</w:t>
      </w:r>
      <w:r>
        <w:rPr>
          <w:rFonts w:hint="eastAsia"/>
          <w:szCs w:val="21"/>
          <w:u w:val="single"/>
        </w:rPr>
        <w:t xml:space="preserve">         </w:t>
      </w:r>
      <w:r>
        <w:rPr>
          <w:rFonts w:hint="eastAsia"/>
          <w:szCs w:val="21"/>
        </w:rPr>
        <w:t>；</w:t>
      </w:r>
    </w:p>
    <w:p w14:paraId="01D08775">
      <w:pPr>
        <w:autoSpaceDE w:val="0"/>
        <w:autoSpaceDN w:val="0"/>
        <w:adjustRightInd w:val="0"/>
        <w:spacing w:line="400" w:lineRule="exact"/>
        <w:ind w:firstLine="420" w:firstLineChars="200"/>
        <w:rPr>
          <w:rFonts w:hint="eastAsia"/>
          <w:szCs w:val="21"/>
        </w:rPr>
      </w:pPr>
      <w:r>
        <w:rPr>
          <w:rFonts w:hint="eastAsia"/>
          <w:szCs w:val="21"/>
        </w:rPr>
        <w:t>第 2 种方式：采用造价信息进行价格调整。</w:t>
      </w:r>
    </w:p>
    <w:p w14:paraId="264A6E05">
      <w:pPr>
        <w:autoSpaceDE w:val="0"/>
        <w:autoSpaceDN w:val="0"/>
        <w:adjustRightInd w:val="0"/>
        <w:spacing w:line="400" w:lineRule="exact"/>
        <w:ind w:firstLine="420" w:firstLineChars="200"/>
        <w:rPr>
          <w:rFonts w:hint="eastAsia"/>
          <w:szCs w:val="21"/>
          <w:u w:val="single"/>
        </w:rPr>
      </w:pPr>
      <w:r>
        <w:rPr>
          <w:rFonts w:hint="eastAsia"/>
          <w:szCs w:val="21"/>
        </w:rPr>
        <w:t>(1) 关于基准价格的约定：</w:t>
      </w:r>
      <w:r>
        <w:rPr>
          <w:rFonts w:hint="eastAsia"/>
          <w:szCs w:val="21"/>
          <w:u w:val="single"/>
        </w:rPr>
        <w:t>A1=编制招标控制价(预算审核书) 时所采用《台州造价(工程所在地) 》对应月份的人工、材料价格。</w:t>
      </w:r>
    </w:p>
    <w:p w14:paraId="030E8B92">
      <w:pPr>
        <w:autoSpaceDE w:val="0"/>
        <w:autoSpaceDN w:val="0"/>
        <w:adjustRightInd w:val="0"/>
        <w:spacing w:line="400" w:lineRule="exact"/>
        <w:ind w:firstLine="420" w:firstLineChars="200"/>
        <w:rPr>
          <w:rFonts w:hint="eastAsia"/>
          <w:szCs w:val="21"/>
        </w:rPr>
      </w:pPr>
      <w:r>
        <w:rPr>
          <w:rFonts w:hint="eastAsia"/>
          <w:szCs w:val="21"/>
        </w:rPr>
        <w:t>(2) 市场价格约定：</w:t>
      </w:r>
      <w:r>
        <w:rPr>
          <w:rFonts w:hint="eastAsia"/>
          <w:szCs w:val="21"/>
          <w:u w:val="single"/>
        </w:rPr>
        <w:t>A2＝施工期所对应</w:t>
      </w:r>
      <w:r>
        <w:rPr>
          <w:szCs w:val="21"/>
          <w:u w:val="single"/>
        </w:rPr>
        <w:t>的</w:t>
      </w:r>
      <w:r>
        <w:rPr>
          <w:rFonts w:hint="eastAsia"/>
          <w:szCs w:val="21"/>
          <w:u w:val="single"/>
        </w:rPr>
        <w:t>《台州造价》(正刊) 三门信息价所对应的材料(人工) 信息价算术平均价。</w:t>
      </w:r>
    </w:p>
    <w:p w14:paraId="746373DB">
      <w:pPr>
        <w:autoSpaceDE w:val="0"/>
        <w:autoSpaceDN w:val="0"/>
        <w:adjustRightInd w:val="0"/>
        <w:spacing w:line="400" w:lineRule="exact"/>
        <w:ind w:firstLine="420" w:firstLineChars="200"/>
        <w:rPr>
          <w:rFonts w:hint="eastAsia"/>
          <w:szCs w:val="21"/>
        </w:rPr>
      </w:pPr>
      <w:r>
        <w:rPr>
          <w:rFonts w:hint="eastAsia"/>
          <w:szCs w:val="21"/>
        </w:rPr>
        <w:t>(3) 调整方法</w:t>
      </w:r>
    </w:p>
    <w:p w14:paraId="6C4385AB">
      <w:pPr>
        <w:autoSpaceDE w:val="0"/>
        <w:autoSpaceDN w:val="0"/>
        <w:adjustRightInd w:val="0"/>
        <w:spacing w:line="400" w:lineRule="exact"/>
        <w:ind w:firstLine="420" w:firstLineChars="200"/>
        <w:rPr>
          <w:rFonts w:hint="eastAsia"/>
          <w:szCs w:val="21"/>
          <w:u w:val="single"/>
        </w:rPr>
      </w:pPr>
      <w:r>
        <w:rPr>
          <w:rFonts w:hint="eastAsia"/>
          <w:szCs w:val="21"/>
          <w:u w:val="single"/>
        </w:rPr>
        <w:t>a.当 A2＞A1 时，该材料(人工) 结算单价按超出的金额调增，即该材料(人工) 结算单价=承包人的投标单价+ (A2－A1) ；</w:t>
      </w:r>
    </w:p>
    <w:p w14:paraId="154ED40E">
      <w:pPr>
        <w:autoSpaceDE w:val="0"/>
        <w:autoSpaceDN w:val="0"/>
        <w:adjustRightInd w:val="0"/>
        <w:spacing w:line="400" w:lineRule="exact"/>
        <w:ind w:firstLine="420" w:firstLineChars="200"/>
        <w:rPr>
          <w:rFonts w:hint="eastAsia"/>
          <w:szCs w:val="21"/>
          <w:u w:val="single"/>
        </w:rPr>
      </w:pPr>
      <w:r>
        <w:rPr>
          <w:rFonts w:hint="eastAsia"/>
          <w:szCs w:val="21"/>
          <w:u w:val="single"/>
        </w:rPr>
        <w:t>b.当 A2＜A1 时，该材料(人工) 结算单价按低于的金额调减，即该材料(人工) 结算单价=承包人的投标单价－(A1－A2) ；</w:t>
      </w:r>
    </w:p>
    <w:p w14:paraId="01EBF9C9">
      <w:pPr>
        <w:autoSpaceDE w:val="0"/>
        <w:autoSpaceDN w:val="0"/>
        <w:adjustRightInd w:val="0"/>
        <w:spacing w:line="400" w:lineRule="exact"/>
        <w:ind w:firstLine="420" w:firstLineChars="200"/>
        <w:rPr>
          <w:rFonts w:hint="eastAsia"/>
          <w:szCs w:val="21"/>
          <w:u w:val="single"/>
        </w:rPr>
      </w:pPr>
      <w:r>
        <w:rPr>
          <w:rFonts w:hint="eastAsia"/>
          <w:szCs w:val="21"/>
          <w:u w:val="single"/>
        </w:rPr>
        <w:t>c.当 A2＝A1 时，该材料(人工) 结算单价不作调整。</w:t>
      </w:r>
    </w:p>
    <w:p w14:paraId="5B412603">
      <w:pPr>
        <w:autoSpaceDE w:val="0"/>
        <w:autoSpaceDN w:val="0"/>
        <w:adjustRightInd w:val="0"/>
        <w:spacing w:line="400" w:lineRule="exact"/>
        <w:ind w:firstLine="420" w:firstLineChars="200"/>
        <w:rPr>
          <w:rFonts w:hint="eastAsia"/>
          <w:szCs w:val="21"/>
          <w:u w:val="single"/>
        </w:rPr>
      </w:pPr>
      <w:r>
        <w:rPr>
          <w:rFonts w:hint="eastAsia"/>
          <w:szCs w:val="21"/>
        </w:rPr>
        <w:t>第 3 种方式：其他价格调整方式：</w:t>
      </w:r>
      <w:r>
        <w:rPr>
          <w:rFonts w:hint="eastAsia"/>
          <w:szCs w:val="21"/>
          <w:u w:val="single"/>
        </w:rPr>
        <w:t xml:space="preserve">            /             </w:t>
      </w:r>
    </w:p>
    <w:p w14:paraId="3B88195F">
      <w:pPr>
        <w:spacing w:line="400" w:lineRule="exact"/>
        <w:ind w:firstLine="420" w:firstLineChars="200"/>
        <w:rPr>
          <w:szCs w:val="21"/>
          <w:highlight w:val="none"/>
        </w:rPr>
      </w:pPr>
      <w:r>
        <w:rPr>
          <w:rFonts w:hint="eastAsia" w:ascii="宋体" w:hAnsi="宋体"/>
          <w:szCs w:val="21"/>
        </w:rPr>
        <w:t>11.2 法律变化引起的调整：</w:t>
      </w:r>
      <w:r>
        <w:rPr>
          <w:rFonts w:hint="eastAsia"/>
          <w:szCs w:val="21"/>
          <w:u w:val="single"/>
        </w:rPr>
        <w:t>基准日期以后变化由发包人承担，但由承包人原因导致工期延误时的</w:t>
      </w:r>
      <w:r>
        <w:rPr>
          <w:rFonts w:hint="eastAsia"/>
          <w:szCs w:val="21"/>
          <w:highlight w:val="none"/>
          <w:u w:val="single"/>
        </w:rPr>
        <w:t>法律变化引起合同价增加的由承包人承担，合同价下降的由发包人受益。</w:t>
      </w:r>
    </w:p>
    <w:p w14:paraId="133E2037">
      <w:pPr>
        <w:pStyle w:val="4"/>
        <w:spacing w:before="0" w:after="0" w:line="400" w:lineRule="exact"/>
        <w:ind w:firstLine="422" w:firstLineChars="200"/>
        <w:rPr>
          <w:rFonts w:ascii="Times New Roman" w:hAnsi="Times New Roman"/>
          <w:sz w:val="21"/>
          <w:szCs w:val="21"/>
          <w:highlight w:val="none"/>
        </w:rPr>
      </w:pPr>
      <w:bookmarkStart w:id="93" w:name="_Toc296503205"/>
      <w:bookmarkStart w:id="94" w:name="_Toc297120505"/>
      <w:bookmarkStart w:id="95" w:name="_Toc292559915"/>
      <w:bookmarkStart w:id="96" w:name="_Toc296346706"/>
      <w:bookmarkStart w:id="97" w:name="_Toc297048391"/>
      <w:bookmarkStart w:id="98" w:name="_Toc296891033"/>
      <w:bookmarkStart w:id="99" w:name="_Toc292559410"/>
      <w:bookmarkStart w:id="100" w:name="_Toc296944544"/>
      <w:bookmarkStart w:id="101" w:name="_Toc296347204"/>
      <w:bookmarkStart w:id="102" w:name="_Toc296891245"/>
      <w:bookmarkStart w:id="103" w:name="_Toc351203644"/>
      <w:r>
        <w:rPr>
          <w:rFonts w:ascii="Times New Roman" w:hAnsi="Times New Roman"/>
          <w:sz w:val="21"/>
          <w:szCs w:val="21"/>
          <w:highlight w:val="none"/>
        </w:rPr>
        <w:t xml:space="preserve">12. </w:t>
      </w:r>
      <w:bookmarkEnd w:id="93"/>
      <w:bookmarkEnd w:id="94"/>
      <w:bookmarkEnd w:id="95"/>
      <w:bookmarkEnd w:id="96"/>
      <w:bookmarkEnd w:id="97"/>
      <w:bookmarkEnd w:id="98"/>
      <w:bookmarkEnd w:id="99"/>
      <w:bookmarkEnd w:id="100"/>
      <w:bookmarkEnd w:id="101"/>
      <w:bookmarkEnd w:id="102"/>
      <w:r>
        <w:rPr>
          <w:rFonts w:ascii="Times New Roman" w:hAnsi="Times New Roman"/>
          <w:sz w:val="21"/>
          <w:szCs w:val="21"/>
          <w:highlight w:val="none"/>
        </w:rPr>
        <w:t>合同价格、计量与支付</w:t>
      </w:r>
      <w:bookmarkEnd w:id="103"/>
    </w:p>
    <w:p w14:paraId="619EE85C">
      <w:pPr>
        <w:spacing w:line="400" w:lineRule="exact"/>
        <w:ind w:firstLine="420" w:firstLineChars="200"/>
        <w:rPr>
          <w:szCs w:val="21"/>
          <w:highlight w:val="none"/>
        </w:rPr>
      </w:pPr>
      <w:bookmarkStart w:id="104" w:name="_Toc292559411"/>
      <w:bookmarkStart w:id="105" w:name="_Toc292559916"/>
      <w:bookmarkStart w:id="106" w:name="_Toc267251461"/>
      <w:bookmarkStart w:id="107" w:name="_Toc296347205"/>
      <w:bookmarkStart w:id="108" w:name="_Toc296891034"/>
      <w:bookmarkStart w:id="109" w:name="_Toc297120506"/>
      <w:bookmarkStart w:id="110" w:name="_Toc296346707"/>
      <w:bookmarkStart w:id="111" w:name="_Toc296503206"/>
      <w:bookmarkStart w:id="112" w:name="_Toc296944545"/>
      <w:bookmarkStart w:id="113" w:name="_Toc296891246"/>
      <w:bookmarkStart w:id="114" w:name="_Toc297048392"/>
      <w:r>
        <w:rPr>
          <w:szCs w:val="21"/>
          <w:highlight w:val="none"/>
        </w:rPr>
        <w:t>12.1 合</w:t>
      </w:r>
      <w:bookmarkEnd w:id="104"/>
      <w:bookmarkEnd w:id="105"/>
      <w:bookmarkEnd w:id="106"/>
      <w:r>
        <w:rPr>
          <w:szCs w:val="21"/>
          <w:highlight w:val="none"/>
        </w:rPr>
        <w:t>同价</w:t>
      </w:r>
      <w:bookmarkEnd w:id="107"/>
      <w:bookmarkEnd w:id="108"/>
      <w:bookmarkEnd w:id="109"/>
      <w:bookmarkEnd w:id="110"/>
      <w:bookmarkEnd w:id="111"/>
      <w:bookmarkEnd w:id="112"/>
      <w:bookmarkEnd w:id="113"/>
      <w:bookmarkEnd w:id="114"/>
      <w:r>
        <w:rPr>
          <w:szCs w:val="21"/>
          <w:highlight w:val="none"/>
        </w:rPr>
        <w:t>格形式</w:t>
      </w:r>
    </w:p>
    <w:p w14:paraId="77609D39">
      <w:pPr>
        <w:spacing w:line="400" w:lineRule="exact"/>
        <w:ind w:firstLine="420" w:firstLineChars="200"/>
        <w:rPr>
          <w:szCs w:val="21"/>
          <w:highlight w:val="none"/>
        </w:rPr>
      </w:pPr>
      <w:r>
        <w:rPr>
          <w:szCs w:val="21"/>
          <w:highlight w:val="none"/>
        </w:rPr>
        <w:t>本合同价款采用第</w:t>
      </w:r>
      <w:r>
        <w:rPr>
          <w:szCs w:val="21"/>
          <w:highlight w:val="none"/>
          <w:u w:val="single"/>
        </w:rPr>
        <w:t xml:space="preserve">  1  </w:t>
      </w:r>
      <w:r>
        <w:rPr>
          <w:szCs w:val="21"/>
          <w:highlight w:val="none"/>
        </w:rPr>
        <w:t>种方式</w:t>
      </w:r>
      <w:r>
        <w:rPr>
          <w:szCs w:val="21"/>
          <w:highlight w:val="none"/>
          <w:u w:val="single"/>
        </w:rPr>
        <w:t xml:space="preserve">  单价合同   </w:t>
      </w:r>
      <w:r>
        <w:rPr>
          <w:szCs w:val="21"/>
          <w:highlight w:val="none"/>
        </w:rPr>
        <w:t>确定。</w:t>
      </w:r>
    </w:p>
    <w:p w14:paraId="0B1B81D2">
      <w:pPr>
        <w:spacing w:line="400" w:lineRule="exact"/>
        <w:ind w:firstLine="420" w:firstLineChars="200"/>
        <w:rPr>
          <w:szCs w:val="21"/>
          <w:highlight w:val="none"/>
        </w:rPr>
      </w:pPr>
      <w:r>
        <w:rPr>
          <w:szCs w:val="21"/>
          <w:highlight w:val="none"/>
        </w:rPr>
        <w:t>1．单价合同。</w:t>
      </w:r>
    </w:p>
    <w:p w14:paraId="3270CF04">
      <w:pPr>
        <w:spacing w:line="400" w:lineRule="exact"/>
        <w:ind w:firstLine="420" w:firstLineChars="200"/>
        <w:rPr>
          <w:szCs w:val="21"/>
          <w:highlight w:val="none"/>
        </w:rPr>
      </w:pPr>
      <w:r>
        <w:rPr>
          <w:szCs w:val="21"/>
          <w:highlight w:val="none"/>
        </w:rPr>
        <w:t>综合单价包含的风险范围：</w:t>
      </w:r>
    </w:p>
    <w:p w14:paraId="5025C99F">
      <w:pPr>
        <w:spacing w:line="400" w:lineRule="exact"/>
        <w:ind w:firstLine="420" w:firstLineChars="200"/>
        <w:rPr>
          <w:szCs w:val="21"/>
          <w:u w:val="single"/>
        </w:rPr>
      </w:pPr>
      <w:r>
        <w:rPr>
          <w:szCs w:val="21"/>
          <w:highlight w:val="none"/>
          <w:u w:val="single"/>
        </w:rPr>
        <w:t>本工程结算价的计算方式同投标价。除风险范围以外约</w:t>
      </w:r>
      <w:r>
        <w:rPr>
          <w:szCs w:val="21"/>
          <w:u w:val="single"/>
        </w:rPr>
        <w:t>定的调整外，以下内容按承包人的投标承诺</w:t>
      </w:r>
      <w:r>
        <w:rPr>
          <w:rFonts w:hint="eastAsia"/>
          <w:szCs w:val="21"/>
          <w:u w:val="single"/>
        </w:rPr>
        <w:t>不作调整</w:t>
      </w:r>
      <w:r>
        <w:rPr>
          <w:szCs w:val="21"/>
          <w:u w:val="single"/>
        </w:rPr>
        <w:t>：</w:t>
      </w:r>
    </w:p>
    <w:p w14:paraId="7A528027">
      <w:pPr>
        <w:spacing w:line="400" w:lineRule="exact"/>
        <w:ind w:firstLine="420" w:firstLineChars="200"/>
        <w:rPr>
          <w:szCs w:val="21"/>
          <w:u w:val="single"/>
        </w:rPr>
      </w:pPr>
      <w:r>
        <w:rPr>
          <w:szCs w:val="21"/>
          <w:u w:val="single"/>
        </w:rPr>
        <w:t>（1）综合单价；</w:t>
      </w:r>
    </w:p>
    <w:p w14:paraId="0DE5BB23">
      <w:pPr>
        <w:spacing w:line="400" w:lineRule="exact"/>
        <w:ind w:firstLine="420" w:firstLineChars="200"/>
        <w:rPr>
          <w:szCs w:val="21"/>
          <w:u w:val="single"/>
        </w:rPr>
      </w:pPr>
      <w:r>
        <w:rPr>
          <w:szCs w:val="21"/>
          <w:u w:val="single"/>
        </w:rPr>
        <w:t>（2）</w:t>
      </w:r>
      <w:r>
        <w:rPr>
          <w:rFonts w:hint="eastAsia"/>
          <w:szCs w:val="21"/>
          <w:u w:val="single"/>
        </w:rPr>
        <w:t>施工组织措施项目费的费项及费率</w:t>
      </w:r>
      <w:r>
        <w:rPr>
          <w:szCs w:val="21"/>
          <w:u w:val="single"/>
        </w:rPr>
        <w:t>；</w:t>
      </w:r>
    </w:p>
    <w:p w14:paraId="48D7F08E">
      <w:pPr>
        <w:spacing w:line="400" w:lineRule="exact"/>
        <w:ind w:firstLine="420" w:firstLineChars="200"/>
        <w:rPr>
          <w:szCs w:val="21"/>
          <w:u w:val="single"/>
        </w:rPr>
      </w:pPr>
      <w:r>
        <w:rPr>
          <w:szCs w:val="21"/>
          <w:u w:val="single"/>
        </w:rPr>
        <w:t>（3）规费费率、税金税率；</w:t>
      </w:r>
    </w:p>
    <w:p w14:paraId="0AF063A5">
      <w:pPr>
        <w:spacing w:line="400" w:lineRule="exact"/>
        <w:ind w:firstLine="420" w:firstLineChars="200"/>
        <w:rPr>
          <w:szCs w:val="21"/>
          <w:u w:val="single"/>
        </w:rPr>
      </w:pPr>
      <w:r>
        <w:rPr>
          <w:szCs w:val="21"/>
          <w:u w:val="single"/>
        </w:rPr>
        <w:t>（4）</w:t>
      </w:r>
      <w:r>
        <w:rPr>
          <w:rFonts w:hint="eastAsia"/>
          <w:szCs w:val="21"/>
          <w:u w:val="single"/>
        </w:rPr>
        <w:t>计日工单</w:t>
      </w:r>
      <w:r>
        <w:rPr>
          <w:rFonts w:hint="eastAsia"/>
          <w:color w:val="auto"/>
          <w:szCs w:val="21"/>
          <w:u w:val="single"/>
        </w:rPr>
        <w:t>价：技术工 310 元/工日、普工 205 元/工日，工</w:t>
      </w:r>
      <w:r>
        <w:rPr>
          <w:rFonts w:hint="eastAsia"/>
          <w:szCs w:val="21"/>
          <w:u w:val="single"/>
        </w:rPr>
        <w:t>日数经发包人签证，该项费用仅另计算税金；</w:t>
      </w:r>
    </w:p>
    <w:p w14:paraId="251F547D">
      <w:pPr>
        <w:spacing w:line="400" w:lineRule="exact"/>
        <w:ind w:firstLine="420" w:firstLineChars="200"/>
        <w:rPr>
          <w:szCs w:val="21"/>
          <w:u w:val="single"/>
        </w:rPr>
      </w:pPr>
      <w:r>
        <w:rPr>
          <w:szCs w:val="21"/>
          <w:u w:val="single"/>
        </w:rPr>
        <w:t>（5）</w:t>
      </w:r>
      <w:r>
        <w:rPr>
          <w:rFonts w:hint="eastAsia"/>
          <w:szCs w:val="21"/>
          <w:u w:val="single"/>
        </w:rPr>
        <w:t>以下可能发生的费用，已包含在合同价内，不再另行计取</w:t>
      </w:r>
      <w:r>
        <w:rPr>
          <w:szCs w:val="21"/>
          <w:u w:val="single"/>
        </w:rPr>
        <w:t>：</w:t>
      </w:r>
    </w:p>
    <w:p w14:paraId="169B06CF">
      <w:pPr>
        <w:spacing w:line="400" w:lineRule="exact"/>
        <w:ind w:firstLine="420" w:firstLineChars="200"/>
        <w:rPr>
          <w:szCs w:val="21"/>
          <w:u w:val="single"/>
        </w:rPr>
      </w:pPr>
      <w:r>
        <w:rPr>
          <w:szCs w:val="21"/>
          <w:u w:val="single"/>
        </w:rPr>
        <w:t>a.</w:t>
      </w:r>
      <w:r>
        <w:rPr>
          <w:rFonts w:hint="eastAsia"/>
          <w:szCs w:val="21"/>
          <w:u w:val="single"/>
        </w:rPr>
        <w:t>自备发电机、储水设施费用：包括由于停电、停水及施工用水加压而增加的费用。</w:t>
      </w:r>
    </w:p>
    <w:p w14:paraId="73C650D3">
      <w:pPr>
        <w:spacing w:line="400" w:lineRule="exact"/>
        <w:ind w:firstLine="420" w:firstLineChars="200"/>
        <w:rPr>
          <w:rFonts w:hint="eastAsia"/>
          <w:szCs w:val="21"/>
          <w:u w:val="single"/>
        </w:rPr>
      </w:pPr>
      <w:r>
        <w:rPr>
          <w:rFonts w:hint="eastAsia"/>
          <w:szCs w:val="21"/>
          <w:u w:val="single"/>
        </w:rPr>
        <w:t>b.</w:t>
      </w:r>
      <w:r>
        <w:rPr>
          <w:szCs w:val="21"/>
          <w:u w:val="single"/>
        </w:rPr>
        <w:t>因施工噪音、物体坠落、材料抛散而扰民及影响环境卫生、交通城管、现场文明和施工安全等问题而产生的费用，由承包人自行解决。因此而造成的工期延长由承包人负责。如给发包人另行造成额外的经济损失，发包人可从承包人的工程款中扣回。</w:t>
      </w:r>
    </w:p>
    <w:p w14:paraId="3BDB15CD">
      <w:pPr>
        <w:spacing w:line="400" w:lineRule="exact"/>
        <w:ind w:firstLine="420" w:firstLineChars="200"/>
        <w:rPr>
          <w:szCs w:val="21"/>
          <w:u w:val="single"/>
        </w:rPr>
      </w:pPr>
      <w:r>
        <w:rPr>
          <w:rFonts w:hint="eastAsia"/>
          <w:szCs w:val="21"/>
          <w:u w:val="single"/>
        </w:rPr>
        <w:t>c</w:t>
      </w:r>
      <w:r>
        <w:rPr>
          <w:szCs w:val="21"/>
          <w:u w:val="single"/>
        </w:rPr>
        <w:t>.实际施工中可能发生街道管理费、干扰费、环保费、占道押金等其它管理费。</w:t>
      </w:r>
    </w:p>
    <w:p w14:paraId="21A702FC">
      <w:pPr>
        <w:spacing w:line="400" w:lineRule="exact"/>
        <w:ind w:firstLine="420" w:firstLineChars="200"/>
        <w:rPr>
          <w:rFonts w:hint="eastAsia"/>
          <w:szCs w:val="21"/>
          <w:u w:val="single"/>
        </w:rPr>
      </w:pPr>
      <w:r>
        <w:rPr>
          <w:szCs w:val="21"/>
          <w:u w:val="single"/>
        </w:rPr>
        <w:t>d</w:t>
      </w:r>
      <w:r>
        <w:rPr>
          <w:rFonts w:hint="eastAsia"/>
          <w:szCs w:val="21"/>
          <w:u w:val="single"/>
        </w:rPr>
        <w:t>.</w:t>
      </w:r>
      <w:r>
        <w:rPr>
          <w:szCs w:val="21"/>
          <w:u w:val="single"/>
        </w:rPr>
        <w:t>土方开挖及外运、处置及泥浆外运、处置按当地有关要求办理，</w:t>
      </w:r>
      <w:r>
        <w:rPr>
          <w:rFonts w:hint="eastAsia"/>
          <w:szCs w:val="21"/>
          <w:u w:val="single"/>
        </w:rPr>
        <w:t>施工过程中不管运距是否有变化，不再另行计取费用，承包人报价自行考虑</w:t>
      </w:r>
      <w:r>
        <w:rPr>
          <w:szCs w:val="21"/>
          <w:u w:val="single"/>
        </w:rPr>
        <w:t>。</w:t>
      </w:r>
      <w:r>
        <w:rPr>
          <w:rFonts w:hint="eastAsia"/>
          <w:szCs w:val="21"/>
          <w:u w:val="single"/>
        </w:rPr>
        <w:t xml:space="preserve"> </w:t>
      </w:r>
    </w:p>
    <w:p w14:paraId="1744C6D6">
      <w:pPr>
        <w:autoSpaceDE w:val="0"/>
        <w:autoSpaceDN w:val="0"/>
        <w:spacing w:line="400" w:lineRule="exact"/>
        <w:ind w:firstLine="420" w:firstLineChars="200"/>
        <w:rPr>
          <w:rFonts w:ascii="宋体" w:hAnsi="宋体"/>
          <w:szCs w:val="21"/>
          <w:u w:val="single"/>
        </w:rPr>
      </w:pPr>
      <w:r>
        <w:rPr>
          <w:rFonts w:hint="eastAsia" w:ascii="宋体" w:hAnsi="宋体"/>
          <w:szCs w:val="21"/>
          <w:u w:val="single"/>
        </w:rPr>
        <w:t>e</w:t>
      </w:r>
      <w:r>
        <w:rPr>
          <w:szCs w:val="21"/>
          <w:u w:val="single"/>
        </w:rPr>
        <w:t>.</w:t>
      </w:r>
      <w:r>
        <w:rPr>
          <w:rFonts w:ascii="宋体" w:hAnsi="宋体"/>
          <w:szCs w:val="21"/>
          <w:u w:val="single"/>
        </w:rPr>
        <w:t>除合同另有规定外，承包人应在工程完工后竣工验收前，无条件清除施工区和生活区及其附近的施工废弃物，并按监理人批准的环境保护措施计划完成环境恢复。</w:t>
      </w:r>
    </w:p>
    <w:p w14:paraId="187777C7">
      <w:pPr>
        <w:autoSpaceDE w:val="0"/>
        <w:autoSpaceDN w:val="0"/>
        <w:spacing w:line="400" w:lineRule="exact"/>
        <w:ind w:firstLine="420" w:firstLineChars="200"/>
        <w:rPr>
          <w:rFonts w:hint="eastAsia" w:ascii="宋体" w:hAnsi="宋体"/>
          <w:color w:val="auto"/>
          <w:szCs w:val="21"/>
          <w:highlight w:val="none"/>
          <w:u w:val="single"/>
        </w:rPr>
      </w:pPr>
      <w:r>
        <w:rPr>
          <w:rFonts w:hint="eastAsia" w:ascii="宋体" w:hAnsi="宋体"/>
          <w:szCs w:val="21"/>
          <w:u w:val="single"/>
        </w:rPr>
        <w:t>f</w:t>
      </w:r>
      <w:r>
        <w:rPr>
          <w:rFonts w:ascii="宋体" w:hAnsi="宋体"/>
          <w:szCs w:val="21"/>
          <w:u w:val="single"/>
        </w:rPr>
        <w:t>.建筑垃圾外运应按当地有关要求办理，如垃圾运至指定地点集中处理等。建筑垃圾外运及场地清理</w:t>
      </w:r>
      <w:r>
        <w:rPr>
          <w:rFonts w:ascii="宋体" w:hAnsi="宋体"/>
          <w:color w:val="auto"/>
          <w:szCs w:val="21"/>
          <w:highlight w:val="none"/>
          <w:u w:val="single"/>
        </w:rPr>
        <w:t>发生的费用已包含在合同价内，不再另行计取。</w:t>
      </w:r>
    </w:p>
    <w:p w14:paraId="369546AF">
      <w:pPr>
        <w:autoSpaceDE w:val="0"/>
        <w:autoSpaceDN w:val="0"/>
        <w:spacing w:line="400" w:lineRule="exact"/>
        <w:ind w:firstLine="420" w:firstLineChars="200"/>
        <w:rPr>
          <w:rFonts w:hint="eastAsia" w:ascii="宋体" w:hAnsi="宋体"/>
          <w:color w:val="auto"/>
          <w:szCs w:val="21"/>
          <w:highlight w:val="none"/>
          <w:u w:val="single"/>
        </w:rPr>
      </w:pPr>
      <w:r>
        <w:rPr>
          <w:rFonts w:hint="eastAsia" w:ascii="宋体" w:hAnsi="宋体"/>
          <w:color w:val="auto"/>
          <w:szCs w:val="21"/>
          <w:highlight w:val="none"/>
          <w:u w:val="single"/>
        </w:rPr>
        <w:t>g.施工中有关报批手续及相关工程报批、测试、验收及检测单位所有检测费用（含竣工验收所需的各类检测费用</w:t>
      </w:r>
      <w:r>
        <w:rPr>
          <w:rFonts w:hint="eastAsia" w:ascii="宋体" w:hAnsi="宋体"/>
          <w:color w:val="auto"/>
          <w:szCs w:val="21"/>
          <w:highlight w:val="none"/>
          <w:u w:val="single"/>
          <w:lang w:eastAsia="zh-CN"/>
        </w:rPr>
        <w:t>，除本合同明确由发包人支付的除外</w:t>
      </w:r>
      <w:r>
        <w:rPr>
          <w:rFonts w:hint="eastAsia" w:ascii="宋体" w:hAnsi="宋体"/>
          <w:color w:val="auto"/>
          <w:szCs w:val="21"/>
          <w:highlight w:val="none"/>
          <w:u w:val="single"/>
        </w:rPr>
        <w:t>）由承包人支付。检测单位由发包人指定，由此引起的费用承包人应在报价中综合考虑。</w:t>
      </w:r>
    </w:p>
    <w:p w14:paraId="0D2818F8">
      <w:pPr>
        <w:autoSpaceDE w:val="0"/>
        <w:autoSpaceDN w:val="0"/>
        <w:spacing w:line="400" w:lineRule="exact"/>
        <w:ind w:firstLine="420" w:firstLineChars="200"/>
        <w:rPr>
          <w:rFonts w:hint="eastAsia" w:ascii="宋体" w:hAnsi="宋体"/>
          <w:color w:val="auto"/>
          <w:szCs w:val="21"/>
          <w:highlight w:val="none"/>
          <w:u w:val="single"/>
        </w:rPr>
      </w:pPr>
      <w:r>
        <w:rPr>
          <w:rFonts w:hint="eastAsia" w:ascii="宋体" w:hAnsi="宋体"/>
          <w:color w:val="auto"/>
          <w:szCs w:val="21"/>
          <w:highlight w:val="none"/>
          <w:u w:val="single"/>
        </w:rPr>
        <w:t>h.项目竣工验收备案相关费用（包括资料费等）由承包人在投标报价时综合考虑，不再另行计取。</w:t>
      </w:r>
    </w:p>
    <w:p w14:paraId="6F6ADE17">
      <w:pPr>
        <w:spacing w:line="480" w:lineRule="exact"/>
        <w:ind w:firstLine="420" w:firstLineChars="200"/>
        <w:rPr>
          <w:rFonts w:hint="eastAsia" w:ascii="宋体" w:hAnsi="宋体"/>
          <w:color w:val="auto"/>
          <w:szCs w:val="21"/>
          <w:highlight w:val="none"/>
          <w:u w:val="single"/>
        </w:rPr>
      </w:pPr>
      <w:r>
        <w:rPr>
          <w:rFonts w:hint="eastAsia" w:ascii="宋体" w:hAnsi="宋体"/>
          <w:color w:val="auto"/>
          <w:szCs w:val="21"/>
          <w:highlight w:val="none"/>
          <w:u w:val="single"/>
          <w:lang w:val="en-US" w:eastAsia="zh-CN"/>
        </w:rPr>
        <w:t>i.</w:t>
      </w:r>
      <w:r>
        <w:rPr>
          <w:color w:val="auto"/>
          <w:szCs w:val="21"/>
          <w:highlight w:val="none"/>
          <w:u w:val="single"/>
        </w:rPr>
        <w:t>.</w:t>
      </w:r>
      <w:r>
        <w:rPr>
          <w:rFonts w:hint="eastAsia" w:ascii="宋体" w:hAnsi="宋体"/>
          <w:color w:val="auto"/>
          <w:szCs w:val="21"/>
          <w:highlight w:val="none"/>
          <w:u w:val="single"/>
        </w:rPr>
        <w:t>本工程项目报价要求承包人根据施工图纸、工程内容综合报价，对于没有在工程量清单中列出的工序内容，各承包人在投标报价时根据施工规范要求在相应子目中综合考虑，不再另行计取。</w:t>
      </w:r>
    </w:p>
    <w:p w14:paraId="277CD4C2">
      <w:pPr>
        <w:spacing w:line="480" w:lineRule="exact"/>
        <w:ind w:firstLine="422" w:firstLineChars="200"/>
        <w:rPr>
          <w:rFonts w:ascii="Times New Roman" w:hAnsi="Times New Roman"/>
          <w:b/>
          <w:bCs/>
          <w:color w:val="auto"/>
          <w:szCs w:val="21"/>
          <w:highlight w:val="none"/>
          <w:u w:val="single"/>
        </w:rPr>
      </w:pPr>
      <w:r>
        <w:rPr>
          <w:rFonts w:hint="eastAsia" w:ascii="Times New Roman" w:hAnsi="Times New Roman"/>
          <w:b/>
          <w:bCs/>
          <w:color w:val="auto"/>
          <w:szCs w:val="21"/>
          <w:highlight w:val="none"/>
          <w:u w:val="single"/>
          <w:lang w:val="en-US" w:eastAsia="zh-CN"/>
        </w:rPr>
        <w:t>j</w:t>
      </w:r>
      <w:r>
        <w:rPr>
          <w:rFonts w:ascii="Times New Roman" w:hAnsi="Times New Roman"/>
          <w:b/>
          <w:bCs/>
          <w:color w:val="auto"/>
          <w:szCs w:val="21"/>
          <w:highlight w:val="none"/>
          <w:u w:val="single"/>
        </w:rPr>
        <w:t>.商品砼、土方运输运距、堆场及弃土处置由承包人报价时综合考虑，施工过程中不管运距是否有变化，综合单价都不予调整。</w:t>
      </w:r>
    </w:p>
    <w:p w14:paraId="637B221B">
      <w:pPr>
        <w:spacing w:line="480" w:lineRule="exact"/>
        <w:ind w:firstLine="422" w:firstLineChars="200"/>
        <w:rPr>
          <w:rFonts w:ascii="Times New Roman" w:hAnsi="Times New Roman"/>
          <w:b/>
          <w:color w:val="auto"/>
          <w:szCs w:val="21"/>
          <w:highlight w:val="none"/>
          <w:u w:val="single"/>
        </w:rPr>
      </w:pPr>
      <w:r>
        <w:rPr>
          <w:rFonts w:hint="eastAsia" w:ascii="Times New Roman" w:hAnsi="Times New Roman"/>
          <w:b/>
          <w:bCs/>
          <w:color w:val="auto"/>
          <w:szCs w:val="21"/>
          <w:highlight w:val="none"/>
          <w:u w:val="single"/>
          <w:lang w:val="en-US" w:eastAsia="zh-CN"/>
        </w:rPr>
        <w:t xml:space="preserve">k </w:t>
      </w:r>
      <w:r>
        <w:rPr>
          <w:rFonts w:ascii="Times New Roman" w:hAnsi="Times New Roman"/>
          <w:b/>
          <w:bCs/>
          <w:color w:val="auto"/>
          <w:szCs w:val="21"/>
          <w:highlight w:val="none"/>
          <w:u w:val="single"/>
        </w:rPr>
        <w:t>.</w:t>
      </w:r>
      <w:r>
        <w:rPr>
          <w:rFonts w:ascii="Times New Roman" w:hAnsi="Times New Roman"/>
          <w:b/>
          <w:color w:val="auto"/>
          <w:szCs w:val="21"/>
          <w:highlight w:val="none"/>
          <w:u w:val="single"/>
        </w:rPr>
        <w:t>施工现场所需临时水源、电源的接入、安装，由投标人负责完成，费用为20000元,一次性包定，结算时计入总造价。（其中包括养护期间的水、电使用）。</w:t>
      </w:r>
    </w:p>
    <w:p w14:paraId="5A7C3DCA">
      <w:pPr>
        <w:spacing w:line="480" w:lineRule="exact"/>
        <w:ind w:firstLine="422" w:firstLineChars="200"/>
        <w:rPr>
          <w:rFonts w:ascii="Times New Roman" w:hAnsi="Times New Roman"/>
          <w:b/>
          <w:bCs/>
          <w:color w:val="auto"/>
          <w:szCs w:val="21"/>
          <w:highlight w:val="none"/>
          <w:u w:val="single"/>
        </w:rPr>
      </w:pPr>
      <w:r>
        <w:rPr>
          <w:rFonts w:hint="eastAsia" w:ascii="Times New Roman" w:hAnsi="Times New Roman"/>
          <w:b/>
          <w:bCs/>
          <w:color w:val="auto"/>
          <w:szCs w:val="21"/>
          <w:highlight w:val="none"/>
          <w:u w:val="single"/>
          <w:lang w:val="en-US" w:eastAsia="zh-CN"/>
        </w:rPr>
        <w:t>l</w:t>
      </w:r>
      <w:r>
        <w:rPr>
          <w:rFonts w:ascii="Times New Roman" w:hAnsi="Times New Roman"/>
          <w:b/>
          <w:bCs/>
          <w:color w:val="auto"/>
          <w:szCs w:val="21"/>
          <w:highlight w:val="none"/>
          <w:u w:val="single"/>
        </w:rPr>
        <w:t>.施工图及预算审核书中</w:t>
      </w:r>
      <w:r>
        <w:rPr>
          <w:rFonts w:hint="eastAsia" w:ascii="Times New Roman" w:hAnsi="Times New Roman"/>
          <w:b/>
          <w:bCs/>
          <w:color w:val="auto"/>
          <w:szCs w:val="21"/>
          <w:highlight w:val="none"/>
          <w:u w:val="single"/>
          <w:lang w:eastAsia="zh-CN"/>
        </w:rPr>
        <w:t>本项目所</w:t>
      </w:r>
      <w:r>
        <w:rPr>
          <w:rFonts w:ascii="Times New Roman" w:hAnsi="Times New Roman"/>
          <w:b/>
          <w:bCs/>
          <w:color w:val="auto"/>
          <w:szCs w:val="21"/>
          <w:highlight w:val="none"/>
          <w:u w:val="single"/>
        </w:rPr>
        <w:t>涉及造型、样式、颜色方案须二次深化的，由中标单位落实，深化内容经业主认同，费用含在合同价内，不作调整。</w:t>
      </w:r>
    </w:p>
    <w:p w14:paraId="50F41B18">
      <w:pPr>
        <w:spacing w:line="480" w:lineRule="exact"/>
        <w:ind w:firstLine="422" w:firstLineChars="200"/>
        <w:rPr>
          <w:rFonts w:ascii="Times New Roman" w:hAnsi="Times New Roman"/>
          <w:b/>
          <w:bCs/>
          <w:color w:val="auto"/>
          <w:szCs w:val="21"/>
          <w:highlight w:val="none"/>
          <w:u w:val="single"/>
        </w:rPr>
      </w:pPr>
      <w:r>
        <w:rPr>
          <w:rFonts w:hint="eastAsia" w:ascii="Times New Roman" w:hAnsi="Times New Roman"/>
          <w:b/>
          <w:bCs/>
          <w:color w:val="auto"/>
          <w:szCs w:val="21"/>
          <w:highlight w:val="none"/>
          <w:u w:val="single"/>
          <w:lang w:val="en-US" w:eastAsia="zh-CN"/>
        </w:rPr>
        <w:t>m</w:t>
      </w:r>
      <w:r>
        <w:rPr>
          <w:rFonts w:ascii="Times New Roman" w:hAnsi="Times New Roman"/>
          <w:b/>
          <w:bCs/>
          <w:color w:val="auto"/>
          <w:szCs w:val="21"/>
          <w:highlight w:val="none"/>
          <w:u w:val="single"/>
        </w:rPr>
        <w:t>.本项目中关于土方挖方量、回填量、拆除利旧的量，无论是否发生变化，含合同价内，不作调整。</w:t>
      </w:r>
    </w:p>
    <w:p w14:paraId="20AC1259">
      <w:pPr>
        <w:spacing w:line="480" w:lineRule="exact"/>
        <w:ind w:firstLine="422" w:firstLineChars="200"/>
        <w:rPr>
          <w:rFonts w:ascii="Times New Roman" w:hAnsi="Times New Roman"/>
          <w:b/>
          <w:bCs/>
          <w:color w:val="auto"/>
          <w:szCs w:val="21"/>
          <w:highlight w:val="none"/>
          <w:u w:val="single"/>
          <w:lang w:val="zh-CN"/>
        </w:rPr>
      </w:pPr>
      <w:r>
        <w:rPr>
          <w:rFonts w:hint="eastAsia" w:ascii="Times New Roman" w:hAnsi="Times New Roman"/>
          <w:b/>
          <w:bCs/>
          <w:color w:val="auto"/>
          <w:szCs w:val="21"/>
          <w:highlight w:val="none"/>
          <w:u w:val="single"/>
          <w:lang w:val="en-US" w:eastAsia="zh-CN"/>
        </w:rPr>
        <w:t>n</w:t>
      </w:r>
      <w:r>
        <w:rPr>
          <w:rFonts w:ascii="Times New Roman" w:hAnsi="Times New Roman"/>
          <w:b/>
          <w:bCs/>
          <w:color w:val="auto"/>
          <w:szCs w:val="21"/>
          <w:highlight w:val="none"/>
          <w:u w:val="single"/>
        </w:rPr>
        <w:t>.</w:t>
      </w:r>
      <w:r>
        <w:rPr>
          <w:rFonts w:ascii="Times New Roman" w:hAnsi="Times New Roman"/>
          <w:b/>
          <w:bCs/>
          <w:color w:val="auto"/>
          <w:szCs w:val="21"/>
          <w:highlight w:val="none"/>
          <w:u w:val="single"/>
          <w:lang w:val="zh-CN"/>
        </w:rPr>
        <w:t>意向苗圃确定后，苗木需经业主、监理现场确认后才可采购。</w:t>
      </w:r>
    </w:p>
    <w:p w14:paraId="2EDDD916">
      <w:pPr>
        <w:spacing w:line="480" w:lineRule="exact"/>
        <w:ind w:firstLine="422" w:firstLineChars="200"/>
        <w:rPr>
          <w:rFonts w:ascii="Times New Roman" w:hAnsi="Times New Roman"/>
          <w:b/>
          <w:bCs/>
          <w:color w:val="auto"/>
          <w:szCs w:val="21"/>
          <w:highlight w:val="none"/>
          <w:u w:val="single"/>
          <w:lang w:val="zh-CN"/>
        </w:rPr>
      </w:pPr>
      <w:r>
        <w:rPr>
          <w:rFonts w:hint="eastAsia" w:ascii="Times New Roman" w:hAnsi="Times New Roman"/>
          <w:b/>
          <w:bCs/>
          <w:color w:val="auto"/>
          <w:szCs w:val="21"/>
          <w:highlight w:val="none"/>
          <w:u w:val="single"/>
          <w:lang w:val="en-US" w:eastAsia="zh-CN"/>
        </w:rPr>
        <w:t>o</w:t>
      </w:r>
      <w:r>
        <w:rPr>
          <w:rFonts w:ascii="Times New Roman" w:hAnsi="Times New Roman"/>
          <w:b/>
          <w:bCs/>
          <w:color w:val="auto"/>
          <w:szCs w:val="21"/>
          <w:highlight w:val="none"/>
          <w:u w:val="single"/>
          <w:lang w:val="zh-CN"/>
        </w:rPr>
        <w:t>. 预算审核书中的苗木规格应为修剪后的苗木规格，所有苗木不得采用杀头苗。</w:t>
      </w:r>
    </w:p>
    <w:p w14:paraId="43025727">
      <w:pPr>
        <w:spacing w:line="480" w:lineRule="exact"/>
        <w:ind w:firstLine="422" w:firstLineChars="200"/>
        <w:rPr>
          <w:rFonts w:ascii="Times New Roman" w:hAnsi="Times New Roman"/>
          <w:b/>
          <w:bCs/>
          <w:color w:val="auto"/>
          <w:szCs w:val="21"/>
          <w:highlight w:val="none"/>
          <w:u w:val="single"/>
          <w:lang w:val="zh-CN"/>
        </w:rPr>
      </w:pPr>
      <w:r>
        <w:rPr>
          <w:rFonts w:hint="eastAsia" w:ascii="Times New Roman" w:hAnsi="Times New Roman"/>
          <w:b/>
          <w:bCs/>
          <w:color w:val="auto"/>
          <w:szCs w:val="21"/>
          <w:highlight w:val="none"/>
          <w:u w:val="single"/>
          <w:lang w:val="en-US" w:eastAsia="zh-CN"/>
        </w:rPr>
        <w:t>p</w:t>
      </w:r>
      <w:r>
        <w:rPr>
          <w:rFonts w:ascii="Times New Roman" w:hAnsi="Times New Roman"/>
          <w:b/>
          <w:bCs/>
          <w:color w:val="auto"/>
          <w:szCs w:val="21"/>
          <w:highlight w:val="none"/>
          <w:u w:val="single"/>
          <w:lang w:val="zh-CN"/>
        </w:rPr>
        <w:t>. 绿化种植苗木损耗已包含在合同价内，不再另行计取。</w:t>
      </w:r>
    </w:p>
    <w:p w14:paraId="35DDB9D3">
      <w:pPr>
        <w:spacing w:line="480" w:lineRule="exact"/>
        <w:ind w:firstLine="422" w:firstLineChars="200"/>
        <w:rPr>
          <w:rFonts w:hint="eastAsia" w:ascii="Times New Roman" w:hAnsi="Times New Roman"/>
          <w:b/>
          <w:bCs/>
          <w:color w:val="auto"/>
          <w:szCs w:val="21"/>
          <w:highlight w:val="none"/>
          <w:u w:val="single"/>
        </w:rPr>
      </w:pPr>
      <w:r>
        <w:rPr>
          <w:rFonts w:hint="eastAsia" w:ascii="Times New Roman" w:hAnsi="Times New Roman"/>
          <w:b/>
          <w:bCs/>
          <w:color w:val="auto"/>
          <w:szCs w:val="21"/>
          <w:highlight w:val="none"/>
          <w:u w:val="single"/>
          <w:lang w:val="en-US" w:eastAsia="zh-CN"/>
        </w:rPr>
        <w:t>q</w:t>
      </w:r>
      <w:r>
        <w:rPr>
          <w:rFonts w:ascii="Times New Roman" w:hAnsi="Times New Roman"/>
          <w:b/>
          <w:bCs/>
          <w:color w:val="auto"/>
          <w:szCs w:val="21"/>
          <w:highlight w:val="none"/>
          <w:u w:val="single"/>
        </w:rPr>
        <w:t>.养护期内死亡的花草苗木由承包方及时免费补种（补种的花草苗木按发包人要求的标准，并经发包人认可），补种的花草苗木尚需负责养护。承包人在养护期间应组织养护队伍进行日常养护，及时除去杂草和修剪、施肥、浇水、有效防治病虫害等，确保绿化效果。</w:t>
      </w:r>
    </w:p>
    <w:p w14:paraId="4373ABA3">
      <w:pPr>
        <w:spacing w:line="480" w:lineRule="exact"/>
        <w:ind w:firstLine="422" w:firstLineChars="200"/>
        <w:rPr>
          <w:rFonts w:hint="eastAsia" w:ascii="Times New Roman" w:hAnsi="Times New Roman"/>
          <w:b/>
          <w:bCs/>
          <w:color w:val="auto"/>
          <w:szCs w:val="21"/>
          <w:highlight w:val="none"/>
          <w:u w:val="single"/>
        </w:rPr>
      </w:pPr>
      <w:r>
        <w:rPr>
          <w:rFonts w:hint="eastAsia" w:ascii="Times New Roman" w:hAnsi="Times New Roman"/>
          <w:b/>
          <w:bCs/>
          <w:color w:val="auto"/>
          <w:szCs w:val="21"/>
          <w:highlight w:val="none"/>
          <w:u w:val="single"/>
          <w:lang w:val="en-US" w:eastAsia="zh-CN"/>
        </w:rPr>
        <w:t>r</w:t>
      </w:r>
      <w:r>
        <w:rPr>
          <w:rFonts w:hint="eastAsia" w:ascii="Times New Roman" w:hAnsi="Times New Roman"/>
          <w:b/>
          <w:bCs/>
          <w:color w:val="auto"/>
          <w:szCs w:val="21"/>
          <w:highlight w:val="none"/>
          <w:u w:val="single"/>
        </w:rPr>
        <w:t>.现状苗木清理按项包干，包含现状大乔木的迁移、处置等，由承包人在报价时自行考虑,结算时不做调整。</w:t>
      </w:r>
    </w:p>
    <w:p w14:paraId="251B14F9">
      <w:pPr>
        <w:autoSpaceDE w:val="0"/>
        <w:autoSpaceDN w:val="0"/>
        <w:spacing w:line="400" w:lineRule="exact"/>
        <w:ind w:firstLine="420" w:firstLineChars="200"/>
        <w:rPr>
          <w:rFonts w:hint="eastAsia" w:ascii="宋体" w:hAnsi="宋体"/>
          <w:color w:val="auto"/>
          <w:szCs w:val="21"/>
          <w:highlight w:val="none"/>
          <w:u w:val="single"/>
        </w:rPr>
      </w:pPr>
      <w:r>
        <w:rPr>
          <w:rFonts w:hint="eastAsia" w:ascii="宋体" w:hAnsi="宋体"/>
          <w:color w:val="auto"/>
          <w:szCs w:val="21"/>
          <w:highlight w:val="none"/>
          <w:u w:val="single"/>
        </w:rPr>
        <w:t>以上项目所产生的所有费用由承包人自行测算，在投标报价的综合单价中综合考虑所需要的全部费用，工程结算时，不作调整。</w:t>
      </w:r>
    </w:p>
    <w:p w14:paraId="6D9C77FC">
      <w:pPr>
        <w:spacing w:line="400" w:lineRule="exact"/>
        <w:ind w:firstLine="420" w:firstLineChars="200"/>
        <w:rPr>
          <w:color w:val="auto"/>
          <w:szCs w:val="21"/>
          <w:highlight w:val="none"/>
        </w:rPr>
      </w:pPr>
      <w:r>
        <w:rPr>
          <w:color w:val="auto"/>
          <w:szCs w:val="21"/>
          <w:highlight w:val="none"/>
        </w:rPr>
        <w:t>风险费用的计算方法：</w:t>
      </w:r>
      <w:r>
        <w:rPr>
          <w:color w:val="auto"/>
          <w:szCs w:val="21"/>
          <w:highlight w:val="none"/>
          <w:u w:val="single"/>
        </w:rPr>
        <w:t>已包含在合同价内</w:t>
      </w:r>
      <w:r>
        <w:rPr>
          <w:color w:val="auto"/>
          <w:szCs w:val="21"/>
          <w:highlight w:val="none"/>
        </w:rPr>
        <w:t>。</w:t>
      </w:r>
    </w:p>
    <w:p w14:paraId="591B622D">
      <w:pPr>
        <w:spacing w:line="400" w:lineRule="exact"/>
        <w:ind w:firstLine="420" w:firstLineChars="200"/>
        <w:rPr>
          <w:color w:val="auto"/>
          <w:szCs w:val="21"/>
          <w:highlight w:val="none"/>
        </w:rPr>
      </w:pPr>
      <w:r>
        <w:rPr>
          <w:color w:val="auto"/>
          <w:szCs w:val="21"/>
          <w:highlight w:val="none"/>
        </w:rPr>
        <w:t>风险范围以外合同价格的调整方法：</w:t>
      </w:r>
    </w:p>
    <w:p w14:paraId="2006CA0E">
      <w:pPr>
        <w:spacing w:line="400" w:lineRule="exact"/>
        <w:ind w:firstLine="420" w:firstLineChars="200"/>
        <w:rPr>
          <w:szCs w:val="21"/>
          <w:u w:val="single"/>
        </w:rPr>
      </w:pPr>
      <w:r>
        <w:rPr>
          <w:color w:val="auto"/>
          <w:szCs w:val="21"/>
          <w:highlight w:val="none"/>
          <w:u w:val="single"/>
        </w:rPr>
        <w:t>（</w:t>
      </w:r>
      <w:r>
        <w:rPr>
          <w:rFonts w:hint="eastAsia"/>
          <w:color w:val="auto"/>
          <w:szCs w:val="21"/>
          <w:highlight w:val="none"/>
          <w:u w:val="single"/>
        </w:rPr>
        <w:t>1</w:t>
      </w:r>
      <w:r>
        <w:rPr>
          <w:color w:val="auto"/>
          <w:szCs w:val="21"/>
          <w:highlight w:val="none"/>
          <w:u w:val="single"/>
        </w:rPr>
        <w:t>）</w:t>
      </w:r>
      <w:r>
        <w:rPr>
          <w:rFonts w:hint="eastAsia"/>
          <w:color w:val="auto"/>
          <w:spacing w:val="20"/>
          <w:szCs w:val="21"/>
          <w:highlight w:val="none"/>
          <w:u w:val="single"/>
        </w:rPr>
        <w:t>工程量按照专用条款12.3.1条规定，</w:t>
      </w:r>
      <w:r>
        <w:rPr>
          <w:color w:val="auto"/>
          <w:szCs w:val="21"/>
          <w:highlight w:val="none"/>
          <w:u w:val="single"/>
        </w:rPr>
        <w:t>由承包人计量</w:t>
      </w:r>
      <w:r>
        <w:rPr>
          <w:rFonts w:hint="eastAsia"/>
          <w:color w:val="auto"/>
          <w:szCs w:val="21"/>
          <w:highlight w:val="none"/>
          <w:u w:val="single"/>
        </w:rPr>
        <w:t>，</w:t>
      </w:r>
      <w:r>
        <w:rPr>
          <w:color w:val="auto"/>
          <w:szCs w:val="21"/>
          <w:highlight w:val="none"/>
          <w:u w:val="single"/>
        </w:rPr>
        <w:t>发包人</w:t>
      </w:r>
      <w:r>
        <w:rPr>
          <w:rFonts w:hint="eastAsia"/>
          <w:color w:val="auto"/>
          <w:szCs w:val="21"/>
          <w:highlight w:val="none"/>
          <w:u w:val="single"/>
        </w:rPr>
        <w:t>及有委托的相</w:t>
      </w:r>
      <w:r>
        <w:rPr>
          <w:rFonts w:hint="eastAsia"/>
          <w:szCs w:val="21"/>
          <w:u w:val="single"/>
        </w:rPr>
        <w:t>关机构审核；</w:t>
      </w:r>
    </w:p>
    <w:p w14:paraId="5F8FB7B3">
      <w:pPr>
        <w:spacing w:line="400" w:lineRule="exact"/>
        <w:ind w:firstLine="420" w:firstLineChars="200"/>
        <w:rPr>
          <w:szCs w:val="21"/>
          <w:u w:val="single"/>
          <w:lang w:val="zh-CN"/>
        </w:rPr>
      </w:pPr>
      <w:r>
        <w:rPr>
          <w:szCs w:val="21"/>
          <w:u w:val="single"/>
        </w:rPr>
        <w:t>（2）</w:t>
      </w:r>
      <w:r>
        <w:rPr>
          <w:rFonts w:ascii="宋体" w:hAnsi="宋体"/>
          <w:szCs w:val="21"/>
          <w:u w:val="single"/>
        </w:rPr>
        <w:t>市场价格波动引起的调整按本专用合同条款第11.1款的约定调整</w:t>
      </w:r>
      <w:r>
        <w:rPr>
          <w:rFonts w:hint="eastAsia"/>
          <w:szCs w:val="21"/>
          <w:u w:val="single"/>
        </w:rPr>
        <w:t>；</w:t>
      </w:r>
    </w:p>
    <w:p w14:paraId="42515A7D">
      <w:pPr>
        <w:spacing w:line="400" w:lineRule="exact"/>
        <w:ind w:firstLine="420" w:firstLineChars="200"/>
        <w:rPr>
          <w:szCs w:val="21"/>
          <w:u w:val="single"/>
          <w:lang w:val="zh-CN"/>
        </w:rPr>
      </w:pPr>
      <w:r>
        <w:rPr>
          <w:rFonts w:ascii="宋体" w:hAnsi="宋体"/>
          <w:szCs w:val="21"/>
          <w:u w:val="single"/>
        </w:rPr>
        <w:t>（3）</w:t>
      </w:r>
      <w:r>
        <w:rPr>
          <w:rFonts w:hint="eastAsia" w:ascii="宋体" w:hAnsi="宋体"/>
          <w:szCs w:val="21"/>
          <w:u w:val="single"/>
        </w:rPr>
        <w:t>因发包人提供的工程量清单项目工程数量计算偏差或工程变更引起的工程量增加，综合单价的确定按专用条款10.4.1条执行；</w:t>
      </w:r>
    </w:p>
    <w:p w14:paraId="66FC4B81">
      <w:pPr>
        <w:spacing w:line="400" w:lineRule="exact"/>
        <w:ind w:firstLine="420" w:firstLineChars="200"/>
        <w:rPr>
          <w:szCs w:val="21"/>
          <w:u w:val="single"/>
        </w:rPr>
      </w:pPr>
      <w:r>
        <w:rPr>
          <w:szCs w:val="21"/>
          <w:u w:val="single"/>
          <w:lang w:val="zh-CN"/>
        </w:rPr>
        <w:t>（4）</w:t>
      </w:r>
      <w:r>
        <w:rPr>
          <w:rFonts w:hint="eastAsia"/>
          <w:szCs w:val="21"/>
          <w:u w:val="single"/>
        </w:rPr>
        <w:t>发包人提供的工程量清单项目漏项、错项、工程变更引起的新增项目、工程量清单项目特征局部变更，与已标价工程量清单项目不同或相类似项目，其综合单价的确定方法按专用条款10.4.1条约定调整；</w:t>
      </w:r>
    </w:p>
    <w:p w14:paraId="3BC27FD0">
      <w:pPr>
        <w:spacing w:line="400" w:lineRule="exact"/>
        <w:ind w:firstLine="420" w:firstLineChars="200"/>
        <w:rPr>
          <w:rFonts w:hint="eastAsia"/>
          <w:szCs w:val="21"/>
          <w:u w:val="single"/>
        </w:rPr>
      </w:pPr>
      <w:r>
        <w:rPr>
          <w:szCs w:val="21"/>
          <w:u w:val="single"/>
        </w:rPr>
        <w:t>（5）</w:t>
      </w:r>
      <w:r>
        <w:rPr>
          <w:rFonts w:hint="eastAsia"/>
          <w:szCs w:val="21"/>
          <w:u w:val="single"/>
        </w:rPr>
        <w:t>因非承包人原因的分部分项工程量清单漏项、错项、工程变更及清单工程量增减等，引起措施项目内容、工程数量发生变化，则调整措施项目费用：</w:t>
      </w:r>
    </w:p>
    <w:p w14:paraId="2CD417D4">
      <w:pPr>
        <w:spacing w:line="400" w:lineRule="exact"/>
        <w:ind w:firstLine="420" w:firstLineChars="200"/>
        <w:rPr>
          <w:rFonts w:hint="eastAsia"/>
          <w:szCs w:val="21"/>
          <w:u w:val="single"/>
        </w:rPr>
      </w:pPr>
      <w:r>
        <w:rPr>
          <w:rFonts w:hint="eastAsia"/>
          <w:szCs w:val="21"/>
          <w:u w:val="single"/>
        </w:rPr>
        <w:t>a.采用综合单价计价的按专用条款第10.4.1条计算综合单价。</w:t>
      </w:r>
    </w:p>
    <w:p w14:paraId="4B42FBBE">
      <w:pPr>
        <w:spacing w:line="400" w:lineRule="exact"/>
        <w:ind w:firstLine="420" w:firstLineChars="200"/>
        <w:rPr>
          <w:rFonts w:hint="eastAsia"/>
          <w:szCs w:val="21"/>
          <w:u w:val="single"/>
        </w:rPr>
      </w:pPr>
      <w:r>
        <w:rPr>
          <w:rFonts w:hint="eastAsia"/>
          <w:szCs w:val="21"/>
          <w:u w:val="single"/>
        </w:rPr>
        <w:t>b.计量单位采用以“项”计价的措施项目，工程量清单项目及工程数量变化引起措施变动部分重新组价。</w:t>
      </w:r>
    </w:p>
    <w:p w14:paraId="61B3284F">
      <w:pPr>
        <w:spacing w:line="400" w:lineRule="exact"/>
        <w:ind w:firstLine="420" w:firstLineChars="200"/>
        <w:rPr>
          <w:rFonts w:hint="eastAsia"/>
          <w:szCs w:val="21"/>
          <w:u w:val="single"/>
        </w:rPr>
      </w:pPr>
      <w:r>
        <w:rPr>
          <w:rFonts w:hint="eastAsia"/>
          <w:szCs w:val="21"/>
          <w:u w:val="single"/>
        </w:rPr>
        <w:t>c.施工组织措施项目，按合同约定费率内容，调整措施费用计算基数。</w:t>
      </w:r>
    </w:p>
    <w:p w14:paraId="36B9B0D5">
      <w:pPr>
        <w:spacing w:line="400" w:lineRule="exact"/>
        <w:ind w:firstLine="420" w:firstLineChars="200"/>
        <w:rPr>
          <w:rFonts w:hint="eastAsia"/>
          <w:szCs w:val="21"/>
          <w:u w:val="single"/>
        </w:rPr>
      </w:pPr>
      <w:r>
        <w:rPr>
          <w:szCs w:val="21"/>
          <w:u w:val="single"/>
        </w:rPr>
        <w:t>（6）</w:t>
      </w:r>
      <w:r>
        <w:rPr>
          <w:rFonts w:hint="eastAsia"/>
          <w:szCs w:val="21"/>
          <w:u w:val="single"/>
        </w:rPr>
        <w:t>未在投标价中包含的专项施工方案（注：主要指超过一定规模的危险性较大的分部分项工程）的施工及论证费用，根据施工现场实际参照合同专用条款10.4.1款约定方法确定或签证。</w:t>
      </w:r>
    </w:p>
    <w:p w14:paraId="169E3473">
      <w:pPr>
        <w:pStyle w:val="5"/>
        <w:spacing w:line="480" w:lineRule="exact"/>
        <w:ind w:firstLine="482"/>
        <w:rPr>
          <w:rFonts w:hint="eastAsia"/>
          <w:color w:val="auto"/>
          <w:szCs w:val="21"/>
          <w:u w:val="single"/>
        </w:rPr>
      </w:pPr>
      <w:r>
        <w:rPr>
          <w:b/>
          <w:color w:val="auto"/>
          <w:szCs w:val="21"/>
          <w:u w:val="single"/>
        </w:rPr>
        <w:t>（</w:t>
      </w:r>
      <w:r>
        <w:rPr>
          <w:rFonts w:hint="eastAsia"/>
          <w:b/>
          <w:color w:val="auto"/>
          <w:szCs w:val="21"/>
          <w:u w:val="single"/>
          <w:lang w:val="en-US" w:eastAsia="zh-CN"/>
        </w:rPr>
        <w:t>7</w:t>
      </w:r>
      <w:r>
        <w:rPr>
          <w:b/>
          <w:color w:val="auto"/>
          <w:szCs w:val="21"/>
          <w:u w:val="single"/>
        </w:rPr>
        <w:t>）投标人使用招标文件中推荐品牌材料以外的其他相当于推荐品牌产品时必须在采购前一个月内征得发包人同意，否则由投标人自行承担不计价等相应后果。</w:t>
      </w:r>
    </w:p>
    <w:p w14:paraId="57ACABFE">
      <w:pPr>
        <w:spacing w:line="400" w:lineRule="exact"/>
        <w:ind w:firstLine="420" w:firstLineChars="200"/>
        <w:rPr>
          <w:rFonts w:hint="eastAsia"/>
          <w:color w:val="auto"/>
          <w:szCs w:val="21"/>
          <w:u w:val="single"/>
        </w:rPr>
      </w:pPr>
      <w:r>
        <w:rPr>
          <w:rFonts w:hint="eastAsia"/>
          <w:color w:val="auto"/>
          <w:szCs w:val="21"/>
        </w:rPr>
        <w:t>2</w:t>
      </w:r>
      <w:r>
        <w:rPr>
          <w:color w:val="auto"/>
          <w:szCs w:val="21"/>
        </w:rPr>
        <w:t>．</w:t>
      </w:r>
      <w:r>
        <w:rPr>
          <w:rFonts w:hint="eastAsia"/>
          <w:color w:val="auto"/>
          <w:szCs w:val="21"/>
        </w:rPr>
        <w:t>总价合同。</w:t>
      </w:r>
    </w:p>
    <w:p w14:paraId="32F610D6">
      <w:pPr>
        <w:spacing w:line="400" w:lineRule="exact"/>
        <w:ind w:firstLine="420" w:firstLineChars="200"/>
        <w:rPr>
          <w:rFonts w:hint="eastAsia"/>
          <w:szCs w:val="21"/>
          <w:u w:val="single"/>
        </w:rPr>
      </w:pPr>
      <w:r>
        <w:rPr>
          <w:rFonts w:hint="eastAsia"/>
          <w:szCs w:val="21"/>
        </w:rPr>
        <w:t>总价包含的风险范围：</w:t>
      </w:r>
      <w:r>
        <w:rPr>
          <w:rFonts w:hint="eastAsia"/>
          <w:szCs w:val="21"/>
          <w:u w:val="single"/>
        </w:rPr>
        <w:t xml:space="preserve">         /         </w:t>
      </w:r>
      <w:r>
        <w:rPr>
          <w:rFonts w:hint="eastAsia"/>
          <w:szCs w:val="21"/>
        </w:rPr>
        <w:t>。</w:t>
      </w:r>
    </w:p>
    <w:p w14:paraId="2FB5753A">
      <w:pPr>
        <w:spacing w:line="400" w:lineRule="exact"/>
        <w:ind w:firstLine="420" w:firstLineChars="200"/>
        <w:rPr>
          <w:rFonts w:hint="eastAsia"/>
          <w:szCs w:val="21"/>
          <w:u w:val="single"/>
        </w:rPr>
      </w:pPr>
      <w:r>
        <w:rPr>
          <w:rFonts w:hint="eastAsia"/>
          <w:szCs w:val="21"/>
        </w:rPr>
        <w:t>风险费用的计算方法：</w:t>
      </w:r>
      <w:r>
        <w:rPr>
          <w:rFonts w:hint="eastAsia"/>
          <w:szCs w:val="21"/>
          <w:u w:val="single"/>
        </w:rPr>
        <w:t xml:space="preserve">        /          </w:t>
      </w:r>
      <w:r>
        <w:rPr>
          <w:rFonts w:hint="eastAsia"/>
          <w:szCs w:val="21"/>
        </w:rPr>
        <w:t>。</w:t>
      </w:r>
    </w:p>
    <w:p w14:paraId="370AC46A">
      <w:pPr>
        <w:spacing w:line="400" w:lineRule="exact"/>
        <w:ind w:firstLine="420" w:firstLineChars="200"/>
        <w:rPr>
          <w:rFonts w:hint="eastAsia"/>
          <w:szCs w:val="21"/>
          <w:u w:val="single"/>
        </w:rPr>
      </w:pPr>
      <w:r>
        <w:rPr>
          <w:rFonts w:hint="eastAsia"/>
          <w:szCs w:val="21"/>
        </w:rPr>
        <w:t>风险范围以外合同价格的调整方法：</w:t>
      </w:r>
      <w:r>
        <w:rPr>
          <w:rFonts w:hint="eastAsia"/>
          <w:szCs w:val="21"/>
          <w:u w:val="single"/>
        </w:rPr>
        <w:t xml:space="preserve">         /        </w:t>
      </w:r>
      <w:r>
        <w:rPr>
          <w:rFonts w:hint="eastAsia"/>
          <w:szCs w:val="21"/>
        </w:rPr>
        <w:t>。</w:t>
      </w:r>
    </w:p>
    <w:p w14:paraId="401BE335">
      <w:pPr>
        <w:spacing w:line="400" w:lineRule="exact"/>
        <w:ind w:firstLine="420" w:firstLineChars="200"/>
        <w:rPr>
          <w:rFonts w:hint="eastAsia"/>
          <w:szCs w:val="21"/>
          <w:u w:val="single"/>
        </w:rPr>
      </w:pPr>
      <w:r>
        <w:rPr>
          <w:rFonts w:hint="eastAsia"/>
          <w:szCs w:val="21"/>
        </w:rPr>
        <w:t>3．其他价格方式：</w:t>
      </w:r>
      <w:r>
        <w:rPr>
          <w:rFonts w:hint="eastAsia"/>
          <w:szCs w:val="21"/>
          <w:u w:val="single"/>
        </w:rPr>
        <w:t xml:space="preserve">                  </w:t>
      </w:r>
      <w:r>
        <w:rPr>
          <w:szCs w:val="21"/>
          <w:u w:val="single"/>
        </w:rPr>
        <w:t>/</w:t>
      </w:r>
      <w:r>
        <w:rPr>
          <w:rFonts w:hint="eastAsia"/>
          <w:szCs w:val="21"/>
          <w:u w:val="single"/>
        </w:rPr>
        <w:t xml:space="preserve">                 </w:t>
      </w:r>
      <w:r>
        <w:rPr>
          <w:rFonts w:hint="eastAsia"/>
          <w:szCs w:val="21"/>
        </w:rPr>
        <w:t>。</w:t>
      </w:r>
    </w:p>
    <w:p w14:paraId="45D34F7C">
      <w:pPr>
        <w:spacing w:line="400" w:lineRule="exact"/>
        <w:ind w:firstLine="420" w:firstLineChars="200"/>
        <w:rPr>
          <w:szCs w:val="21"/>
        </w:rPr>
      </w:pPr>
      <w:r>
        <w:rPr>
          <w:szCs w:val="21"/>
        </w:rPr>
        <w:t>12.2 预付款</w:t>
      </w:r>
    </w:p>
    <w:p w14:paraId="37A9E02F">
      <w:pPr>
        <w:spacing w:line="400" w:lineRule="exact"/>
        <w:ind w:firstLine="420" w:firstLineChars="200"/>
        <w:rPr>
          <w:szCs w:val="21"/>
        </w:rPr>
      </w:pPr>
      <w:r>
        <w:rPr>
          <w:szCs w:val="21"/>
        </w:rPr>
        <w:t>12.2.1 预付款的支付</w:t>
      </w:r>
    </w:p>
    <w:p w14:paraId="358D628B">
      <w:pPr>
        <w:spacing w:line="400" w:lineRule="exact"/>
        <w:ind w:firstLine="420" w:firstLineChars="200"/>
        <w:rPr>
          <w:rFonts w:hint="eastAsia"/>
          <w:color w:val="auto"/>
          <w:szCs w:val="21"/>
          <w:highlight w:val="none"/>
          <w:u w:val="single"/>
        </w:rPr>
      </w:pPr>
      <w:r>
        <w:rPr>
          <w:rFonts w:hint="eastAsia"/>
          <w:szCs w:val="21"/>
        </w:rPr>
        <w:t>预付款支付比例或</w:t>
      </w:r>
      <w:r>
        <w:rPr>
          <w:rFonts w:hint="eastAsia"/>
          <w:color w:val="auto"/>
          <w:szCs w:val="21"/>
          <w:highlight w:val="none"/>
        </w:rPr>
        <w:t>金额：</w:t>
      </w:r>
      <w:r>
        <w:rPr>
          <w:rFonts w:hint="eastAsia"/>
          <w:color w:val="auto"/>
          <w:szCs w:val="21"/>
          <w:highlight w:val="none"/>
          <w:u w:val="single"/>
        </w:rPr>
        <w:t xml:space="preserve">签约合同价的 </w:t>
      </w:r>
      <w:r>
        <w:rPr>
          <w:rFonts w:hint="eastAsia"/>
          <w:color w:val="auto"/>
          <w:szCs w:val="21"/>
          <w:highlight w:val="none"/>
          <w:u w:val="single"/>
          <w:lang w:val="en-US" w:eastAsia="zh-CN"/>
        </w:rPr>
        <w:t>20</w:t>
      </w:r>
      <w:r>
        <w:rPr>
          <w:rFonts w:hint="eastAsia"/>
          <w:color w:val="auto"/>
          <w:szCs w:val="21"/>
          <w:highlight w:val="none"/>
          <w:u w:val="single"/>
        </w:rPr>
        <w:t>%，包含专用条款 6.1.6 条所列的安全文明施工费，其余作为备料款。</w:t>
      </w:r>
    </w:p>
    <w:p w14:paraId="08D787B4">
      <w:pPr>
        <w:spacing w:line="400" w:lineRule="exact"/>
        <w:ind w:firstLine="420" w:firstLineChars="200"/>
        <w:rPr>
          <w:color w:val="auto"/>
          <w:szCs w:val="21"/>
          <w:highlight w:val="none"/>
          <w:u w:val="single"/>
        </w:rPr>
      </w:pPr>
      <w:r>
        <w:rPr>
          <w:rFonts w:hint="eastAsia"/>
          <w:color w:val="auto"/>
          <w:szCs w:val="21"/>
          <w:highlight w:val="none"/>
        </w:rPr>
        <w:t>预付款支付期限：</w:t>
      </w:r>
      <w:r>
        <w:rPr>
          <w:rFonts w:hint="eastAsia"/>
          <w:color w:val="auto"/>
          <w:szCs w:val="21"/>
          <w:highlight w:val="none"/>
          <w:u w:val="single"/>
        </w:rPr>
        <w:t xml:space="preserve"> 开工通知载明的开工日期 7 天前支付。</w:t>
      </w:r>
    </w:p>
    <w:p w14:paraId="17DBA129">
      <w:pPr>
        <w:spacing w:line="360" w:lineRule="exact"/>
        <w:ind w:firstLine="420" w:firstLineChars="200"/>
        <w:rPr>
          <w:rFonts w:hint="eastAsia"/>
          <w:color w:val="auto"/>
          <w:szCs w:val="21"/>
          <w:highlight w:val="none"/>
          <w:u w:val="single"/>
          <w:lang w:eastAsia="zh-CN"/>
        </w:rPr>
      </w:pPr>
      <w:r>
        <w:rPr>
          <w:rFonts w:hint="eastAsia"/>
          <w:color w:val="auto"/>
          <w:szCs w:val="21"/>
          <w:highlight w:val="none"/>
        </w:rPr>
        <w:t>预付款扣回的方式：</w:t>
      </w:r>
      <w:r>
        <w:rPr>
          <w:rFonts w:hint="eastAsia" w:ascii="宋体" w:hAnsi="宋体" w:cs="宋体"/>
          <w:color w:val="auto"/>
          <w:szCs w:val="21"/>
          <w:highlight w:val="none"/>
          <w:u w:val="single"/>
        </w:rPr>
        <w:t>不扣回。作为工程款，抵扣每期完成工程量价款的20%，待竣工验收合格，计量价款付至合同价的90%前全部抵扣完。</w:t>
      </w:r>
      <w:bookmarkStart w:id="218" w:name="_GoBack"/>
      <w:bookmarkEnd w:id="218"/>
    </w:p>
    <w:p w14:paraId="59C24EE3">
      <w:pPr>
        <w:spacing w:line="400" w:lineRule="exact"/>
        <w:ind w:firstLine="420" w:firstLineChars="200"/>
        <w:rPr>
          <w:rFonts w:hint="eastAsia"/>
          <w:color w:val="auto"/>
          <w:szCs w:val="21"/>
          <w:highlight w:val="none"/>
        </w:rPr>
      </w:pPr>
      <w:r>
        <w:rPr>
          <w:rFonts w:hint="eastAsia"/>
          <w:color w:val="auto"/>
          <w:szCs w:val="21"/>
          <w:highlight w:val="none"/>
        </w:rPr>
        <w:t>12.2.2 预付款担保</w:t>
      </w:r>
    </w:p>
    <w:p w14:paraId="6A25ABAB">
      <w:pPr>
        <w:spacing w:line="400" w:lineRule="exact"/>
        <w:ind w:firstLine="420" w:firstLineChars="200"/>
        <w:rPr>
          <w:rFonts w:hint="eastAsia"/>
          <w:color w:val="auto"/>
          <w:szCs w:val="21"/>
          <w:highlight w:val="none"/>
          <w:u w:val="single"/>
        </w:rPr>
      </w:pPr>
      <w:r>
        <w:rPr>
          <w:rFonts w:hint="eastAsia"/>
          <w:color w:val="auto"/>
          <w:szCs w:val="21"/>
          <w:highlight w:val="none"/>
        </w:rPr>
        <w:t>承包人提交预付款担保的期限：</w:t>
      </w:r>
      <w:r>
        <w:rPr>
          <w:rFonts w:hint="eastAsia"/>
          <w:color w:val="auto"/>
          <w:szCs w:val="21"/>
          <w:highlight w:val="none"/>
          <w:u w:val="single"/>
        </w:rPr>
        <w:t>在发包人向承包人支付预付款48小时前，承包人须向发包人提交等额的预付款保函。</w:t>
      </w:r>
    </w:p>
    <w:p w14:paraId="11A1375D">
      <w:pPr>
        <w:spacing w:line="400" w:lineRule="exact"/>
        <w:ind w:firstLine="420" w:firstLineChars="200"/>
        <w:rPr>
          <w:rFonts w:hint="eastAsia"/>
          <w:color w:val="auto"/>
          <w:szCs w:val="21"/>
          <w:highlight w:val="none"/>
          <w:u w:val="single"/>
        </w:rPr>
      </w:pPr>
      <w:r>
        <w:rPr>
          <w:rFonts w:hint="eastAsia"/>
          <w:color w:val="auto"/>
          <w:szCs w:val="21"/>
          <w:highlight w:val="none"/>
        </w:rPr>
        <w:t>预付款担保的形式为：</w:t>
      </w:r>
      <w:r>
        <w:rPr>
          <w:rFonts w:hint="eastAsia"/>
          <w:color w:val="auto"/>
          <w:szCs w:val="21"/>
          <w:highlight w:val="none"/>
          <w:u w:val="single"/>
        </w:rPr>
        <w:t>预付款保函采用银行保函、保险机构保证保险保单。</w:t>
      </w:r>
    </w:p>
    <w:p w14:paraId="690C93C4">
      <w:pPr>
        <w:spacing w:line="400" w:lineRule="exact"/>
        <w:ind w:firstLine="420" w:firstLineChars="200"/>
        <w:rPr>
          <w:color w:val="auto"/>
          <w:szCs w:val="21"/>
          <w:highlight w:val="none"/>
        </w:rPr>
      </w:pPr>
      <w:r>
        <w:rPr>
          <w:color w:val="auto"/>
          <w:szCs w:val="21"/>
          <w:highlight w:val="none"/>
        </w:rPr>
        <w:t>12.3 计量</w:t>
      </w:r>
    </w:p>
    <w:p w14:paraId="568AC929">
      <w:pPr>
        <w:spacing w:line="400" w:lineRule="exact"/>
        <w:ind w:firstLine="420" w:firstLineChars="200"/>
        <w:rPr>
          <w:szCs w:val="21"/>
          <w:highlight w:val="none"/>
        </w:rPr>
      </w:pPr>
      <w:r>
        <w:rPr>
          <w:szCs w:val="21"/>
          <w:highlight w:val="none"/>
        </w:rPr>
        <w:t>12.3.1 计量原则</w:t>
      </w:r>
    </w:p>
    <w:p w14:paraId="53AF2FAE">
      <w:pPr>
        <w:spacing w:line="440" w:lineRule="exact"/>
        <w:ind w:firstLine="420" w:firstLineChars="200"/>
        <w:rPr>
          <w:szCs w:val="21"/>
          <w:highlight w:val="none"/>
          <w:u w:val="single"/>
        </w:rPr>
      </w:pPr>
      <w:r>
        <w:rPr>
          <w:rFonts w:hint="eastAsia"/>
          <w:szCs w:val="21"/>
          <w:highlight w:val="none"/>
          <w:u w:val="single"/>
        </w:rPr>
        <w:t>工程量计算按照实际完成施工图纸范围内和经发包人同意增加的施工内容按实计算，工程量计算规则按照《建设工程工程量清单计价规范》（GB50500-2013）、《房屋建筑与装饰工程工程量计算规范》（GB50854-2013）、《通用安装工程工程量计算规范》（GB50856-2013）、《市政工程工程量计算规范》（GB50857-2013）、《园林绿化工程工程量计算规范》（GB50858-2013）、《浙江省建设工程计价规则》（2018版）、《浙江省房屋建筑与装饰工程预算定额》（2018版）、《浙江省通用安装工程预算定额》（2018版）、《浙江省市政工程预算定额》（2018版）、《浙江省园林绿化及仿古建筑工程预算定额》(2018版)、《浙江省建设工程施工机械台班费用定额》(2018版)、《浙江省建筑安装材料基期价格》以及相关补充规定与综合解释等</w:t>
      </w:r>
      <w:r>
        <w:rPr>
          <w:szCs w:val="21"/>
          <w:highlight w:val="none"/>
          <w:u w:val="single"/>
        </w:rPr>
        <w:t>及发包人提供的工程量清单中说明的工程量计算规则计算，由承包人计量、发包人及有关部门审核。</w:t>
      </w:r>
    </w:p>
    <w:p w14:paraId="389BD377">
      <w:pPr>
        <w:spacing w:line="400" w:lineRule="exact"/>
        <w:ind w:firstLine="420" w:firstLineChars="200"/>
        <w:rPr>
          <w:szCs w:val="21"/>
        </w:rPr>
      </w:pPr>
      <w:r>
        <w:rPr>
          <w:szCs w:val="21"/>
        </w:rPr>
        <w:t>12.3.2 计量周期：</w:t>
      </w:r>
    </w:p>
    <w:p w14:paraId="3FDF4F4E">
      <w:pPr>
        <w:spacing w:line="400" w:lineRule="exact"/>
        <w:ind w:firstLine="420" w:firstLineChars="200"/>
        <w:rPr>
          <w:szCs w:val="21"/>
        </w:rPr>
      </w:pPr>
      <w:r>
        <w:rPr>
          <w:szCs w:val="21"/>
        </w:rPr>
        <w:t>关于计量周期的约定：</w:t>
      </w:r>
      <w:r>
        <w:rPr>
          <w:szCs w:val="21"/>
          <w:u w:val="single"/>
        </w:rPr>
        <w:t>按月</w:t>
      </w:r>
      <w:r>
        <w:rPr>
          <w:rFonts w:hint="eastAsia"/>
          <w:szCs w:val="21"/>
          <w:u w:val="single"/>
        </w:rPr>
        <w:t>进度</w:t>
      </w:r>
      <w:r>
        <w:rPr>
          <w:szCs w:val="21"/>
          <w:u w:val="single"/>
        </w:rPr>
        <w:t>计量</w:t>
      </w:r>
      <w:r>
        <w:rPr>
          <w:szCs w:val="21"/>
        </w:rPr>
        <w:t>。</w:t>
      </w:r>
    </w:p>
    <w:p w14:paraId="4CD5A77C">
      <w:pPr>
        <w:spacing w:line="400" w:lineRule="exact"/>
        <w:ind w:firstLine="420" w:firstLineChars="200"/>
        <w:rPr>
          <w:szCs w:val="21"/>
        </w:rPr>
      </w:pPr>
      <w:r>
        <w:rPr>
          <w:szCs w:val="21"/>
        </w:rPr>
        <w:t>12.3.3 单价合同的计量</w:t>
      </w:r>
    </w:p>
    <w:p w14:paraId="45D530EF">
      <w:pPr>
        <w:spacing w:line="400" w:lineRule="exact"/>
        <w:ind w:firstLine="420" w:firstLineChars="200"/>
        <w:rPr>
          <w:rFonts w:hint="eastAsia"/>
          <w:szCs w:val="21"/>
          <w:u w:val="single"/>
        </w:rPr>
      </w:pPr>
      <w:r>
        <w:rPr>
          <w:szCs w:val="21"/>
        </w:rPr>
        <w:t>关于单价合同计量的约定：</w:t>
      </w:r>
      <w:r>
        <w:rPr>
          <w:szCs w:val="21"/>
          <w:u w:val="single"/>
        </w:rPr>
        <w:t>按通用合同条款执行</w:t>
      </w:r>
      <w:r>
        <w:rPr>
          <w:rFonts w:hint="eastAsia"/>
          <w:szCs w:val="21"/>
          <w:u w:val="single"/>
        </w:rPr>
        <w:t>。</w:t>
      </w:r>
    </w:p>
    <w:p w14:paraId="6A7916B4">
      <w:pPr>
        <w:spacing w:line="400" w:lineRule="exact"/>
        <w:ind w:firstLine="420" w:firstLineChars="200"/>
        <w:rPr>
          <w:rFonts w:ascii="宋体" w:hAnsi="宋体" w:cs="宋体"/>
          <w:kern w:val="0"/>
          <w:szCs w:val="21"/>
          <w:u w:val="single"/>
        </w:rPr>
      </w:pPr>
      <w:r>
        <w:rPr>
          <w:rFonts w:hint="eastAsia" w:ascii="宋体" w:hAnsi="宋体" w:cs="宋体"/>
          <w:szCs w:val="21"/>
          <w:u w:val="single"/>
        </w:rPr>
        <w:t>（</w:t>
      </w:r>
      <w:r>
        <w:rPr>
          <w:rFonts w:hint="eastAsia" w:ascii="宋体" w:hAnsi="宋体" w:cs="宋体"/>
          <w:kern w:val="0"/>
          <w:szCs w:val="21"/>
          <w:u w:val="single"/>
        </w:rPr>
        <w:t>4）确认的当期工程量和单价仅作为当期工程进度款支付的依据。</w:t>
      </w:r>
    </w:p>
    <w:p w14:paraId="521DA7AA">
      <w:pPr>
        <w:spacing w:line="400" w:lineRule="exact"/>
        <w:ind w:firstLine="420" w:firstLineChars="200"/>
        <w:rPr>
          <w:szCs w:val="21"/>
        </w:rPr>
      </w:pPr>
      <w:r>
        <w:rPr>
          <w:rFonts w:hint="eastAsia"/>
          <w:szCs w:val="21"/>
        </w:rPr>
        <w:t>12.3.4总价合同的计量</w:t>
      </w:r>
    </w:p>
    <w:p w14:paraId="3BEBD883">
      <w:pPr>
        <w:spacing w:line="400" w:lineRule="exact"/>
        <w:ind w:firstLine="420" w:firstLineChars="200"/>
        <w:rPr>
          <w:szCs w:val="21"/>
        </w:rPr>
      </w:pPr>
      <w:r>
        <w:rPr>
          <w:rFonts w:hint="eastAsia"/>
          <w:szCs w:val="21"/>
        </w:rPr>
        <w:t>关于总价合同计量的约定：</w:t>
      </w:r>
      <w:r>
        <w:rPr>
          <w:rFonts w:hint="eastAsia"/>
          <w:szCs w:val="21"/>
          <w:u w:val="single"/>
        </w:rPr>
        <w:t xml:space="preserve">             /                </w:t>
      </w:r>
      <w:r>
        <w:rPr>
          <w:rFonts w:hint="eastAsia"/>
          <w:szCs w:val="21"/>
        </w:rPr>
        <w:t xml:space="preserve"> 。</w:t>
      </w:r>
    </w:p>
    <w:p w14:paraId="5A8855C7">
      <w:pPr>
        <w:spacing w:line="400" w:lineRule="exact"/>
        <w:ind w:firstLine="420" w:firstLineChars="200"/>
        <w:rPr>
          <w:szCs w:val="21"/>
        </w:rPr>
      </w:pPr>
      <w:r>
        <w:rPr>
          <w:rFonts w:hint="eastAsia"/>
          <w:szCs w:val="21"/>
        </w:rPr>
        <w:t>12.3.5总价合同采用支付分解表计量支付的，是否适用第12.3.4 项〔总价合同的计量〕约定进行计量：</w:t>
      </w:r>
      <w:r>
        <w:rPr>
          <w:rFonts w:hint="eastAsia"/>
          <w:szCs w:val="21"/>
          <w:u w:val="single"/>
        </w:rPr>
        <w:t xml:space="preserve">           /          </w:t>
      </w:r>
      <w:r>
        <w:rPr>
          <w:rFonts w:hint="eastAsia"/>
          <w:szCs w:val="21"/>
        </w:rPr>
        <w:t>。</w:t>
      </w:r>
    </w:p>
    <w:p w14:paraId="433D3D57">
      <w:pPr>
        <w:spacing w:line="400" w:lineRule="exact"/>
        <w:ind w:firstLine="420" w:firstLineChars="200"/>
        <w:rPr>
          <w:szCs w:val="21"/>
        </w:rPr>
      </w:pPr>
      <w:r>
        <w:rPr>
          <w:szCs w:val="21"/>
        </w:rPr>
        <w:t>12.3.6 其他价格形式合同的计量</w:t>
      </w:r>
    </w:p>
    <w:p w14:paraId="150AFE3E">
      <w:pPr>
        <w:spacing w:line="400" w:lineRule="exact"/>
        <w:ind w:firstLine="420" w:firstLineChars="200"/>
        <w:rPr>
          <w:szCs w:val="21"/>
        </w:rPr>
      </w:pPr>
      <w:r>
        <w:rPr>
          <w:szCs w:val="21"/>
        </w:rPr>
        <w:t>其他价格形式的计量方式和程序：</w:t>
      </w:r>
      <w:r>
        <w:rPr>
          <w:rFonts w:hint="eastAsia"/>
          <w:szCs w:val="21"/>
          <w:u w:val="single"/>
        </w:rPr>
        <w:t xml:space="preserve">   /   </w:t>
      </w:r>
      <w:r>
        <w:rPr>
          <w:szCs w:val="21"/>
          <w:u w:val="single"/>
        </w:rPr>
        <w:t>。</w:t>
      </w:r>
    </w:p>
    <w:p w14:paraId="1BEA9515">
      <w:pPr>
        <w:spacing w:line="400" w:lineRule="exact"/>
        <w:ind w:firstLine="420" w:firstLineChars="200"/>
        <w:rPr>
          <w:szCs w:val="21"/>
        </w:rPr>
      </w:pPr>
      <w:r>
        <w:rPr>
          <w:szCs w:val="21"/>
        </w:rPr>
        <w:t>12.4 工程进度款支付</w:t>
      </w:r>
    </w:p>
    <w:p w14:paraId="21188FA9">
      <w:pPr>
        <w:spacing w:line="400" w:lineRule="exact"/>
        <w:ind w:firstLine="420" w:firstLineChars="200"/>
        <w:rPr>
          <w:szCs w:val="21"/>
        </w:rPr>
      </w:pPr>
      <w:r>
        <w:rPr>
          <w:szCs w:val="21"/>
        </w:rPr>
        <w:t>12.4.1 付款周期</w:t>
      </w:r>
    </w:p>
    <w:p w14:paraId="228B97EA">
      <w:pPr>
        <w:spacing w:line="400" w:lineRule="exact"/>
        <w:ind w:firstLine="420" w:firstLineChars="200"/>
        <w:rPr>
          <w:szCs w:val="21"/>
        </w:rPr>
      </w:pPr>
      <w:r>
        <w:rPr>
          <w:szCs w:val="21"/>
        </w:rPr>
        <w:t>关于付款周期的约定：</w:t>
      </w:r>
      <w:r>
        <w:rPr>
          <w:szCs w:val="21"/>
          <w:u w:val="single"/>
        </w:rPr>
        <w:t>按月</w:t>
      </w:r>
      <w:r>
        <w:rPr>
          <w:rFonts w:hint="eastAsia"/>
          <w:szCs w:val="21"/>
          <w:u w:val="single"/>
        </w:rPr>
        <w:t>进度</w:t>
      </w:r>
      <w:r>
        <w:rPr>
          <w:szCs w:val="21"/>
          <w:u w:val="single"/>
        </w:rPr>
        <w:t>支付</w:t>
      </w:r>
      <w:r>
        <w:rPr>
          <w:szCs w:val="21"/>
        </w:rPr>
        <w:t>。</w:t>
      </w:r>
    </w:p>
    <w:p w14:paraId="3BF4D46F">
      <w:pPr>
        <w:spacing w:line="400" w:lineRule="exact"/>
        <w:ind w:firstLine="420" w:firstLineChars="200"/>
        <w:rPr>
          <w:szCs w:val="21"/>
        </w:rPr>
      </w:pPr>
      <w:r>
        <w:rPr>
          <w:szCs w:val="21"/>
        </w:rPr>
        <w:t>12.4.2 进度付款申请单的编制</w:t>
      </w:r>
    </w:p>
    <w:p w14:paraId="21A1E120">
      <w:pPr>
        <w:spacing w:line="400" w:lineRule="exact"/>
        <w:ind w:firstLine="420" w:firstLineChars="200"/>
        <w:rPr>
          <w:rFonts w:hint="eastAsia"/>
          <w:color w:val="auto"/>
          <w:szCs w:val="21"/>
          <w:highlight w:val="none"/>
        </w:rPr>
      </w:pPr>
      <w:r>
        <w:rPr>
          <w:szCs w:val="21"/>
        </w:rPr>
        <w:t>关于</w:t>
      </w:r>
      <w:r>
        <w:rPr>
          <w:color w:val="auto"/>
          <w:szCs w:val="21"/>
          <w:highlight w:val="none"/>
        </w:rPr>
        <w:t>进度付款申请单编制的约定：</w:t>
      </w:r>
    </w:p>
    <w:p w14:paraId="74226585">
      <w:pPr>
        <w:spacing w:line="400" w:lineRule="exact"/>
        <w:ind w:firstLine="422" w:firstLineChars="200"/>
        <w:rPr>
          <w:rFonts w:hint="eastAsia" w:ascii="宋体" w:hAnsi="宋体" w:cs="宋体"/>
          <w:b/>
          <w:color w:val="auto"/>
          <w:szCs w:val="21"/>
          <w:highlight w:val="none"/>
          <w:u w:val="single"/>
        </w:rPr>
      </w:pPr>
      <w:r>
        <w:rPr>
          <w:rFonts w:hint="eastAsia"/>
          <w:b/>
          <w:color w:val="auto"/>
          <w:szCs w:val="21"/>
          <w:highlight w:val="none"/>
          <w:u w:val="single"/>
        </w:rPr>
        <w:t>（1）</w:t>
      </w:r>
      <w:r>
        <w:rPr>
          <w:rFonts w:hint="eastAsia" w:ascii="宋体" w:hAnsi="宋体" w:cs="宋体"/>
          <w:b/>
          <w:color w:val="auto"/>
          <w:szCs w:val="21"/>
          <w:highlight w:val="none"/>
          <w:u w:val="single"/>
        </w:rPr>
        <w:t>发包人向承包人支付当期按12.1、12.3款计量工程量价款的</w:t>
      </w:r>
      <w:r>
        <w:rPr>
          <w:rFonts w:hint="eastAsia" w:ascii="宋体" w:hAnsi="宋体" w:cs="宋体"/>
          <w:b/>
          <w:color w:val="auto"/>
          <w:szCs w:val="21"/>
          <w:highlight w:val="none"/>
          <w:u w:val="single"/>
          <w:lang w:val="en-US" w:eastAsia="zh-CN"/>
        </w:rPr>
        <w:t>85</w:t>
      </w:r>
      <w:r>
        <w:rPr>
          <w:rFonts w:hint="eastAsia" w:ascii="宋体" w:hAnsi="宋体" w:cs="宋体"/>
          <w:b/>
          <w:color w:val="auto"/>
          <w:szCs w:val="21"/>
          <w:highlight w:val="none"/>
          <w:u w:val="single"/>
        </w:rPr>
        <w:t>%工程价款（含预付款）。人工、材料市场价格调整引起合同价款调整，在完成专用条款第11.1条约定的调整节点后，计入该节点所在当期工程进度款；工程变更、索赔、现场签证等办理完毕的（审计</w:t>
      </w:r>
      <w:r>
        <w:rPr>
          <w:rFonts w:ascii="宋体" w:hAnsi="宋体" w:cs="宋体"/>
          <w:b/>
          <w:color w:val="auto"/>
          <w:szCs w:val="21"/>
          <w:highlight w:val="none"/>
          <w:u w:val="single"/>
        </w:rPr>
        <w:t>结束后</w:t>
      </w:r>
      <w:r>
        <w:rPr>
          <w:rFonts w:hint="eastAsia" w:ascii="宋体" w:hAnsi="宋体" w:cs="宋体"/>
          <w:b/>
          <w:color w:val="auto"/>
          <w:szCs w:val="21"/>
          <w:highlight w:val="none"/>
          <w:u w:val="single"/>
        </w:rPr>
        <w:t>），计入当期工程进度款。</w:t>
      </w:r>
    </w:p>
    <w:p w14:paraId="3CC258E3">
      <w:pPr>
        <w:spacing w:line="400" w:lineRule="exact"/>
        <w:ind w:firstLine="422" w:firstLineChars="200"/>
        <w:rPr>
          <w:rFonts w:hint="eastAsia"/>
          <w:b/>
          <w:color w:val="auto"/>
          <w:szCs w:val="21"/>
          <w:highlight w:val="none"/>
          <w:u w:val="single"/>
        </w:rPr>
      </w:pPr>
      <w:r>
        <w:rPr>
          <w:rFonts w:hint="eastAsia"/>
          <w:b/>
          <w:color w:val="auto"/>
          <w:szCs w:val="21"/>
          <w:highlight w:val="none"/>
          <w:u w:val="single"/>
        </w:rPr>
        <w:t>（2）合同范围内的施工内容施工完成，参建各方（建设、监理、施工、勘察、设计单位等）对工程验收并签署工程质量合格文件后，支付至进度款审核汇总的合同价格的90%（含预付款）；</w:t>
      </w:r>
    </w:p>
    <w:p w14:paraId="75C9090C">
      <w:pPr>
        <w:spacing w:line="400" w:lineRule="exact"/>
        <w:ind w:firstLine="422" w:firstLineChars="200"/>
        <w:rPr>
          <w:rFonts w:hint="eastAsia"/>
          <w:b/>
          <w:color w:val="auto"/>
          <w:szCs w:val="21"/>
          <w:highlight w:val="none"/>
          <w:u w:val="single"/>
        </w:rPr>
      </w:pPr>
      <w:r>
        <w:rPr>
          <w:rFonts w:hint="eastAsia"/>
          <w:b/>
          <w:color w:val="auto"/>
          <w:szCs w:val="21"/>
          <w:highlight w:val="none"/>
          <w:u w:val="single"/>
        </w:rPr>
        <w:t>（3）工程结算款经审定后付至结算价100%。发包人支付最后工程结算付款前，承包人向发包人提供质量保证金保函（金额为工程结算价的1.5%）。</w:t>
      </w:r>
    </w:p>
    <w:p w14:paraId="565A85EE">
      <w:pPr>
        <w:spacing w:line="400" w:lineRule="exact"/>
        <w:ind w:firstLine="422" w:firstLineChars="200"/>
        <w:rPr>
          <w:b/>
          <w:color w:val="auto"/>
          <w:szCs w:val="21"/>
          <w:highlight w:val="none"/>
          <w:u w:val="single"/>
        </w:rPr>
      </w:pPr>
      <w:r>
        <w:rPr>
          <w:rFonts w:hint="eastAsia"/>
          <w:b/>
          <w:color w:val="auto"/>
          <w:szCs w:val="21"/>
          <w:highlight w:val="none"/>
          <w:u w:val="single"/>
        </w:rPr>
        <w:t>（4）</w:t>
      </w:r>
      <w:r>
        <w:rPr>
          <w:b/>
          <w:color w:val="auto"/>
          <w:szCs w:val="21"/>
          <w:highlight w:val="none"/>
          <w:u w:val="single"/>
        </w:rPr>
        <w:t>发包人将当期应付工程进度款</w:t>
      </w:r>
      <w:r>
        <w:rPr>
          <w:rFonts w:hint="eastAsia"/>
          <w:b/>
          <w:color w:val="auto"/>
          <w:szCs w:val="21"/>
          <w:highlight w:val="none"/>
          <w:u w:val="single"/>
        </w:rPr>
        <w:t>（</w:t>
      </w:r>
      <w:r>
        <w:rPr>
          <w:rFonts w:hint="eastAsia" w:ascii="宋体" w:hAnsi="宋体" w:cs="宋体"/>
          <w:b/>
          <w:color w:val="auto"/>
          <w:szCs w:val="21"/>
          <w:highlight w:val="none"/>
          <w:u w:val="single"/>
        </w:rPr>
        <w:t>含预付款</w:t>
      </w:r>
      <w:r>
        <w:rPr>
          <w:rFonts w:hint="eastAsia"/>
          <w:b/>
          <w:color w:val="auto"/>
          <w:szCs w:val="21"/>
          <w:highlight w:val="none"/>
          <w:u w:val="single"/>
        </w:rPr>
        <w:t>）</w:t>
      </w:r>
      <w:r>
        <w:rPr>
          <w:b/>
          <w:color w:val="auto"/>
          <w:szCs w:val="21"/>
          <w:highlight w:val="none"/>
          <w:u w:val="single"/>
        </w:rPr>
        <w:t>的20%单独拨付到承包人开设的农民工工资（劳务费）专用账户，承包人应确保专款专用。</w:t>
      </w:r>
    </w:p>
    <w:p w14:paraId="64412DA4">
      <w:pPr>
        <w:spacing w:line="400" w:lineRule="exact"/>
        <w:ind w:firstLine="422" w:firstLineChars="200"/>
        <w:rPr>
          <w:rFonts w:hint="eastAsia" w:eastAsiaTheme="minorEastAsia"/>
          <w:b/>
          <w:color w:val="auto"/>
          <w:szCs w:val="21"/>
          <w:highlight w:val="none"/>
          <w:u w:val="single"/>
          <w:lang w:eastAsia="zh-CN"/>
        </w:rPr>
      </w:pPr>
      <w:r>
        <w:rPr>
          <w:rFonts w:hint="eastAsia"/>
          <w:b/>
          <w:color w:val="auto"/>
          <w:szCs w:val="21"/>
          <w:highlight w:val="none"/>
          <w:u w:val="single"/>
        </w:rPr>
        <w:t>（</w:t>
      </w:r>
      <w:r>
        <w:rPr>
          <w:rFonts w:hint="eastAsia"/>
          <w:b/>
          <w:color w:val="auto"/>
          <w:szCs w:val="21"/>
          <w:highlight w:val="none"/>
          <w:u w:val="single"/>
          <w:lang w:val="en-US" w:eastAsia="zh-CN"/>
        </w:rPr>
        <w:t>5</w:t>
      </w:r>
      <w:r>
        <w:rPr>
          <w:rFonts w:hint="eastAsia"/>
          <w:b/>
          <w:color w:val="auto"/>
          <w:szCs w:val="21"/>
          <w:highlight w:val="none"/>
          <w:u w:val="single"/>
        </w:rPr>
        <w:t>）承包人收取每期工程款时应开具正式发票</w:t>
      </w:r>
      <w:r>
        <w:rPr>
          <w:rFonts w:hint="eastAsia"/>
          <w:b/>
          <w:color w:val="auto"/>
          <w:szCs w:val="21"/>
          <w:highlight w:val="none"/>
          <w:u w:val="single"/>
          <w:lang w:eastAsia="zh-CN"/>
        </w:rPr>
        <w:t>，发票抬头为</w:t>
      </w:r>
      <w:r>
        <w:rPr>
          <w:rFonts w:hint="eastAsia"/>
          <w:b/>
          <w:color w:val="auto"/>
          <w:szCs w:val="21"/>
          <w:highlight w:val="none"/>
          <w:u w:val="single"/>
          <w:lang w:val="en-US" w:eastAsia="zh-CN"/>
        </w:rPr>
        <w:t>三门县基础设施投资有限责任公司</w:t>
      </w:r>
      <w:r>
        <w:rPr>
          <w:rFonts w:hint="eastAsia"/>
          <w:b/>
          <w:color w:val="auto"/>
          <w:szCs w:val="21"/>
          <w:highlight w:val="none"/>
          <w:u w:val="single"/>
          <w:lang w:eastAsia="zh-CN"/>
        </w:rPr>
        <w:t>。</w:t>
      </w:r>
    </w:p>
    <w:p w14:paraId="0ECBB73C">
      <w:pPr>
        <w:spacing w:line="400" w:lineRule="exact"/>
        <w:ind w:firstLine="420" w:firstLineChars="200"/>
        <w:rPr>
          <w:color w:val="auto"/>
          <w:szCs w:val="21"/>
          <w:highlight w:val="none"/>
        </w:rPr>
      </w:pPr>
      <w:r>
        <w:rPr>
          <w:color w:val="auto"/>
          <w:szCs w:val="21"/>
          <w:highlight w:val="none"/>
        </w:rPr>
        <w:t>12.4.3 进度付款申请单的提交</w:t>
      </w:r>
    </w:p>
    <w:p w14:paraId="363C849B">
      <w:pPr>
        <w:spacing w:line="400" w:lineRule="exact"/>
        <w:ind w:firstLine="420" w:firstLineChars="200"/>
        <w:rPr>
          <w:szCs w:val="21"/>
        </w:rPr>
      </w:pPr>
      <w:r>
        <w:rPr>
          <w:szCs w:val="21"/>
        </w:rPr>
        <w:t>（1）单价合同进度付款申请单提交的约定：</w:t>
      </w:r>
      <w:r>
        <w:rPr>
          <w:szCs w:val="21"/>
          <w:u w:val="single"/>
        </w:rPr>
        <w:t>按通用合同条款</w:t>
      </w:r>
      <w:r>
        <w:rPr>
          <w:szCs w:val="21"/>
        </w:rPr>
        <w:t>。</w:t>
      </w:r>
    </w:p>
    <w:p w14:paraId="3DB0D6AE">
      <w:pPr>
        <w:spacing w:line="400" w:lineRule="exact"/>
        <w:ind w:firstLine="420" w:firstLineChars="200"/>
        <w:rPr>
          <w:szCs w:val="21"/>
        </w:rPr>
      </w:pPr>
      <w:r>
        <w:rPr>
          <w:szCs w:val="21"/>
        </w:rPr>
        <w:t>（2）总价合同进度付款申请单提交的约定：</w:t>
      </w:r>
      <w:r>
        <w:rPr>
          <w:szCs w:val="21"/>
          <w:u w:val="single"/>
        </w:rPr>
        <w:t xml:space="preserve">       </w:t>
      </w:r>
      <w:r>
        <w:rPr>
          <w:rFonts w:hint="eastAsia"/>
          <w:szCs w:val="21"/>
          <w:u w:val="single"/>
        </w:rPr>
        <w:t>/</w:t>
      </w:r>
      <w:r>
        <w:rPr>
          <w:szCs w:val="21"/>
          <w:u w:val="single"/>
        </w:rPr>
        <w:t xml:space="preserve">        </w:t>
      </w:r>
      <w:r>
        <w:rPr>
          <w:szCs w:val="21"/>
        </w:rPr>
        <w:t>。</w:t>
      </w:r>
    </w:p>
    <w:p w14:paraId="22B6B864">
      <w:pPr>
        <w:spacing w:line="400" w:lineRule="exact"/>
        <w:ind w:firstLine="420" w:firstLineChars="200"/>
        <w:rPr>
          <w:szCs w:val="21"/>
        </w:rPr>
      </w:pPr>
      <w:r>
        <w:rPr>
          <w:szCs w:val="21"/>
        </w:rPr>
        <w:t>（3）其他价格形式合同进度付款申请单提交的约定：</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r>
        <w:rPr>
          <w:szCs w:val="21"/>
        </w:rPr>
        <w:t>。</w:t>
      </w:r>
    </w:p>
    <w:p w14:paraId="7E872AD2">
      <w:pPr>
        <w:spacing w:line="400" w:lineRule="exact"/>
        <w:ind w:firstLine="420" w:firstLineChars="200"/>
        <w:rPr>
          <w:szCs w:val="21"/>
        </w:rPr>
      </w:pPr>
      <w:r>
        <w:rPr>
          <w:szCs w:val="21"/>
        </w:rPr>
        <w:t>12.4.4 进度款审核和支付</w:t>
      </w:r>
    </w:p>
    <w:p w14:paraId="3F1AFA46">
      <w:pPr>
        <w:spacing w:line="400" w:lineRule="exact"/>
        <w:ind w:firstLine="420" w:firstLineChars="200"/>
        <w:rPr>
          <w:szCs w:val="21"/>
          <w:u w:val="single"/>
        </w:rPr>
      </w:pPr>
      <w:r>
        <w:rPr>
          <w:szCs w:val="21"/>
        </w:rPr>
        <w:t>（1）监理人审查并报送发包人的期限：</w:t>
      </w:r>
      <w:r>
        <w:rPr>
          <w:szCs w:val="21"/>
          <w:u w:val="single"/>
        </w:rPr>
        <w:t xml:space="preserve">按通用合同条款 </w:t>
      </w:r>
      <w:r>
        <w:rPr>
          <w:szCs w:val="21"/>
        </w:rPr>
        <w:t>。</w:t>
      </w:r>
    </w:p>
    <w:p w14:paraId="7BDB786B">
      <w:pPr>
        <w:spacing w:line="400" w:lineRule="exact"/>
        <w:ind w:firstLine="420" w:firstLineChars="200"/>
        <w:rPr>
          <w:szCs w:val="21"/>
        </w:rPr>
      </w:pPr>
      <w:r>
        <w:rPr>
          <w:szCs w:val="21"/>
        </w:rPr>
        <w:t>发包人完成审批并签发进度款支付证书的期限：</w:t>
      </w:r>
      <w:r>
        <w:rPr>
          <w:szCs w:val="21"/>
          <w:u w:val="single"/>
        </w:rPr>
        <w:t>按通用合同条款</w:t>
      </w:r>
      <w:r>
        <w:rPr>
          <w:szCs w:val="21"/>
        </w:rPr>
        <w:t>。</w:t>
      </w:r>
    </w:p>
    <w:p w14:paraId="458A1520">
      <w:pPr>
        <w:spacing w:line="400" w:lineRule="exact"/>
        <w:ind w:firstLine="420" w:firstLineChars="200"/>
        <w:rPr>
          <w:rFonts w:hint="eastAsia"/>
          <w:color w:val="auto"/>
          <w:szCs w:val="21"/>
          <w:highlight w:val="none"/>
          <w:u w:val="single"/>
        </w:rPr>
      </w:pPr>
      <w:r>
        <w:rPr>
          <w:szCs w:val="21"/>
        </w:rPr>
        <w:t>（2）发包人支付进度款的</w:t>
      </w:r>
      <w:r>
        <w:rPr>
          <w:color w:val="auto"/>
          <w:szCs w:val="21"/>
          <w:highlight w:val="none"/>
        </w:rPr>
        <w:t>期限：</w:t>
      </w:r>
      <w:r>
        <w:rPr>
          <w:color w:val="auto"/>
          <w:szCs w:val="21"/>
          <w:highlight w:val="none"/>
          <w:u w:val="single"/>
        </w:rPr>
        <w:t>在发包人确认计量结果后14天内完成支付。</w:t>
      </w:r>
    </w:p>
    <w:p w14:paraId="0623C0C3">
      <w:pPr>
        <w:spacing w:line="400" w:lineRule="exact"/>
        <w:ind w:firstLine="420" w:firstLineChars="200"/>
        <w:rPr>
          <w:color w:val="auto"/>
          <w:szCs w:val="21"/>
          <w:highlight w:val="none"/>
          <w:u w:val="single"/>
        </w:rPr>
      </w:pPr>
      <w:r>
        <w:rPr>
          <w:rFonts w:hint="eastAsia"/>
          <w:color w:val="auto"/>
          <w:szCs w:val="21"/>
          <w:highlight w:val="none"/>
          <w:u w:val="single"/>
        </w:rPr>
        <w:t>发包人将当期</w:t>
      </w:r>
      <w:r>
        <w:rPr>
          <w:rFonts w:hint="eastAsia"/>
          <w:color w:val="auto"/>
          <w:szCs w:val="21"/>
          <w:highlight w:val="none"/>
          <w:u w:val="single"/>
          <w:lang w:eastAsia="zh-CN"/>
        </w:rPr>
        <w:t>完成工程量价款</w:t>
      </w:r>
      <w:r>
        <w:rPr>
          <w:rFonts w:hint="eastAsia"/>
          <w:color w:val="auto"/>
          <w:szCs w:val="21"/>
          <w:highlight w:val="none"/>
          <w:u w:val="single"/>
        </w:rPr>
        <w:t>（</w:t>
      </w:r>
      <w:r>
        <w:rPr>
          <w:rFonts w:hint="eastAsia" w:ascii="宋体" w:hAnsi="宋体" w:cs="宋体"/>
          <w:color w:val="auto"/>
          <w:szCs w:val="21"/>
          <w:highlight w:val="none"/>
          <w:u w:val="single"/>
        </w:rPr>
        <w:t>含预付款</w:t>
      </w:r>
      <w:r>
        <w:rPr>
          <w:rFonts w:hint="eastAsia"/>
          <w:color w:val="auto"/>
          <w:szCs w:val="21"/>
          <w:highlight w:val="none"/>
          <w:u w:val="single"/>
        </w:rPr>
        <w:t>）的20%单独拨付到承包人开设的农民工工资(劳务费) 专用账户，承包人应确保专款专用。</w:t>
      </w:r>
    </w:p>
    <w:p w14:paraId="63C515E2">
      <w:pPr>
        <w:spacing w:line="400" w:lineRule="exact"/>
        <w:ind w:firstLine="420" w:firstLineChars="200"/>
        <w:rPr>
          <w:color w:val="auto"/>
          <w:szCs w:val="21"/>
          <w:highlight w:val="none"/>
          <w:u w:val="single"/>
        </w:rPr>
      </w:pPr>
      <w:r>
        <w:rPr>
          <w:color w:val="auto"/>
          <w:szCs w:val="21"/>
          <w:highlight w:val="none"/>
        </w:rPr>
        <w:t>发包人逾期支付进度款的违约金的计算方式：</w:t>
      </w:r>
      <w:r>
        <w:rPr>
          <w:rFonts w:hint="eastAsia"/>
          <w:color w:val="auto"/>
          <w:szCs w:val="21"/>
          <w:highlight w:val="none"/>
          <w:u w:val="single"/>
        </w:rPr>
        <w:t>支付应付工程进度(备料) 款的利息，利率</w:t>
      </w:r>
      <w:r>
        <w:rPr>
          <w:rFonts w:hint="eastAsia"/>
          <w:color w:val="auto"/>
          <w:szCs w:val="21"/>
          <w:highlight w:val="none"/>
          <w:u w:val="single"/>
          <w:lang w:eastAsia="zh-CN"/>
        </w:rPr>
        <w:t>按全国银行间同业拆借中心公布的同期贷款市场报价利率</w:t>
      </w:r>
      <w:r>
        <w:rPr>
          <w:rFonts w:hint="eastAsia"/>
          <w:color w:val="auto"/>
          <w:szCs w:val="21"/>
          <w:highlight w:val="none"/>
          <w:u w:val="single"/>
        </w:rPr>
        <w:t>，时间为从约定应付之日起至支付之日止计算利息。</w:t>
      </w:r>
    </w:p>
    <w:p w14:paraId="4007145D">
      <w:pPr>
        <w:spacing w:line="400" w:lineRule="exact"/>
        <w:ind w:firstLine="420" w:firstLineChars="200"/>
        <w:rPr>
          <w:szCs w:val="21"/>
          <w:u w:val="single"/>
        </w:rPr>
      </w:pPr>
      <w:r>
        <w:rPr>
          <w:color w:val="auto"/>
          <w:szCs w:val="21"/>
          <w:highlight w:val="none"/>
        </w:rPr>
        <w:t>（3）</w:t>
      </w:r>
      <w:r>
        <w:rPr>
          <w:rFonts w:hint="eastAsia"/>
          <w:color w:val="auto"/>
          <w:szCs w:val="21"/>
          <w:highlight w:val="none"/>
          <w:u w:val="single"/>
        </w:rPr>
        <w:t>发包人每月签发的工程量审核报告、进度款支付证书或临时进度款支付证书，不表明发包人已同意、批准或接受了承包人完成的相应部分工作或已确认计量结果，仅为本期工程款</w:t>
      </w:r>
      <w:r>
        <w:rPr>
          <w:rFonts w:hint="eastAsia"/>
          <w:szCs w:val="21"/>
          <w:u w:val="single"/>
        </w:rPr>
        <w:t>支付依据。</w:t>
      </w:r>
    </w:p>
    <w:p w14:paraId="416A7527">
      <w:pPr>
        <w:spacing w:line="400" w:lineRule="exact"/>
        <w:ind w:firstLine="422" w:firstLineChars="200"/>
        <w:rPr>
          <w:b/>
          <w:szCs w:val="21"/>
        </w:rPr>
      </w:pPr>
      <w:r>
        <w:rPr>
          <w:b/>
          <w:szCs w:val="21"/>
        </w:rPr>
        <w:t>12.4.6 支付分解表的编制</w:t>
      </w:r>
    </w:p>
    <w:p w14:paraId="0CEBDF8D">
      <w:pPr>
        <w:spacing w:line="400" w:lineRule="exact"/>
        <w:ind w:firstLine="420" w:firstLineChars="200"/>
        <w:rPr>
          <w:szCs w:val="21"/>
        </w:rPr>
      </w:pPr>
      <w:r>
        <w:rPr>
          <w:szCs w:val="21"/>
        </w:rPr>
        <w:t>2、总价合同支付分解表的编制与审批：</w:t>
      </w:r>
      <w:r>
        <w:rPr>
          <w:szCs w:val="21"/>
          <w:u w:val="single"/>
        </w:rPr>
        <w:t xml:space="preserve">       </w:t>
      </w:r>
      <w:r>
        <w:rPr>
          <w:rFonts w:hint="eastAsia"/>
          <w:szCs w:val="21"/>
          <w:u w:val="single"/>
        </w:rPr>
        <w:t>/</w:t>
      </w:r>
      <w:r>
        <w:rPr>
          <w:szCs w:val="21"/>
          <w:u w:val="single"/>
        </w:rPr>
        <w:t xml:space="preserve">        </w:t>
      </w:r>
      <w:r>
        <w:rPr>
          <w:szCs w:val="21"/>
        </w:rPr>
        <w:t>。</w:t>
      </w:r>
    </w:p>
    <w:p w14:paraId="1DB3505C">
      <w:pPr>
        <w:spacing w:line="400" w:lineRule="exact"/>
        <w:ind w:firstLine="420" w:firstLineChars="200"/>
        <w:rPr>
          <w:szCs w:val="21"/>
        </w:rPr>
      </w:pPr>
      <w:r>
        <w:rPr>
          <w:szCs w:val="21"/>
        </w:rPr>
        <w:t>3、单价合同的总价项目支付分解表的编制与审批：</w:t>
      </w:r>
      <w:r>
        <w:rPr>
          <w:szCs w:val="21"/>
          <w:u w:val="single"/>
        </w:rPr>
        <w:t xml:space="preserve">   </w:t>
      </w:r>
      <w:r>
        <w:rPr>
          <w:rFonts w:hint="eastAsia"/>
          <w:szCs w:val="21"/>
          <w:u w:val="single"/>
        </w:rPr>
        <w:t>/</w:t>
      </w:r>
      <w:r>
        <w:rPr>
          <w:szCs w:val="21"/>
          <w:u w:val="single"/>
        </w:rPr>
        <w:t xml:space="preserve">    </w:t>
      </w:r>
      <w:r>
        <w:rPr>
          <w:szCs w:val="21"/>
        </w:rPr>
        <w:t>。</w:t>
      </w:r>
    </w:p>
    <w:p w14:paraId="261F8A0D">
      <w:pPr>
        <w:spacing w:line="400" w:lineRule="exact"/>
        <w:ind w:firstLine="422" w:firstLineChars="200"/>
        <w:rPr>
          <w:b/>
          <w:szCs w:val="21"/>
        </w:rPr>
      </w:pPr>
      <w:r>
        <w:rPr>
          <w:b/>
          <w:szCs w:val="21"/>
        </w:rPr>
        <w:t>12.5 支付账户：</w:t>
      </w:r>
    </w:p>
    <w:p w14:paraId="00952066">
      <w:pPr>
        <w:spacing w:line="400" w:lineRule="exact"/>
        <w:ind w:firstLine="420" w:firstLineChars="200"/>
        <w:rPr>
          <w:szCs w:val="21"/>
          <w:u w:val="single"/>
        </w:rPr>
      </w:pPr>
      <w:r>
        <w:rPr>
          <w:rFonts w:hint="eastAsia"/>
          <w:szCs w:val="21"/>
          <w:u w:val="single"/>
        </w:rPr>
        <w:t>发包人将当期应付工程进度款的（</w:t>
      </w:r>
      <w:r>
        <w:rPr>
          <w:szCs w:val="21"/>
          <w:u w:val="single"/>
        </w:rPr>
        <w:t>20</w:t>
      </w:r>
      <w:r>
        <w:rPr>
          <w:rFonts w:hint="eastAsia"/>
          <w:szCs w:val="21"/>
          <w:u w:val="single"/>
        </w:rPr>
        <w:t>）%拨付到承包人的农民工工资专用账户：       ；</w:t>
      </w:r>
      <w:r>
        <w:rPr>
          <w:rFonts w:hint="eastAsia"/>
          <w:szCs w:val="21"/>
        </w:rPr>
        <w:t>其余合</w:t>
      </w:r>
      <w:r>
        <w:rPr>
          <w:rFonts w:hint="eastAsia" w:hAnsi="仿宋"/>
          <w:szCs w:val="21"/>
        </w:rPr>
        <w:t>同价款支付至合同协议书中约定的承包人帐户。</w:t>
      </w:r>
    </w:p>
    <w:p w14:paraId="4C422832">
      <w:pPr>
        <w:spacing w:line="400" w:lineRule="exact"/>
        <w:ind w:firstLine="420" w:firstLineChars="200"/>
        <w:rPr>
          <w:szCs w:val="21"/>
        </w:rPr>
      </w:pPr>
      <w:r>
        <w:rPr>
          <w:rFonts w:hint="eastAsia" w:hAnsi="仿宋"/>
          <w:szCs w:val="21"/>
        </w:rPr>
        <w:t>如承包人因经营需要将工程款支付至其他指定帐户时，应向发包人书面申请，并由承包人法定代表人或授权代表签字、盖章。</w:t>
      </w:r>
    </w:p>
    <w:p w14:paraId="46E5ADBD">
      <w:pPr>
        <w:pStyle w:val="4"/>
        <w:spacing w:before="0" w:after="0" w:line="400" w:lineRule="exact"/>
        <w:ind w:firstLine="422" w:firstLineChars="200"/>
        <w:rPr>
          <w:rFonts w:ascii="Times New Roman" w:hAnsi="Times New Roman"/>
          <w:sz w:val="21"/>
          <w:szCs w:val="21"/>
        </w:rPr>
      </w:pPr>
      <w:bookmarkStart w:id="115" w:name="_Toc351203645"/>
      <w:r>
        <w:rPr>
          <w:rFonts w:ascii="Times New Roman" w:hAnsi="Times New Roman"/>
          <w:sz w:val="21"/>
          <w:szCs w:val="21"/>
        </w:rPr>
        <w:t>13. 验收和工程试车</w:t>
      </w:r>
      <w:bookmarkEnd w:id="115"/>
    </w:p>
    <w:p w14:paraId="0174679E">
      <w:pPr>
        <w:spacing w:line="400" w:lineRule="exact"/>
        <w:ind w:firstLine="420" w:firstLineChars="200"/>
        <w:rPr>
          <w:szCs w:val="21"/>
        </w:rPr>
      </w:pPr>
      <w:r>
        <w:rPr>
          <w:szCs w:val="21"/>
        </w:rPr>
        <w:t>13.1 分部分项工程验收</w:t>
      </w:r>
    </w:p>
    <w:p w14:paraId="0AEE5E4F">
      <w:pPr>
        <w:spacing w:line="400" w:lineRule="exact"/>
        <w:ind w:firstLine="420" w:firstLineChars="200"/>
        <w:rPr>
          <w:szCs w:val="21"/>
        </w:rPr>
      </w:pPr>
      <w:r>
        <w:rPr>
          <w:szCs w:val="21"/>
        </w:rPr>
        <w:t>13.1.2监理人不能按时进行验收时，应提前</w:t>
      </w:r>
      <w:r>
        <w:rPr>
          <w:szCs w:val="21"/>
          <w:u w:val="single"/>
        </w:rPr>
        <w:t xml:space="preserve">  24  </w:t>
      </w:r>
      <w:r>
        <w:rPr>
          <w:szCs w:val="21"/>
        </w:rPr>
        <w:t>小时提交书面延期要求。</w:t>
      </w:r>
    </w:p>
    <w:p w14:paraId="2CDD9A40">
      <w:pPr>
        <w:spacing w:line="400" w:lineRule="exact"/>
        <w:ind w:firstLine="420" w:firstLineChars="200"/>
        <w:rPr>
          <w:szCs w:val="21"/>
        </w:rPr>
      </w:pPr>
      <w:r>
        <w:rPr>
          <w:szCs w:val="21"/>
        </w:rPr>
        <w:t>关于延期最长不得超过：</w:t>
      </w:r>
      <w:r>
        <w:rPr>
          <w:szCs w:val="21"/>
          <w:u w:val="single"/>
        </w:rPr>
        <w:t xml:space="preserve">  24 </w:t>
      </w:r>
      <w:r>
        <w:rPr>
          <w:szCs w:val="21"/>
        </w:rPr>
        <w:t>小时。</w:t>
      </w:r>
    </w:p>
    <w:p w14:paraId="1BBF8C33">
      <w:pPr>
        <w:spacing w:line="400" w:lineRule="exact"/>
        <w:ind w:firstLine="420" w:firstLineChars="200"/>
        <w:rPr>
          <w:b/>
          <w:szCs w:val="21"/>
          <w:u w:val="single"/>
        </w:rPr>
      </w:pPr>
      <w:r>
        <w:rPr>
          <w:szCs w:val="21"/>
          <w:u w:val="single"/>
        </w:rPr>
        <w:t>工程验收过程、验收部位除办理纸质验收记录，还应留置验收部位、验收过程、主要验收人员相片、影像等资料。</w:t>
      </w:r>
    </w:p>
    <w:p w14:paraId="78B95673">
      <w:pPr>
        <w:spacing w:line="400" w:lineRule="exact"/>
        <w:ind w:firstLine="420" w:firstLineChars="200"/>
        <w:rPr>
          <w:szCs w:val="21"/>
        </w:rPr>
      </w:pPr>
      <w:r>
        <w:rPr>
          <w:szCs w:val="21"/>
        </w:rPr>
        <w:t>13.2 竣工验收</w:t>
      </w:r>
    </w:p>
    <w:p w14:paraId="6EDD515C">
      <w:pPr>
        <w:spacing w:line="400" w:lineRule="exact"/>
        <w:ind w:firstLine="420" w:firstLineChars="200"/>
        <w:rPr>
          <w:szCs w:val="21"/>
        </w:rPr>
      </w:pPr>
      <w:r>
        <w:rPr>
          <w:szCs w:val="21"/>
        </w:rPr>
        <w:t>13.2.2竣工验收程序</w:t>
      </w:r>
    </w:p>
    <w:p w14:paraId="3688A11E">
      <w:pPr>
        <w:spacing w:line="400" w:lineRule="exact"/>
        <w:ind w:firstLine="420" w:firstLineChars="200"/>
        <w:rPr>
          <w:rFonts w:hint="eastAsia"/>
          <w:szCs w:val="21"/>
        </w:rPr>
      </w:pPr>
      <w:r>
        <w:rPr>
          <w:szCs w:val="21"/>
        </w:rPr>
        <w:t>关于竣工验收程序的约定：</w:t>
      </w:r>
      <w:r>
        <w:rPr>
          <w:szCs w:val="21"/>
          <w:u w:val="single"/>
        </w:rPr>
        <w:t>按通用</w:t>
      </w:r>
      <w:r>
        <w:rPr>
          <w:rFonts w:hint="eastAsia"/>
          <w:szCs w:val="21"/>
          <w:u w:val="single"/>
        </w:rPr>
        <w:t>合同</w:t>
      </w:r>
      <w:r>
        <w:rPr>
          <w:szCs w:val="21"/>
          <w:u w:val="single"/>
        </w:rPr>
        <w:t>条款</w:t>
      </w:r>
      <w:r>
        <w:rPr>
          <w:szCs w:val="21"/>
        </w:rPr>
        <w:t>。</w:t>
      </w:r>
    </w:p>
    <w:p w14:paraId="5463E4A2">
      <w:pPr>
        <w:spacing w:line="400" w:lineRule="exact"/>
        <w:ind w:firstLine="451" w:firstLineChars="215"/>
        <w:rPr>
          <w:szCs w:val="21"/>
          <w:u w:val="single"/>
        </w:rPr>
      </w:pPr>
      <w:r>
        <w:rPr>
          <w:rFonts w:hint="eastAsia"/>
          <w:szCs w:val="21"/>
          <w:u w:val="single"/>
        </w:rPr>
        <w:t>承包人完成合同范围内的工程内容，向发包人或监理人提出验收申请，发包人应在监理人收到承包人提交的验收申请报告42天内组织监理人、承包人、设计勘察人等相关单位完成验收，并签署工程质量合格文件。承包人须配合发包人进行工程竣工验收。</w:t>
      </w:r>
    </w:p>
    <w:p w14:paraId="560B6635">
      <w:pPr>
        <w:spacing w:line="400" w:lineRule="exact"/>
        <w:ind w:firstLine="420" w:firstLineChars="200"/>
        <w:rPr>
          <w:szCs w:val="21"/>
          <w:u w:val="single"/>
        </w:rPr>
      </w:pPr>
      <w:r>
        <w:rPr>
          <w:szCs w:val="21"/>
        </w:rPr>
        <w:t>发包人不按照本项约定组织竣工验收、颁发工程接收证书的违约金的计算方法：</w:t>
      </w:r>
      <w:r>
        <w:rPr>
          <w:szCs w:val="21"/>
          <w:u w:val="single"/>
        </w:rPr>
        <w:t xml:space="preserve">  不计违约金。</w:t>
      </w:r>
    </w:p>
    <w:p w14:paraId="2EAA0F99">
      <w:pPr>
        <w:spacing w:line="400" w:lineRule="exact"/>
        <w:ind w:firstLine="420" w:firstLineChars="200"/>
        <w:rPr>
          <w:szCs w:val="21"/>
        </w:rPr>
      </w:pPr>
      <w:r>
        <w:rPr>
          <w:szCs w:val="21"/>
          <w:u w:val="single"/>
        </w:rPr>
        <w:t>因发包人原因，未在监理人接收到承包人提交的竣工验收申请报告42天内完成验收，或完成验收不予签发工程接收证书的，以提交竣工验收申请报告的日期为实际竣工日期</w:t>
      </w:r>
      <w:r>
        <w:rPr>
          <w:rFonts w:hint="eastAsia"/>
          <w:szCs w:val="21"/>
          <w:u w:val="single"/>
        </w:rPr>
        <w:t xml:space="preserve"> </w:t>
      </w:r>
      <w:r>
        <w:rPr>
          <w:szCs w:val="21"/>
        </w:rPr>
        <w:t>。</w:t>
      </w:r>
    </w:p>
    <w:p w14:paraId="59382270">
      <w:pPr>
        <w:spacing w:line="400" w:lineRule="exact"/>
        <w:ind w:firstLine="420" w:firstLineChars="200"/>
        <w:rPr>
          <w:szCs w:val="21"/>
        </w:rPr>
      </w:pPr>
      <w:r>
        <w:rPr>
          <w:szCs w:val="21"/>
        </w:rPr>
        <w:t>13.2.5移交、接收全部与部分工程</w:t>
      </w:r>
    </w:p>
    <w:p w14:paraId="4754A116">
      <w:pPr>
        <w:spacing w:line="400" w:lineRule="exact"/>
        <w:ind w:firstLine="420" w:firstLineChars="200"/>
        <w:rPr>
          <w:szCs w:val="21"/>
        </w:rPr>
      </w:pPr>
      <w:r>
        <w:rPr>
          <w:szCs w:val="21"/>
        </w:rPr>
        <w:t>承包人向发包人移交工程的期限：</w:t>
      </w:r>
      <w:r>
        <w:rPr>
          <w:szCs w:val="21"/>
          <w:u w:val="single"/>
        </w:rPr>
        <w:t xml:space="preserve">  按通用条款执行  </w:t>
      </w:r>
      <w:r>
        <w:rPr>
          <w:szCs w:val="21"/>
        </w:rPr>
        <w:t>。</w:t>
      </w:r>
    </w:p>
    <w:p w14:paraId="26B35F26">
      <w:pPr>
        <w:spacing w:line="400" w:lineRule="exact"/>
        <w:ind w:firstLine="420" w:firstLineChars="200"/>
        <w:rPr>
          <w:szCs w:val="21"/>
          <w:u w:val="single"/>
        </w:rPr>
      </w:pPr>
      <w:r>
        <w:rPr>
          <w:szCs w:val="21"/>
        </w:rPr>
        <w:t>发包人未按本合同约定接收全部或部分工程的，违约金的计算方法为：</w:t>
      </w:r>
      <w:r>
        <w:rPr>
          <w:szCs w:val="21"/>
          <w:u w:val="single"/>
        </w:rPr>
        <w:t xml:space="preserve">     </w:t>
      </w:r>
      <w:r>
        <w:rPr>
          <w:rFonts w:hint="eastAsia"/>
          <w:szCs w:val="21"/>
          <w:u w:val="single"/>
        </w:rPr>
        <w:t>/</w:t>
      </w:r>
      <w:r>
        <w:rPr>
          <w:szCs w:val="21"/>
          <w:u w:val="single"/>
        </w:rPr>
        <w:t xml:space="preserve">     </w:t>
      </w:r>
      <w:r>
        <w:rPr>
          <w:szCs w:val="21"/>
        </w:rPr>
        <w:t>。</w:t>
      </w:r>
    </w:p>
    <w:p w14:paraId="02A20B46">
      <w:pPr>
        <w:spacing w:line="400" w:lineRule="exact"/>
        <w:ind w:firstLine="420" w:firstLineChars="200"/>
        <w:rPr>
          <w:szCs w:val="21"/>
        </w:rPr>
      </w:pPr>
      <w:r>
        <w:rPr>
          <w:szCs w:val="21"/>
        </w:rPr>
        <w:t>承包人未按时移交工程的，违约金的计算方法为：</w:t>
      </w:r>
      <w:r>
        <w:rPr>
          <w:szCs w:val="21"/>
          <w:u w:val="single"/>
        </w:rPr>
        <w:t xml:space="preserve">     </w:t>
      </w:r>
      <w:r>
        <w:rPr>
          <w:rFonts w:hint="eastAsia"/>
          <w:szCs w:val="21"/>
          <w:u w:val="single"/>
        </w:rPr>
        <w:t>/</w:t>
      </w:r>
      <w:r>
        <w:rPr>
          <w:szCs w:val="21"/>
          <w:u w:val="single"/>
        </w:rPr>
        <w:t xml:space="preserve">      </w:t>
      </w:r>
      <w:r>
        <w:rPr>
          <w:szCs w:val="21"/>
        </w:rPr>
        <w:t>。</w:t>
      </w:r>
    </w:p>
    <w:p w14:paraId="5F496B68">
      <w:pPr>
        <w:spacing w:line="400" w:lineRule="exact"/>
        <w:ind w:firstLine="420" w:firstLineChars="200"/>
        <w:rPr>
          <w:szCs w:val="21"/>
        </w:rPr>
      </w:pPr>
      <w:r>
        <w:rPr>
          <w:szCs w:val="21"/>
        </w:rPr>
        <w:t>13.3 工程试车</w:t>
      </w:r>
    </w:p>
    <w:p w14:paraId="4B151490">
      <w:pPr>
        <w:spacing w:line="400" w:lineRule="exact"/>
        <w:ind w:firstLine="420" w:firstLineChars="200"/>
        <w:rPr>
          <w:szCs w:val="21"/>
        </w:rPr>
      </w:pPr>
      <w:r>
        <w:rPr>
          <w:szCs w:val="21"/>
        </w:rPr>
        <w:t>13.3.1 试车程序</w:t>
      </w:r>
    </w:p>
    <w:p w14:paraId="4624C8D2">
      <w:pPr>
        <w:spacing w:line="400" w:lineRule="exact"/>
        <w:ind w:firstLine="420" w:firstLineChars="200"/>
        <w:rPr>
          <w:szCs w:val="21"/>
        </w:rPr>
      </w:pPr>
      <w:r>
        <w:rPr>
          <w:szCs w:val="21"/>
        </w:rPr>
        <w:t>工程试车内容：</w:t>
      </w:r>
      <w:r>
        <w:rPr>
          <w:szCs w:val="21"/>
          <w:u w:val="single"/>
        </w:rPr>
        <w:t xml:space="preserve">          </w:t>
      </w:r>
      <w:r>
        <w:rPr>
          <w:rFonts w:hint="eastAsia"/>
          <w:szCs w:val="21"/>
          <w:u w:val="single"/>
        </w:rPr>
        <w:t>/</w:t>
      </w:r>
      <w:r>
        <w:rPr>
          <w:szCs w:val="21"/>
          <w:u w:val="single"/>
        </w:rPr>
        <w:t xml:space="preserve">          </w:t>
      </w:r>
      <w:r>
        <w:rPr>
          <w:szCs w:val="21"/>
        </w:rPr>
        <w:t>。</w:t>
      </w:r>
    </w:p>
    <w:p w14:paraId="45C1A62E">
      <w:pPr>
        <w:spacing w:line="400" w:lineRule="exact"/>
        <w:ind w:firstLine="420" w:firstLineChars="200"/>
        <w:rPr>
          <w:szCs w:val="21"/>
        </w:rPr>
      </w:pPr>
      <w:r>
        <w:rPr>
          <w:szCs w:val="21"/>
        </w:rPr>
        <w:t>（1）单机无负荷试车费用由</w:t>
      </w:r>
      <w:r>
        <w:rPr>
          <w:szCs w:val="21"/>
          <w:u w:val="single"/>
        </w:rPr>
        <w:t xml:space="preserve">       </w:t>
      </w:r>
      <w:r>
        <w:rPr>
          <w:rFonts w:hint="eastAsia"/>
          <w:szCs w:val="21"/>
          <w:u w:val="single"/>
        </w:rPr>
        <w:t>/</w:t>
      </w:r>
      <w:r>
        <w:rPr>
          <w:szCs w:val="21"/>
          <w:u w:val="single"/>
        </w:rPr>
        <w:t xml:space="preserve">      </w:t>
      </w:r>
      <w:r>
        <w:rPr>
          <w:szCs w:val="21"/>
        </w:rPr>
        <w:t>承担；</w:t>
      </w:r>
    </w:p>
    <w:p w14:paraId="50B7376D">
      <w:pPr>
        <w:spacing w:line="400" w:lineRule="exact"/>
        <w:ind w:firstLine="420" w:firstLineChars="200"/>
        <w:rPr>
          <w:szCs w:val="21"/>
        </w:rPr>
      </w:pPr>
      <w:r>
        <w:rPr>
          <w:szCs w:val="21"/>
        </w:rPr>
        <w:t>（2）无负荷联动试车费用由</w:t>
      </w:r>
      <w:r>
        <w:rPr>
          <w:szCs w:val="21"/>
          <w:u w:val="single"/>
        </w:rPr>
        <w:t xml:space="preserve">       </w:t>
      </w:r>
      <w:r>
        <w:rPr>
          <w:rFonts w:hint="eastAsia"/>
          <w:szCs w:val="21"/>
          <w:u w:val="single"/>
        </w:rPr>
        <w:t>/</w:t>
      </w:r>
      <w:r>
        <w:rPr>
          <w:szCs w:val="21"/>
          <w:u w:val="single"/>
        </w:rPr>
        <w:t xml:space="preserve">      </w:t>
      </w:r>
      <w:r>
        <w:rPr>
          <w:szCs w:val="21"/>
        </w:rPr>
        <w:t>承担。</w:t>
      </w:r>
    </w:p>
    <w:p w14:paraId="26361F90">
      <w:pPr>
        <w:spacing w:line="400" w:lineRule="exact"/>
        <w:ind w:firstLine="420" w:firstLineChars="200"/>
        <w:rPr>
          <w:szCs w:val="21"/>
        </w:rPr>
      </w:pPr>
      <w:r>
        <w:rPr>
          <w:szCs w:val="21"/>
        </w:rPr>
        <w:t>13.3.3 投料试车</w:t>
      </w:r>
    </w:p>
    <w:p w14:paraId="4A5B81CA">
      <w:pPr>
        <w:spacing w:line="400" w:lineRule="exact"/>
        <w:ind w:firstLine="420" w:firstLineChars="200"/>
        <w:rPr>
          <w:szCs w:val="21"/>
        </w:rPr>
      </w:pPr>
      <w:r>
        <w:rPr>
          <w:szCs w:val="21"/>
        </w:rPr>
        <w:t>关于投料试车相关事项的约定：</w:t>
      </w:r>
      <w:r>
        <w:rPr>
          <w:szCs w:val="21"/>
          <w:u w:val="single"/>
        </w:rPr>
        <w:t xml:space="preserve">          </w:t>
      </w:r>
      <w:r>
        <w:rPr>
          <w:rFonts w:hint="eastAsia"/>
          <w:szCs w:val="21"/>
          <w:u w:val="single"/>
        </w:rPr>
        <w:t>/</w:t>
      </w:r>
      <w:r>
        <w:rPr>
          <w:szCs w:val="21"/>
          <w:u w:val="single"/>
        </w:rPr>
        <w:t xml:space="preserve">              </w:t>
      </w:r>
      <w:r>
        <w:rPr>
          <w:szCs w:val="21"/>
        </w:rPr>
        <w:t>。</w:t>
      </w:r>
    </w:p>
    <w:p w14:paraId="579969BD">
      <w:pPr>
        <w:spacing w:line="400" w:lineRule="exact"/>
        <w:ind w:firstLine="420" w:firstLineChars="200"/>
        <w:rPr>
          <w:szCs w:val="21"/>
        </w:rPr>
      </w:pPr>
      <w:r>
        <w:rPr>
          <w:szCs w:val="21"/>
        </w:rPr>
        <w:t>13.6 竣工退场</w:t>
      </w:r>
    </w:p>
    <w:p w14:paraId="5E46F54E">
      <w:pPr>
        <w:spacing w:line="400" w:lineRule="exact"/>
        <w:ind w:firstLine="420" w:firstLineChars="200"/>
        <w:rPr>
          <w:szCs w:val="21"/>
        </w:rPr>
      </w:pPr>
      <w:r>
        <w:rPr>
          <w:szCs w:val="21"/>
        </w:rPr>
        <w:t>13.6.1 竣工退场</w:t>
      </w:r>
    </w:p>
    <w:p w14:paraId="01039EB5">
      <w:pPr>
        <w:spacing w:line="400" w:lineRule="exact"/>
        <w:ind w:firstLine="420" w:firstLineChars="200"/>
        <w:rPr>
          <w:szCs w:val="21"/>
        </w:rPr>
      </w:pPr>
      <w:r>
        <w:rPr>
          <w:szCs w:val="21"/>
        </w:rPr>
        <w:t>承包人完成竣工退场的期限：</w:t>
      </w:r>
      <w:r>
        <w:rPr>
          <w:szCs w:val="21"/>
          <w:u w:val="single"/>
        </w:rPr>
        <w:t xml:space="preserve"> 颁发工程接收证书后7天内</w:t>
      </w:r>
      <w:r>
        <w:rPr>
          <w:szCs w:val="21"/>
        </w:rPr>
        <w:t>。</w:t>
      </w:r>
    </w:p>
    <w:p w14:paraId="3881B1A3">
      <w:pPr>
        <w:spacing w:line="400" w:lineRule="exact"/>
        <w:ind w:firstLine="420" w:firstLineChars="200"/>
        <w:rPr>
          <w:rFonts w:hint="eastAsia"/>
          <w:szCs w:val="21"/>
        </w:rPr>
      </w:pPr>
      <w:r>
        <w:rPr>
          <w:rFonts w:hint="eastAsia"/>
          <w:szCs w:val="21"/>
        </w:rPr>
        <w:t>13.6.2 地表还原</w:t>
      </w:r>
    </w:p>
    <w:p w14:paraId="39490A4A">
      <w:pPr>
        <w:spacing w:line="400" w:lineRule="exact"/>
        <w:ind w:firstLine="420" w:firstLineChars="200"/>
        <w:rPr>
          <w:rFonts w:hint="eastAsia"/>
          <w:szCs w:val="21"/>
        </w:rPr>
      </w:pPr>
      <w:r>
        <w:rPr>
          <w:rFonts w:hint="eastAsia"/>
          <w:szCs w:val="21"/>
        </w:rPr>
        <w:t>承包人应按发包人要求恢复临时占地及清理场地，承包人未按发包人的要求恢复临时占地，或者场地清理未达到合同约定要求的，发包人有权委托其他人恢复或清理，所发生的费用由承包人承担。</w:t>
      </w:r>
    </w:p>
    <w:p w14:paraId="22DA3FDC">
      <w:pPr>
        <w:spacing w:line="400" w:lineRule="exact"/>
        <w:ind w:firstLine="420" w:firstLineChars="200"/>
        <w:rPr>
          <w:szCs w:val="21"/>
        </w:rPr>
      </w:pPr>
      <w:r>
        <w:rPr>
          <w:rFonts w:hint="eastAsia"/>
          <w:szCs w:val="21"/>
        </w:rPr>
        <w:t>本工程场地恢复的要求：</w:t>
      </w:r>
    </w:p>
    <w:p w14:paraId="6A9C0CB4">
      <w:pPr>
        <w:spacing w:line="400" w:lineRule="exact"/>
        <w:ind w:firstLine="420" w:firstLineChars="200"/>
        <w:rPr>
          <w:rFonts w:hint="eastAsia"/>
          <w:szCs w:val="21"/>
        </w:rPr>
      </w:pPr>
      <w:r>
        <w:rPr>
          <w:rFonts w:hint="eastAsia"/>
          <w:szCs w:val="21"/>
        </w:rPr>
        <w:t>（1）清理完成施工现场垃圾，临建的拆除与场地复原；</w:t>
      </w:r>
    </w:p>
    <w:p w14:paraId="17A0B904">
      <w:pPr>
        <w:spacing w:line="400" w:lineRule="exact"/>
        <w:ind w:firstLine="420" w:firstLineChars="200"/>
        <w:rPr>
          <w:rFonts w:hint="eastAsia"/>
          <w:szCs w:val="21"/>
        </w:rPr>
      </w:pPr>
      <w:r>
        <w:rPr>
          <w:rFonts w:hint="eastAsia"/>
          <w:szCs w:val="21"/>
        </w:rPr>
        <w:t>（2）施工后废弃材料、设备清理撤离；</w:t>
      </w:r>
    </w:p>
    <w:p w14:paraId="2F8D934A">
      <w:pPr>
        <w:spacing w:line="400" w:lineRule="exact"/>
        <w:ind w:firstLine="420" w:firstLineChars="200"/>
        <w:rPr>
          <w:rFonts w:hint="eastAsia"/>
          <w:szCs w:val="21"/>
        </w:rPr>
      </w:pPr>
      <w:r>
        <w:rPr>
          <w:rFonts w:hint="eastAsia"/>
          <w:szCs w:val="21"/>
        </w:rPr>
        <w:t>（3）承包人造成的施工现场周边施工堆积物及场地清理。</w:t>
      </w:r>
    </w:p>
    <w:p w14:paraId="0EF12105">
      <w:pPr>
        <w:spacing w:line="400" w:lineRule="exact"/>
        <w:ind w:firstLine="420" w:firstLineChars="200"/>
        <w:rPr>
          <w:rFonts w:hint="eastAsia"/>
          <w:szCs w:val="21"/>
        </w:rPr>
      </w:pPr>
      <w:r>
        <w:rPr>
          <w:rFonts w:hint="eastAsia"/>
          <w:szCs w:val="21"/>
        </w:rPr>
        <w:t>（4）其它要求：</w:t>
      </w:r>
      <w:r>
        <w:rPr>
          <w:rFonts w:hint="eastAsia"/>
          <w:szCs w:val="21"/>
          <w:u w:val="single"/>
        </w:rPr>
        <w:t xml:space="preserve"> </w:t>
      </w:r>
      <w:r>
        <w:rPr>
          <w:szCs w:val="21"/>
          <w:u w:val="single"/>
        </w:rPr>
        <w:t xml:space="preserve">      </w:t>
      </w:r>
      <w:r>
        <w:rPr>
          <w:rFonts w:hint="eastAsia"/>
          <w:szCs w:val="21"/>
          <w:u w:val="single"/>
        </w:rPr>
        <w:t>/</w:t>
      </w:r>
      <w:r>
        <w:rPr>
          <w:szCs w:val="21"/>
          <w:u w:val="single"/>
        </w:rPr>
        <w:t xml:space="preserve">        </w:t>
      </w:r>
      <w:r>
        <w:rPr>
          <w:rFonts w:hint="eastAsia"/>
          <w:szCs w:val="21"/>
          <w:u w:val="single"/>
        </w:rPr>
        <w:t xml:space="preserve"> </w:t>
      </w:r>
    </w:p>
    <w:p w14:paraId="65A23398">
      <w:pPr>
        <w:pStyle w:val="4"/>
        <w:spacing w:before="0" w:after="0" w:line="400" w:lineRule="exact"/>
        <w:ind w:firstLine="422" w:firstLineChars="200"/>
        <w:rPr>
          <w:rFonts w:ascii="Times New Roman" w:hAnsi="Times New Roman"/>
          <w:sz w:val="21"/>
          <w:szCs w:val="21"/>
        </w:rPr>
      </w:pPr>
      <w:bookmarkStart w:id="116" w:name="_Toc351203646"/>
      <w:r>
        <w:rPr>
          <w:rFonts w:ascii="Times New Roman" w:hAnsi="Times New Roman"/>
          <w:sz w:val="21"/>
          <w:szCs w:val="21"/>
        </w:rPr>
        <w:t>14. 竣工结算</w:t>
      </w:r>
      <w:bookmarkEnd w:id="116"/>
    </w:p>
    <w:p w14:paraId="3FC3F0DF">
      <w:pPr>
        <w:spacing w:after="120" w:line="400" w:lineRule="exact"/>
        <w:ind w:firstLine="420" w:firstLineChars="200"/>
      </w:pPr>
      <w:r>
        <w:t>14.1竣工</w:t>
      </w:r>
      <w:r>
        <w:rPr>
          <w:rFonts w:hint="eastAsia"/>
          <w:lang w:val="en-US" w:eastAsia="zh-CN"/>
        </w:rPr>
        <w:t>结算</w:t>
      </w:r>
      <w:r>
        <w:t>申请</w:t>
      </w:r>
    </w:p>
    <w:p w14:paraId="24E83C07">
      <w:pPr>
        <w:spacing w:line="400" w:lineRule="exact"/>
        <w:ind w:firstLine="420" w:firstLineChars="200"/>
        <w:rPr>
          <w:rFonts w:hint="eastAsia"/>
          <w:szCs w:val="21"/>
          <w:u w:val="single"/>
        </w:rPr>
      </w:pPr>
      <w:r>
        <w:rPr>
          <w:rFonts w:hint="eastAsia"/>
        </w:rPr>
        <w:t>1.</w:t>
      </w:r>
      <w:r>
        <w:t>承包人提交竣工</w:t>
      </w:r>
      <w:r>
        <w:rPr>
          <w:rFonts w:hint="eastAsia"/>
        </w:rPr>
        <w:t>结算申请</w:t>
      </w:r>
      <w:r>
        <w:t>的期限：</w:t>
      </w:r>
    </w:p>
    <w:p w14:paraId="5FEA0FD0">
      <w:pPr>
        <w:spacing w:line="400" w:lineRule="exact"/>
        <w:ind w:firstLine="420" w:firstLineChars="200"/>
        <w:rPr>
          <w:rFonts w:hint="eastAsia"/>
          <w:szCs w:val="21"/>
          <w:u w:val="single"/>
        </w:rPr>
      </w:pPr>
      <w:r>
        <w:rPr>
          <w:szCs w:val="21"/>
          <w:u w:val="single"/>
        </w:rPr>
        <w:t>承包人应在完成合同范围内施工内容，</w:t>
      </w:r>
      <w:r>
        <w:rPr>
          <w:rFonts w:hint="eastAsia"/>
          <w:szCs w:val="21"/>
          <w:u w:val="single"/>
        </w:rPr>
        <w:t>参建</w:t>
      </w:r>
      <w:r>
        <w:rPr>
          <w:szCs w:val="21"/>
          <w:u w:val="single"/>
        </w:rPr>
        <w:t>各方主体（建设、监理、施工、勘察、设计单位等）对工程验收并签署工程质量合格文件后</w:t>
      </w:r>
      <w:r>
        <w:rPr>
          <w:rFonts w:hint="eastAsia"/>
          <w:szCs w:val="21"/>
          <w:u w:val="single"/>
          <w:lang w:eastAsia="zh-CN"/>
        </w:rPr>
        <w:t>的</w:t>
      </w:r>
      <w:r>
        <w:rPr>
          <w:rFonts w:hint="eastAsia"/>
          <w:szCs w:val="21"/>
          <w:u w:val="single"/>
        </w:rPr>
        <w:t>28天内，</w:t>
      </w:r>
      <w:r>
        <w:rPr>
          <w:szCs w:val="21"/>
          <w:u w:val="single"/>
        </w:rPr>
        <w:t>向发包人或监理人</w:t>
      </w:r>
      <w:r>
        <w:rPr>
          <w:rFonts w:hint="eastAsia"/>
          <w:szCs w:val="21"/>
          <w:u w:val="single"/>
        </w:rPr>
        <w:t>、发包人委托的中介机构</w:t>
      </w:r>
      <w:r>
        <w:rPr>
          <w:szCs w:val="21"/>
          <w:u w:val="single"/>
        </w:rPr>
        <w:t>提交</w:t>
      </w:r>
      <w:r>
        <w:rPr>
          <w:rFonts w:hint="eastAsia"/>
          <w:szCs w:val="21"/>
          <w:u w:val="single"/>
        </w:rPr>
        <w:t>最终工程</w:t>
      </w:r>
      <w:r>
        <w:rPr>
          <w:szCs w:val="21"/>
          <w:u w:val="single"/>
        </w:rPr>
        <w:t>结算申请，并提交完整的工程结算资料一套。</w:t>
      </w:r>
    </w:p>
    <w:p w14:paraId="7B30C8E0">
      <w:pPr>
        <w:spacing w:line="400" w:lineRule="exact"/>
        <w:ind w:firstLine="420" w:firstLineChars="200"/>
        <w:rPr>
          <w:rFonts w:hint="eastAsia"/>
          <w:szCs w:val="21"/>
          <w:u w:val="single"/>
        </w:rPr>
      </w:pPr>
      <w:r>
        <w:rPr>
          <w:rFonts w:hint="eastAsia"/>
          <w:szCs w:val="21"/>
          <w:u w:val="single"/>
        </w:rPr>
        <w:t>工程验收后，承包人</w:t>
      </w:r>
      <w:r>
        <w:rPr>
          <w:szCs w:val="21"/>
          <w:u w:val="single"/>
        </w:rPr>
        <w:t>超过90天未提交</w:t>
      </w:r>
      <w:r>
        <w:rPr>
          <w:rFonts w:hint="eastAsia"/>
          <w:szCs w:val="21"/>
          <w:u w:val="single"/>
        </w:rPr>
        <w:t>最终工程</w:t>
      </w:r>
      <w:r>
        <w:rPr>
          <w:szCs w:val="21"/>
          <w:u w:val="single"/>
        </w:rPr>
        <w:t>结算资料，经发包人催告后28天，承包人还不提</w:t>
      </w:r>
      <w:r>
        <w:rPr>
          <w:rFonts w:hint="eastAsia" w:ascii="Times New Roman" w:hAnsi="Times New Roman" w:eastAsia="宋体" w:cs="Times New Roman"/>
          <w:szCs w:val="21"/>
          <w:u w:val="single"/>
          <w:lang w:val="en-US" w:eastAsia="zh-CN"/>
        </w:rPr>
        <w:t>交</w:t>
      </w:r>
      <w:r>
        <w:rPr>
          <w:rFonts w:hint="eastAsia"/>
          <w:szCs w:val="21"/>
          <w:u w:val="single"/>
        </w:rPr>
        <w:t>工程</w:t>
      </w:r>
      <w:r>
        <w:rPr>
          <w:szCs w:val="21"/>
          <w:u w:val="single"/>
        </w:rPr>
        <w:t>结算资料的，发包人可根据自己资料办理</w:t>
      </w:r>
      <w:r>
        <w:rPr>
          <w:rFonts w:hint="eastAsia"/>
          <w:szCs w:val="21"/>
          <w:u w:val="single"/>
        </w:rPr>
        <w:t>工程</w:t>
      </w:r>
      <w:r>
        <w:rPr>
          <w:szCs w:val="21"/>
          <w:u w:val="single"/>
        </w:rPr>
        <w:t>结算，且视为承包人认可</w:t>
      </w:r>
      <w:r>
        <w:rPr>
          <w:rFonts w:hint="eastAsia"/>
          <w:szCs w:val="21"/>
          <w:u w:val="single"/>
        </w:rPr>
        <w:t>工程</w:t>
      </w:r>
      <w:r>
        <w:rPr>
          <w:szCs w:val="21"/>
          <w:u w:val="single"/>
        </w:rPr>
        <w:t>结算结果。</w:t>
      </w:r>
    </w:p>
    <w:p w14:paraId="4FC4D4FE">
      <w:pPr>
        <w:spacing w:line="400" w:lineRule="exact"/>
        <w:ind w:firstLine="420" w:firstLineChars="200"/>
        <w:rPr>
          <w:rFonts w:hint="eastAsia"/>
          <w:szCs w:val="21"/>
          <w:u w:val="single"/>
        </w:rPr>
      </w:pPr>
      <w:r>
        <w:rPr>
          <w:rFonts w:hint="eastAsia"/>
          <w:szCs w:val="21"/>
        </w:rPr>
        <w:t>2. 竣工结算申请单应包括的内容：</w:t>
      </w:r>
      <w:r>
        <w:rPr>
          <w:rFonts w:hint="eastAsia"/>
          <w:szCs w:val="21"/>
          <w:u w:val="single"/>
        </w:rPr>
        <w:t>包括但不限于施工合同、补充协议、招标文件、投标文件、竣工图纸、施工方案以及经确认的工程变更、工程索赔、现场签证，相关施工记录，〔各分段节点工程结算审核报告〕工程款收款证明、逾期付款利息计算书等相关资料。</w:t>
      </w:r>
    </w:p>
    <w:p w14:paraId="080EDAD5">
      <w:pPr>
        <w:spacing w:line="400" w:lineRule="exact"/>
        <w:ind w:firstLine="315" w:firstLineChars="150"/>
        <w:rPr>
          <w:szCs w:val="21"/>
        </w:rPr>
      </w:pPr>
      <w:r>
        <w:rPr>
          <w:szCs w:val="21"/>
        </w:rPr>
        <w:t>14.2 竣工结算审核</w:t>
      </w:r>
    </w:p>
    <w:p w14:paraId="17C0B57A">
      <w:pPr>
        <w:spacing w:line="400" w:lineRule="exact"/>
        <w:ind w:left="420" w:leftChars="200" w:firstLine="0" w:firstLineChars="0"/>
        <w:rPr>
          <w:color w:val="auto"/>
          <w:szCs w:val="21"/>
        </w:rPr>
      </w:pPr>
      <w:r>
        <w:rPr>
          <w:szCs w:val="21"/>
        </w:rPr>
        <w:t>（1）</w:t>
      </w:r>
      <w:r>
        <w:rPr>
          <w:rFonts w:hint="eastAsia"/>
          <w:szCs w:val="21"/>
        </w:rPr>
        <w:t>发包人结算审核</w:t>
      </w:r>
      <w:r>
        <w:rPr>
          <w:rFonts w:hint="eastAsia"/>
          <w:color w:val="auto"/>
          <w:szCs w:val="21"/>
        </w:rPr>
        <w:t>时间：</w:t>
      </w:r>
      <w:r>
        <w:rPr>
          <w:rFonts w:hint="eastAsia"/>
          <w:color w:val="auto"/>
          <w:szCs w:val="21"/>
          <w:u w:val="single"/>
        </w:rPr>
        <w:t>发包人收到承包人递交的最终工程结算报告及结算资料后，</w:t>
      </w:r>
      <w:r>
        <w:rPr>
          <w:rFonts w:hint="eastAsia" w:ascii="Times New Roman" w:hAnsi="Times New Roman" w:eastAsia="宋体" w:cs="Times New Roman"/>
          <w:color w:val="auto"/>
          <w:szCs w:val="21"/>
          <w:u w:val="single"/>
        </w:rPr>
        <w:t>在</w:t>
      </w:r>
      <w:r>
        <w:rPr>
          <w:rFonts w:hint="eastAsia" w:ascii="Times New Roman" w:hAnsi="Times New Roman" w:eastAsia="宋体" w:cs="Times New Roman"/>
          <w:color w:val="auto"/>
          <w:szCs w:val="21"/>
          <w:u w:val="single"/>
          <w:lang w:eastAsia="zh-CN"/>
        </w:rPr>
        <w:t>（</w:t>
      </w:r>
      <w:r>
        <w:rPr>
          <w:rFonts w:hint="eastAsia" w:ascii="Times New Roman" w:hAnsi="Times New Roman" w:eastAsia="宋体" w:cs="Times New Roman"/>
          <w:color w:val="auto"/>
          <w:szCs w:val="21"/>
          <w:u w:val="single"/>
          <w:lang w:val="en-US" w:eastAsia="zh-CN"/>
        </w:rPr>
        <w:t xml:space="preserve">  ）天内</w:t>
      </w:r>
      <w:r>
        <w:rPr>
          <w:rFonts w:hint="eastAsia" w:ascii="Times New Roman" w:hAnsi="Times New Roman" w:eastAsia="宋体" w:cs="Times New Roman"/>
          <w:color w:val="auto"/>
          <w:szCs w:val="21"/>
          <w:u w:val="single"/>
        </w:rPr>
        <w:t>送三门县财政审核中心审计。待审计结束后，并签发竣工结算证书。</w:t>
      </w:r>
    </w:p>
    <w:p w14:paraId="05F08C14">
      <w:pPr>
        <w:spacing w:line="480" w:lineRule="exact"/>
        <w:ind w:firstLine="420" w:firstLineChars="200"/>
        <w:rPr>
          <w:rFonts w:ascii="Times New Roman" w:hAnsi="Times New Roman"/>
          <w:color w:val="auto"/>
          <w:szCs w:val="21"/>
          <w:u w:val="single"/>
        </w:rPr>
      </w:pPr>
      <w:r>
        <w:rPr>
          <w:rFonts w:ascii="Times New Roman" w:hAnsi="Times New Roman"/>
          <w:color w:val="auto"/>
          <w:u w:val="single"/>
        </w:rPr>
        <w:t>因非承包人原因逾期审核责任：发包人（或其委托监理、造价审核单位）收到承包人递交的最终工程结算申请后，由非承包人原因导致的未在约定时间内完成审核。发包人向承包人支付违约金，违约金为工程结算后应付工程款的利息，逾期审核时间 60 天内，利率</w:t>
      </w:r>
      <w:r>
        <w:rPr>
          <w:rFonts w:hint="eastAsia" w:ascii="Times New Roman" w:hAnsi="Times New Roman"/>
          <w:color w:val="auto"/>
          <w:u w:val="single"/>
          <w:lang w:eastAsia="zh-CN"/>
        </w:rPr>
        <w:t>按全国银行间同业拆借中心公布的同期贷款市场报价利率</w:t>
      </w:r>
      <w:r>
        <w:rPr>
          <w:rFonts w:ascii="Times New Roman" w:hAnsi="Times New Roman"/>
          <w:color w:val="auto"/>
          <w:u w:val="single"/>
        </w:rPr>
        <w:t>，利息计算时间为应付工程款日至支付工程款日止；逾期审核时间超过60天，超过时间的利率</w:t>
      </w:r>
      <w:r>
        <w:rPr>
          <w:rFonts w:hint="eastAsia" w:ascii="Times New Roman" w:hAnsi="Times New Roman"/>
          <w:color w:val="auto"/>
          <w:u w:val="single"/>
          <w:lang w:eastAsia="zh-CN"/>
        </w:rPr>
        <w:t>按全国银行间同业拆借中心公布的同期贷款市场报价利率</w:t>
      </w:r>
      <w:r>
        <w:rPr>
          <w:rFonts w:ascii="Times New Roman" w:hAnsi="Times New Roman"/>
          <w:color w:val="auto"/>
          <w:u w:val="single"/>
        </w:rPr>
        <w:t>的 2 倍计算；</w:t>
      </w:r>
    </w:p>
    <w:p w14:paraId="064F2B8A">
      <w:pPr>
        <w:spacing w:line="480" w:lineRule="exact"/>
        <w:ind w:firstLine="420" w:firstLineChars="200"/>
        <w:rPr>
          <w:rFonts w:ascii="Times New Roman" w:hAnsi="Times New Roman"/>
          <w:b/>
          <w:bCs/>
          <w:color w:val="auto"/>
          <w:szCs w:val="21"/>
          <w:u w:val="single"/>
        </w:rPr>
      </w:pPr>
      <w:r>
        <w:rPr>
          <w:rFonts w:hint="eastAsia" w:ascii="Times New Roman" w:hAnsi="Times New Roman"/>
          <w:color w:val="auto"/>
          <w:u w:val="single"/>
          <w:lang w:eastAsia="zh-CN"/>
        </w:rPr>
        <w:t>（</w:t>
      </w:r>
      <w:r>
        <w:rPr>
          <w:rFonts w:hint="eastAsia" w:ascii="Times New Roman" w:hAnsi="Times New Roman"/>
          <w:color w:val="auto"/>
          <w:u w:val="single"/>
          <w:lang w:val="en-US" w:eastAsia="zh-CN"/>
        </w:rPr>
        <w:t>2）</w:t>
      </w:r>
      <w:r>
        <w:rPr>
          <w:rFonts w:ascii="Times New Roman" w:hAnsi="Times New Roman"/>
          <w:color w:val="auto"/>
          <w:u w:val="single"/>
        </w:rPr>
        <w:t>发包人在签署最终工程结算证书后 14 天内，按专用条款 15.3 条办理工程质量保证金留置手续后完成对承包人的付款。逾期支付</w:t>
      </w:r>
      <w:r>
        <w:rPr>
          <w:rFonts w:hint="eastAsia" w:ascii="Times New Roman" w:hAnsi="Times New Roman"/>
          <w:color w:val="auto"/>
          <w:u w:val="single"/>
          <w:lang w:eastAsia="zh-CN"/>
        </w:rPr>
        <w:t>按全国银行间同业拆借中心公布的同期贷款市场报价利率</w:t>
      </w:r>
      <w:r>
        <w:rPr>
          <w:rFonts w:ascii="Times New Roman" w:hAnsi="Times New Roman"/>
          <w:color w:val="auto"/>
          <w:u w:val="single"/>
        </w:rPr>
        <w:t>支付违约金；逾期超过 56 天，</w:t>
      </w:r>
      <w:r>
        <w:rPr>
          <w:rFonts w:hint="eastAsia" w:ascii="Times New Roman" w:hAnsi="Times New Roman"/>
          <w:color w:val="auto"/>
          <w:u w:val="single"/>
          <w:lang w:eastAsia="zh-CN"/>
        </w:rPr>
        <w:t>按全国银行间同业拆借中心公布的同期贷款市场报价利率</w:t>
      </w:r>
      <w:r>
        <w:rPr>
          <w:rFonts w:ascii="Times New Roman" w:hAnsi="Times New Roman"/>
          <w:color w:val="auto"/>
          <w:u w:val="single"/>
        </w:rPr>
        <w:t>的 2 倍支付违约金。</w:t>
      </w:r>
    </w:p>
    <w:p w14:paraId="02EA3A50">
      <w:pPr>
        <w:numPr>
          <w:ilvl w:val="0"/>
          <w:numId w:val="0"/>
        </w:numPr>
        <w:spacing w:line="400" w:lineRule="exact"/>
        <w:ind w:firstLine="420" w:firstLineChars="200"/>
        <w:rPr>
          <w:rFonts w:hint="eastAsia"/>
          <w:szCs w:val="21"/>
          <w:u w:val="single"/>
        </w:rPr>
      </w:pPr>
      <w:r>
        <w:rPr>
          <w:rFonts w:hint="eastAsia"/>
          <w:color w:val="auto"/>
          <w:szCs w:val="21"/>
          <w:u w:val="single"/>
        </w:rPr>
        <w:t>（3）承包人对发包人签认的最终工程结算证书有异议的，可对无异议部</w:t>
      </w:r>
      <w:r>
        <w:rPr>
          <w:rFonts w:hint="eastAsia"/>
          <w:szCs w:val="21"/>
          <w:u w:val="single"/>
        </w:rPr>
        <w:t>分签署确认意见，同时对有异议部分签署争议解决途径意见。发包人先支付承包人无异议部分工程结算价款，异议部分重新进行复核或按照第20条处理。</w:t>
      </w:r>
    </w:p>
    <w:p w14:paraId="1072150F">
      <w:pPr>
        <w:spacing w:line="400" w:lineRule="exact"/>
        <w:ind w:firstLine="420" w:firstLineChars="200"/>
        <w:rPr>
          <w:rFonts w:hint="eastAsia"/>
          <w:szCs w:val="21"/>
          <w:u w:val="single"/>
        </w:rPr>
      </w:pPr>
      <w:r>
        <w:rPr>
          <w:szCs w:val="21"/>
        </w:rPr>
        <w:t>（4）</w:t>
      </w:r>
      <w:r>
        <w:rPr>
          <w:rFonts w:hint="eastAsia"/>
          <w:szCs w:val="21"/>
          <w:u w:val="single"/>
        </w:rPr>
        <w:t>结算特殊要求：</w:t>
      </w:r>
      <w:r>
        <w:rPr>
          <w:rFonts w:hint="eastAsia"/>
          <w:b/>
          <w:szCs w:val="21"/>
          <w:u w:val="single"/>
        </w:rPr>
        <w:t>工程结算由发包人委托三门县财政</w:t>
      </w:r>
      <w:r>
        <w:rPr>
          <w:b/>
          <w:szCs w:val="21"/>
          <w:u w:val="single"/>
        </w:rPr>
        <w:t>审核中心</w:t>
      </w:r>
      <w:r>
        <w:rPr>
          <w:rFonts w:hint="eastAsia"/>
          <w:b/>
          <w:szCs w:val="21"/>
          <w:u w:val="single"/>
        </w:rPr>
        <w:t>审核确定，工程款以第三方审定结论为依据。审核费按《浙江省物价局关于进一步完善工程造价咨询服务收费的通知》（浙价服〔2021〕13号）计算，其中结算超过5%核减率（超过送审造价5%以外的核减额）和核增造价引起的追加收费（核增、核减不相互抵扣），由承包人承担，并可由发包人在应付工程款中扣除直接支付给中介审核机构。</w:t>
      </w:r>
    </w:p>
    <w:p w14:paraId="61A24C7D">
      <w:pPr>
        <w:spacing w:line="400" w:lineRule="exact"/>
        <w:ind w:firstLine="420" w:firstLineChars="200"/>
        <w:rPr>
          <w:szCs w:val="21"/>
        </w:rPr>
      </w:pPr>
      <w:r>
        <w:rPr>
          <w:rFonts w:hint="eastAsia"/>
          <w:szCs w:val="21"/>
        </w:rPr>
        <w:t>1</w:t>
      </w:r>
      <w:r>
        <w:rPr>
          <w:szCs w:val="21"/>
        </w:rPr>
        <w:t>4.4 最终结清</w:t>
      </w:r>
    </w:p>
    <w:p w14:paraId="035C8403">
      <w:pPr>
        <w:spacing w:line="400" w:lineRule="exact"/>
        <w:ind w:firstLine="420" w:firstLineChars="200"/>
        <w:rPr>
          <w:szCs w:val="21"/>
        </w:rPr>
      </w:pPr>
      <w:r>
        <w:rPr>
          <w:szCs w:val="21"/>
        </w:rPr>
        <w:t>14.4.1 最终结清申请单</w:t>
      </w:r>
    </w:p>
    <w:p w14:paraId="522442C3">
      <w:pPr>
        <w:spacing w:line="400" w:lineRule="exact"/>
        <w:ind w:firstLine="420" w:firstLineChars="200"/>
        <w:rPr>
          <w:szCs w:val="21"/>
          <w:u w:val="single"/>
        </w:rPr>
      </w:pPr>
      <w:r>
        <w:rPr>
          <w:szCs w:val="21"/>
        </w:rPr>
        <w:t>承包人提交最终结清申请单的份数：</w:t>
      </w:r>
      <w:r>
        <w:rPr>
          <w:szCs w:val="21"/>
          <w:u w:val="single"/>
        </w:rPr>
        <w:t xml:space="preserve">   </w:t>
      </w:r>
      <w:r>
        <w:rPr>
          <w:rFonts w:hint="eastAsia"/>
          <w:szCs w:val="21"/>
          <w:u w:val="single"/>
        </w:rPr>
        <w:t>按发包人实际需求</w:t>
      </w:r>
      <w:r>
        <w:rPr>
          <w:szCs w:val="21"/>
          <w:u w:val="single"/>
        </w:rPr>
        <w:t>。</w:t>
      </w:r>
    </w:p>
    <w:p w14:paraId="60D01BAA">
      <w:pPr>
        <w:spacing w:line="400" w:lineRule="exact"/>
        <w:ind w:firstLine="420" w:firstLineChars="200"/>
        <w:rPr>
          <w:rFonts w:hint="eastAsia"/>
          <w:szCs w:val="21"/>
          <w:u w:val="single"/>
        </w:rPr>
      </w:pPr>
      <w:r>
        <w:rPr>
          <w:szCs w:val="21"/>
        </w:rPr>
        <w:t>承包人提交最终结算申请单的期限：</w:t>
      </w:r>
      <w:r>
        <w:rPr>
          <w:szCs w:val="21"/>
          <w:u w:val="single"/>
        </w:rPr>
        <w:t xml:space="preserve">  </w:t>
      </w:r>
      <w:r>
        <w:rPr>
          <w:rFonts w:hint="eastAsia"/>
          <w:szCs w:val="21"/>
          <w:u w:val="single"/>
        </w:rPr>
        <w:t>缺陷责任期终止后7天内</w:t>
      </w:r>
      <w:r>
        <w:rPr>
          <w:szCs w:val="21"/>
          <w:u w:val="single"/>
        </w:rPr>
        <w:t xml:space="preserve">。 </w:t>
      </w:r>
    </w:p>
    <w:p w14:paraId="4B8BA9C3">
      <w:pPr>
        <w:spacing w:line="400" w:lineRule="exact"/>
        <w:ind w:firstLine="420" w:firstLineChars="200"/>
        <w:rPr>
          <w:szCs w:val="21"/>
        </w:rPr>
      </w:pPr>
      <w:r>
        <w:rPr>
          <w:szCs w:val="21"/>
        </w:rPr>
        <w:t>14.4.2 最终结清证书和支付</w:t>
      </w:r>
    </w:p>
    <w:p w14:paraId="53CDC2B7">
      <w:pPr>
        <w:spacing w:line="400" w:lineRule="exact"/>
        <w:ind w:firstLine="420" w:firstLineChars="200"/>
        <w:rPr>
          <w:szCs w:val="21"/>
          <w:u w:val="single"/>
        </w:rPr>
      </w:pPr>
      <w:r>
        <w:rPr>
          <w:szCs w:val="21"/>
        </w:rPr>
        <w:t>（1）发包人完成最终结清申请单的审批并颁发最终结清证书的期限：</w:t>
      </w:r>
      <w:r>
        <w:rPr>
          <w:szCs w:val="21"/>
          <w:u w:val="single"/>
        </w:rPr>
        <w:t xml:space="preserve">  按通用条款  。</w:t>
      </w:r>
    </w:p>
    <w:p w14:paraId="6733E405">
      <w:pPr>
        <w:spacing w:line="400" w:lineRule="exact"/>
        <w:ind w:firstLine="420" w:firstLineChars="200"/>
        <w:rPr>
          <w:szCs w:val="21"/>
        </w:rPr>
      </w:pPr>
      <w:r>
        <w:rPr>
          <w:szCs w:val="21"/>
        </w:rPr>
        <w:t>（2）发包人完成支付的期限：</w:t>
      </w:r>
      <w:r>
        <w:rPr>
          <w:szCs w:val="21"/>
          <w:u w:val="single"/>
        </w:rPr>
        <w:t>按通用条款。</w:t>
      </w:r>
    </w:p>
    <w:p w14:paraId="3424FFC4">
      <w:pPr>
        <w:pStyle w:val="4"/>
        <w:spacing w:before="0" w:after="0" w:line="400" w:lineRule="exact"/>
        <w:ind w:firstLine="422" w:firstLineChars="200"/>
        <w:rPr>
          <w:rFonts w:ascii="Times New Roman" w:hAnsi="Times New Roman" w:eastAsia="宋体"/>
          <w:b w:val="0"/>
          <w:sz w:val="21"/>
          <w:szCs w:val="21"/>
        </w:rPr>
      </w:pPr>
      <w:bookmarkStart w:id="117" w:name="_Toc351203647"/>
      <w:r>
        <w:rPr>
          <w:rFonts w:ascii="Times New Roman" w:hAnsi="Times New Roman"/>
          <w:sz w:val="21"/>
          <w:szCs w:val="21"/>
        </w:rPr>
        <w:t>15. 缺陷责任期与保修</w:t>
      </w:r>
      <w:bookmarkEnd w:id="117"/>
    </w:p>
    <w:p w14:paraId="1B81EBF5">
      <w:pPr>
        <w:spacing w:line="400" w:lineRule="exact"/>
        <w:ind w:firstLine="420" w:firstLineChars="200"/>
        <w:rPr>
          <w:szCs w:val="21"/>
        </w:rPr>
      </w:pPr>
      <w:r>
        <w:rPr>
          <w:szCs w:val="21"/>
        </w:rPr>
        <w:t>15.2缺陷责任期</w:t>
      </w:r>
    </w:p>
    <w:p w14:paraId="6D3F3835">
      <w:pPr>
        <w:spacing w:line="400" w:lineRule="exact"/>
        <w:ind w:firstLine="420" w:firstLineChars="200"/>
        <w:rPr>
          <w:szCs w:val="21"/>
        </w:rPr>
      </w:pPr>
      <w:r>
        <w:rPr>
          <w:szCs w:val="21"/>
        </w:rPr>
        <w:t>缺陷责任期的具体期限：</w:t>
      </w:r>
      <w:r>
        <w:rPr>
          <w:szCs w:val="21"/>
          <w:u w:val="single"/>
        </w:rPr>
        <w:t xml:space="preserve"> 缺陷责任期24个月，其余按通用条款执行</w:t>
      </w:r>
      <w:r>
        <w:rPr>
          <w:szCs w:val="21"/>
        </w:rPr>
        <w:t>。</w:t>
      </w:r>
    </w:p>
    <w:p w14:paraId="62A18207">
      <w:pPr>
        <w:spacing w:line="400" w:lineRule="exact"/>
        <w:ind w:firstLine="420" w:firstLineChars="200"/>
        <w:rPr>
          <w:szCs w:val="21"/>
        </w:rPr>
      </w:pPr>
      <w:r>
        <w:rPr>
          <w:szCs w:val="21"/>
        </w:rPr>
        <w:t>15.3 质量保证金</w:t>
      </w:r>
    </w:p>
    <w:p w14:paraId="157A5FFF">
      <w:pPr>
        <w:spacing w:line="400" w:lineRule="exact"/>
        <w:ind w:firstLine="420" w:firstLineChars="200"/>
        <w:rPr>
          <w:szCs w:val="21"/>
        </w:rPr>
      </w:pPr>
      <w:r>
        <w:rPr>
          <w:szCs w:val="21"/>
        </w:rPr>
        <w:t>关于是否扣留质量保证金的约定：</w:t>
      </w:r>
      <w:r>
        <w:rPr>
          <w:szCs w:val="21"/>
          <w:u w:val="single"/>
        </w:rPr>
        <w:t xml:space="preserve"> </w:t>
      </w:r>
      <w:r>
        <w:rPr>
          <w:rFonts w:hint="eastAsia"/>
          <w:szCs w:val="21"/>
          <w:u w:val="single"/>
        </w:rPr>
        <w:t>留置</w:t>
      </w:r>
      <w:r>
        <w:rPr>
          <w:szCs w:val="21"/>
          <w:u w:val="single"/>
        </w:rPr>
        <w:t>质量保证金</w:t>
      </w:r>
      <w:r>
        <w:rPr>
          <w:szCs w:val="21"/>
        </w:rPr>
        <w:t>。</w:t>
      </w:r>
    </w:p>
    <w:p w14:paraId="3433E58B">
      <w:pPr>
        <w:spacing w:line="400" w:lineRule="exact"/>
        <w:ind w:firstLine="420" w:firstLineChars="200"/>
        <w:rPr>
          <w:szCs w:val="21"/>
        </w:rPr>
      </w:pPr>
      <w:r>
        <w:rPr>
          <w:szCs w:val="21"/>
        </w:rPr>
        <w:t>15.3.1 承包人提供质量保证金的方式</w:t>
      </w:r>
    </w:p>
    <w:p w14:paraId="51534B92">
      <w:pPr>
        <w:spacing w:line="400" w:lineRule="exact"/>
        <w:ind w:firstLine="420" w:firstLineChars="200"/>
        <w:rPr>
          <w:szCs w:val="21"/>
        </w:rPr>
      </w:pPr>
      <w:r>
        <w:rPr>
          <w:rFonts w:hint="eastAsia"/>
          <w:szCs w:val="21"/>
        </w:rPr>
        <w:t>质量保证金采用以下第</w:t>
      </w:r>
      <w:r>
        <w:rPr>
          <w:rFonts w:hint="eastAsia"/>
          <w:szCs w:val="21"/>
          <w:u w:val="single"/>
        </w:rPr>
        <w:t xml:space="preserve">  （1）  </w:t>
      </w:r>
      <w:r>
        <w:rPr>
          <w:rFonts w:hint="eastAsia"/>
          <w:szCs w:val="21"/>
        </w:rPr>
        <w:t>种方式：</w:t>
      </w:r>
    </w:p>
    <w:p w14:paraId="7A685628">
      <w:pPr>
        <w:autoSpaceDE w:val="0"/>
        <w:autoSpaceDN w:val="0"/>
        <w:adjustRightInd w:val="0"/>
        <w:spacing w:line="400" w:lineRule="exact"/>
        <w:ind w:firstLine="420" w:firstLineChars="200"/>
        <w:rPr>
          <w:szCs w:val="21"/>
        </w:rPr>
      </w:pPr>
      <w:r>
        <w:rPr>
          <w:rFonts w:hint="eastAsia"/>
          <w:szCs w:val="21"/>
        </w:rPr>
        <w:t>（1）质量保证金保函，保函形式为银行保函〔保险保函〕，金额为1.5%的工程结算价款；</w:t>
      </w:r>
    </w:p>
    <w:p w14:paraId="21F29BAE">
      <w:pPr>
        <w:autoSpaceDE w:val="0"/>
        <w:autoSpaceDN w:val="0"/>
        <w:adjustRightInd w:val="0"/>
        <w:spacing w:line="400" w:lineRule="exact"/>
        <w:ind w:firstLine="420" w:firstLineChars="200"/>
        <w:rPr>
          <w:szCs w:val="21"/>
        </w:rPr>
      </w:pPr>
      <w:r>
        <w:rPr>
          <w:rFonts w:hint="eastAsia"/>
          <w:szCs w:val="21"/>
        </w:rPr>
        <w:t>（2）</w:t>
      </w:r>
      <w:r>
        <w:rPr>
          <w:rFonts w:hint="eastAsia"/>
          <w:szCs w:val="21"/>
          <w:u w:val="single"/>
        </w:rPr>
        <w:t>1.5 %</w:t>
      </w:r>
      <w:r>
        <w:rPr>
          <w:rFonts w:hint="eastAsia"/>
          <w:szCs w:val="21"/>
        </w:rPr>
        <w:t>的工程结算价款；</w:t>
      </w:r>
    </w:p>
    <w:p w14:paraId="4F67220B">
      <w:pPr>
        <w:autoSpaceDE w:val="0"/>
        <w:autoSpaceDN w:val="0"/>
        <w:adjustRightInd w:val="0"/>
        <w:spacing w:line="400" w:lineRule="exact"/>
        <w:ind w:firstLine="420" w:firstLineChars="200"/>
        <w:rPr>
          <w:szCs w:val="21"/>
        </w:rPr>
      </w:pPr>
      <w:r>
        <w:rPr>
          <w:rFonts w:hint="eastAsia"/>
          <w:szCs w:val="21"/>
        </w:rPr>
        <w:t>（3）其他方式：</w:t>
      </w:r>
      <w:r>
        <w:rPr>
          <w:rFonts w:hint="eastAsia"/>
          <w:szCs w:val="21"/>
          <w:u w:val="single"/>
        </w:rPr>
        <w:t xml:space="preserve">           /                     </w:t>
      </w:r>
      <w:r>
        <w:rPr>
          <w:rFonts w:hint="eastAsia"/>
          <w:szCs w:val="21"/>
        </w:rPr>
        <w:t xml:space="preserve"> 。</w:t>
      </w:r>
    </w:p>
    <w:p w14:paraId="3F5A61BA">
      <w:pPr>
        <w:spacing w:line="400" w:lineRule="exact"/>
        <w:ind w:firstLine="420" w:firstLineChars="200"/>
        <w:rPr>
          <w:szCs w:val="21"/>
        </w:rPr>
      </w:pPr>
      <w:r>
        <w:rPr>
          <w:rFonts w:hint="eastAsia"/>
          <w:szCs w:val="21"/>
        </w:rPr>
        <w:t xml:space="preserve">15.3.2  质量保证金的扣留 </w:t>
      </w:r>
    </w:p>
    <w:p w14:paraId="6F5B66F9">
      <w:pPr>
        <w:spacing w:line="400" w:lineRule="exact"/>
        <w:ind w:firstLine="420" w:firstLineChars="200"/>
        <w:rPr>
          <w:szCs w:val="21"/>
        </w:rPr>
      </w:pPr>
      <w:r>
        <w:rPr>
          <w:rFonts w:hint="eastAsia"/>
          <w:szCs w:val="21"/>
        </w:rPr>
        <w:t>质量保证金的扣留采取以下第</w:t>
      </w:r>
      <w:r>
        <w:rPr>
          <w:rFonts w:hint="eastAsia"/>
          <w:szCs w:val="21"/>
          <w:u w:val="single"/>
        </w:rPr>
        <w:t xml:space="preserve"> （3） </w:t>
      </w:r>
      <w:r>
        <w:rPr>
          <w:rFonts w:hint="eastAsia"/>
          <w:szCs w:val="21"/>
        </w:rPr>
        <w:t>种方式：</w:t>
      </w:r>
    </w:p>
    <w:p w14:paraId="39E3BB5F">
      <w:pPr>
        <w:autoSpaceDE w:val="0"/>
        <w:autoSpaceDN w:val="0"/>
        <w:adjustRightInd w:val="0"/>
        <w:spacing w:line="400" w:lineRule="exact"/>
        <w:ind w:firstLine="420" w:firstLineChars="200"/>
        <w:rPr>
          <w:szCs w:val="21"/>
        </w:rPr>
      </w:pPr>
      <w:r>
        <w:rPr>
          <w:rFonts w:hint="eastAsia"/>
          <w:szCs w:val="21"/>
        </w:rPr>
        <w:t>（1）在支付工程进度款时逐次扣留，在此情形下，质量保证金的计算基数不包括预付款的支付、扣回以及价格调整的金额；</w:t>
      </w:r>
    </w:p>
    <w:p w14:paraId="1A054B8F">
      <w:pPr>
        <w:autoSpaceDE w:val="0"/>
        <w:autoSpaceDN w:val="0"/>
        <w:adjustRightInd w:val="0"/>
        <w:spacing w:line="400" w:lineRule="exact"/>
        <w:ind w:firstLine="420" w:firstLineChars="200"/>
        <w:rPr>
          <w:szCs w:val="21"/>
        </w:rPr>
      </w:pPr>
      <w:r>
        <w:rPr>
          <w:rFonts w:hint="eastAsia"/>
          <w:szCs w:val="21"/>
        </w:rPr>
        <w:t>（2）工程竣工结算时一次性扣留质量保证金；</w:t>
      </w:r>
    </w:p>
    <w:p w14:paraId="3FC47BDA">
      <w:pPr>
        <w:autoSpaceDE w:val="0"/>
        <w:autoSpaceDN w:val="0"/>
        <w:adjustRightInd w:val="0"/>
        <w:spacing w:line="400" w:lineRule="exact"/>
        <w:ind w:firstLine="420" w:firstLineChars="200"/>
        <w:rPr>
          <w:szCs w:val="21"/>
        </w:rPr>
      </w:pPr>
      <w:r>
        <w:rPr>
          <w:rFonts w:hint="eastAsia"/>
          <w:szCs w:val="21"/>
        </w:rPr>
        <w:t>（3）其他扣留方式：</w:t>
      </w:r>
      <w:r>
        <w:rPr>
          <w:rFonts w:hint="eastAsia"/>
          <w:szCs w:val="21"/>
          <w:u w:val="single"/>
        </w:rPr>
        <w:t xml:space="preserve">发包人支付完成最后工程结算付款前，承包人提供质量保证金保函 </w:t>
      </w:r>
      <w:r>
        <w:rPr>
          <w:rFonts w:hint="eastAsia"/>
          <w:szCs w:val="21"/>
        </w:rPr>
        <w:t>。</w:t>
      </w:r>
    </w:p>
    <w:p w14:paraId="6ECADF3C">
      <w:pPr>
        <w:spacing w:line="400" w:lineRule="exact"/>
        <w:ind w:firstLine="420" w:firstLineChars="200"/>
        <w:rPr>
          <w:szCs w:val="21"/>
        </w:rPr>
      </w:pPr>
      <w:r>
        <w:rPr>
          <w:rFonts w:hint="eastAsia"/>
          <w:szCs w:val="21"/>
        </w:rPr>
        <w:t>关于质量保证金的补充约定：</w:t>
      </w:r>
      <w:r>
        <w:rPr>
          <w:rFonts w:hint="eastAsia"/>
          <w:szCs w:val="21"/>
          <w:u w:val="single"/>
        </w:rPr>
        <w:t xml:space="preserve">             </w:t>
      </w:r>
      <w:r>
        <w:rPr>
          <w:szCs w:val="21"/>
          <w:u w:val="single"/>
        </w:rPr>
        <w:t>/</w:t>
      </w:r>
      <w:r>
        <w:rPr>
          <w:rFonts w:hint="eastAsia"/>
          <w:szCs w:val="21"/>
          <w:u w:val="single"/>
        </w:rPr>
        <w:t xml:space="preserve">              </w:t>
      </w:r>
      <w:r>
        <w:rPr>
          <w:rFonts w:hint="eastAsia"/>
          <w:szCs w:val="21"/>
        </w:rPr>
        <w:t>。</w:t>
      </w:r>
    </w:p>
    <w:p w14:paraId="74F99C8B">
      <w:pPr>
        <w:spacing w:line="400" w:lineRule="exact"/>
        <w:ind w:firstLine="420" w:firstLineChars="200"/>
        <w:rPr>
          <w:szCs w:val="21"/>
        </w:rPr>
      </w:pPr>
      <w:r>
        <w:rPr>
          <w:rFonts w:hint="eastAsia"/>
          <w:szCs w:val="21"/>
        </w:rPr>
        <w:t>15.3.3质量保证金的退还</w:t>
      </w:r>
    </w:p>
    <w:p w14:paraId="477A5EEC">
      <w:pPr>
        <w:spacing w:line="400" w:lineRule="exact"/>
        <w:ind w:firstLine="420" w:firstLineChars="200"/>
        <w:rPr>
          <w:szCs w:val="21"/>
        </w:rPr>
      </w:pPr>
      <w:r>
        <w:rPr>
          <w:rFonts w:hint="eastAsia"/>
          <w:szCs w:val="21"/>
        </w:rPr>
        <w:t>质量保证金按以下第</w:t>
      </w:r>
      <w:r>
        <w:rPr>
          <w:rFonts w:hint="eastAsia"/>
          <w:szCs w:val="21"/>
          <w:u w:val="single"/>
        </w:rPr>
        <w:t xml:space="preserve"> （4）</w:t>
      </w:r>
      <w:r>
        <w:rPr>
          <w:rFonts w:hint="eastAsia"/>
          <w:szCs w:val="21"/>
        </w:rPr>
        <w:t>方式退回：</w:t>
      </w:r>
    </w:p>
    <w:p w14:paraId="7856A126">
      <w:pPr>
        <w:spacing w:line="400" w:lineRule="exact"/>
        <w:ind w:firstLine="420" w:firstLineChars="200"/>
        <w:rPr>
          <w:szCs w:val="21"/>
        </w:rPr>
      </w:pPr>
      <w:r>
        <w:rPr>
          <w:rFonts w:hint="eastAsia"/>
          <w:szCs w:val="21"/>
        </w:rPr>
        <w:t>（1）缺陷责任期终止后，发包人退还剩余的质量保证金（约定是否计息）。</w:t>
      </w:r>
    </w:p>
    <w:p w14:paraId="5530FC2F">
      <w:pPr>
        <w:adjustRightInd w:val="0"/>
        <w:spacing w:line="400" w:lineRule="exact"/>
        <w:ind w:firstLine="420" w:firstLineChars="200"/>
        <w:rPr>
          <w:szCs w:val="21"/>
        </w:rPr>
      </w:pPr>
      <w:r>
        <w:rPr>
          <w:rFonts w:hint="eastAsia"/>
          <w:szCs w:val="21"/>
        </w:rPr>
        <w:t>（2）建筑工程：工程实际竣工验收合格后满一年返还质量保证金的 30%，满二年返还质量保证金的50%，达到除地基基础工程、主体结构工程外的最长质量缺陷保修期后返还全部预留的质量保证金</w:t>
      </w:r>
      <w:r>
        <w:rPr>
          <w:rFonts w:hint="eastAsia"/>
          <w:szCs w:val="21"/>
          <w:u w:val="single"/>
        </w:rPr>
        <w:t>（不计息，保函形式提交的不予退还，到期保函自动失效。）</w:t>
      </w:r>
    </w:p>
    <w:p w14:paraId="23E6F2E2">
      <w:pPr>
        <w:adjustRightInd w:val="0"/>
        <w:spacing w:line="400" w:lineRule="exact"/>
        <w:ind w:firstLine="420" w:firstLineChars="200"/>
        <w:rPr>
          <w:szCs w:val="21"/>
        </w:rPr>
      </w:pPr>
      <w:r>
        <w:rPr>
          <w:rFonts w:hint="eastAsia"/>
          <w:szCs w:val="21"/>
        </w:rPr>
        <w:t>（3）市政工程：工程实际竣工验收合格后满二年可返还全部质量保证金。</w:t>
      </w:r>
    </w:p>
    <w:p w14:paraId="65187359">
      <w:pPr>
        <w:spacing w:line="400" w:lineRule="exact"/>
        <w:ind w:firstLine="420" w:firstLineChars="200"/>
        <w:rPr>
          <w:szCs w:val="21"/>
        </w:rPr>
      </w:pPr>
      <w:r>
        <w:rPr>
          <w:rFonts w:hint="eastAsia"/>
          <w:szCs w:val="21"/>
        </w:rPr>
        <w:t>（4）其它：</w:t>
      </w:r>
      <w:r>
        <w:rPr>
          <w:rFonts w:hint="eastAsia"/>
          <w:szCs w:val="21"/>
          <w:u w:val="single"/>
        </w:rPr>
        <w:t>缺陷责任期终止后，质量保证金保函自动失效。</w:t>
      </w:r>
    </w:p>
    <w:p w14:paraId="3561FA92">
      <w:pPr>
        <w:spacing w:line="400" w:lineRule="exact"/>
        <w:ind w:firstLine="420" w:firstLineChars="200"/>
        <w:rPr>
          <w:szCs w:val="21"/>
        </w:rPr>
      </w:pPr>
      <w:r>
        <w:rPr>
          <w:szCs w:val="21"/>
        </w:rPr>
        <w:t>15.4保修</w:t>
      </w:r>
    </w:p>
    <w:p w14:paraId="0ED6EDFE">
      <w:pPr>
        <w:spacing w:line="400" w:lineRule="exact"/>
        <w:ind w:firstLine="420" w:firstLineChars="200"/>
        <w:rPr>
          <w:szCs w:val="21"/>
        </w:rPr>
      </w:pPr>
      <w:r>
        <w:rPr>
          <w:szCs w:val="21"/>
        </w:rPr>
        <w:t>15.4.1 保修责任</w:t>
      </w:r>
    </w:p>
    <w:p w14:paraId="371A6CAD">
      <w:pPr>
        <w:spacing w:line="400" w:lineRule="exact"/>
        <w:ind w:firstLine="420" w:firstLineChars="200"/>
        <w:rPr>
          <w:szCs w:val="21"/>
        </w:rPr>
      </w:pPr>
      <w:r>
        <w:rPr>
          <w:szCs w:val="21"/>
        </w:rPr>
        <w:t>工程保修期为：</w:t>
      </w:r>
      <w:r>
        <w:rPr>
          <w:szCs w:val="21"/>
          <w:u w:val="single"/>
        </w:rPr>
        <w:t xml:space="preserve"> 按本合同附件3《工程质量保修书》 </w:t>
      </w:r>
      <w:r>
        <w:rPr>
          <w:szCs w:val="21"/>
        </w:rPr>
        <w:t>。</w:t>
      </w:r>
    </w:p>
    <w:p w14:paraId="085952CB">
      <w:pPr>
        <w:spacing w:line="400" w:lineRule="exact"/>
        <w:ind w:firstLine="420" w:firstLineChars="200"/>
        <w:rPr>
          <w:szCs w:val="21"/>
        </w:rPr>
      </w:pPr>
      <w:r>
        <w:rPr>
          <w:szCs w:val="21"/>
        </w:rPr>
        <w:t>15.4.3 修复通知</w:t>
      </w:r>
    </w:p>
    <w:p w14:paraId="3F19C4C5">
      <w:pPr>
        <w:spacing w:line="400" w:lineRule="exact"/>
        <w:ind w:firstLine="420" w:firstLineChars="200"/>
        <w:rPr>
          <w:kern w:val="0"/>
          <w:szCs w:val="21"/>
        </w:rPr>
      </w:pPr>
      <w:r>
        <w:rPr>
          <w:szCs w:val="21"/>
        </w:rPr>
        <w:t>承包人收到保修通知并到达工程现场的合理时间：</w:t>
      </w:r>
      <w:r>
        <w:rPr>
          <w:szCs w:val="21"/>
          <w:u w:val="single"/>
        </w:rPr>
        <w:t xml:space="preserve"> </w:t>
      </w:r>
      <w:r>
        <w:rPr>
          <w:rFonts w:hint="eastAsia"/>
          <w:szCs w:val="21"/>
          <w:u w:val="single"/>
        </w:rPr>
        <w:t>按通用条款</w:t>
      </w:r>
      <w:r>
        <w:rPr>
          <w:szCs w:val="21"/>
          <w:u w:val="single"/>
        </w:rPr>
        <w:t xml:space="preserve">  </w:t>
      </w:r>
      <w:r>
        <w:rPr>
          <w:szCs w:val="21"/>
        </w:rPr>
        <w:t>。</w:t>
      </w:r>
    </w:p>
    <w:p w14:paraId="31AF3136">
      <w:pPr>
        <w:pStyle w:val="4"/>
        <w:spacing w:before="0" w:after="0" w:line="400" w:lineRule="exact"/>
        <w:ind w:firstLine="422" w:firstLineChars="200"/>
        <w:rPr>
          <w:rFonts w:ascii="Times New Roman" w:hAnsi="Times New Roman"/>
          <w:sz w:val="21"/>
          <w:szCs w:val="21"/>
        </w:rPr>
      </w:pPr>
      <w:bookmarkStart w:id="118" w:name="_Toc351203648"/>
      <w:r>
        <w:rPr>
          <w:rFonts w:ascii="Times New Roman" w:hAnsi="Times New Roman"/>
          <w:sz w:val="21"/>
          <w:szCs w:val="21"/>
        </w:rPr>
        <w:t>16. 违约</w:t>
      </w:r>
      <w:bookmarkEnd w:id="118"/>
    </w:p>
    <w:p w14:paraId="091F605F">
      <w:pPr>
        <w:spacing w:before="120" w:after="120" w:line="400" w:lineRule="exact"/>
        <w:ind w:firstLine="420" w:firstLineChars="200"/>
        <w:rPr>
          <w:szCs w:val="21"/>
        </w:rPr>
      </w:pPr>
      <w:r>
        <w:rPr>
          <w:szCs w:val="21"/>
        </w:rPr>
        <w:t>16.1 发包人违约</w:t>
      </w:r>
    </w:p>
    <w:p w14:paraId="613C7C7D">
      <w:pPr>
        <w:spacing w:before="120" w:after="120" w:line="400" w:lineRule="exact"/>
        <w:ind w:firstLine="420" w:firstLineChars="200"/>
        <w:rPr>
          <w:szCs w:val="21"/>
        </w:rPr>
      </w:pPr>
      <w:r>
        <w:rPr>
          <w:szCs w:val="21"/>
        </w:rPr>
        <w:t>16.1.1发包人违约的情形</w:t>
      </w:r>
    </w:p>
    <w:p w14:paraId="4EF5DFBA">
      <w:pPr>
        <w:spacing w:before="120" w:after="120" w:line="400" w:lineRule="exact"/>
        <w:ind w:firstLine="420" w:firstLineChars="200"/>
        <w:rPr>
          <w:szCs w:val="21"/>
        </w:rPr>
      </w:pPr>
      <w:r>
        <w:rPr>
          <w:szCs w:val="21"/>
        </w:rPr>
        <w:t>发包人违约的其他情形：</w:t>
      </w:r>
      <w:r>
        <w:rPr>
          <w:szCs w:val="21"/>
          <w:u w:val="single"/>
        </w:rPr>
        <w:t xml:space="preserve">        </w:t>
      </w:r>
      <w:r>
        <w:rPr>
          <w:rFonts w:hint="eastAsia"/>
          <w:szCs w:val="21"/>
          <w:u w:val="single"/>
        </w:rPr>
        <w:t>/</w:t>
      </w:r>
      <w:r>
        <w:rPr>
          <w:szCs w:val="21"/>
          <w:u w:val="single"/>
        </w:rPr>
        <w:t xml:space="preserve">          </w:t>
      </w:r>
      <w:r>
        <w:rPr>
          <w:szCs w:val="21"/>
        </w:rPr>
        <w:t>。</w:t>
      </w:r>
    </w:p>
    <w:p w14:paraId="00CF25DF">
      <w:pPr>
        <w:spacing w:before="120" w:after="120" w:line="400" w:lineRule="exact"/>
        <w:ind w:firstLine="420" w:firstLineChars="200"/>
        <w:rPr>
          <w:szCs w:val="21"/>
        </w:rPr>
      </w:pPr>
      <w:r>
        <w:rPr>
          <w:szCs w:val="21"/>
        </w:rPr>
        <w:t>16.1.2 发包人违约的责任</w:t>
      </w:r>
    </w:p>
    <w:p w14:paraId="48996D6D">
      <w:pPr>
        <w:spacing w:before="120" w:after="120" w:line="400" w:lineRule="exact"/>
        <w:ind w:firstLine="420" w:firstLineChars="200"/>
        <w:rPr>
          <w:szCs w:val="21"/>
        </w:rPr>
      </w:pPr>
      <w:r>
        <w:rPr>
          <w:szCs w:val="21"/>
        </w:rPr>
        <w:t>发包人违约责任的承担方式和计算方法：</w:t>
      </w:r>
    </w:p>
    <w:p w14:paraId="24F66AAA">
      <w:pPr>
        <w:spacing w:before="120" w:after="120" w:line="400" w:lineRule="exact"/>
        <w:ind w:firstLine="420" w:firstLineChars="200"/>
        <w:rPr>
          <w:kern w:val="0"/>
          <w:szCs w:val="21"/>
          <w:u w:val="single"/>
        </w:rPr>
      </w:pPr>
      <w:r>
        <w:rPr>
          <w:szCs w:val="21"/>
        </w:rPr>
        <w:t>（1）因发包人原因未能在计划开工日期前7天内下达开工通知的违约责任：</w:t>
      </w:r>
      <w:r>
        <w:rPr>
          <w:rFonts w:hint="eastAsia"/>
          <w:kern w:val="0"/>
          <w:szCs w:val="21"/>
          <w:u w:val="single"/>
        </w:rPr>
        <w:t xml:space="preserve">赔偿承包人相关损失；属于专用合同条款7.3.2条约定情形的，按该条款约定处理； </w:t>
      </w:r>
    </w:p>
    <w:p w14:paraId="79E7259C">
      <w:pPr>
        <w:spacing w:line="480" w:lineRule="exact"/>
        <w:ind w:firstLine="420" w:firstLineChars="200"/>
        <w:rPr>
          <w:rFonts w:ascii="Times New Roman" w:hAnsi="Times New Roman"/>
          <w:color w:val="auto"/>
          <w:u w:val="single"/>
        </w:rPr>
      </w:pPr>
      <w:r>
        <w:rPr>
          <w:szCs w:val="21"/>
        </w:rPr>
        <w:t>（2）因发包人原因未能按合同约定支付合同价款</w:t>
      </w:r>
      <w:r>
        <w:rPr>
          <w:color w:val="auto"/>
          <w:szCs w:val="21"/>
        </w:rPr>
        <w:t>的违约责任：</w:t>
      </w:r>
      <w:r>
        <w:rPr>
          <w:rFonts w:ascii="Times New Roman" w:hAnsi="Times New Roman"/>
          <w:color w:val="auto"/>
          <w:u w:val="single"/>
        </w:rPr>
        <w:t>支付违约金，违约金为应付合同价款的利息，</w:t>
      </w:r>
      <w:r>
        <w:rPr>
          <w:rFonts w:ascii="Times New Roman" w:hAnsi="Times New Roman"/>
          <w:bCs/>
          <w:color w:val="auto"/>
          <w:szCs w:val="21"/>
          <w:u w:val="single"/>
        </w:rPr>
        <w:t>利率</w:t>
      </w:r>
      <w:r>
        <w:rPr>
          <w:rFonts w:hint="eastAsia" w:ascii="Times New Roman" w:hAnsi="Times New Roman"/>
          <w:bCs/>
          <w:color w:val="auto"/>
          <w:szCs w:val="21"/>
          <w:u w:val="single"/>
          <w:lang w:eastAsia="zh-CN"/>
        </w:rPr>
        <w:t>按全国银行间同业拆借中心公布的同期贷款市场报价利率</w:t>
      </w:r>
      <w:r>
        <w:rPr>
          <w:rFonts w:ascii="Times New Roman" w:hAnsi="Times New Roman"/>
          <w:snapToGrid w:val="0"/>
          <w:color w:val="auto"/>
          <w:szCs w:val="21"/>
          <w:u w:val="single"/>
        </w:rPr>
        <w:t>，时间为从约定应付之日起至支付之日止计算利息 支付违约金。工程款存在争议部分待争议解决后开始计息，利息不计复利。</w:t>
      </w:r>
      <w:r>
        <w:rPr>
          <w:rFonts w:ascii="Times New Roman" w:hAnsi="Times New Roman"/>
          <w:color w:val="auto"/>
          <w:u w:val="single"/>
        </w:rPr>
        <w:t>造成工期延误的顺延工期，并承担承包人的相应损失费用；</w:t>
      </w:r>
    </w:p>
    <w:p w14:paraId="4DC012D2">
      <w:pPr>
        <w:spacing w:before="120" w:after="120" w:line="400" w:lineRule="exact"/>
        <w:ind w:firstLine="420" w:firstLineChars="200"/>
        <w:rPr>
          <w:szCs w:val="21"/>
        </w:rPr>
      </w:pPr>
      <w:r>
        <w:rPr>
          <w:color w:val="auto"/>
          <w:szCs w:val="21"/>
        </w:rPr>
        <w:t>（3）发包人违反第10.1款〔变更的范围〕第（2）项约定，自行实施被取消的</w:t>
      </w:r>
      <w:r>
        <w:rPr>
          <w:szCs w:val="21"/>
        </w:rPr>
        <w:t>工作或转由他人实施的违约责任：</w:t>
      </w:r>
      <w:r>
        <w:rPr>
          <w:rFonts w:hint="eastAsia"/>
          <w:szCs w:val="21"/>
          <w:u w:val="single"/>
        </w:rPr>
        <w:t>支付承包人该项工作合理利润，按取消工作签约合同价（ ）%计算</w:t>
      </w:r>
      <w:r>
        <w:rPr>
          <w:rFonts w:hint="eastAsia"/>
          <w:kern w:val="0"/>
          <w:szCs w:val="21"/>
          <w:u w:val="single"/>
        </w:rPr>
        <w:t>；</w:t>
      </w:r>
      <w:r>
        <w:rPr>
          <w:szCs w:val="21"/>
        </w:rPr>
        <w:t xml:space="preserve"> </w:t>
      </w:r>
    </w:p>
    <w:p w14:paraId="72908ED6">
      <w:pPr>
        <w:spacing w:before="120" w:after="120" w:line="400" w:lineRule="exact"/>
        <w:ind w:firstLine="420" w:firstLineChars="200"/>
        <w:rPr>
          <w:szCs w:val="21"/>
        </w:rPr>
      </w:pPr>
      <w:r>
        <w:rPr>
          <w:szCs w:val="21"/>
        </w:rPr>
        <w:t>（4）发包人提供的材料、工程设备的规格、数量或质量不符合合同约定，或因发包人原因导致交货日期延误或交货地点变更等情况的违约责任：</w:t>
      </w:r>
      <w:r>
        <w:rPr>
          <w:rFonts w:hint="eastAsia"/>
          <w:kern w:val="0"/>
          <w:szCs w:val="21"/>
          <w:u w:val="single"/>
        </w:rPr>
        <w:t>造成工期延误的顺延工期，并承担增加的造价及承包人的相应损失费用等；</w:t>
      </w:r>
    </w:p>
    <w:p w14:paraId="7ECE62F7">
      <w:pPr>
        <w:spacing w:before="120" w:after="120" w:line="400" w:lineRule="exact"/>
        <w:ind w:firstLine="420" w:firstLineChars="200"/>
        <w:rPr>
          <w:szCs w:val="21"/>
        </w:rPr>
      </w:pPr>
      <w:r>
        <w:rPr>
          <w:szCs w:val="21"/>
        </w:rPr>
        <w:t>（5）因发包人违反合同约定造成暂停施工的违约责任：</w:t>
      </w:r>
      <w:r>
        <w:rPr>
          <w:rFonts w:hint="eastAsia"/>
          <w:kern w:val="0"/>
          <w:szCs w:val="21"/>
          <w:u w:val="single"/>
        </w:rPr>
        <w:t>造成工期延误的顺延工期，并承担增加的造价及承包人的相应损失费用等。</w:t>
      </w:r>
    </w:p>
    <w:p w14:paraId="40E89D05">
      <w:pPr>
        <w:spacing w:before="120" w:after="120" w:line="400" w:lineRule="exact"/>
        <w:ind w:firstLine="420" w:firstLineChars="200"/>
        <w:rPr>
          <w:szCs w:val="21"/>
        </w:rPr>
      </w:pPr>
      <w:r>
        <w:rPr>
          <w:szCs w:val="21"/>
        </w:rPr>
        <w:t>（6）发包人无正当理由没有在约定期限内发出复工指示，导致承包人无法复工的违约责任：</w:t>
      </w:r>
      <w:r>
        <w:rPr>
          <w:rFonts w:hint="eastAsia"/>
          <w:kern w:val="0"/>
          <w:szCs w:val="21"/>
          <w:u w:val="single"/>
        </w:rPr>
        <w:t>造成工期延误的顺延工期，并承担增加的造价及承包人的相应损失费用等。</w:t>
      </w:r>
    </w:p>
    <w:p w14:paraId="22F48008">
      <w:pPr>
        <w:spacing w:before="120" w:after="120" w:line="400" w:lineRule="exact"/>
        <w:ind w:firstLine="420" w:firstLineChars="200"/>
        <w:rPr>
          <w:szCs w:val="21"/>
        </w:rPr>
      </w:pPr>
      <w:r>
        <w:rPr>
          <w:szCs w:val="21"/>
        </w:rPr>
        <w:t>（7）其他：</w:t>
      </w:r>
      <w:r>
        <w:rPr>
          <w:szCs w:val="21"/>
          <w:u w:val="single"/>
        </w:rPr>
        <w:t xml:space="preserve">          </w:t>
      </w:r>
      <w:r>
        <w:rPr>
          <w:rFonts w:hint="eastAsia"/>
          <w:szCs w:val="21"/>
          <w:u w:val="single"/>
        </w:rPr>
        <w:t>/</w:t>
      </w:r>
      <w:r>
        <w:rPr>
          <w:szCs w:val="21"/>
          <w:u w:val="single"/>
        </w:rPr>
        <w:t xml:space="preserve">                         </w:t>
      </w:r>
      <w:r>
        <w:rPr>
          <w:szCs w:val="21"/>
        </w:rPr>
        <w:t>。</w:t>
      </w:r>
    </w:p>
    <w:p w14:paraId="68FE7AFD">
      <w:pPr>
        <w:spacing w:before="120" w:after="120" w:line="400" w:lineRule="exact"/>
        <w:ind w:firstLine="420" w:firstLineChars="200"/>
        <w:rPr>
          <w:szCs w:val="21"/>
        </w:rPr>
      </w:pPr>
      <w:r>
        <w:rPr>
          <w:szCs w:val="21"/>
        </w:rPr>
        <w:t>16.1.3 因发包人违约解除合同</w:t>
      </w:r>
    </w:p>
    <w:p w14:paraId="5643D61D">
      <w:pPr>
        <w:spacing w:before="120" w:after="120" w:line="400" w:lineRule="exact"/>
        <w:ind w:firstLine="420" w:firstLineChars="200"/>
        <w:rPr>
          <w:szCs w:val="21"/>
        </w:rPr>
      </w:pPr>
      <w:r>
        <w:rPr>
          <w:szCs w:val="21"/>
        </w:rPr>
        <w:t>承包人按16.1.1项〔发包人违约的情形〕约定暂停施工满</w:t>
      </w:r>
      <w:r>
        <w:rPr>
          <w:szCs w:val="21"/>
          <w:u w:val="single"/>
        </w:rPr>
        <w:t xml:space="preserve">  </w:t>
      </w:r>
      <w:r>
        <w:rPr>
          <w:rFonts w:hint="eastAsia"/>
          <w:szCs w:val="21"/>
          <w:u w:val="single"/>
        </w:rPr>
        <w:t xml:space="preserve"> </w:t>
      </w:r>
      <w:r>
        <w:rPr>
          <w:szCs w:val="21"/>
          <w:u w:val="single"/>
        </w:rPr>
        <w:t xml:space="preserve"> </w:t>
      </w:r>
      <w:r>
        <w:rPr>
          <w:szCs w:val="21"/>
        </w:rPr>
        <w:t>天后发包人仍不纠正其违约行为并致使合同目的不能实现的，承包人有权解除合同。</w:t>
      </w:r>
    </w:p>
    <w:p w14:paraId="1A7A3541">
      <w:pPr>
        <w:spacing w:before="120" w:after="120" w:line="400" w:lineRule="exact"/>
        <w:ind w:firstLine="420" w:firstLineChars="200"/>
        <w:rPr>
          <w:szCs w:val="21"/>
        </w:rPr>
      </w:pPr>
      <w:r>
        <w:rPr>
          <w:szCs w:val="21"/>
        </w:rPr>
        <w:t>16.2 承包人违约</w:t>
      </w:r>
    </w:p>
    <w:p w14:paraId="79CE981D">
      <w:pPr>
        <w:spacing w:before="120" w:after="120" w:line="400" w:lineRule="exact"/>
        <w:ind w:firstLine="420" w:firstLineChars="200"/>
        <w:rPr>
          <w:szCs w:val="21"/>
        </w:rPr>
      </w:pPr>
      <w:r>
        <w:rPr>
          <w:szCs w:val="21"/>
        </w:rPr>
        <w:t>16.2.1 承包人违约的情形</w:t>
      </w:r>
    </w:p>
    <w:p w14:paraId="392C0B17">
      <w:pPr>
        <w:spacing w:before="120" w:after="120" w:line="400" w:lineRule="exact"/>
        <w:ind w:firstLine="420" w:firstLineChars="200"/>
        <w:rPr>
          <w:szCs w:val="21"/>
          <w:u w:val="single"/>
        </w:rPr>
      </w:pPr>
      <w:r>
        <w:rPr>
          <w:szCs w:val="21"/>
        </w:rPr>
        <w:t>承包人违约的其他情形：</w:t>
      </w:r>
    </w:p>
    <w:p w14:paraId="735368C8">
      <w:pPr>
        <w:spacing w:before="120" w:after="120" w:line="400" w:lineRule="exact"/>
        <w:ind w:firstLine="420" w:firstLineChars="200"/>
        <w:rPr>
          <w:szCs w:val="21"/>
          <w:u w:val="single"/>
        </w:rPr>
      </w:pPr>
      <w:r>
        <w:rPr>
          <w:szCs w:val="21"/>
        </w:rPr>
        <w:t>（1</w:t>
      </w:r>
      <w:r>
        <w:rPr>
          <w:szCs w:val="21"/>
          <w:u w:val="single"/>
        </w:rPr>
        <w:t>）机械设备、施工项目班子未按投标承诺及时到位；</w:t>
      </w:r>
    </w:p>
    <w:p w14:paraId="00C3F1B0">
      <w:pPr>
        <w:spacing w:before="120" w:after="120" w:line="400" w:lineRule="exact"/>
        <w:ind w:firstLine="420" w:firstLineChars="200"/>
        <w:rPr>
          <w:szCs w:val="21"/>
          <w:u w:val="single"/>
        </w:rPr>
      </w:pPr>
      <w:r>
        <w:rPr>
          <w:szCs w:val="21"/>
        </w:rPr>
        <w:t>（2</w:t>
      </w:r>
      <w:r>
        <w:rPr>
          <w:szCs w:val="21"/>
          <w:u w:val="single"/>
        </w:rPr>
        <w:t>）本工程在实施过程中，承包人的施工队伍素质、</w:t>
      </w:r>
      <w:r>
        <w:rPr>
          <w:rFonts w:hint="eastAsia"/>
          <w:szCs w:val="21"/>
          <w:u w:val="single"/>
        </w:rPr>
        <w:t>施工</w:t>
      </w:r>
      <w:r>
        <w:rPr>
          <w:szCs w:val="21"/>
          <w:u w:val="single"/>
        </w:rPr>
        <w:t>力量、现场安全文明施工不符合投标书的承诺，造成现场管理混乱、工程质量和进度达不到投标所承诺的要求；</w:t>
      </w:r>
    </w:p>
    <w:p w14:paraId="174A4DFC">
      <w:pPr>
        <w:spacing w:before="120" w:after="120" w:line="400" w:lineRule="exact"/>
        <w:ind w:firstLine="420" w:firstLineChars="200"/>
        <w:rPr>
          <w:szCs w:val="21"/>
        </w:rPr>
      </w:pPr>
      <w:r>
        <w:rPr>
          <w:szCs w:val="21"/>
        </w:rPr>
        <w:t>（3</w:t>
      </w:r>
      <w:r>
        <w:rPr>
          <w:szCs w:val="21"/>
          <w:u w:val="single"/>
        </w:rPr>
        <w:t>）承包人允许其他人挂靠经营、私自转包</w:t>
      </w:r>
      <w:r>
        <w:rPr>
          <w:szCs w:val="21"/>
        </w:rPr>
        <w:t>；</w:t>
      </w:r>
    </w:p>
    <w:p w14:paraId="21A0A9BD">
      <w:pPr>
        <w:spacing w:before="120" w:after="120" w:line="400" w:lineRule="exact"/>
        <w:ind w:firstLine="420" w:firstLineChars="200"/>
        <w:rPr>
          <w:szCs w:val="21"/>
          <w:u w:val="single"/>
        </w:rPr>
      </w:pPr>
      <w:r>
        <w:rPr>
          <w:szCs w:val="21"/>
        </w:rPr>
        <w:t>（4</w:t>
      </w:r>
      <w:r>
        <w:rPr>
          <w:szCs w:val="21"/>
          <w:u w:val="single"/>
        </w:rPr>
        <w:t>）承包人未达到投标时所承诺的诚信</w:t>
      </w:r>
      <w:r>
        <w:rPr>
          <w:rFonts w:hint="eastAsia"/>
          <w:szCs w:val="21"/>
          <w:u w:val="single"/>
        </w:rPr>
        <w:t>与</w:t>
      </w:r>
      <w:r>
        <w:rPr>
          <w:szCs w:val="21"/>
          <w:u w:val="single"/>
        </w:rPr>
        <w:t>技术标准</w:t>
      </w:r>
      <w:r>
        <w:rPr>
          <w:rFonts w:hint="eastAsia"/>
          <w:szCs w:val="21"/>
          <w:u w:val="single"/>
        </w:rPr>
        <w:t>。</w:t>
      </w:r>
    </w:p>
    <w:p w14:paraId="1490B231">
      <w:pPr>
        <w:spacing w:before="120" w:after="120" w:line="400" w:lineRule="exact"/>
        <w:ind w:firstLine="420" w:firstLineChars="200"/>
        <w:rPr>
          <w:szCs w:val="21"/>
        </w:rPr>
      </w:pPr>
      <w:r>
        <w:rPr>
          <w:szCs w:val="21"/>
        </w:rPr>
        <w:t>16.2.2承包人违约的责任</w:t>
      </w:r>
    </w:p>
    <w:p w14:paraId="4D94363B">
      <w:pPr>
        <w:spacing w:before="120" w:after="120" w:line="400" w:lineRule="exact"/>
        <w:ind w:firstLine="420" w:firstLineChars="200"/>
        <w:rPr>
          <w:szCs w:val="21"/>
        </w:rPr>
      </w:pPr>
      <w:r>
        <w:rPr>
          <w:szCs w:val="21"/>
        </w:rPr>
        <w:t>承包人违约责任的承担方式和计算方法：</w:t>
      </w:r>
    </w:p>
    <w:p w14:paraId="515EC9E7">
      <w:pPr>
        <w:spacing w:before="120" w:after="120" w:line="400" w:lineRule="exact"/>
        <w:ind w:firstLine="420" w:firstLineChars="200"/>
        <w:rPr>
          <w:szCs w:val="21"/>
          <w:u w:val="single"/>
        </w:rPr>
      </w:pPr>
      <w:r>
        <w:rPr>
          <w:szCs w:val="21"/>
        </w:rPr>
        <w:t>（1）</w:t>
      </w:r>
      <w:r>
        <w:rPr>
          <w:szCs w:val="21"/>
          <w:u w:val="single"/>
        </w:rPr>
        <w:t>机械设备未按投标承诺到位，每项扣除履约担保金2%；</w:t>
      </w:r>
    </w:p>
    <w:p w14:paraId="63A93C3C">
      <w:pPr>
        <w:spacing w:before="120" w:after="120" w:line="400" w:lineRule="exact"/>
        <w:ind w:firstLine="420" w:firstLineChars="200"/>
        <w:rPr>
          <w:szCs w:val="21"/>
          <w:u w:val="single"/>
        </w:rPr>
      </w:pPr>
      <w:r>
        <w:rPr>
          <w:szCs w:val="21"/>
        </w:rPr>
        <w:t>（2）</w:t>
      </w:r>
      <w:r>
        <w:rPr>
          <w:szCs w:val="21"/>
          <w:u w:val="single"/>
        </w:rPr>
        <w:t>现场安全文明施工不符合投标书承诺，扣减相应安全文明施工费用；承包人原因造成现场管理混乱、工程质量和进度达不到投标承诺的要求，发包人有权要求承包人调整充实施工力量、更换项目班子，及至解除施工合同，所有履约担保金归发包人，并赔偿发包人损失。</w:t>
      </w:r>
    </w:p>
    <w:p w14:paraId="1B84FCDD">
      <w:pPr>
        <w:spacing w:before="120" w:after="120" w:line="400" w:lineRule="exact"/>
        <w:ind w:firstLine="420" w:firstLineChars="200"/>
        <w:rPr>
          <w:szCs w:val="21"/>
          <w:u w:val="single"/>
        </w:rPr>
      </w:pPr>
      <w:r>
        <w:rPr>
          <w:szCs w:val="21"/>
        </w:rPr>
        <w:t>（3）</w:t>
      </w:r>
      <w:r>
        <w:rPr>
          <w:szCs w:val="21"/>
          <w:u w:val="single"/>
        </w:rPr>
        <w:t>发现承包人允许其他人挂靠经营、私自转包，所有履约担保归发包人，同时赔偿发包人损失，并责令退出工地。</w:t>
      </w:r>
    </w:p>
    <w:p w14:paraId="21FA9383">
      <w:pPr>
        <w:spacing w:before="120" w:after="120" w:line="400" w:lineRule="exact"/>
        <w:ind w:firstLine="420" w:firstLineChars="200"/>
        <w:rPr>
          <w:szCs w:val="21"/>
          <w:u w:val="single"/>
        </w:rPr>
      </w:pPr>
      <w:r>
        <w:rPr>
          <w:szCs w:val="21"/>
        </w:rPr>
        <w:t>（4）</w:t>
      </w:r>
      <w:r>
        <w:rPr>
          <w:rFonts w:hint="eastAsia"/>
          <w:szCs w:val="21"/>
          <w:u w:val="single"/>
        </w:rPr>
        <w:t>未达到投标所承诺的诚信与技术标准，按每一项扣减履约担保金的</w:t>
      </w:r>
      <w:r>
        <w:rPr>
          <w:szCs w:val="21"/>
          <w:u w:val="single"/>
        </w:rPr>
        <w:t>10</w:t>
      </w:r>
      <w:r>
        <w:rPr>
          <w:rFonts w:hint="eastAsia"/>
          <w:szCs w:val="21"/>
          <w:u w:val="single"/>
        </w:rPr>
        <w:t>%。</w:t>
      </w:r>
    </w:p>
    <w:p w14:paraId="7A7C816C">
      <w:pPr>
        <w:spacing w:before="120" w:after="120" w:line="400" w:lineRule="exact"/>
        <w:ind w:firstLine="420" w:firstLineChars="200"/>
        <w:rPr>
          <w:rFonts w:hint="eastAsia"/>
          <w:color w:val="000000" w:themeColor="text1"/>
          <w:szCs w:val="21"/>
          <w:u w:val="single"/>
          <w14:textFill>
            <w14:solidFill>
              <w14:schemeClr w14:val="tx1"/>
            </w14:solidFill>
          </w14:textFill>
        </w:rPr>
      </w:pPr>
      <w:r>
        <w:rPr>
          <w:rFonts w:hint="eastAsia"/>
          <w:szCs w:val="21"/>
          <w:u w:val="single"/>
        </w:rPr>
        <w:t>（5）</w:t>
      </w:r>
      <w:r>
        <w:rPr>
          <w:rFonts w:hint="eastAsia"/>
          <w:color w:val="000000" w:themeColor="text1"/>
          <w:szCs w:val="21"/>
          <w:u w:val="single"/>
          <w14:textFill>
            <w14:solidFill>
              <w14:schemeClr w14:val="tx1"/>
            </w14:solidFill>
          </w14:textFill>
        </w:rPr>
        <w:t>工程延误超过了合同工期，延误责任由承包人承担。</w:t>
      </w:r>
      <w:r>
        <w:rPr>
          <w:rFonts w:hint="eastAsia" w:ascii="Times New Roman" w:hAnsi="Times New Roman" w:eastAsia="宋体" w:cs="Times New Roman"/>
          <w:color w:val="000000" w:themeColor="text1"/>
          <w:szCs w:val="21"/>
          <w:u w:val="single"/>
          <w:lang w:val="en-US" w:eastAsia="zh-CN"/>
          <w14:textFill>
            <w14:solidFill>
              <w14:schemeClr w14:val="tx1"/>
            </w14:solidFill>
          </w14:textFill>
        </w:rPr>
        <w:t>工期延误违约金按照合同专用条款7.5.2执行。</w:t>
      </w:r>
      <w:r>
        <w:rPr>
          <w:rFonts w:hint="eastAsia"/>
          <w:color w:val="000000" w:themeColor="text1"/>
          <w:szCs w:val="21"/>
          <w:u w:val="single"/>
          <w14:textFill>
            <w14:solidFill>
              <w14:schemeClr w14:val="tx1"/>
            </w14:solidFill>
          </w14:textFill>
        </w:rPr>
        <w:t>工期不予顺延，由工期延误引起人工、材料价格上涨由承包人承担，按原合同约定价格结算；价格下降归发包人受益，按下降后价格结算。当</w:t>
      </w:r>
      <w:r>
        <w:rPr>
          <w:rFonts w:hint="eastAsia"/>
          <w:color w:val="000000" w:themeColor="text1"/>
          <w:szCs w:val="21"/>
          <w:u w:val="single"/>
          <w:lang w:eastAsia="zh-CN"/>
          <w14:textFill>
            <w14:solidFill>
              <w14:schemeClr w14:val="tx1"/>
            </w14:solidFill>
          </w14:textFill>
        </w:rPr>
        <w:t>延误</w:t>
      </w:r>
      <w:r>
        <w:rPr>
          <w:rFonts w:hint="eastAsia"/>
          <w:color w:val="000000" w:themeColor="text1"/>
          <w:szCs w:val="21"/>
          <w:u w:val="single"/>
          <w14:textFill>
            <w14:solidFill>
              <w14:schemeClr w14:val="tx1"/>
            </w14:solidFill>
          </w14:textFill>
        </w:rPr>
        <w:t>工期超过合同工期〔50%〕以上时，</w:t>
      </w:r>
      <w:r>
        <w:rPr>
          <w:rFonts w:hint="eastAsia"/>
          <w:color w:val="000000" w:themeColor="text1"/>
          <w:szCs w:val="21"/>
          <w:u w:val="single"/>
          <w:lang w:eastAsia="zh-CN"/>
          <w14:textFill>
            <w14:solidFill>
              <w14:schemeClr w14:val="tx1"/>
            </w14:solidFill>
          </w14:textFill>
        </w:rPr>
        <w:t>发包人有权</w:t>
      </w:r>
      <w:r>
        <w:rPr>
          <w:rFonts w:hint="eastAsia"/>
          <w:color w:val="000000" w:themeColor="text1"/>
          <w:szCs w:val="21"/>
          <w:u w:val="single"/>
          <w14:textFill>
            <w14:solidFill>
              <w14:schemeClr w14:val="tx1"/>
            </w14:solidFill>
          </w14:textFill>
        </w:rPr>
        <w:t>解除施工合同。</w:t>
      </w:r>
    </w:p>
    <w:p w14:paraId="67E1E9B1">
      <w:pPr>
        <w:spacing w:line="400" w:lineRule="exact"/>
        <w:ind w:firstLine="420" w:firstLineChars="200"/>
        <w:rPr>
          <w:szCs w:val="21"/>
          <w:u w:val="single"/>
        </w:rPr>
      </w:pPr>
      <w:r>
        <w:rPr>
          <w:rFonts w:hint="eastAsia"/>
          <w:szCs w:val="21"/>
          <w:u w:val="single"/>
        </w:rPr>
        <w:t>（6）承包人无法继续履行、明确表示不履行或实质上已停止履行合同，发包人可通知承包人全部解除合同，所有履约担保归发包人，同时赔偿发包人损失。</w:t>
      </w:r>
    </w:p>
    <w:p w14:paraId="5FEF626D">
      <w:pPr>
        <w:spacing w:before="120" w:after="120" w:line="400" w:lineRule="exact"/>
        <w:ind w:firstLine="420" w:firstLineChars="200"/>
        <w:rPr>
          <w:szCs w:val="21"/>
        </w:rPr>
      </w:pPr>
      <w:r>
        <w:rPr>
          <w:szCs w:val="21"/>
        </w:rPr>
        <w:t>16.2.3 因承包人违约解除合同</w:t>
      </w:r>
    </w:p>
    <w:p w14:paraId="7D557695">
      <w:pPr>
        <w:spacing w:before="120" w:after="120" w:line="400" w:lineRule="exact"/>
        <w:ind w:firstLine="420" w:firstLineChars="200"/>
        <w:rPr>
          <w:color w:val="auto"/>
          <w:szCs w:val="21"/>
          <w:u w:val="single"/>
        </w:rPr>
      </w:pPr>
      <w:r>
        <w:rPr>
          <w:szCs w:val="21"/>
        </w:rPr>
        <w:t>关于承包人违约解除合同的特别约</w:t>
      </w:r>
      <w:r>
        <w:rPr>
          <w:color w:val="auto"/>
          <w:szCs w:val="21"/>
        </w:rPr>
        <w:t>定：</w:t>
      </w:r>
      <w:r>
        <w:rPr>
          <w:rFonts w:hint="eastAsia"/>
          <w:b/>
          <w:color w:val="auto"/>
          <w:szCs w:val="21"/>
          <w:u w:val="single"/>
        </w:rPr>
        <w:t>如符合16.2.1条款，在发包人要求改正期限30天</w:t>
      </w:r>
      <w:r>
        <w:rPr>
          <w:rFonts w:hint="eastAsia"/>
          <w:b/>
          <w:color w:val="auto"/>
          <w:szCs w:val="21"/>
          <w:u w:val="single"/>
          <w:lang w:eastAsia="zh-CN"/>
        </w:rPr>
        <w:t>内</w:t>
      </w:r>
      <w:r>
        <w:rPr>
          <w:rFonts w:hint="eastAsia"/>
          <w:b/>
          <w:color w:val="auto"/>
          <w:szCs w:val="21"/>
          <w:u w:val="single"/>
        </w:rPr>
        <w:t>拒不改正，发包人有权解除合同</w:t>
      </w:r>
      <w:r>
        <w:rPr>
          <w:b/>
          <w:color w:val="auto"/>
          <w:szCs w:val="21"/>
          <w:u w:val="single"/>
        </w:rPr>
        <w:t>。</w:t>
      </w:r>
      <w:r>
        <w:rPr>
          <w:rFonts w:hint="eastAsia" w:ascii="Times New Roman" w:hAnsi="Times New Roman" w:eastAsia="宋体" w:cs="Times New Roman"/>
          <w:b/>
          <w:color w:val="auto"/>
          <w:szCs w:val="21"/>
          <w:u w:val="single"/>
          <w:lang w:eastAsia="zh-CN"/>
        </w:rPr>
        <w:t>承包人</w:t>
      </w:r>
      <w:r>
        <w:rPr>
          <w:rFonts w:hint="eastAsia" w:ascii="Times New Roman" w:hAnsi="Times New Roman" w:eastAsia="宋体" w:cs="Times New Roman"/>
          <w:b/>
          <w:color w:val="auto"/>
          <w:szCs w:val="21"/>
          <w:u w:val="single"/>
        </w:rPr>
        <w:t>按约定的支付违约金给发包人，发包人损失超过违约金约定金额的，</w:t>
      </w:r>
      <w:r>
        <w:rPr>
          <w:rFonts w:hint="eastAsia" w:ascii="Times New Roman" w:hAnsi="Times New Roman" w:eastAsia="宋体" w:cs="Times New Roman"/>
          <w:b/>
          <w:color w:val="auto"/>
          <w:szCs w:val="21"/>
          <w:u w:val="single"/>
          <w:lang w:eastAsia="zh-CN"/>
        </w:rPr>
        <w:t>承包人</w:t>
      </w:r>
      <w:r>
        <w:rPr>
          <w:rFonts w:hint="eastAsia" w:ascii="Times New Roman" w:hAnsi="Times New Roman" w:eastAsia="宋体" w:cs="Times New Roman"/>
          <w:b/>
          <w:color w:val="auto"/>
          <w:szCs w:val="21"/>
          <w:u w:val="single"/>
        </w:rPr>
        <w:t>还需赔偿发包人实际损失。</w:t>
      </w:r>
    </w:p>
    <w:p w14:paraId="1FC3326B">
      <w:pPr>
        <w:spacing w:before="120" w:after="120" w:line="400" w:lineRule="exact"/>
        <w:ind w:firstLine="420" w:firstLineChars="200"/>
        <w:rPr>
          <w:color w:val="auto"/>
          <w:szCs w:val="21"/>
        </w:rPr>
      </w:pPr>
      <w:r>
        <w:rPr>
          <w:color w:val="auto"/>
          <w:szCs w:val="21"/>
        </w:rPr>
        <w:t>发包人继续使用承包人在施工现场的材料、设备、临时工程、承包人文件和由承包人或以其名义编制的其他文件的费用承担方式：</w:t>
      </w:r>
      <w:r>
        <w:rPr>
          <w:color w:val="auto"/>
          <w:szCs w:val="21"/>
          <w:u w:val="single"/>
        </w:rPr>
        <w:t xml:space="preserve"> 使用施工现场的材料、设备按实结算，使用施工机械、器具按租赁费结算，临时工程折算成费用按完成造价比例计算，无偿使用承包人为本工程施工所编制的相应文件等 </w:t>
      </w:r>
      <w:r>
        <w:rPr>
          <w:color w:val="auto"/>
          <w:szCs w:val="21"/>
        </w:rPr>
        <w:t>。</w:t>
      </w:r>
    </w:p>
    <w:p w14:paraId="610FC22D">
      <w:pPr>
        <w:spacing w:before="120" w:after="120" w:line="400" w:lineRule="exact"/>
        <w:ind w:firstLine="420" w:firstLineChars="200"/>
        <w:rPr>
          <w:color w:val="auto"/>
          <w:szCs w:val="21"/>
          <w:u w:val="single"/>
        </w:rPr>
      </w:pPr>
      <w:r>
        <w:rPr>
          <w:color w:val="auto"/>
          <w:szCs w:val="21"/>
        </w:rPr>
        <w:t>16.2.4 因承包人违约解除合同后的处理：</w:t>
      </w:r>
      <w:r>
        <w:rPr>
          <w:color w:val="auto"/>
          <w:szCs w:val="21"/>
          <w:u w:val="single"/>
        </w:rPr>
        <w:t xml:space="preserve"> </w:t>
      </w:r>
      <w:r>
        <w:rPr>
          <w:rFonts w:hint="eastAsia" w:ascii="Times New Roman" w:hAnsi="Times New Roman" w:eastAsia="宋体" w:cs="Times New Roman"/>
          <w:color w:val="auto"/>
          <w:szCs w:val="21"/>
          <w:u w:val="single"/>
          <w:lang w:eastAsia="zh-CN"/>
        </w:rPr>
        <w:t>根据合同约定承担违约金并赔偿发包人的实际损失。</w:t>
      </w:r>
    </w:p>
    <w:p w14:paraId="624F0976">
      <w:pPr>
        <w:pStyle w:val="4"/>
        <w:spacing w:before="0" w:after="0" w:line="400" w:lineRule="exact"/>
        <w:ind w:firstLine="422" w:firstLineChars="200"/>
        <w:rPr>
          <w:rFonts w:ascii="Times New Roman" w:hAnsi="Times New Roman" w:eastAsia="宋体"/>
          <w:b w:val="0"/>
          <w:sz w:val="21"/>
          <w:szCs w:val="21"/>
        </w:rPr>
      </w:pPr>
      <w:bookmarkStart w:id="119" w:name="_Toc351203649"/>
      <w:r>
        <w:rPr>
          <w:rFonts w:ascii="Times New Roman" w:hAnsi="Times New Roman"/>
          <w:sz w:val="21"/>
          <w:szCs w:val="21"/>
        </w:rPr>
        <w:t>17. 不可抗力</w:t>
      </w:r>
      <w:bookmarkEnd w:id="119"/>
      <w:r>
        <w:rPr>
          <w:rFonts w:ascii="Times New Roman" w:hAnsi="Times New Roman" w:eastAsia="宋体"/>
          <w:b w:val="0"/>
          <w:sz w:val="21"/>
          <w:szCs w:val="21"/>
        </w:rPr>
        <w:t xml:space="preserve"> </w:t>
      </w:r>
    </w:p>
    <w:p w14:paraId="2B6FD65D">
      <w:pPr>
        <w:spacing w:line="400" w:lineRule="exact"/>
        <w:ind w:firstLine="420" w:firstLineChars="200"/>
        <w:rPr>
          <w:szCs w:val="21"/>
        </w:rPr>
      </w:pPr>
      <w:r>
        <w:rPr>
          <w:szCs w:val="21"/>
        </w:rPr>
        <w:t>17.1 不可抗力的确认</w:t>
      </w:r>
    </w:p>
    <w:p w14:paraId="6658958B">
      <w:pPr>
        <w:spacing w:line="400" w:lineRule="exact"/>
        <w:ind w:firstLine="420" w:firstLineChars="200"/>
        <w:rPr>
          <w:rFonts w:hint="eastAsia"/>
          <w:szCs w:val="21"/>
          <w:u w:val="single"/>
        </w:rPr>
      </w:pPr>
      <w:r>
        <w:rPr>
          <w:szCs w:val="21"/>
        </w:rPr>
        <w:t>除通用合同条款约定的不可抗力事件之外，视为不可抗力的其他情形：</w:t>
      </w:r>
      <w:r>
        <w:rPr>
          <w:szCs w:val="21"/>
          <w:u w:val="single"/>
        </w:rPr>
        <w:t xml:space="preserve"> </w:t>
      </w:r>
      <w:r>
        <w:rPr>
          <w:rFonts w:hint="eastAsia"/>
          <w:szCs w:val="21"/>
          <w:u w:val="single"/>
        </w:rPr>
        <w:t>10级（不含10级）以上台风、10年一遇洪水、暴风雪、干旱，罢工、政府禁令</w:t>
      </w:r>
      <w:r>
        <w:rPr>
          <w:szCs w:val="21"/>
          <w:u w:val="single"/>
        </w:rPr>
        <w:t>。</w:t>
      </w:r>
    </w:p>
    <w:p w14:paraId="4E7B9CAE">
      <w:pPr>
        <w:spacing w:line="400" w:lineRule="exact"/>
        <w:ind w:firstLine="420" w:firstLineChars="200"/>
        <w:rPr>
          <w:rFonts w:ascii="宋体" w:hAnsi="宋体"/>
          <w:kern w:val="0"/>
          <w:szCs w:val="21"/>
        </w:rPr>
      </w:pPr>
      <w:r>
        <w:rPr>
          <w:rFonts w:hint="eastAsia" w:ascii="宋体" w:hAnsi="宋体"/>
          <w:kern w:val="0"/>
          <w:szCs w:val="21"/>
        </w:rPr>
        <w:t>17.2 不可抗力的通知</w:t>
      </w:r>
    </w:p>
    <w:p w14:paraId="672B7ECF">
      <w:pPr>
        <w:spacing w:line="400" w:lineRule="exact"/>
        <w:ind w:firstLine="420" w:firstLineChars="200"/>
        <w:rPr>
          <w:rFonts w:ascii="宋体" w:hAnsi="宋体"/>
          <w:kern w:val="0"/>
          <w:szCs w:val="21"/>
          <w:u w:val="single"/>
        </w:rPr>
      </w:pPr>
      <w:r>
        <w:rPr>
          <w:rFonts w:hint="eastAsia" w:ascii="宋体" w:hAnsi="宋体"/>
          <w:kern w:val="0"/>
          <w:szCs w:val="21"/>
          <w:u w:val="single"/>
        </w:rPr>
        <w:t>按通用条款；另在遭遇不可抗力事件时，为避免不可抗力事件造成更大的损失，承包人采取合理的措施而增加的费用由发包人承担，在向发包人和监理人报告不可抗力事件时一并提交所采取的合理措施内容。</w:t>
      </w:r>
    </w:p>
    <w:p w14:paraId="281BC12C">
      <w:pPr>
        <w:spacing w:line="400" w:lineRule="exact"/>
        <w:ind w:firstLine="420" w:firstLineChars="200"/>
        <w:rPr>
          <w:rFonts w:ascii="宋体" w:hAnsi="宋体"/>
          <w:kern w:val="0"/>
          <w:szCs w:val="21"/>
        </w:rPr>
      </w:pPr>
      <w:r>
        <w:rPr>
          <w:rFonts w:hint="eastAsia" w:ascii="宋体" w:hAnsi="宋体"/>
          <w:kern w:val="0"/>
          <w:szCs w:val="21"/>
        </w:rPr>
        <w:t>17.3 不可抗力后果的承担</w:t>
      </w:r>
    </w:p>
    <w:p w14:paraId="0BA0907D">
      <w:pPr>
        <w:spacing w:line="400" w:lineRule="exact"/>
        <w:ind w:firstLine="420" w:firstLineChars="200"/>
        <w:rPr>
          <w:rFonts w:hint="eastAsia" w:ascii="宋体" w:hAnsi="宋体"/>
          <w:szCs w:val="21"/>
          <w:u w:val="single"/>
        </w:rPr>
      </w:pPr>
      <w:r>
        <w:rPr>
          <w:rFonts w:hint="eastAsia" w:ascii="宋体" w:hAnsi="宋体"/>
          <w:kern w:val="0"/>
          <w:szCs w:val="21"/>
          <w:u w:val="single"/>
        </w:rPr>
        <w:t>按通用条款。</w:t>
      </w:r>
    </w:p>
    <w:p w14:paraId="0C2B8E23">
      <w:pPr>
        <w:spacing w:line="400" w:lineRule="exact"/>
        <w:ind w:firstLine="420" w:firstLineChars="200"/>
        <w:rPr>
          <w:szCs w:val="21"/>
        </w:rPr>
      </w:pPr>
      <w:r>
        <w:rPr>
          <w:szCs w:val="21"/>
        </w:rPr>
        <w:t>17.4 因不可抗力解除合同</w:t>
      </w:r>
    </w:p>
    <w:p w14:paraId="3A303E8C">
      <w:pPr>
        <w:spacing w:line="400" w:lineRule="exact"/>
        <w:ind w:firstLine="420" w:firstLineChars="200"/>
        <w:rPr>
          <w:szCs w:val="21"/>
        </w:rPr>
      </w:pPr>
      <w:r>
        <w:rPr>
          <w:szCs w:val="21"/>
        </w:rPr>
        <w:t>合同解除后，发包人应在商定或确定发包人应支付款项后</w:t>
      </w:r>
      <w:r>
        <w:rPr>
          <w:szCs w:val="21"/>
          <w:u w:val="single"/>
        </w:rPr>
        <w:t xml:space="preserve"> 6</w:t>
      </w:r>
      <w:r>
        <w:rPr>
          <w:rFonts w:hint="eastAsia"/>
          <w:szCs w:val="21"/>
          <w:u w:val="single"/>
        </w:rPr>
        <w:t>0</w:t>
      </w:r>
      <w:r>
        <w:rPr>
          <w:szCs w:val="21"/>
          <w:u w:val="single"/>
        </w:rPr>
        <w:t xml:space="preserve"> </w:t>
      </w:r>
      <w:r>
        <w:rPr>
          <w:szCs w:val="21"/>
        </w:rPr>
        <w:t>天内完成款项的支付。</w:t>
      </w:r>
    </w:p>
    <w:p w14:paraId="797009EF">
      <w:pPr>
        <w:pStyle w:val="4"/>
        <w:spacing w:before="0" w:after="0" w:line="400" w:lineRule="exact"/>
        <w:ind w:firstLine="422" w:firstLineChars="200"/>
        <w:rPr>
          <w:rFonts w:ascii="Times New Roman" w:hAnsi="Times New Roman"/>
          <w:sz w:val="21"/>
          <w:szCs w:val="21"/>
        </w:rPr>
      </w:pPr>
      <w:bookmarkStart w:id="120" w:name="_Toc351203650"/>
      <w:r>
        <w:rPr>
          <w:rFonts w:ascii="Times New Roman" w:hAnsi="Times New Roman"/>
          <w:sz w:val="21"/>
          <w:szCs w:val="21"/>
        </w:rPr>
        <w:t>18. 保险</w:t>
      </w:r>
      <w:bookmarkEnd w:id="120"/>
    </w:p>
    <w:p w14:paraId="601ED8C5">
      <w:pPr>
        <w:spacing w:line="400" w:lineRule="exact"/>
        <w:ind w:firstLine="420" w:firstLineChars="200"/>
        <w:rPr>
          <w:szCs w:val="21"/>
        </w:rPr>
      </w:pPr>
      <w:r>
        <w:rPr>
          <w:szCs w:val="21"/>
        </w:rPr>
        <w:t>18.1 工程保险</w:t>
      </w:r>
    </w:p>
    <w:p w14:paraId="04F2848D">
      <w:pPr>
        <w:spacing w:line="400" w:lineRule="exact"/>
        <w:ind w:firstLine="420" w:firstLineChars="200"/>
        <w:rPr>
          <w:rFonts w:ascii="宋体" w:hAnsi="宋体"/>
          <w:kern w:val="0"/>
          <w:szCs w:val="21"/>
          <w:u w:val="single"/>
        </w:rPr>
      </w:pPr>
      <w:r>
        <w:rPr>
          <w:szCs w:val="21"/>
        </w:rPr>
        <w:t>关于工程保险的特别约定：</w:t>
      </w:r>
      <w:r>
        <w:rPr>
          <w:rFonts w:hint="eastAsia" w:ascii="宋体" w:hAnsi="宋体"/>
          <w:kern w:val="0"/>
          <w:szCs w:val="21"/>
          <w:u w:val="single"/>
        </w:rPr>
        <w:t>工程一切险、第三者责任险、安全生产责任险由发包人委托承包人投保，工程一切</w:t>
      </w:r>
      <w:r>
        <w:rPr>
          <w:rFonts w:hint="eastAsia" w:ascii="宋体" w:hAnsi="宋体"/>
          <w:color w:val="auto"/>
          <w:kern w:val="0"/>
          <w:szCs w:val="21"/>
          <w:u w:val="single"/>
        </w:rPr>
        <w:t>险（按合同总额的3‰计算）、安全生产责任险、第三者责任险（投保</w:t>
      </w:r>
      <w:r>
        <w:rPr>
          <w:rFonts w:ascii="宋体" w:hAnsi="宋体"/>
          <w:color w:val="auto"/>
          <w:kern w:val="0"/>
          <w:szCs w:val="21"/>
          <w:u w:val="single"/>
        </w:rPr>
        <w:t>金额为</w:t>
      </w:r>
      <w:r>
        <w:rPr>
          <w:rFonts w:hint="eastAsia" w:ascii="宋体" w:hAnsi="宋体"/>
          <w:color w:val="auto"/>
          <w:kern w:val="0"/>
          <w:szCs w:val="21"/>
          <w:u w:val="single"/>
        </w:rPr>
        <w:t>200万元）事故次数不限（不计免赔额）。承包人根据保险单</w:t>
      </w:r>
      <w:r>
        <w:rPr>
          <w:rFonts w:hint="eastAsia" w:ascii="宋体" w:hAnsi="宋体"/>
          <w:kern w:val="0"/>
          <w:szCs w:val="21"/>
          <w:u w:val="single"/>
        </w:rPr>
        <w:t>及发票纳入工程结算</w:t>
      </w:r>
      <w:r>
        <w:rPr>
          <w:rFonts w:ascii="宋体" w:hAnsi="宋体"/>
          <w:kern w:val="0"/>
          <w:szCs w:val="21"/>
          <w:u w:val="single"/>
        </w:rPr>
        <w:t>。</w:t>
      </w:r>
    </w:p>
    <w:p w14:paraId="4CEED053">
      <w:pPr>
        <w:spacing w:line="400" w:lineRule="exact"/>
        <w:ind w:firstLine="420" w:firstLineChars="200"/>
        <w:rPr>
          <w:szCs w:val="21"/>
        </w:rPr>
      </w:pPr>
      <w:r>
        <w:rPr>
          <w:szCs w:val="21"/>
        </w:rPr>
        <w:t>18.3 其他保险</w:t>
      </w:r>
    </w:p>
    <w:p w14:paraId="3B9CF828">
      <w:pPr>
        <w:spacing w:line="400" w:lineRule="exact"/>
        <w:ind w:firstLine="420" w:firstLineChars="200"/>
        <w:rPr>
          <w:szCs w:val="21"/>
        </w:rPr>
      </w:pPr>
      <w:r>
        <w:rPr>
          <w:szCs w:val="21"/>
        </w:rPr>
        <w:t>关于其他保险的约定：</w:t>
      </w:r>
      <w:r>
        <w:rPr>
          <w:rFonts w:hint="eastAsia" w:ascii="宋体" w:hAnsi="宋体"/>
          <w:kern w:val="0"/>
          <w:szCs w:val="21"/>
          <w:u w:val="single"/>
        </w:rPr>
        <w:t>农民工工伤保险按规定执行</w:t>
      </w:r>
      <w:r>
        <w:rPr>
          <w:rFonts w:ascii="宋体" w:hAnsi="宋体"/>
          <w:kern w:val="0"/>
          <w:szCs w:val="21"/>
          <w:u w:val="single"/>
        </w:rPr>
        <w:t>。</w:t>
      </w:r>
    </w:p>
    <w:p w14:paraId="1CA84EE4">
      <w:pPr>
        <w:spacing w:line="400" w:lineRule="exact"/>
        <w:ind w:firstLine="420" w:firstLineChars="200"/>
        <w:rPr>
          <w:szCs w:val="21"/>
          <w:u w:val="single"/>
        </w:rPr>
      </w:pPr>
      <w:r>
        <w:rPr>
          <w:szCs w:val="21"/>
        </w:rPr>
        <w:t>承包人是否应为其施工设备等办理财产保险：</w:t>
      </w:r>
      <w:r>
        <w:rPr>
          <w:rFonts w:hint="eastAsia" w:ascii="宋体" w:hAnsi="宋体"/>
          <w:kern w:val="0"/>
          <w:szCs w:val="21"/>
          <w:u w:val="single"/>
        </w:rPr>
        <w:t>由承包人自行确定</w:t>
      </w:r>
      <w:r>
        <w:rPr>
          <w:rFonts w:ascii="宋体" w:hAnsi="宋体"/>
          <w:kern w:val="0"/>
          <w:szCs w:val="21"/>
          <w:u w:val="single"/>
        </w:rPr>
        <w:t>。</w:t>
      </w:r>
    </w:p>
    <w:p w14:paraId="2AF0033E">
      <w:pPr>
        <w:spacing w:line="400" w:lineRule="exact"/>
        <w:ind w:firstLine="420" w:firstLineChars="200"/>
        <w:rPr>
          <w:szCs w:val="21"/>
        </w:rPr>
      </w:pPr>
      <w:r>
        <w:rPr>
          <w:szCs w:val="21"/>
        </w:rPr>
        <w:t>18.7 通知义务</w:t>
      </w:r>
    </w:p>
    <w:p w14:paraId="2AF02A58">
      <w:pPr>
        <w:spacing w:line="400" w:lineRule="exact"/>
        <w:ind w:firstLine="420" w:firstLineChars="200"/>
        <w:rPr>
          <w:szCs w:val="21"/>
        </w:rPr>
      </w:pPr>
      <w:r>
        <w:rPr>
          <w:szCs w:val="21"/>
        </w:rPr>
        <w:t>关于变更保险合同时的通知义务的约定：</w:t>
      </w:r>
      <w:r>
        <w:rPr>
          <w:szCs w:val="21"/>
          <w:u w:val="single"/>
        </w:rPr>
        <w:t xml:space="preserve">     </w:t>
      </w:r>
      <w:r>
        <w:rPr>
          <w:rFonts w:hint="eastAsia"/>
          <w:szCs w:val="21"/>
          <w:u w:val="single"/>
        </w:rPr>
        <w:t>按通用合同条款规定执行</w:t>
      </w:r>
      <w:r>
        <w:rPr>
          <w:szCs w:val="21"/>
          <w:u w:val="single"/>
        </w:rPr>
        <w:t xml:space="preserve">     </w:t>
      </w:r>
      <w:r>
        <w:rPr>
          <w:szCs w:val="21"/>
        </w:rPr>
        <w:t>。</w:t>
      </w:r>
    </w:p>
    <w:p w14:paraId="732031F2">
      <w:pPr>
        <w:pStyle w:val="4"/>
        <w:spacing w:before="0" w:after="0" w:line="400" w:lineRule="exact"/>
        <w:ind w:firstLine="422" w:firstLineChars="200"/>
        <w:rPr>
          <w:rFonts w:ascii="Times New Roman" w:hAnsi="Times New Roman"/>
          <w:sz w:val="21"/>
          <w:szCs w:val="21"/>
        </w:rPr>
      </w:pPr>
      <w:bookmarkStart w:id="121" w:name="_Toc351203651"/>
      <w:r>
        <w:rPr>
          <w:rFonts w:ascii="Times New Roman" w:hAnsi="Times New Roman"/>
          <w:sz w:val="21"/>
          <w:szCs w:val="21"/>
        </w:rPr>
        <w:t>20. 争议解决</w:t>
      </w:r>
      <w:bookmarkEnd w:id="121"/>
    </w:p>
    <w:p w14:paraId="5C8CA2DE">
      <w:pPr>
        <w:spacing w:line="400" w:lineRule="exact"/>
        <w:ind w:firstLine="420" w:firstLineChars="200"/>
        <w:rPr>
          <w:szCs w:val="21"/>
        </w:rPr>
      </w:pPr>
      <w:r>
        <w:rPr>
          <w:szCs w:val="21"/>
        </w:rPr>
        <w:t>20.3 争议评审</w:t>
      </w:r>
    </w:p>
    <w:p w14:paraId="0274999B">
      <w:pPr>
        <w:spacing w:line="400" w:lineRule="exact"/>
        <w:ind w:firstLine="420" w:firstLineChars="200"/>
        <w:rPr>
          <w:szCs w:val="21"/>
        </w:rPr>
      </w:pPr>
      <w:r>
        <w:rPr>
          <w:szCs w:val="21"/>
        </w:rPr>
        <w:t>合同当事人是否同意将工程争议提交争议评审小组决定：</w:t>
      </w:r>
      <w:r>
        <w:rPr>
          <w:szCs w:val="21"/>
          <w:u w:val="single"/>
        </w:rPr>
        <w:t xml:space="preserve">  </w:t>
      </w:r>
      <w:r>
        <w:rPr>
          <w:rFonts w:hint="eastAsia"/>
          <w:szCs w:val="21"/>
          <w:u w:val="single"/>
        </w:rPr>
        <w:t>/</w:t>
      </w:r>
      <w:r>
        <w:rPr>
          <w:szCs w:val="21"/>
          <w:u w:val="single"/>
        </w:rPr>
        <w:t xml:space="preserve"> </w:t>
      </w:r>
      <w:r>
        <w:rPr>
          <w:rFonts w:hint="eastAsia"/>
          <w:szCs w:val="21"/>
          <w:u w:val="single"/>
        </w:rPr>
        <w:t xml:space="preserve"> </w:t>
      </w:r>
      <w:r>
        <w:rPr>
          <w:szCs w:val="21"/>
          <w:u w:val="single"/>
        </w:rPr>
        <w:t xml:space="preserve"> </w:t>
      </w:r>
      <w:r>
        <w:rPr>
          <w:szCs w:val="21"/>
        </w:rPr>
        <w:t>。</w:t>
      </w:r>
    </w:p>
    <w:p w14:paraId="202CBC59">
      <w:pPr>
        <w:spacing w:line="400" w:lineRule="exact"/>
        <w:ind w:firstLine="420" w:firstLineChars="200"/>
        <w:rPr>
          <w:szCs w:val="21"/>
        </w:rPr>
      </w:pPr>
      <w:r>
        <w:rPr>
          <w:szCs w:val="21"/>
        </w:rPr>
        <w:t>20.3.1 争议评审小组的确定</w:t>
      </w:r>
    </w:p>
    <w:p w14:paraId="6FEF9CE1">
      <w:pPr>
        <w:spacing w:line="400" w:lineRule="exact"/>
        <w:ind w:firstLine="420" w:firstLineChars="200"/>
        <w:rPr>
          <w:szCs w:val="21"/>
          <w:u w:val="single"/>
        </w:rPr>
      </w:pPr>
      <w:r>
        <w:rPr>
          <w:szCs w:val="21"/>
        </w:rPr>
        <w:t>争议评审小组成员的确定：</w:t>
      </w:r>
      <w:r>
        <w:rPr>
          <w:rFonts w:hint="eastAsia"/>
          <w:szCs w:val="21"/>
          <w:u w:val="single"/>
        </w:rPr>
        <w:t>提交争议评审时再选定</w:t>
      </w:r>
      <w:r>
        <w:rPr>
          <w:szCs w:val="21"/>
          <w:u w:val="single"/>
        </w:rPr>
        <w:t>。</w:t>
      </w:r>
    </w:p>
    <w:p w14:paraId="3E3F1F48">
      <w:pPr>
        <w:spacing w:line="400" w:lineRule="exact"/>
        <w:ind w:firstLine="420" w:firstLineChars="200"/>
        <w:rPr>
          <w:szCs w:val="21"/>
        </w:rPr>
      </w:pPr>
      <w:r>
        <w:rPr>
          <w:szCs w:val="21"/>
        </w:rPr>
        <w:t>选定争议评审员的期限：</w:t>
      </w:r>
      <w:r>
        <w:rPr>
          <w:szCs w:val="21"/>
          <w:u w:val="single"/>
        </w:rPr>
        <w:t xml:space="preserve">       </w:t>
      </w:r>
      <w:r>
        <w:rPr>
          <w:rFonts w:hint="eastAsia"/>
          <w:szCs w:val="21"/>
          <w:u w:val="single"/>
        </w:rPr>
        <w:t>/</w:t>
      </w:r>
      <w:r>
        <w:rPr>
          <w:szCs w:val="21"/>
          <w:u w:val="single"/>
        </w:rPr>
        <w:t xml:space="preserve">     </w:t>
      </w:r>
      <w:r>
        <w:rPr>
          <w:szCs w:val="21"/>
        </w:rPr>
        <w:t>。</w:t>
      </w:r>
    </w:p>
    <w:p w14:paraId="39E1BFA2">
      <w:pPr>
        <w:spacing w:line="400" w:lineRule="exact"/>
        <w:ind w:firstLine="420" w:firstLineChars="200"/>
        <w:rPr>
          <w:szCs w:val="21"/>
        </w:rPr>
      </w:pPr>
      <w:r>
        <w:rPr>
          <w:szCs w:val="21"/>
        </w:rPr>
        <w:t>争议评审小组成员的报酬承担方式：</w:t>
      </w:r>
      <w:r>
        <w:rPr>
          <w:szCs w:val="21"/>
          <w:u w:val="single"/>
        </w:rPr>
        <w:t xml:space="preserve">      </w:t>
      </w:r>
      <w:r>
        <w:rPr>
          <w:rFonts w:hint="eastAsia"/>
          <w:szCs w:val="21"/>
          <w:u w:val="single"/>
        </w:rPr>
        <w:t xml:space="preserve"> /</w:t>
      </w:r>
      <w:r>
        <w:rPr>
          <w:szCs w:val="21"/>
          <w:u w:val="single"/>
        </w:rPr>
        <w:t xml:space="preserve">      </w:t>
      </w:r>
      <w:r>
        <w:rPr>
          <w:szCs w:val="21"/>
        </w:rPr>
        <w:t>。</w:t>
      </w:r>
    </w:p>
    <w:p w14:paraId="32BD258E">
      <w:pPr>
        <w:spacing w:line="400" w:lineRule="exact"/>
        <w:ind w:firstLine="420" w:firstLineChars="200"/>
        <w:rPr>
          <w:szCs w:val="21"/>
        </w:rPr>
      </w:pPr>
      <w:r>
        <w:rPr>
          <w:szCs w:val="21"/>
        </w:rPr>
        <w:t>其他事项的约定：</w:t>
      </w:r>
      <w:r>
        <w:rPr>
          <w:szCs w:val="21"/>
          <w:u w:val="single"/>
        </w:rPr>
        <w:t xml:space="preserve">          </w:t>
      </w:r>
      <w:r>
        <w:rPr>
          <w:rFonts w:hint="eastAsia"/>
          <w:szCs w:val="21"/>
          <w:u w:val="single"/>
        </w:rPr>
        <w:t>/</w:t>
      </w:r>
      <w:r>
        <w:rPr>
          <w:szCs w:val="21"/>
          <w:u w:val="single"/>
        </w:rPr>
        <w:t xml:space="preserve">             </w:t>
      </w:r>
      <w:r>
        <w:rPr>
          <w:szCs w:val="21"/>
        </w:rPr>
        <w:t>。</w:t>
      </w:r>
    </w:p>
    <w:p w14:paraId="0394D5D9">
      <w:pPr>
        <w:spacing w:line="400" w:lineRule="exact"/>
        <w:ind w:firstLine="420" w:firstLineChars="200"/>
        <w:rPr>
          <w:szCs w:val="21"/>
        </w:rPr>
      </w:pPr>
      <w:r>
        <w:rPr>
          <w:szCs w:val="21"/>
        </w:rPr>
        <w:t>20.3.2 争议评审小组的决定</w:t>
      </w:r>
    </w:p>
    <w:p w14:paraId="1F2BAE32">
      <w:pPr>
        <w:spacing w:line="400" w:lineRule="exact"/>
        <w:ind w:firstLine="420" w:firstLineChars="200"/>
        <w:rPr>
          <w:szCs w:val="21"/>
          <w:u w:val="single"/>
        </w:rPr>
      </w:pPr>
      <w:r>
        <w:rPr>
          <w:szCs w:val="21"/>
        </w:rPr>
        <w:t>合同当事人关于本项的约定：</w:t>
      </w:r>
      <w:r>
        <w:rPr>
          <w:rFonts w:hint="eastAsia"/>
          <w:szCs w:val="21"/>
          <w:u w:val="single"/>
        </w:rPr>
        <w:t>按通用合同条款规定执行</w:t>
      </w:r>
      <w:r>
        <w:rPr>
          <w:szCs w:val="21"/>
          <w:u w:val="single"/>
        </w:rPr>
        <w:t>。</w:t>
      </w:r>
    </w:p>
    <w:p w14:paraId="5FC5673B">
      <w:pPr>
        <w:spacing w:line="400" w:lineRule="exact"/>
        <w:ind w:firstLine="420" w:firstLineChars="200"/>
        <w:rPr>
          <w:szCs w:val="21"/>
          <w:u w:val="single"/>
        </w:rPr>
      </w:pPr>
      <w:r>
        <w:rPr>
          <w:szCs w:val="21"/>
        </w:rPr>
        <w:t>20.3.3 争议评审小组决定的效力：</w:t>
      </w:r>
      <w:r>
        <w:rPr>
          <w:rFonts w:hint="eastAsia"/>
          <w:szCs w:val="21"/>
          <w:u w:val="single"/>
        </w:rPr>
        <w:t>按合同通用条款规定执行</w:t>
      </w:r>
      <w:r>
        <w:rPr>
          <w:szCs w:val="21"/>
          <w:u w:val="single"/>
        </w:rPr>
        <w:t>。</w:t>
      </w:r>
    </w:p>
    <w:p w14:paraId="2C876C57">
      <w:pPr>
        <w:spacing w:line="400" w:lineRule="exact"/>
        <w:ind w:firstLine="420" w:firstLineChars="200"/>
        <w:rPr>
          <w:szCs w:val="21"/>
        </w:rPr>
      </w:pPr>
      <w:r>
        <w:rPr>
          <w:szCs w:val="21"/>
        </w:rPr>
        <w:t>20.4仲裁或诉讼</w:t>
      </w:r>
    </w:p>
    <w:p w14:paraId="06CE700B">
      <w:pPr>
        <w:spacing w:line="400" w:lineRule="exact"/>
        <w:ind w:firstLine="420" w:firstLineChars="200"/>
        <w:rPr>
          <w:szCs w:val="21"/>
        </w:rPr>
      </w:pPr>
      <w:r>
        <w:rPr>
          <w:szCs w:val="21"/>
        </w:rPr>
        <w:t>因合同及合同有关事项发生的争议，按下列第</w:t>
      </w:r>
      <w:r>
        <w:rPr>
          <w:szCs w:val="21"/>
          <w:u w:val="single"/>
        </w:rPr>
        <w:t xml:space="preserve"> </w:t>
      </w:r>
      <w:r>
        <w:rPr>
          <w:rFonts w:hint="eastAsia"/>
          <w:szCs w:val="21"/>
          <w:u w:val="single"/>
        </w:rPr>
        <w:t>（2）</w:t>
      </w:r>
      <w:r>
        <w:rPr>
          <w:szCs w:val="21"/>
          <w:u w:val="single"/>
        </w:rPr>
        <w:t xml:space="preserve"> </w:t>
      </w:r>
      <w:r>
        <w:rPr>
          <w:szCs w:val="21"/>
        </w:rPr>
        <w:t>种方式解决：</w:t>
      </w:r>
    </w:p>
    <w:p w14:paraId="770E809B">
      <w:pPr>
        <w:spacing w:line="400" w:lineRule="exact"/>
        <w:ind w:firstLine="420" w:firstLineChars="200"/>
        <w:rPr>
          <w:szCs w:val="21"/>
        </w:rPr>
      </w:pPr>
      <w:r>
        <w:rPr>
          <w:szCs w:val="21"/>
        </w:rPr>
        <w:t>（1）向</w:t>
      </w:r>
      <w:r>
        <w:rPr>
          <w:rFonts w:hint="eastAsia"/>
          <w:szCs w:val="21"/>
          <w:u w:val="single"/>
        </w:rPr>
        <w:t xml:space="preserve">  </w:t>
      </w:r>
      <w:r>
        <w:rPr>
          <w:szCs w:val="21"/>
          <w:u w:val="single"/>
        </w:rPr>
        <w:t>台州</w:t>
      </w:r>
      <w:r>
        <w:rPr>
          <w:rFonts w:hint="eastAsia"/>
          <w:szCs w:val="21"/>
          <w:u w:val="single"/>
        </w:rPr>
        <w:t xml:space="preserve"> </w:t>
      </w:r>
      <w:r>
        <w:rPr>
          <w:szCs w:val="21"/>
        </w:rPr>
        <w:t>仲裁委员会申请仲裁；</w:t>
      </w:r>
    </w:p>
    <w:p w14:paraId="5B17444A">
      <w:pPr>
        <w:spacing w:line="400" w:lineRule="exact"/>
        <w:ind w:firstLine="420" w:firstLineChars="200"/>
        <w:rPr>
          <w:szCs w:val="21"/>
        </w:rPr>
      </w:pPr>
      <w:r>
        <w:rPr>
          <w:szCs w:val="21"/>
        </w:rPr>
        <w:t>（2）向</w:t>
      </w:r>
      <w:r>
        <w:rPr>
          <w:rFonts w:hint="eastAsia"/>
          <w:szCs w:val="21"/>
          <w:u w:val="single"/>
        </w:rPr>
        <w:t xml:space="preserve"> </w:t>
      </w:r>
      <w:r>
        <w:rPr>
          <w:rFonts w:hint="eastAsia" w:ascii="宋体" w:hAnsi="宋体"/>
          <w:szCs w:val="21"/>
          <w:u w:val="single"/>
        </w:rPr>
        <w:t xml:space="preserve">三门县 </w:t>
      </w:r>
      <w:r>
        <w:rPr>
          <w:szCs w:val="21"/>
        </w:rPr>
        <w:t>人民法院起诉。</w:t>
      </w:r>
    </w:p>
    <w:p w14:paraId="493E5514">
      <w:pPr>
        <w:pStyle w:val="4"/>
        <w:spacing w:before="0" w:after="0" w:line="400" w:lineRule="exact"/>
        <w:ind w:firstLine="422" w:firstLineChars="200"/>
        <w:rPr>
          <w:rFonts w:hint="eastAsia" w:ascii="Times New Roman" w:hAnsi="Times New Roman"/>
          <w:color w:val="auto"/>
          <w:sz w:val="21"/>
          <w:szCs w:val="21"/>
          <w:highlight w:val="none"/>
          <w:lang w:val="en-US" w:eastAsia="zh-CN"/>
        </w:rPr>
      </w:pPr>
      <w:r>
        <w:rPr>
          <w:rFonts w:hint="eastAsia" w:ascii="Times New Roman" w:hAnsi="Times New Roman"/>
          <w:color w:val="FF0000"/>
          <w:sz w:val="21"/>
          <w:szCs w:val="21"/>
          <w:lang w:val="en-US" w:eastAsia="zh-CN"/>
        </w:rPr>
        <w:t xml:space="preserve">   </w:t>
      </w:r>
      <w:r>
        <w:rPr>
          <w:rFonts w:hint="eastAsia" w:ascii="Times New Roman" w:hAnsi="Times New Roman"/>
          <w:color w:val="auto"/>
          <w:sz w:val="21"/>
          <w:szCs w:val="21"/>
          <w:highlight w:val="none"/>
          <w:lang w:val="en-US" w:eastAsia="zh-CN"/>
        </w:rPr>
        <w:t xml:space="preserve">    21、补充条款</w:t>
      </w:r>
    </w:p>
    <w:p w14:paraId="1413045A">
      <w:pPr>
        <w:spacing w:line="480" w:lineRule="exact"/>
        <w:ind w:firstLine="420" w:firstLineChars="200"/>
        <w:rPr>
          <w:rFonts w:ascii="Times New Roman" w:hAnsi="Times New Roman"/>
          <w:color w:val="auto"/>
          <w:szCs w:val="21"/>
          <w:highlight w:val="none"/>
        </w:rPr>
      </w:pPr>
      <w:r>
        <w:rPr>
          <w:rFonts w:hint="eastAsia"/>
          <w:color w:val="auto"/>
          <w:highlight w:val="none"/>
          <w:lang w:val="en-US" w:eastAsia="zh-CN"/>
        </w:rPr>
        <w:t xml:space="preserve"> </w:t>
      </w:r>
      <w:r>
        <w:rPr>
          <w:rFonts w:ascii="Times New Roman" w:hAnsi="Times New Roman"/>
          <w:color w:val="auto"/>
          <w:szCs w:val="21"/>
          <w:highlight w:val="none"/>
        </w:rPr>
        <w:t xml:space="preserve">21.1 承包人必须按期负责其劳务及职员的雇佣、工资的支付。发包人有权监督承包人对工人工资的发放，因承包人在雇佣、工资的支付等方面造成较坏社会影响 (如上访、劳动仲裁、斗殴、媒体报道等) ，发包人有权没收全部履约保证金。必要时可直接向工人支付劳工工资。并有权直接从进度款或结算款中予以扣除。 </w:t>
      </w:r>
    </w:p>
    <w:p w14:paraId="0C28A707">
      <w:pPr>
        <w:spacing w:line="480" w:lineRule="exact"/>
        <w:ind w:firstLine="420" w:firstLineChars="200"/>
        <w:rPr>
          <w:rFonts w:ascii="Times New Roman" w:hAnsi="Times New Roman"/>
          <w:color w:val="auto"/>
          <w:szCs w:val="21"/>
          <w:highlight w:val="none"/>
        </w:rPr>
      </w:pPr>
      <w:r>
        <w:rPr>
          <w:rFonts w:ascii="Times New Roman" w:hAnsi="Times New Roman"/>
          <w:color w:val="auto"/>
          <w:szCs w:val="21"/>
          <w:highlight w:val="none"/>
        </w:rPr>
        <w:t xml:space="preserve">21.2 如发生承包人原因造成工期延误，承包人向发包人支付误期赔偿费后，并不免除或减轻由此引发的监理延长服务时间所需的监理费，此费用由承包人承担酬金支付，相关服务收费按相关服务工作所需工日和《建设工程监理与相关服务人员人工日费用标准》 (建设工程监理与相关服务收费管理规定附表四) 收费。 </w:t>
      </w:r>
    </w:p>
    <w:p w14:paraId="6F1CAC1D">
      <w:pPr>
        <w:spacing w:line="480" w:lineRule="exact"/>
        <w:ind w:firstLine="420" w:firstLineChars="200"/>
        <w:rPr>
          <w:rFonts w:ascii="Times New Roman" w:hAnsi="Times New Roman"/>
          <w:color w:val="auto"/>
          <w:szCs w:val="21"/>
          <w:highlight w:val="none"/>
        </w:rPr>
      </w:pPr>
      <w:r>
        <w:rPr>
          <w:rFonts w:ascii="Times New Roman" w:hAnsi="Times New Roman"/>
          <w:color w:val="auto"/>
          <w:szCs w:val="21"/>
          <w:highlight w:val="none"/>
        </w:rPr>
        <w:t xml:space="preserve">21.3承包人须按文明施工要求施工，工完场清，清理费用承包人自行承担。 </w:t>
      </w:r>
    </w:p>
    <w:p w14:paraId="44E47B92">
      <w:pPr>
        <w:spacing w:line="480" w:lineRule="exact"/>
        <w:ind w:firstLine="420" w:firstLineChars="200"/>
        <w:rPr>
          <w:rFonts w:ascii="Times New Roman" w:hAnsi="Times New Roman"/>
          <w:color w:val="auto"/>
          <w:szCs w:val="21"/>
          <w:highlight w:val="none"/>
        </w:rPr>
      </w:pPr>
      <w:r>
        <w:rPr>
          <w:rFonts w:ascii="Times New Roman" w:hAnsi="Times New Roman"/>
          <w:color w:val="auto"/>
          <w:szCs w:val="21"/>
          <w:highlight w:val="none"/>
        </w:rPr>
        <w:t xml:space="preserve">21.4双方同意，若对本工程质量有争议，则由发包人指定的鉴定机构鉴定，鉴定费用由造成 </w:t>
      </w:r>
    </w:p>
    <w:p w14:paraId="67241D7A">
      <w:pPr>
        <w:spacing w:line="480" w:lineRule="exact"/>
        <w:ind w:firstLine="420" w:firstLineChars="200"/>
        <w:rPr>
          <w:rFonts w:ascii="Times New Roman" w:hAnsi="Times New Roman"/>
          <w:color w:val="auto"/>
          <w:szCs w:val="21"/>
          <w:highlight w:val="none"/>
        </w:rPr>
      </w:pPr>
      <w:r>
        <w:rPr>
          <w:rFonts w:ascii="Times New Roman" w:hAnsi="Times New Roman"/>
          <w:color w:val="auto"/>
          <w:szCs w:val="21"/>
          <w:highlight w:val="none"/>
        </w:rPr>
        <w:t xml:space="preserve">质量瑕疵的责任方承担。 </w:t>
      </w:r>
    </w:p>
    <w:p w14:paraId="0314B3F5">
      <w:pPr>
        <w:spacing w:line="480" w:lineRule="exact"/>
        <w:ind w:firstLine="420" w:firstLineChars="200"/>
        <w:rPr>
          <w:rFonts w:hint="eastAsia" w:ascii="Times New Roman" w:hAnsi="Times New Roman"/>
          <w:color w:val="auto"/>
          <w:szCs w:val="21"/>
          <w:highlight w:val="none"/>
        </w:rPr>
      </w:pPr>
      <w:r>
        <w:rPr>
          <w:rFonts w:ascii="Times New Roman" w:hAnsi="Times New Roman"/>
          <w:color w:val="auto"/>
          <w:szCs w:val="21"/>
          <w:highlight w:val="none"/>
        </w:rPr>
        <w:t xml:space="preserve">21.5本工程的施工现场执行《建筑施工安全检查标准》 (JGJ59-2011) 。承包人必须按国家有关规定，切实落实各项安全技术措施，确保施工现场的安全生产和文明施工。在施工过程中由于承包人原因而发生的人身伤亡、财产损失及其它一切事故，其责任全部由承包人承担。 </w:t>
      </w:r>
    </w:p>
    <w:p w14:paraId="68F72F9A">
      <w:pPr>
        <w:spacing w:line="480" w:lineRule="exact"/>
        <w:ind w:firstLine="422" w:firstLineChars="200"/>
        <w:rPr>
          <w:rFonts w:hint="eastAsia" w:ascii="Times New Roman" w:hAnsi="Times New Roman"/>
          <w:b/>
          <w:color w:val="auto"/>
          <w:szCs w:val="21"/>
          <w:highlight w:val="none"/>
        </w:rPr>
      </w:pPr>
      <w:r>
        <w:rPr>
          <w:rFonts w:hint="eastAsia" w:ascii="Times New Roman" w:hAnsi="Times New Roman"/>
          <w:b/>
          <w:color w:val="auto"/>
          <w:szCs w:val="21"/>
          <w:highlight w:val="none"/>
        </w:rPr>
        <w:t>21.6施工过程中中标总承包单位也不得再以任何理由向各专业分包单位收取配合、服务费。</w:t>
      </w:r>
    </w:p>
    <w:p w14:paraId="7386FE48">
      <w:pPr>
        <w:spacing w:line="480" w:lineRule="exact"/>
        <w:ind w:firstLine="422" w:firstLineChars="200"/>
        <w:rPr>
          <w:rFonts w:hint="eastAsia" w:ascii="Times New Roman" w:hAnsi="Times New Roman"/>
          <w:b/>
          <w:color w:val="auto"/>
          <w:szCs w:val="21"/>
          <w:highlight w:val="none"/>
          <w:lang w:val="en-US" w:eastAsia="zh-CN"/>
        </w:rPr>
      </w:pPr>
      <w:r>
        <w:rPr>
          <w:rFonts w:hint="eastAsia" w:ascii="Times New Roman" w:hAnsi="Times New Roman"/>
          <w:b/>
          <w:color w:val="auto"/>
          <w:szCs w:val="21"/>
          <w:highlight w:val="none"/>
          <w:lang w:val="en-US" w:eastAsia="zh-CN"/>
        </w:rPr>
        <w:t>21.7本项目开工前地上、地下障碍物由施工单位清理，</w:t>
      </w:r>
      <w:r>
        <w:rPr>
          <w:rFonts w:hint="eastAsia" w:ascii="Times New Roman" w:hAnsi="Times New Roman"/>
          <w:b/>
          <w:color w:val="auto"/>
          <w:szCs w:val="21"/>
          <w:highlight w:val="none"/>
        </w:rPr>
        <w:t>清理费用</w:t>
      </w:r>
      <w:r>
        <w:rPr>
          <w:rFonts w:hint="eastAsia" w:ascii="Times New Roman" w:hAnsi="Times New Roman"/>
          <w:b/>
          <w:color w:val="auto"/>
          <w:szCs w:val="21"/>
          <w:highlight w:val="none"/>
          <w:lang w:eastAsia="zh-CN"/>
        </w:rPr>
        <w:t>已包含在总价中，承包人自行考虑，</w:t>
      </w:r>
      <w:r>
        <w:rPr>
          <w:rFonts w:hint="eastAsia" w:ascii="Times New Roman" w:hAnsi="Times New Roman"/>
          <w:b/>
          <w:color w:val="auto"/>
          <w:szCs w:val="21"/>
          <w:highlight w:val="none"/>
        </w:rPr>
        <w:t>结算</w:t>
      </w:r>
      <w:r>
        <w:rPr>
          <w:rFonts w:hint="eastAsia" w:ascii="Times New Roman" w:hAnsi="Times New Roman"/>
          <w:b/>
          <w:color w:val="auto"/>
          <w:szCs w:val="21"/>
          <w:highlight w:val="none"/>
          <w:lang w:eastAsia="zh-CN"/>
        </w:rPr>
        <w:t>时</w:t>
      </w:r>
      <w:r>
        <w:rPr>
          <w:rFonts w:hint="eastAsia" w:ascii="Times New Roman" w:hAnsi="Times New Roman"/>
          <w:b/>
          <w:color w:val="auto"/>
          <w:szCs w:val="21"/>
          <w:highlight w:val="none"/>
        </w:rPr>
        <w:t>不作调整</w:t>
      </w:r>
      <w:r>
        <w:rPr>
          <w:rFonts w:hint="eastAsia" w:ascii="Times New Roman" w:hAnsi="Times New Roman"/>
          <w:b/>
          <w:color w:val="auto"/>
          <w:szCs w:val="21"/>
          <w:highlight w:val="none"/>
          <w:lang w:eastAsia="zh-CN"/>
        </w:rPr>
        <w:t>。</w:t>
      </w:r>
    </w:p>
    <w:p w14:paraId="0CCD74E9">
      <w:pPr>
        <w:pStyle w:val="21"/>
        <w:rPr>
          <w:rFonts w:hint="eastAsia"/>
          <w:color w:val="auto"/>
          <w:highlight w:val="none"/>
          <w:lang w:val="en-US" w:eastAsia="zh-CN"/>
        </w:rPr>
      </w:pPr>
    </w:p>
    <w:p w14:paraId="2CDA0669">
      <w:pPr>
        <w:pStyle w:val="21"/>
        <w:rPr>
          <w:rFonts w:hint="eastAsia"/>
          <w:lang w:val="en-US" w:eastAsia="zh-CN"/>
        </w:rPr>
      </w:pPr>
    </w:p>
    <w:p w14:paraId="6779898C">
      <w:pPr>
        <w:pStyle w:val="21"/>
        <w:rPr>
          <w:rFonts w:hint="default"/>
          <w:lang w:val="en-US" w:eastAsia="zh-CN"/>
        </w:rPr>
      </w:pPr>
    </w:p>
    <w:p w14:paraId="22398451">
      <w:pPr>
        <w:spacing w:line="400" w:lineRule="exact"/>
        <w:rPr>
          <w:szCs w:val="21"/>
        </w:rPr>
      </w:pPr>
      <w:r>
        <w:rPr>
          <w:szCs w:val="21"/>
        </w:rPr>
        <w:t>发包人(公章)：</w:t>
      </w:r>
      <w:r>
        <w:rPr>
          <w:szCs w:val="21"/>
          <w:u w:val="single"/>
        </w:rPr>
        <w:t xml:space="preserve">        </w:t>
      </w:r>
      <w:r>
        <w:rPr>
          <w:rFonts w:hint="eastAsia"/>
          <w:szCs w:val="21"/>
          <w:u w:val="single"/>
        </w:rPr>
        <w:t xml:space="preserve">          </w:t>
      </w:r>
      <w:r>
        <w:rPr>
          <w:rFonts w:hint="eastAsia"/>
          <w:szCs w:val="21"/>
          <w:u w:val="single"/>
          <w:lang w:val="en-US" w:eastAsia="zh-CN"/>
        </w:rPr>
        <w:t xml:space="preserve"> </w:t>
      </w:r>
      <w:r>
        <w:rPr>
          <w:rFonts w:hint="eastAsia"/>
          <w:szCs w:val="21"/>
          <w:u w:val="single"/>
        </w:rPr>
        <w:t xml:space="preserve">  </w:t>
      </w:r>
      <w:r>
        <w:rPr>
          <w:rFonts w:hint="eastAsia"/>
          <w:szCs w:val="21"/>
          <w:u w:val="single"/>
          <w:lang w:val="en-US" w:eastAsia="zh-CN"/>
        </w:rPr>
        <w:t xml:space="preserve">             </w:t>
      </w:r>
      <w:r>
        <w:rPr>
          <w:rFonts w:hint="eastAsia"/>
          <w:szCs w:val="21"/>
          <w:u w:val="single"/>
        </w:rPr>
        <w:t xml:space="preserve">    </w:t>
      </w:r>
      <w:r>
        <w:rPr>
          <w:szCs w:val="21"/>
          <w:u w:val="single"/>
        </w:rPr>
        <w:t xml:space="preserve">      </w:t>
      </w:r>
      <w:r>
        <w:rPr>
          <w:szCs w:val="21"/>
        </w:rPr>
        <w:t xml:space="preserve"> 承包人(公章)：</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lang w:val="en-US" w:eastAsia="zh-CN"/>
        </w:rPr>
        <w:t xml:space="preserve">                     </w:t>
      </w:r>
      <w:r>
        <w:rPr>
          <w:szCs w:val="21"/>
          <w:u w:val="single"/>
        </w:rPr>
        <w:t xml:space="preserve">  </w:t>
      </w:r>
      <w:r>
        <w:rPr>
          <w:rFonts w:hint="eastAsia"/>
          <w:szCs w:val="21"/>
          <w:u w:val="single"/>
        </w:rPr>
        <w:t xml:space="preserve"> </w:t>
      </w:r>
      <w:r>
        <w:rPr>
          <w:szCs w:val="21"/>
          <w:u w:val="single"/>
        </w:rPr>
        <w:t xml:space="preserve">     </w:t>
      </w:r>
    </w:p>
    <w:p w14:paraId="5460988C">
      <w:pPr>
        <w:spacing w:line="400" w:lineRule="exact"/>
        <w:rPr>
          <w:szCs w:val="21"/>
        </w:rPr>
      </w:pPr>
      <w:r>
        <w:rPr>
          <w:szCs w:val="21"/>
        </w:rPr>
        <w:t>地  址：</w:t>
      </w:r>
      <w:r>
        <w:rPr>
          <w:szCs w:val="21"/>
          <w:u w:val="single"/>
        </w:rPr>
        <w:t xml:space="preserve">             </w:t>
      </w:r>
      <w:r>
        <w:rPr>
          <w:rFonts w:hint="eastAsia"/>
          <w:szCs w:val="21"/>
          <w:u w:val="single"/>
        </w:rPr>
        <w:t xml:space="preserve">  </w:t>
      </w:r>
      <w:r>
        <w:rPr>
          <w:rFonts w:hint="eastAsia"/>
          <w:szCs w:val="21"/>
          <w:u w:val="single"/>
          <w:lang w:val="en-US" w:eastAsia="zh-CN"/>
        </w:rPr>
        <w:t xml:space="preserve">                    </w:t>
      </w:r>
      <w:r>
        <w:rPr>
          <w:rFonts w:hint="eastAsia"/>
          <w:szCs w:val="21"/>
          <w:u w:val="single"/>
        </w:rPr>
        <w:t xml:space="preserve">              </w:t>
      </w:r>
      <w:r>
        <w:rPr>
          <w:szCs w:val="21"/>
          <w:u w:val="single"/>
        </w:rPr>
        <w:t xml:space="preserve">      </w:t>
      </w:r>
      <w:r>
        <w:rPr>
          <w:szCs w:val="21"/>
        </w:rPr>
        <w:t xml:space="preserve"> 地  址：</w:t>
      </w:r>
      <w:r>
        <w:rPr>
          <w:szCs w:val="21"/>
          <w:u w:val="single"/>
        </w:rPr>
        <w:t xml:space="preserve">        </w:t>
      </w:r>
      <w:r>
        <w:rPr>
          <w:rFonts w:hint="eastAsia"/>
          <w:szCs w:val="21"/>
          <w:u w:val="single"/>
        </w:rPr>
        <w:t xml:space="preserve">           </w:t>
      </w:r>
      <w:r>
        <w:rPr>
          <w:rFonts w:hint="eastAsia"/>
          <w:szCs w:val="21"/>
          <w:u w:val="single"/>
          <w:lang w:val="en-US" w:eastAsia="zh-CN"/>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p>
    <w:p w14:paraId="20808866">
      <w:pPr>
        <w:spacing w:line="400" w:lineRule="exact"/>
        <w:rPr>
          <w:szCs w:val="21"/>
        </w:rPr>
      </w:pPr>
      <w:r>
        <w:rPr>
          <w:szCs w:val="21"/>
        </w:rPr>
        <w:t>法定代表人(签字)：</w:t>
      </w:r>
      <w:r>
        <w:rPr>
          <w:szCs w:val="21"/>
          <w:u w:val="single"/>
        </w:rPr>
        <w:t xml:space="preserve">        </w:t>
      </w:r>
      <w:r>
        <w:rPr>
          <w:rFonts w:hint="eastAsia"/>
          <w:szCs w:val="21"/>
          <w:u w:val="single"/>
          <w:lang w:val="en-US" w:eastAsia="zh-CN"/>
        </w:rPr>
        <w:t xml:space="preserve">           </w:t>
      </w:r>
      <w:r>
        <w:rPr>
          <w:rFonts w:hint="eastAsia"/>
          <w:szCs w:val="21"/>
          <w:u w:val="single"/>
        </w:rPr>
        <w:t xml:space="preserve">            </w:t>
      </w:r>
      <w:r>
        <w:rPr>
          <w:szCs w:val="21"/>
          <w:u w:val="single"/>
        </w:rPr>
        <w:t xml:space="preserve">      </w:t>
      </w:r>
      <w:r>
        <w:rPr>
          <w:szCs w:val="21"/>
        </w:rPr>
        <w:t xml:space="preserve"> 法定代表人(签字)：</w:t>
      </w:r>
      <w:r>
        <w:rPr>
          <w:szCs w:val="21"/>
          <w:u w:val="single"/>
        </w:rPr>
        <w:t xml:space="preserve">     </w:t>
      </w:r>
      <w:r>
        <w:rPr>
          <w:rFonts w:hint="eastAsia"/>
          <w:szCs w:val="21"/>
          <w:u w:val="single"/>
        </w:rPr>
        <w:t xml:space="preserve"> </w:t>
      </w:r>
      <w:r>
        <w:rPr>
          <w:rFonts w:hint="eastAsia"/>
          <w:szCs w:val="21"/>
          <w:u w:val="single"/>
          <w:lang w:val="en-US" w:eastAsia="zh-CN"/>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p>
    <w:p w14:paraId="6D853C9F">
      <w:pPr>
        <w:spacing w:line="400" w:lineRule="exact"/>
        <w:rPr>
          <w:szCs w:val="21"/>
        </w:rPr>
      </w:pPr>
      <w:r>
        <w:rPr>
          <w:szCs w:val="21"/>
        </w:rPr>
        <w:t>委托代理人(签字)：</w:t>
      </w:r>
      <w:r>
        <w:rPr>
          <w:szCs w:val="21"/>
          <w:u w:val="single"/>
        </w:rPr>
        <w:t xml:space="preserve">       </w:t>
      </w:r>
      <w:r>
        <w:rPr>
          <w:rFonts w:hint="eastAsia"/>
          <w:szCs w:val="21"/>
          <w:u w:val="single"/>
        </w:rPr>
        <w:t xml:space="preserve">     </w:t>
      </w:r>
      <w:r>
        <w:rPr>
          <w:rFonts w:hint="eastAsia"/>
          <w:szCs w:val="21"/>
          <w:u w:val="single"/>
          <w:lang w:val="en-US" w:eastAsia="zh-CN"/>
        </w:rPr>
        <w:t xml:space="preserve">          </w:t>
      </w:r>
      <w:r>
        <w:rPr>
          <w:rFonts w:hint="eastAsia"/>
          <w:szCs w:val="21"/>
          <w:u w:val="single"/>
        </w:rPr>
        <w:t xml:space="preserve">       </w:t>
      </w:r>
      <w:r>
        <w:rPr>
          <w:szCs w:val="21"/>
          <w:u w:val="single"/>
        </w:rPr>
        <w:t xml:space="preserve">       </w:t>
      </w:r>
      <w:r>
        <w:rPr>
          <w:szCs w:val="21"/>
        </w:rPr>
        <w:t xml:space="preserve"> 委托代理人(签字)：</w:t>
      </w:r>
      <w:r>
        <w:rPr>
          <w:szCs w:val="21"/>
          <w:u w:val="single"/>
        </w:rPr>
        <w:t xml:space="preserve">     </w:t>
      </w:r>
      <w:r>
        <w:rPr>
          <w:rFonts w:hint="eastAsia"/>
          <w:szCs w:val="21"/>
          <w:u w:val="single"/>
        </w:rPr>
        <w:t xml:space="preserve">             </w:t>
      </w:r>
      <w:r>
        <w:rPr>
          <w:rFonts w:hint="eastAsia"/>
          <w:szCs w:val="21"/>
          <w:u w:val="single"/>
          <w:lang w:val="en-US" w:eastAsia="zh-CN"/>
        </w:rPr>
        <w:t xml:space="preserve">                   </w:t>
      </w:r>
      <w:r>
        <w:rPr>
          <w:rFonts w:hint="eastAsia"/>
          <w:szCs w:val="21"/>
          <w:u w:val="single"/>
        </w:rPr>
        <w:t xml:space="preserve"> </w:t>
      </w:r>
      <w:r>
        <w:rPr>
          <w:szCs w:val="21"/>
          <w:u w:val="single"/>
        </w:rPr>
        <w:t xml:space="preserve">    </w:t>
      </w:r>
    </w:p>
    <w:p w14:paraId="7B0248F2">
      <w:pPr>
        <w:spacing w:line="400" w:lineRule="exact"/>
        <w:rPr>
          <w:szCs w:val="21"/>
        </w:rPr>
      </w:pPr>
      <w:r>
        <w:rPr>
          <w:szCs w:val="21"/>
        </w:rPr>
        <w:t>电  话：</w:t>
      </w:r>
      <w:r>
        <w:rPr>
          <w:szCs w:val="21"/>
          <w:u w:val="single"/>
        </w:rPr>
        <w:t xml:space="preserve">               </w:t>
      </w:r>
      <w:r>
        <w:rPr>
          <w:rFonts w:hint="eastAsia"/>
          <w:szCs w:val="21"/>
          <w:u w:val="single"/>
        </w:rPr>
        <w:t xml:space="preserve">  </w:t>
      </w:r>
      <w:r>
        <w:rPr>
          <w:rFonts w:hint="eastAsia"/>
          <w:szCs w:val="21"/>
          <w:u w:val="single"/>
          <w:lang w:val="en-US" w:eastAsia="zh-CN"/>
        </w:rPr>
        <w:t xml:space="preserve">                    </w:t>
      </w:r>
      <w:r>
        <w:rPr>
          <w:rFonts w:hint="eastAsia"/>
          <w:szCs w:val="21"/>
          <w:u w:val="single"/>
        </w:rPr>
        <w:t xml:space="preserve">           </w:t>
      </w:r>
      <w:r>
        <w:rPr>
          <w:szCs w:val="21"/>
          <w:u w:val="single"/>
        </w:rPr>
        <w:t xml:space="preserve">       </w:t>
      </w:r>
      <w:r>
        <w:rPr>
          <w:szCs w:val="21"/>
        </w:rPr>
        <w:t xml:space="preserve"> 电  话：</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rFonts w:hint="eastAsia"/>
          <w:szCs w:val="21"/>
          <w:u w:val="single"/>
          <w:lang w:val="en-US" w:eastAsia="zh-CN"/>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p>
    <w:p w14:paraId="09A092BF">
      <w:pPr>
        <w:spacing w:line="400" w:lineRule="exact"/>
        <w:rPr>
          <w:rFonts w:ascii="宋体" w:hAnsi="宋体" w:cs="宋体"/>
          <w:color w:val="auto"/>
          <w:u w:val="single"/>
        </w:rPr>
      </w:pPr>
      <w:r>
        <w:rPr>
          <w:szCs w:val="21"/>
        </w:rPr>
        <w:t>传  真：</w:t>
      </w:r>
      <w:r>
        <w:rPr>
          <w:szCs w:val="21"/>
          <w:u w:val="single"/>
        </w:rPr>
        <w:t xml:space="preserve">              </w:t>
      </w:r>
      <w:r>
        <w:rPr>
          <w:rFonts w:hint="eastAsia"/>
          <w:szCs w:val="21"/>
          <w:u w:val="single"/>
        </w:rPr>
        <w:t xml:space="preserve">      </w:t>
      </w:r>
      <w:r>
        <w:rPr>
          <w:rFonts w:hint="eastAsia"/>
          <w:szCs w:val="21"/>
          <w:u w:val="single"/>
          <w:lang w:val="en-US" w:eastAsia="zh-CN"/>
        </w:rPr>
        <w:t xml:space="preserve">                    </w:t>
      </w:r>
      <w:r>
        <w:rPr>
          <w:rFonts w:hint="eastAsia"/>
          <w:szCs w:val="21"/>
          <w:u w:val="single"/>
        </w:rPr>
        <w:t xml:space="preserve">       </w:t>
      </w:r>
      <w:r>
        <w:rPr>
          <w:szCs w:val="21"/>
          <w:u w:val="single"/>
        </w:rPr>
        <w:t xml:space="preserve">        </w:t>
      </w:r>
      <w:r>
        <w:rPr>
          <w:szCs w:val="21"/>
        </w:rPr>
        <w:t xml:space="preserve"> 传  真：</w:t>
      </w:r>
      <w:r>
        <w:rPr>
          <w:szCs w:val="21"/>
          <w:u w:val="single"/>
        </w:rPr>
        <w:t xml:space="preserve">          </w:t>
      </w:r>
      <w:r>
        <w:rPr>
          <w:rFonts w:hint="eastAsia"/>
          <w:szCs w:val="21"/>
          <w:u w:val="single"/>
          <w:lang w:val="en-US" w:eastAsia="zh-CN"/>
        </w:rPr>
        <w:t xml:space="preserve">                                      </w:t>
      </w:r>
      <w:r>
        <w:rPr>
          <w:szCs w:val="21"/>
          <w:u w:val="single"/>
        </w:rPr>
        <w:t xml:space="preserve"> </w:t>
      </w:r>
      <w:r>
        <w:rPr>
          <w:rFonts w:hint="eastAsia"/>
          <w:szCs w:val="21"/>
          <w:u w:val="single"/>
        </w:rPr>
        <w:t xml:space="preserve">           </w:t>
      </w:r>
    </w:p>
    <w:p w14:paraId="0447F92E">
      <w:pPr>
        <w:spacing w:line="400" w:lineRule="exact"/>
        <w:rPr>
          <w:szCs w:val="21"/>
        </w:rPr>
      </w:pPr>
    </w:p>
    <w:p w14:paraId="4431CE19">
      <w:pPr>
        <w:spacing w:line="400" w:lineRule="exact"/>
        <w:rPr>
          <w:szCs w:val="21"/>
        </w:rPr>
      </w:pPr>
      <w:r>
        <w:rPr>
          <w:rFonts w:hint="eastAsia"/>
          <w:szCs w:val="21"/>
          <w:lang w:eastAsia="zh-CN"/>
        </w:rPr>
        <w:t>代建单位</w:t>
      </w:r>
      <w:r>
        <w:rPr>
          <w:szCs w:val="21"/>
        </w:rPr>
        <w:t>(公章)：</w:t>
      </w:r>
      <w:r>
        <w:rPr>
          <w:szCs w:val="21"/>
          <w:u w:val="single"/>
        </w:rPr>
        <w:t xml:space="preserve">        </w:t>
      </w:r>
      <w:r>
        <w:rPr>
          <w:rFonts w:hint="eastAsia"/>
          <w:szCs w:val="21"/>
          <w:u w:val="single"/>
        </w:rPr>
        <w:t xml:space="preserve">          </w:t>
      </w:r>
      <w:r>
        <w:rPr>
          <w:rFonts w:hint="eastAsia"/>
          <w:szCs w:val="21"/>
          <w:u w:val="single"/>
          <w:lang w:val="en-US" w:eastAsia="zh-CN"/>
        </w:rPr>
        <w:t xml:space="preserve"> </w:t>
      </w:r>
      <w:r>
        <w:rPr>
          <w:rFonts w:hint="eastAsia"/>
          <w:szCs w:val="21"/>
          <w:u w:val="single"/>
        </w:rPr>
        <w:t xml:space="preserve">  </w:t>
      </w:r>
      <w:r>
        <w:rPr>
          <w:rFonts w:hint="eastAsia"/>
          <w:szCs w:val="21"/>
          <w:u w:val="single"/>
          <w:lang w:val="en-US" w:eastAsia="zh-CN"/>
        </w:rPr>
        <w:t xml:space="preserve">             </w:t>
      </w:r>
      <w:r>
        <w:rPr>
          <w:rFonts w:hint="eastAsia"/>
          <w:szCs w:val="21"/>
          <w:u w:val="single"/>
        </w:rPr>
        <w:t xml:space="preserve">    </w:t>
      </w:r>
      <w:r>
        <w:rPr>
          <w:szCs w:val="21"/>
          <w:u w:val="single"/>
        </w:rPr>
        <w:t xml:space="preserve">      </w:t>
      </w:r>
      <w:r>
        <w:rPr>
          <w:szCs w:val="21"/>
        </w:rPr>
        <w:t xml:space="preserve"> </w:t>
      </w:r>
    </w:p>
    <w:p w14:paraId="1A11A9E7">
      <w:pPr>
        <w:spacing w:line="400" w:lineRule="exact"/>
        <w:rPr>
          <w:szCs w:val="21"/>
        </w:rPr>
      </w:pPr>
      <w:r>
        <w:rPr>
          <w:szCs w:val="21"/>
        </w:rPr>
        <w:t>地  址：</w:t>
      </w:r>
      <w:r>
        <w:rPr>
          <w:szCs w:val="21"/>
          <w:u w:val="single"/>
        </w:rPr>
        <w:t xml:space="preserve">             </w:t>
      </w:r>
      <w:r>
        <w:rPr>
          <w:rFonts w:hint="eastAsia"/>
          <w:szCs w:val="21"/>
          <w:u w:val="single"/>
        </w:rPr>
        <w:t xml:space="preserve">  </w:t>
      </w:r>
      <w:r>
        <w:rPr>
          <w:rFonts w:hint="eastAsia"/>
          <w:szCs w:val="21"/>
          <w:u w:val="single"/>
          <w:lang w:val="en-US" w:eastAsia="zh-CN"/>
        </w:rPr>
        <w:t xml:space="preserve">                    </w:t>
      </w:r>
      <w:r>
        <w:rPr>
          <w:rFonts w:hint="eastAsia"/>
          <w:szCs w:val="21"/>
          <w:u w:val="single"/>
        </w:rPr>
        <w:t xml:space="preserve">              </w:t>
      </w:r>
      <w:r>
        <w:rPr>
          <w:szCs w:val="21"/>
          <w:u w:val="single"/>
        </w:rPr>
        <w:t xml:space="preserve">      </w:t>
      </w:r>
      <w:r>
        <w:rPr>
          <w:szCs w:val="21"/>
        </w:rPr>
        <w:t xml:space="preserve"> </w:t>
      </w:r>
    </w:p>
    <w:p w14:paraId="356B664F">
      <w:pPr>
        <w:spacing w:line="400" w:lineRule="exact"/>
        <w:rPr>
          <w:szCs w:val="21"/>
          <w:u w:val="single"/>
        </w:rPr>
      </w:pPr>
      <w:r>
        <w:rPr>
          <w:szCs w:val="21"/>
        </w:rPr>
        <w:t>法定代表人(签字)：</w:t>
      </w:r>
      <w:r>
        <w:rPr>
          <w:szCs w:val="21"/>
          <w:u w:val="single"/>
        </w:rPr>
        <w:t xml:space="preserve">        </w:t>
      </w:r>
      <w:r>
        <w:rPr>
          <w:rFonts w:hint="eastAsia"/>
          <w:szCs w:val="21"/>
          <w:u w:val="single"/>
          <w:lang w:val="en-US" w:eastAsia="zh-CN"/>
        </w:rPr>
        <w:t xml:space="preserve">           </w:t>
      </w:r>
      <w:r>
        <w:rPr>
          <w:rFonts w:hint="eastAsia"/>
          <w:szCs w:val="21"/>
          <w:u w:val="single"/>
        </w:rPr>
        <w:t xml:space="preserve">            </w:t>
      </w:r>
      <w:r>
        <w:rPr>
          <w:szCs w:val="21"/>
          <w:u w:val="single"/>
        </w:rPr>
        <w:t xml:space="preserve">      </w:t>
      </w:r>
    </w:p>
    <w:p w14:paraId="553C8D6F">
      <w:pPr>
        <w:spacing w:line="400" w:lineRule="exact"/>
        <w:rPr>
          <w:szCs w:val="21"/>
        </w:rPr>
      </w:pPr>
      <w:r>
        <w:rPr>
          <w:szCs w:val="21"/>
        </w:rPr>
        <w:t xml:space="preserve"> 委托代理人(签字)：电  话：</w:t>
      </w:r>
      <w:r>
        <w:rPr>
          <w:szCs w:val="21"/>
          <w:u w:val="single"/>
        </w:rPr>
        <w:t xml:space="preserve">               </w:t>
      </w:r>
      <w:r>
        <w:rPr>
          <w:rFonts w:hint="eastAsia"/>
          <w:szCs w:val="21"/>
          <w:u w:val="single"/>
        </w:rPr>
        <w:t xml:space="preserve">  </w:t>
      </w:r>
      <w:r>
        <w:rPr>
          <w:rFonts w:hint="eastAsia"/>
          <w:szCs w:val="21"/>
          <w:u w:val="single"/>
          <w:lang w:val="en-US" w:eastAsia="zh-CN"/>
        </w:rPr>
        <w:t xml:space="preserve">                    </w:t>
      </w:r>
      <w:r>
        <w:rPr>
          <w:rFonts w:hint="eastAsia"/>
          <w:szCs w:val="21"/>
          <w:u w:val="single"/>
        </w:rPr>
        <w:t xml:space="preserve">           </w:t>
      </w:r>
      <w:r>
        <w:rPr>
          <w:szCs w:val="21"/>
          <w:u w:val="single"/>
        </w:rPr>
        <w:t xml:space="preserve">       </w:t>
      </w:r>
      <w:r>
        <w:rPr>
          <w:szCs w:val="21"/>
        </w:rPr>
        <w:t xml:space="preserve"> </w:t>
      </w:r>
    </w:p>
    <w:p w14:paraId="2912662F">
      <w:pPr>
        <w:spacing w:line="400" w:lineRule="exact"/>
        <w:rPr>
          <w:szCs w:val="21"/>
        </w:rPr>
      </w:pPr>
      <w:r>
        <w:rPr>
          <w:szCs w:val="21"/>
        </w:rPr>
        <w:t>电  话：</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rFonts w:hint="eastAsia"/>
          <w:szCs w:val="21"/>
          <w:u w:val="single"/>
          <w:lang w:val="en-US" w:eastAsia="zh-CN"/>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p>
    <w:p w14:paraId="171D10BE">
      <w:pPr>
        <w:spacing w:line="400" w:lineRule="exact"/>
        <w:rPr>
          <w:rFonts w:ascii="宋体" w:hAnsi="宋体" w:cs="宋体"/>
          <w:color w:val="auto"/>
        </w:rPr>
      </w:pPr>
      <w:r>
        <w:rPr>
          <w:szCs w:val="21"/>
        </w:rPr>
        <w:t>传  真：</w:t>
      </w:r>
      <w:r>
        <w:rPr>
          <w:szCs w:val="21"/>
          <w:u w:val="single"/>
        </w:rPr>
        <w:t xml:space="preserve">              </w:t>
      </w:r>
      <w:r>
        <w:rPr>
          <w:rFonts w:hint="eastAsia"/>
          <w:szCs w:val="21"/>
          <w:u w:val="single"/>
        </w:rPr>
        <w:t xml:space="preserve">      </w:t>
      </w:r>
      <w:r>
        <w:rPr>
          <w:rFonts w:hint="eastAsia"/>
          <w:szCs w:val="21"/>
          <w:u w:val="single"/>
          <w:lang w:val="en-US" w:eastAsia="zh-CN"/>
        </w:rPr>
        <w:t xml:space="preserve">                    </w:t>
      </w:r>
      <w:r>
        <w:rPr>
          <w:rFonts w:hint="eastAsia"/>
          <w:szCs w:val="21"/>
          <w:u w:val="single"/>
        </w:rPr>
        <w:t xml:space="preserve">       </w:t>
      </w:r>
      <w:r>
        <w:rPr>
          <w:szCs w:val="21"/>
          <w:u w:val="single"/>
        </w:rPr>
        <w:t xml:space="preserve">        </w:t>
      </w:r>
      <w:r>
        <w:rPr>
          <w:rFonts w:hint="eastAsia" w:ascii="宋体" w:hAnsi="宋体" w:cs="宋体"/>
          <w:color w:val="auto"/>
        </w:rPr>
        <w:t xml:space="preserve"> </w:t>
      </w:r>
    </w:p>
    <w:p w14:paraId="5760CA12">
      <w:pPr>
        <w:spacing w:line="400" w:lineRule="exact"/>
        <w:rPr>
          <w:rFonts w:ascii="宋体" w:hAnsi="宋体" w:cs="宋体"/>
          <w:color w:val="auto"/>
        </w:rPr>
      </w:pPr>
    </w:p>
    <w:p w14:paraId="3C529536">
      <w:pPr>
        <w:spacing w:line="400" w:lineRule="exact"/>
        <w:ind w:firstLine="420" w:firstLineChars="200"/>
        <w:rPr>
          <w:rFonts w:ascii="宋体" w:hAnsi="宋体" w:cs="宋体"/>
          <w:color w:val="auto"/>
        </w:rPr>
      </w:pPr>
    </w:p>
    <w:p w14:paraId="5363DF63">
      <w:pPr>
        <w:rPr>
          <w:b/>
          <w:sz w:val="28"/>
          <w:szCs w:val="28"/>
        </w:rPr>
      </w:pPr>
      <w:r>
        <w:rPr>
          <w:b/>
          <w:sz w:val="28"/>
          <w:szCs w:val="28"/>
        </w:rPr>
        <w:br w:type="page"/>
      </w:r>
    </w:p>
    <w:p w14:paraId="018F3471">
      <w:pPr>
        <w:spacing w:line="360" w:lineRule="exact"/>
        <w:rPr>
          <w:b/>
          <w:sz w:val="28"/>
          <w:szCs w:val="28"/>
        </w:rPr>
      </w:pPr>
      <w:r>
        <w:rPr>
          <w:b/>
          <w:sz w:val="28"/>
          <w:szCs w:val="28"/>
        </w:rPr>
        <w:t>附件</w:t>
      </w:r>
    </w:p>
    <w:p w14:paraId="41E7FA30">
      <w:pPr>
        <w:spacing w:line="560" w:lineRule="exact"/>
        <w:ind w:firstLine="420" w:firstLineChars="200"/>
        <w:rPr>
          <w:szCs w:val="21"/>
        </w:rPr>
      </w:pPr>
      <w:r>
        <w:rPr>
          <w:szCs w:val="21"/>
        </w:rPr>
        <w:t>专用合同条款附件：</w:t>
      </w:r>
    </w:p>
    <w:p w14:paraId="386B2E8D">
      <w:pPr>
        <w:spacing w:line="560" w:lineRule="exact"/>
        <w:ind w:firstLine="420" w:firstLineChars="200"/>
        <w:rPr>
          <w:szCs w:val="21"/>
        </w:rPr>
      </w:pPr>
      <w:r>
        <w:rPr>
          <w:szCs w:val="21"/>
        </w:rPr>
        <w:t>附件3：工程质量保修书</w:t>
      </w:r>
    </w:p>
    <w:p w14:paraId="3CFF5759">
      <w:pPr>
        <w:spacing w:line="560" w:lineRule="exact"/>
        <w:ind w:firstLine="420" w:firstLineChars="200"/>
        <w:rPr>
          <w:szCs w:val="21"/>
        </w:rPr>
      </w:pPr>
      <w:r>
        <w:rPr>
          <w:rFonts w:hint="eastAsia"/>
          <w:szCs w:val="21"/>
        </w:rPr>
        <w:t xml:space="preserve">附件8：履约担保格式 </w:t>
      </w:r>
    </w:p>
    <w:p w14:paraId="58C6E703">
      <w:pPr>
        <w:spacing w:line="560" w:lineRule="exact"/>
        <w:ind w:firstLine="420" w:firstLineChars="200"/>
        <w:rPr>
          <w:szCs w:val="21"/>
        </w:rPr>
      </w:pPr>
      <w:r>
        <w:rPr>
          <w:rFonts w:hint="eastAsia"/>
          <w:szCs w:val="21"/>
        </w:rPr>
        <w:t>附件9：预付款担保格式</w:t>
      </w:r>
    </w:p>
    <w:p w14:paraId="6208A59A">
      <w:pPr>
        <w:spacing w:line="400" w:lineRule="exact"/>
        <w:ind w:firstLine="420" w:firstLineChars="200"/>
        <w:rPr>
          <w:rFonts w:hint="eastAsia"/>
          <w:szCs w:val="21"/>
        </w:rPr>
      </w:pPr>
      <w:r>
        <w:rPr>
          <w:rFonts w:hint="eastAsia"/>
          <w:szCs w:val="21"/>
        </w:rPr>
        <w:t>附件11：暂估价一览表</w:t>
      </w:r>
    </w:p>
    <w:p w14:paraId="705E91D4">
      <w:pPr>
        <w:spacing w:line="400" w:lineRule="exact"/>
        <w:ind w:firstLine="420" w:firstLineChars="200"/>
        <w:rPr>
          <w:rFonts w:hint="eastAsia"/>
          <w:szCs w:val="21"/>
        </w:rPr>
      </w:pPr>
    </w:p>
    <w:p w14:paraId="2B8FDBA2">
      <w:pPr>
        <w:spacing w:line="400" w:lineRule="exact"/>
        <w:ind w:firstLine="420" w:firstLineChars="200"/>
        <w:rPr>
          <w:rFonts w:hint="eastAsia"/>
          <w:szCs w:val="21"/>
        </w:rPr>
      </w:pPr>
    </w:p>
    <w:p w14:paraId="16B34DEC">
      <w:pPr>
        <w:spacing w:line="400" w:lineRule="exact"/>
        <w:ind w:firstLine="420" w:firstLineChars="200"/>
        <w:rPr>
          <w:rFonts w:hint="eastAsia"/>
          <w:szCs w:val="21"/>
        </w:rPr>
      </w:pPr>
    </w:p>
    <w:p w14:paraId="208B25E9">
      <w:pPr>
        <w:spacing w:line="400" w:lineRule="exact"/>
        <w:ind w:firstLine="420" w:firstLineChars="200"/>
        <w:rPr>
          <w:rFonts w:hint="eastAsia"/>
          <w:szCs w:val="21"/>
        </w:rPr>
      </w:pPr>
    </w:p>
    <w:p w14:paraId="11DD6A95">
      <w:pPr>
        <w:spacing w:line="400" w:lineRule="exact"/>
        <w:ind w:firstLine="420" w:firstLineChars="200"/>
        <w:rPr>
          <w:rFonts w:hint="eastAsia"/>
          <w:szCs w:val="21"/>
        </w:rPr>
      </w:pPr>
    </w:p>
    <w:p w14:paraId="641E6C1E">
      <w:pPr>
        <w:spacing w:line="400" w:lineRule="exact"/>
        <w:ind w:firstLine="420" w:firstLineChars="200"/>
        <w:rPr>
          <w:rFonts w:hint="eastAsia"/>
          <w:szCs w:val="21"/>
        </w:rPr>
      </w:pPr>
    </w:p>
    <w:p w14:paraId="5A8F989D">
      <w:pPr>
        <w:spacing w:line="400" w:lineRule="exact"/>
        <w:ind w:firstLine="420" w:firstLineChars="200"/>
        <w:rPr>
          <w:rFonts w:hint="eastAsia"/>
          <w:szCs w:val="21"/>
        </w:rPr>
      </w:pPr>
    </w:p>
    <w:p w14:paraId="4A9578E6">
      <w:pPr>
        <w:spacing w:line="400" w:lineRule="exact"/>
        <w:ind w:firstLine="420" w:firstLineChars="200"/>
        <w:rPr>
          <w:rFonts w:hint="eastAsia"/>
          <w:szCs w:val="21"/>
        </w:rPr>
      </w:pPr>
    </w:p>
    <w:p w14:paraId="086C9A16">
      <w:pPr>
        <w:spacing w:line="400" w:lineRule="exact"/>
        <w:ind w:firstLine="420" w:firstLineChars="200"/>
        <w:rPr>
          <w:rFonts w:hint="eastAsia"/>
          <w:szCs w:val="21"/>
        </w:rPr>
      </w:pPr>
    </w:p>
    <w:p w14:paraId="500B0C7D">
      <w:pPr>
        <w:spacing w:line="400" w:lineRule="exact"/>
        <w:ind w:firstLine="420" w:firstLineChars="200"/>
        <w:rPr>
          <w:rFonts w:hint="eastAsia"/>
          <w:szCs w:val="21"/>
        </w:rPr>
      </w:pPr>
    </w:p>
    <w:p w14:paraId="04C35602">
      <w:pPr>
        <w:spacing w:line="400" w:lineRule="exact"/>
        <w:ind w:firstLine="420" w:firstLineChars="200"/>
        <w:rPr>
          <w:rFonts w:hint="eastAsia"/>
          <w:szCs w:val="21"/>
        </w:rPr>
      </w:pPr>
    </w:p>
    <w:p w14:paraId="58D84AA5">
      <w:pPr>
        <w:spacing w:line="400" w:lineRule="exact"/>
        <w:ind w:firstLine="420" w:firstLineChars="200"/>
        <w:rPr>
          <w:rFonts w:hint="eastAsia"/>
          <w:szCs w:val="21"/>
        </w:rPr>
      </w:pPr>
    </w:p>
    <w:p w14:paraId="619C2B44">
      <w:pPr>
        <w:spacing w:line="400" w:lineRule="exact"/>
        <w:ind w:firstLine="420" w:firstLineChars="200"/>
        <w:rPr>
          <w:rFonts w:hint="eastAsia"/>
          <w:szCs w:val="21"/>
        </w:rPr>
      </w:pPr>
    </w:p>
    <w:p w14:paraId="26521505">
      <w:pPr>
        <w:spacing w:line="400" w:lineRule="exact"/>
        <w:ind w:firstLine="420" w:firstLineChars="200"/>
        <w:rPr>
          <w:rFonts w:hint="eastAsia"/>
          <w:szCs w:val="21"/>
        </w:rPr>
      </w:pPr>
    </w:p>
    <w:p w14:paraId="22EC8C9D">
      <w:pPr>
        <w:spacing w:line="400" w:lineRule="exact"/>
        <w:ind w:firstLine="420" w:firstLineChars="200"/>
        <w:rPr>
          <w:rFonts w:hint="eastAsia"/>
          <w:szCs w:val="21"/>
        </w:rPr>
      </w:pPr>
    </w:p>
    <w:p w14:paraId="50A182C6">
      <w:pPr>
        <w:spacing w:line="400" w:lineRule="exact"/>
        <w:ind w:firstLine="420" w:firstLineChars="200"/>
        <w:rPr>
          <w:rFonts w:hint="eastAsia"/>
          <w:szCs w:val="21"/>
        </w:rPr>
      </w:pPr>
    </w:p>
    <w:p w14:paraId="41C49D3E">
      <w:pPr>
        <w:spacing w:line="400" w:lineRule="exact"/>
        <w:ind w:firstLine="420" w:firstLineChars="200"/>
        <w:rPr>
          <w:rFonts w:hint="eastAsia"/>
          <w:szCs w:val="21"/>
        </w:rPr>
      </w:pPr>
    </w:p>
    <w:p w14:paraId="252BAF39">
      <w:pPr>
        <w:spacing w:line="400" w:lineRule="exact"/>
        <w:ind w:firstLine="420" w:firstLineChars="200"/>
        <w:rPr>
          <w:rFonts w:hint="eastAsia"/>
          <w:szCs w:val="21"/>
        </w:rPr>
      </w:pPr>
    </w:p>
    <w:p w14:paraId="14D6EF7C">
      <w:pPr>
        <w:spacing w:line="400" w:lineRule="exact"/>
        <w:ind w:firstLine="420" w:firstLineChars="200"/>
        <w:rPr>
          <w:rFonts w:hint="eastAsia"/>
          <w:szCs w:val="21"/>
        </w:rPr>
      </w:pPr>
    </w:p>
    <w:p w14:paraId="05E9AD50">
      <w:pPr>
        <w:spacing w:line="400" w:lineRule="exact"/>
        <w:ind w:firstLine="420" w:firstLineChars="200"/>
        <w:rPr>
          <w:rFonts w:hint="eastAsia"/>
          <w:szCs w:val="21"/>
        </w:rPr>
      </w:pPr>
    </w:p>
    <w:p w14:paraId="30153B1C">
      <w:pPr>
        <w:spacing w:line="400" w:lineRule="exact"/>
        <w:ind w:firstLine="420" w:firstLineChars="200"/>
        <w:rPr>
          <w:rFonts w:hint="eastAsia"/>
          <w:szCs w:val="21"/>
        </w:rPr>
      </w:pPr>
    </w:p>
    <w:p w14:paraId="3870C53C">
      <w:pPr>
        <w:spacing w:line="400" w:lineRule="exact"/>
        <w:ind w:firstLine="420" w:firstLineChars="200"/>
        <w:rPr>
          <w:rFonts w:hint="eastAsia"/>
          <w:szCs w:val="21"/>
        </w:rPr>
      </w:pPr>
    </w:p>
    <w:p w14:paraId="1E6CDE80">
      <w:pPr>
        <w:pStyle w:val="11"/>
        <w:rPr>
          <w:rFonts w:hint="eastAsia"/>
          <w:szCs w:val="21"/>
        </w:rPr>
      </w:pPr>
    </w:p>
    <w:p w14:paraId="03EA509E">
      <w:pPr>
        <w:pStyle w:val="5"/>
        <w:rPr>
          <w:rFonts w:hint="eastAsia"/>
        </w:rPr>
      </w:pPr>
    </w:p>
    <w:p w14:paraId="1A75FBE6">
      <w:pPr>
        <w:spacing w:line="400" w:lineRule="exact"/>
        <w:ind w:firstLine="420" w:firstLineChars="200"/>
        <w:rPr>
          <w:rFonts w:hint="eastAsia"/>
          <w:szCs w:val="21"/>
        </w:rPr>
      </w:pPr>
    </w:p>
    <w:p w14:paraId="42D8CB0D">
      <w:pPr>
        <w:spacing w:line="400" w:lineRule="exact"/>
        <w:ind w:firstLine="420" w:firstLineChars="200"/>
        <w:rPr>
          <w:rFonts w:hint="eastAsia"/>
          <w:szCs w:val="21"/>
        </w:rPr>
      </w:pPr>
    </w:p>
    <w:p w14:paraId="7823BDB6">
      <w:pPr>
        <w:spacing w:line="400" w:lineRule="exact"/>
        <w:ind w:firstLine="420" w:firstLineChars="200"/>
        <w:rPr>
          <w:rFonts w:hint="eastAsia"/>
          <w:szCs w:val="21"/>
        </w:rPr>
      </w:pPr>
    </w:p>
    <w:p w14:paraId="6F13542B">
      <w:pPr>
        <w:pStyle w:val="4"/>
        <w:spacing w:before="0" w:after="0" w:line="360" w:lineRule="exact"/>
        <w:ind w:firstLine="422" w:firstLineChars="200"/>
        <w:rPr>
          <w:rFonts w:ascii="Times New Roman" w:hAnsi="Times New Roman"/>
          <w:sz w:val="21"/>
          <w:szCs w:val="21"/>
        </w:rPr>
      </w:pPr>
      <w:r>
        <w:rPr>
          <w:rFonts w:ascii="Times New Roman" w:hAnsi="Times New Roman"/>
          <w:sz w:val="21"/>
          <w:szCs w:val="21"/>
        </w:rPr>
        <w:t>附</w:t>
      </w:r>
      <w:bookmarkStart w:id="122" w:name="_Toc296346727"/>
      <w:bookmarkStart w:id="123" w:name="_Toc296891266"/>
      <w:bookmarkStart w:id="124" w:name="_Toc296891054"/>
      <w:bookmarkStart w:id="125" w:name="_Toc296347225"/>
      <w:bookmarkStart w:id="126" w:name="_Toc296944565"/>
      <w:bookmarkStart w:id="127" w:name="_Toc267261693"/>
      <w:bookmarkStart w:id="128" w:name="_Toc296503226"/>
      <w:r>
        <w:rPr>
          <w:rFonts w:ascii="Times New Roman" w:hAnsi="Times New Roman"/>
          <w:sz w:val="21"/>
          <w:szCs w:val="21"/>
        </w:rPr>
        <w:t>件3：</w:t>
      </w:r>
      <w:bookmarkEnd w:id="122"/>
      <w:bookmarkEnd w:id="123"/>
      <w:bookmarkEnd w:id="124"/>
      <w:bookmarkEnd w:id="125"/>
      <w:bookmarkEnd w:id="126"/>
      <w:bookmarkEnd w:id="127"/>
      <w:bookmarkEnd w:id="128"/>
      <w:r>
        <w:rPr>
          <w:rFonts w:ascii="Times New Roman" w:hAnsi="Times New Roman"/>
          <w:sz w:val="21"/>
          <w:szCs w:val="21"/>
        </w:rPr>
        <w:t xml:space="preserve">    </w:t>
      </w:r>
    </w:p>
    <w:p w14:paraId="20E649E3">
      <w:pPr>
        <w:spacing w:line="360" w:lineRule="exact"/>
        <w:ind w:firstLine="480" w:firstLineChars="200"/>
        <w:jc w:val="center"/>
        <w:rPr>
          <w:rFonts w:eastAsia="黑体"/>
          <w:bCs/>
          <w:sz w:val="24"/>
        </w:rPr>
      </w:pPr>
      <w:r>
        <w:rPr>
          <w:rFonts w:eastAsia="黑体"/>
          <w:bCs/>
          <w:sz w:val="24"/>
        </w:rPr>
        <w:t>工程质量保修书</w:t>
      </w:r>
    </w:p>
    <w:p w14:paraId="51B85070">
      <w:pPr>
        <w:spacing w:line="360" w:lineRule="exact"/>
        <w:ind w:firstLine="480" w:firstLineChars="200"/>
        <w:rPr>
          <w:rFonts w:eastAsia="黑体"/>
          <w:bCs/>
          <w:sz w:val="24"/>
        </w:rPr>
      </w:pPr>
    </w:p>
    <w:p w14:paraId="233180C1">
      <w:pPr>
        <w:spacing w:line="440" w:lineRule="exact"/>
        <w:ind w:firstLine="420" w:firstLineChars="200"/>
        <w:rPr>
          <w:rFonts w:hint="eastAsia"/>
          <w:bCs/>
          <w:szCs w:val="21"/>
          <w:u w:val="single"/>
          <w:lang w:eastAsia="zh-CN"/>
        </w:rPr>
      </w:pPr>
      <w:r>
        <w:rPr>
          <w:bCs/>
          <w:szCs w:val="21"/>
        </w:rPr>
        <w:t>发包人（全称）：</w:t>
      </w:r>
      <w:r>
        <w:rPr>
          <w:rFonts w:hint="eastAsia"/>
          <w:bCs/>
          <w:szCs w:val="21"/>
          <w:u w:val="single"/>
        </w:rPr>
        <w:t xml:space="preserve">  </w:t>
      </w:r>
      <w:r>
        <w:rPr>
          <w:rFonts w:hint="eastAsia"/>
          <w:bCs/>
          <w:szCs w:val="21"/>
          <w:u w:val="single"/>
          <w:lang w:eastAsia="zh-CN"/>
        </w:rPr>
        <w:t>三门县民政局</w:t>
      </w:r>
    </w:p>
    <w:p w14:paraId="2FD6F77B">
      <w:pPr>
        <w:spacing w:line="440" w:lineRule="exact"/>
        <w:ind w:firstLine="420" w:firstLineChars="200"/>
        <w:rPr>
          <w:rFonts w:hint="eastAsia"/>
          <w:bCs/>
          <w:szCs w:val="21"/>
          <w:u w:val="single"/>
        </w:rPr>
      </w:pPr>
      <w:r>
        <w:rPr>
          <w:rFonts w:hint="eastAsia"/>
          <w:bCs/>
          <w:szCs w:val="21"/>
          <w:u w:val="none"/>
          <w:lang w:val="en-US" w:eastAsia="zh-CN"/>
        </w:rPr>
        <w:t>代建单位</w:t>
      </w:r>
      <w:r>
        <w:rPr>
          <w:bCs/>
          <w:szCs w:val="21"/>
        </w:rPr>
        <w:t>（全称）：</w:t>
      </w:r>
      <w:r>
        <w:rPr>
          <w:rFonts w:hint="eastAsia"/>
          <w:bCs/>
          <w:szCs w:val="21"/>
          <w:u w:val="single"/>
          <w:lang w:val="en-US" w:eastAsia="zh-CN"/>
        </w:rPr>
        <w:t>三门县基础设施投资有限责任公司</w:t>
      </w:r>
    </w:p>
    <w:p w14:paraId="78C0676A">
      <w:pPr>
        <w:spacing w:line="500" w:lineRule="exact"/>
        <w:ind w:firstLine="420" w:firstLineChars="200"/>
        <w:rPr>
          <w:bCs/>
          <w:szCs w:val="21"/>
        </w:rPr>
      </w:pPr>
      <w:r>
        <w:rPr>
          <w:bCs/>
          <w:szCs w:val="21"/>
        </w:rPr>
        <w:t>承包人（全称）：</w:t>
      </w:r>
      <w:r>
        <w:rPr>
          <w:bCs/>
          <w:szCs w:val="21"/>
          <w:u w:val="single"/>
        </w:rPr>
        <w:t xml:space="preserve">           </w:t>
      </w:r>
      <w:r>
        <w:rPr>
          <w:rFonts w:hint="eastAsia"/>
          <w:bCs/>
          <w:szCs w:val="21"/>
          <w:u w:val="single"/>
          <w:lang w:val="en-US" w:eastAsia="zh-CN"/>
        </w:rPr>
        <w:t xml:space="preserve">                                  </w:t>
      </w:r>
      <w:r>
        <w:rPr>
          <w:bCs/>
          <w:szCs w:val="21"/>
          <w:u w:val="single"/>
        </w:rPr>
        <w:t xml:space="preserve">     </w:t>
      </w:r>
      <w:r>
        <w:rPr>
          <w:rFonts w:hint="eastAsia"/>
          <w:bCs/>
          <w:szCs w:val="21"/>
          <w:u w:val="single"/>
        </w:rPr>
        <w:t xml:space="preserve">    </w:t>
      </w:r>
      <w:r>
        <w:rPr>
          <w:bCs/>
          <w:szCs w:val="21"/>
          <w:u w:val="single"/>
        </w:rPr>
        <w:t xml:space="preserve">  </w:t>
      </w:r>
      <w:r>
        <w:rPr>
          <w:rFonts w:hint="eastAsia"/>
          <w:bCs/>
          <w:szCs w:val="21"/>
          <w:u w:val="single"/>
        </w:rPr>
        <w:t xml:space="preserve">  </w:t>
      </w:r>
      <w:r>
        <w:rPr>
          <w:bCs/>
          <w:szCs w:val="21"/>
          <w:u w:val="single"/>
        </w:rPr>
        <w:t xml:space="preserve">   </w:t>
      </w:r>
    </w:p>
    <w:p w14:paraId="3E47885D">
      <w:pPr>
        <w:spacing w:line="500" w:lineRule="exact"/>
        <w:ind w:firstLine="420" w:firstLineChars="200"/>
        <w:rPr>
          <w:bCs/>
          <w:szCs w:val="21"/>
        </w:rPr>
      </w:pPr>
      <w:r>
        <w:rPr>
          <w:bCs/>
          <w:szCs w:val="21"/>
        </w:rPr>
        <w:t>发包人和承包人根据《中华人民共和国建筑法》和《建设工程质量管理条例》，经协商一致就</w:t>
      </w:r>
      <w:r>
        <w:rPr>
          <w:rFonts w:hint="eastAsia" w:ascii="宋体" w:hAnsi="宋体"/>
          <w:u w:val="single"/>
          <w:lang w:eastAsia="zh-CN"/>
        </w:rPr>
        <w:t>三门县失能失智敬老院项目</w:t>
      </w:r>
      <w:r>
        <w:rPr>
          <w:bCs/>
          <w:szCs w:val="21"/>
        </w:rPr>
        <w:t>（工程全称）签订工程质量保修书。</w:t>
      </w:r>
    </w:p>
    <w:p w14:paraId="0FCA401A">
      <w:pPr>
        <w:spacing w:line="500" w:lineRule="exact"/>
        <w:ind w:firstLine="420" w:firstLineChars="200"/>
        <w:rPr>
          <w:bCs/>
          <w:szCs w:val="21"/>
        </w:rPr>
      </w:pPr>
      <w:r>
        <w:rPr>
          <w:bCs/>
          <w:szCs w:val="21"/>
        </w:rPr>
        <w:t>一、工程质量保修范围和内容</w:t>
      </w:r>
    </w:p>
    <w:p w14:paraId="1E823693">
      <w:pPr>
        <w:spacing w:line="500" w:lineRule="exact"/>
        <w:ind w:firstLine="420" w:firstLineChars="200"/>
        <w:rPr>
          <w:bCs/>
          <w:szCs w:val="21"/>
        </w:rPr>
      </w:pPr>
      <w:r>
        <w:rPr>
          <w:bCs/>
          <w:szCs w:val="21"/>
        </w:rPr>
        <w:t>承包人在质量保修期内，按照有关法律规定和合同约定，承担工程质量保修责任。</w:t>
      </w:r>
    </w:p>
    <w:p w14:paraId="5CFC2464">
      <w:pPr>
        <w:spacing w:line="500" w:lineRule="exact"/>
        <w:ind w:firstLine="420" w:firstLineChars="200"/>
        <w:rPr>
          <w:bCs/>
          <w:szCs w:val="21"/>
        </w:rPr>
      </w:pPr>
      <w:r>
        <w:rPr>
          <w:bCs/>
          <w:szCs w:val="21"/>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hint="eastAsia" w:hAnsi="宋体" w:cs="宋体"/>
          <w:kern w:val="0"/>
          <w:u w:val="single"/>
        </w:rPr>
        <w:t>承包人提供的竣工图纸范围内包含的全部内容。</w:t>
      </w:r>
    </w:p>
    <w:p w14:paraId="148D5D43">
      <w:pPr>
        <w:spacing w:line="500" w:lineRule="exact"/>
        <w:ind w:firstLine="420" w:firstLineChars="200"/>
        <w:rPr>
          <w:bCs/>
          <w:szCs w:val="21"/>
        </w:rPr>
      </w:pPr>
      <w:r>
        <w:rPr>
          <w:bCs/>
          <w:szCs w:val="21"/>
        </w:rPr>
        <w:t>二、质量保修期</w:t>
      </w:r>
    </w:p>
    <w:p w14:paraId="28A3BEBE">
      <w:pPr>
        <w:spacing w:line="500" w:lineRule="exact"/>
        <w:ind w:firstLine="420" w:firstLineChars="200"/>
        <w:rPr>
          <w:bCs/>
          <w:szCs w:val="21"/>
        </w:rPr>
      </w:pPr>
      <w:r>
        <w:rPr>
          <w:bCs/>
          <w:szCs w:val="21"/>
        </w:rPr>
        <w:t>根据《建设工程质量管理条例》及有关规定，工程的质量保修期如下：</w:t>
      </w:r>
    </w:p>
    <w:p w14:paraId="1179B02A">
      <w:pPr>
        <w:spacing w:line="500" w:lineRule="exact"/>
        <w:ind w:firstLine="420" w:firstLineChars="200"/>
        <w:rPr>
          <w:bCs/>
          <w:szCs w:val="21"/>
        </w:rPr>
      </w:pPr>
      <w:r>
        <w:rPr>
          <w:bCs/>
          <w:szCs w:val="21"/>
        </w:rPr>
        <w:t>1．地基基础工程和主体结构工程为设计文件规定的工程合理使用年限；</w:t>
      </w:r>
    </w:p>
    <w:p w14:paraId="48023EFF">
      <w:pPr>
        <w:spacing w:line="500" w:lineRule="exact"/>
        <w:ind w:firstLine="420" w:firstLineChars="200"/>
        <w:rPr>
          <w:bCs/>
          <w:szCs w:val="21"/>
        </w:rPr>
      </w:pPr>
      <w:r>
        <w:rPr>
          <w:bCs/>
          <w:szCs w:val="21"/>
        </w:rPr>
        <w:t>2．屋面防水工程、有防水要求的卫生间、房间和外墙面的防渗为</w:t>
      </w:r>
      <w:r>
        <w:rPr>
          <w:bCs/>
          <w:szCs w:val="21"/>
          <w:u w:val="single"/>
        </w:rPr>
        <w:t xml:space="preserve">  </w:t>
      </w:r>
      <w:r>
        <w:rPr>
          <w:rFonts w:hint="eastAsia"/>
          <w:bCs/>
          <w:szCs w:val="21"/>
          <w:u w:val="single"/>
        </w:rPr>
        <w:t>5</w:t>
      </w:r>
      <w:r>
        <w:rPr>
          <w:bCs/>
          <w:szCs w:val="21"/>
          <w:u w:val="single"/>
        </w:rPr>
        <w:t xml:space="preserve">   </w:t>
      </w:r>
      <w:r>
        <w:rPr>
          <w:bCs/>
          <w:szCs w:val="21"/>
        </w:rPr>
        <w:t>年；</w:t>
      </w:r>
    </w:p>
    <w:p w14:paraId="6C0AC502">
      <w:pPr>
        <w:spacing w:line="500" w:lineRule="exact"/>
        <w:ind w:firstLine="420" w:firstLineChars="200"/>
        <w:rPr>
          <w:bCs/>
          <w:szCs w:val="21"/>
        </w:rPr>
      </w:pPr>
      <w:r>
        <w:rPr>
          <w:bCs/>
          <w:szCs w:val="21"/>
        </w:rPr>
        <w:t>3．装修工程为</w:t>
      </w:r>
      <w:r>
        <w:rPr>
          <w:bCs/>
          <w:szCs w:val="21"/>
          <w:u w:val="single"/>
        </w:rPr>
        <w:t xml:space="preserve">   </w:t>
      </w:r>
      <w:r>
        <w:rPr>
          <w:rFonts w:hint="eastAsia"/>
          <w:bCs/>
          <w:szCs w:val="21"/>
          <w:u w:val="single"/>
        </w:rPr>
        <w:t>2</w:t>
      </w:r>
      <w:r>
        <w:rPr>
          <w:bCs/>
          <w:szCs w:val="21"/>
          <w:u w:val="single"/>
        </w:rPr>
        <w:t xml:space="preserve">  </w:t>
      </w:r>
      <w:r>
        <w:rPr>
          <w:bCs/>
          <w:szCs w:val="21"/>
        </w:rPr>
        <w:t>年；</w:t>
      </w:r>
    </w:p>
    <w:p w14:paraId="2D234B27">
      <w:pPr>
        <w:spacing w:line="500" w:lineRule="exact"/>
        <w:ind w:firstLine="420" w:firstLineChars="200"/>
        <w:rPr>
          <w:bCs/>
          <w:szCs w:val="21"/>
        </w:rPr>
      </w:pPr>
      <w:r>
        <w:rPr>
          <w:bCs/>
          <w:szCs w:val="21"/>
        </w:rPr>
        <w:t>4．电气管线、给排水管道、设备安装工程为</w:t>
      </w:r>
      <w:r>
        <w:rPr>
          <w:bCs/>
          <w:szCs w:val="21"/>
          <w:u w:val="single"/>
        </w:rPr>
        <w:t xml:space="preserve">   </w:t>
      </w:r>
      <w:r>
        <w:rPr>
          <w:rFonts w:hint="eastAsia"/>
          <w:bCs/>
          <w:szCs w:val="21"/>
          <w:u w:val="single"/>
        </w:rPr>
        <w:t>2</w:t>
      </w:r>
      <w:r>
        <w:rPr>
          <w:bCs/>
          <w:szCs w:val="21"/>
          <w:u w:val="single"/>
        </w:rPr>
        <w:t xml:space="preserve">  </w:t>
      </w:r>
      <w:r>
        <w:rPr>
          <w:bCs/>
          <w:szCs w:val="21"/>
        </w:rPr>
        <w:t>年；</w:t>
      </w:r>
    </w:p>
    <w:p w14:paraId="1CA9CFBA">
      <w:pPr>
        <w:spacing w:line="500" w:lineRule="exact"/>
        <w:ind w:firstLine="420" w:firstLineChars="200"/>
        <w:rPr>
          <w:bCs/>
          <w:szCs w:val="21"/>
        </w:rPr>
      </w:pPr>
      <w:r>
        <w:rPr>
          <w:bCs/>
          <w:szCs w:val="21"/>
        </w:rPr>
        <w:t>5．供热与供冷系统为</w:t>
      </w:r>
      <w:r>
        <w:rPr>
          <w:bCs/>
          <w:szCs w:val="21"/>
          <w:u w:val="single"/>
        </w:rPr>
        <w:t xml:space="preserve">  </w:t>
      </w:r>
      <w:r>
        <w:rPr>
          <w:rFonts w:hint="eastAsia"/>
          <w:bCs/>
          <w:szCs w:val="21"/>
          <w:u w:val="single"/>
        </w:rPr>
        <w:t>2</w:t>
      </w:r>
      <w:r>
        <w:rPr>
          <w:bCs/>
          <w:szCs w:val="21"/>
          <w:u w:val="single"/>
        </w:rPr>
        <w:t xml:space="preserve">    </w:t>
      </w:r>
      <w:r>
        <w:rPr>
          <w:bCs/>
          <w:szCs w:val="21"/>
        </w:rPr>
        <w:t>个采暖期、供冷期；</w:t>
      </w:r>
    </w:p>
    <w:p w14:paraId="1E72C187">
      <w:pPr>
        <w:spacing w:line="500" w:lineRule="exact"/>
        <w:ind w:firstLine="420" w:firstLineChars="200"/>
        <w:rPr>
          <w:bCs/>
          <w:szCs w:val="21"/>
        </w:rPr>
      </w:pPr>
      <w:r>
        <w:rPr>
          <w:bCs/>
          <w:szCs w:val="21"/>
        </w:rPr>
        <w:t>6．住宅小区内的给排水设施、道路等配套工程为</w:t>
      </w:r>
      <w:r>
        <w:rPr>
          <w:bCs/>
          <w:szCs w:val="21"/>
          <w:u w:val="single"/>
        </w:rPr>
        <w:t xml:space="preserve">   </w:t>
      </w:r>
      <w:r>
        <w:rPr>
          <w:rFonts w:hint="eastAsia"/>
          <w:bCs/>
          <w:szCs w:val="21"/>
          <w:u w:val="single"/>
        </w:rPr>
        <w:t>2</w:t>
      </w:r>
      <w:r>
        <w:rPr>
          <w:bCs/>
          <w:szCs w:val="21"/>
          <w:u w:val="single"/>
        </w:rPr>
        <w:t xml:space="preserve">  </w:t>
      </w:r>
      <w:r>
        <w:rPr>
          <w:bCs/>
          <w:szCs w:val="21"/>
        </w:rPr>
        <w:t>年；</w:t>
      </w:r>
    </w:p>
    <w:p w14:paraId="077B9CF2">
      <w:pPr>
        <w:spacing w:line="500" w:lineRule="exact"/>
        <w:ind w:firstLine="420" w:firstLineChars="200"/>
        <w:rPr>
          <w:rFonts w:hint="eastAsia" w:hAnsi="宋体" w:cs="宋体"/>
          <w:b/>
          <w:kern w:val="0"/>
          <w:u w:val="single"/>
        </w:rPr>
      </w:pPr>
      <w:r>
        <w:rPr>
          <w:bCs/>
          <w:szCs w:val="21"/>
        </w:rPr>
        <w:t>7．其他项目保修期限约定如下：</w:t>
      </w:r>
      <w:r>
        <w:rPr>
          <w:rFonts w:hint="eastAsia"/>
          <w:b/>
          <w:bCs/>
          <w:szCs w:val="21"/>
          <w:u w:val="single"/>
        </w:rPr>
        <w:t>本工程合同范围内的工程，质量保修期自工程竣工验收合格之日起两年</w:t>
      </w:r>
      <w:r>
        <w:rPr>
          <w:rFonts w:hint="eastAsia" w:hAnsi="宋体" w:cs="宋体"/>
          <w:b/>
          <w:kern w:val="0"/>
          <w:u w:val="single"/>
        </w:rPr>
        <w:t>。</w:t>
      </w:r>
    </w:p>
    <w:p w14:paraId="3AA8F61B">
      <w:pPr>
        <w:spacing w:line="500" w:lineRule="exact"/>
        <w:ind w:firstLine="420" w:firstLineChars="200"/>
        <w:rPr>
          <w:bCs/>
          <w:szCs w:val="21"/>
          <w:highlight w:val="none"/>
        </w:rPr>
      </w:pPr>
      <w:r>
        <w:rPr>
          <w:bCs/>
          <w:szCs w:val="21"/>
          <w:highlight w:val="none"/>
        </w:rPr>
        <w:t>三、缺陷责任期</w:t>
      </w:r>
    </w:p>
    <w:p w14:paraId="22F9CFEF">
      <w:pPr>
        <w:spacing w:line="500" w:lineRule="exact"/>
        <w:ind w:firstLine="420" w:firstLineChars="200"/>
        <w:rPr>
          <w:bCs/>
          <w:szCs w:val="21"/>
        </w:rPr>
      </w:pPr>
      <w:r>
        <w:rPr>
          <w:bCs/>
          <w:szCs w:val="21"/>
        </w:rPr>
        <w:t>工程缺陷责任期为</w:t>
      </w:r>
      <w:r>
        <w:rPr>
          <w:bCs/>
          <w:szCs w:val="21"/>
          <w:u w:val="single"/>
        </w:rPr>
        <w:t xml:space="preserve"> 24</w:t>
      </w:r>
      <w:r>
        <w:rPr>
          <w:bCs/>
          <w:szCs w:val="21"/>
        </w:rPr>
        <w:t>个月，缺陷责任期自工程竣工验收合格之日起计算。单位工程先于全部工程进行验收，单位工程缺陷责任期自单位工程验收合格之日起算。</w:t>
      </w:r>
    </w:p>
    <w:p w14:paraId="61ACB57E">
      <w:pPr>
        <w:spacing w:line="500" w:lineRule="exact"/>
        <w:ind w:firstLine="420" w:firstLineChars="200"/>
        <w:rPr>
          <w:bCs/>
          <w:szCs w:val="21"/>
        </w:rPr>
      </w:pPr>
      <w:r>
        <w:rPr>
          <w:bCs/>
          <w:szCs w:val="21"/>
        </w:rPr>
        <w:t>四、质量保修责任</w:t>
      </w:r>
    </w:p>
    <w:p w14:paraId="4087CEC8">
      <w:pPr>
        <w:spacing w:line="500" w:lineRule="exact"/>
        <w:ind w:firstLine="420" w:firstLineChars="200"/>
        <w:rPr>
          <w:bCs/>
          <w:szCs w:val="21"/>
        </w:rPr>
      </w:pPr>
      <w:r>
        <w:rPr>
          <w:bCs/>
          <w:szCs w:val="21"/>
        </w:rPr>
        <w:t>1．属于保修范围、内容的项目，承包人应当在接到保修通知之日起7天内派人保修。承包人不在约定期限内派人保修的，发包人可以委托他人修理。</w:t>
      </w:r>
    </w:p>
    <w:p w14:paraId="6196DEFD">
      <w:pPr>
        <w:spacing w:line="500" w:lineRule="exact"/>
        <w:ind w:firstLine="420" w:firstLineChars="200"/>
        <w:rPr>
          <w:bCs/>
          <w:szCs w:val="21"/>
        </w:rPr>
      </w:pPr>
      <w:r>
        <w:rPr>
          <w:bCs/>
          <w:szCs w:val="21"/>
        </w:rPr>
        <w:t>2．发生紧急事故需抢修的，承包人在接到事故通知后，应当立即到达事故现场抢修。</w:t>
      </w:r>
    </w:p>
    <w:p w14:paraId="5E63DBAD">
      <w:pPr>
        <w:spacing w:line="500" w:lineRule="exact"/>
        <w:ind w:firstLine="420" w:firstLineChars="200"/>
        <w:rPr>
          <w:bCs/>
          <w:szCs w:val="21"/>
        </w:rPr>
      </w:pPr>
      <w:r>
        <w:rPr>
          <w:bCs/>
          <w:szCs w:val="21"/>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02BB76F3">
      <w:pPr>
        <w:spacing w:line="500" w:lineRule="exact"/>
        <w:ind w:firstLine="420" w:firstLineChars="200"/>
        <w:rPr>
          <w:bCs/>
          <w:szCs w:val="21"/>
        </w:rPr>
      </w:pPr>
      <w:r>
        <w:rPr>
          <w:bCs/>
          <w:szCs w:val="21"/>
        </w:rPr>
        <w:t>4．质量保修完成后，由发包人组织验收。</w:t>
      </w:r>
    </w:p>
    <w:p w14:paraId="404365FA">
      <w:pPr>
        <w:spacing w:line="500" w:lineRule="exact"/>
        <w:ind w:firstLine="420" w:firstLineChars="200"/>
        <w:rPr>
          <w:bCs/>
          <w:szCs w:val="21"/>
        </w:rPr>
      </w:pPr>
      <w:r>
        <w:rPr>
          <w:bCs/>
          <w:szCs w:val="21"/>
        </w:rPr>
        <w:t>五、保修费用</w:t>
      </w:r>
    </w:p>
    <w:p w14:paraId="117B3415">
      <w:pPr>
        <w:spacing w:line="500" w:lineRule="exact"/>
        <w:ind w:firstLine="420" w:firstLineChars="200"/>
        <w:rPr>
          <w:bCs/>
          <w:szCs w:val="21"/>
        </w:rPr>
      </w:pPr>
      <w:r>
        <w:rPr>
          <w:bCs/>
          <w:szCs w:val="21"/>
        </w:rPr>
        <w:t>保修费用由造成质量缺陷的责任方承担。</w:t>
      </w:r>
    </w:p>
    <w:p w14:paraId="0E252C3D">
      <w:pPr>
        <w:spacing w:line="500" w:lineRule="exact"/>
        <w:ind w:firstLine="420" w:firstLineChars="200"/>
        <w:rPr>
          <w:rFonts w:hint="eastAsia"/>
          <w:bCs/>
          <w:szCs w:val="21"/>
          <w:u w:val="single"/>
        </w:rPr>
      </w:pPr>
      <w:r>
        <w:rPr>
          <w:bCs/>
          <w:szCs w:val="21"/>
        </w:rPr>
        <w:t>六、双方约定的其他工程质量保修事项：</w:t>
      </w:r>
      <w:r>
        <w:rPr>
          <w:bCs/>
          <w:szCs w:val="21"/>
          <w:u w:val="single"/>
        </w:rPr>
        <w:t xml:space="preserve">    </w:t>
      </w:r>
      <w:r>
        <w:rPr>
          <w:rFonts w:hint="eastAsia"/>
          <w:bCs/>
          <w:szCs w:val="21"/>
          <w:u w:val="single"/>
        </w:rPr>
        <w:t xml:space="preserve">                               </w:t>
      </w:r>
      <w:r>
        <w:rPr>
          <w:bCs/>
          <w:szCs w:val="21"/>
          <w:u w:val="single"/>
        </w:rPr>
        <w:t xml:space="preserve"> </w:t>
      </w:r>
    </w:p>
    <w:p w14:paraId="6E0767FF">
      <w:pPr>
        <w:spacing w:line="500" w:lineRule="exact"/>
        <w:ind w:firstLine="420" w:firstLineChars="200"/>
        <w:rPr>
          <w:bCs/>
          <w:szCs w:val="21"/>
        </w:rPr>
      </w:pPr>
      <w:r>
        <w:rPr>
          <w:bCs/>
          <w:szCs w:val="21"/>
        </w:rPr>
        <w:t>工程质量保修书由发包人、承包人在工程竣工验收前共同签署，作为施工合同附件，其有效期限至保修期满。</w:t>
      </w:r>
    </w:p>
    <w:p w14:paraId="7E7AC6D2">
      <w:pPr>
        <w:spacing w:line="500" w:lineRule="exact"/>
        <w:ind w:firstLine="420" w:firstLineChars="200"/>
        <w:rPr>
          <w:rFonts w:hint="eastAsia"/>
          <w:bCs/>
          <w:szCs w:val="21"/>
        </w:rPr>
      </w:pPr>
    </w:p>
    <w:p w14:paraId="0D57F7EF">
      <w:pPr>
        <w:spacing w:line="500" w:lineRule="exact"/>
        <w:ind w:firstLine="420" w:firstLineChars="200"/>
        <w:rPr>
          <w:bCs/>
          <w:szCs w:val="21"/>
        </w:rPr>
      </w:pPr>
      <w:r>
        <w:rPr>
          <w:bCs/>
          <w:szCs w:val="21"/>
        </w:rPr>
        <w:t>发包人（公章）：</w:t>
      </w:r>
      <w:r>
        <w:rPr>
          <w:bCs/>
          <w:szCs w:val="21"/>
          <w:u w:val="single"/>
        </w:rPr>
        <w:t xml:space="preserve">    </w:t>
      </w:r>
      <w:r>
        <w:rPr>
          <w:rFonts w:hint="eastAsia"/>
          <w:bCs/>
          <w:szCs w:val="21"/>
          <w:u w:val="single"/>
        </w:rPr>
        <w:t xml:space="preserve">       </w:t>
      </w:r>
      <w:r>
        <w:rPr>
          <w:bCs/>
          <w:szCs w:val="21"/>
          <w:u w:val="single"/>
        </w:rPr>
        <w:t xml:space="preserve">    </w:t>
      </w:r>
      <w:r>
        <w:rPr>
          <w:bCs/>
          <w:szCs w:val="21"/>
        </w:rPr>
        <w:t xml:space="preserve"> 承包人（公章）：</w:t>
      </w:r>
      <w:r>
        <w:rPr>
          <w:bCs/>
          <w:szCs w:val="21"/>
          <w:u w:val="single"/>
        </w:rPr>
        <w:t xml:space="preserve">    </w:t>
      </w:r>
      <w:r>
        <w:rPr>
          <w:rFonts w:hint="eastAsia"/>
          <w:bCs/>
          <w:szCs w:val="21"/>
          <w:u w:val="single"/>
        </w:rPr>
        <w:t xml:space="preserve">          </w:t>
      </w:r>
      <w:r>
        <w:rPr>
          <w:bCs/>
          <w:szCs w:val="21"/>
          <w:u w:val="single"/>
        </w:rPr>
        <w:t xml:space="preserve">        </w:t>
      </w:r>
    </w:p>
    <w:p w14:paraId="77638273">
      <w:pPr>
        <w:spacing w:line="500" w:lineRule="exact"/>
        <w:ind w:firstLine="420" w:firstLineChars="200"/>
        <w:rPr>
          <w:bCs/>
          <w:szCs w:val="21"/>
        </w:rPr>
      </w:pPr>
      <w:r>
        <w:rPr>
          <w:bCs/>
          <w:szCs w:val="21"/>
        </w:rPr>
        <w:t>地  址：</w:t>
      </w:r>
      <w:r>
        <w:rPr>
          <w:bCs/>
          <w:szCs w:val="21"/>
          <w:u w:val="single"/>
        </w:rPr>
        <w:t xml:space="preserve"> </w:t>
      </w:r>
      <w:r>
        <w:rPr>
          <w:rFonts w:hint="eastAsia"/>
          <w:bCs/>
          <w:szCs w:val="21"/>
          <w:u w:val="single"/>
        </w:rPr>
        <w:t xml:space="preserve">         </w:t>
      </w:r>
      <w:r>
        <w:rPr>
          <w:bCs/>
          <w:szCs w:val="21"/>
          <w:u w:val="single"/>
        </w:rPr>
        <w:t xml:space="preserve">     </w:t>
      </w:r>
      <w:r>
        <w:rPr>
          <w:bCs/>
          <w:szCs w:val="21"/>
        </w:rPr>
        <w:t xml:space="preserve"> 地  址：</w:t>
      </w:r>
      <w:r>
        <w:rPr>
          <w:bCs/>
          <w:szCs w:val="21"/>
          <w:u w:val="single"/>
        </w:rPr>
        <w:t></w:t>
      </w:r>
      <w:r>
        <w:rPr>
          <w:rFonts w:hint="eastAsia"/>
          <w:bCs/>
          <w:szCs w:val="21"/>
          <w:u w:val="single"/>
        </w:rPr>
        <w:t xml:space="preserve">        </w:t>
      </w:r>
      <w:r>
        <w:rPr>
          <w:bCs/>
          <w:szCs w:val="21"/>
          <w:u w:val="single"/>
        </w:rPr>
        <w:t xml:space="preserve">            </w:t>
      </w:r>
    </w:p>
    <w:p w14:paraId="40127CD2">
      <w:pPr>
        <w:spacing w:line="500" w:lineRule="exact"/>
        <w:ind w:firstLine="420" w:firstLineChars="200"/>
        <w:rPr>
          <w:bCs/>
          <w:szCs w:val="21"/>
        </w:rPr>
      </w:pPr>
      <w:r>
        <w:rPr>
          <w:bCs/>
          <w:szCs w:val="21"/>
        </w:rPr>
        <w:t>法定代表人（签字）：</w:t>
      </w:r>
      <w:r>
        <w:rPr>
          <w:bCs/>
          <w:szCs w:val="21"/>
          <w:u w:val="single"/>
        </w:rPr>
        <w:t xml:space="preserve">  </w:t>
      </w:r>
      <w:r>
        <w:rPr>
          <w:rFonts w:hint="eastAsia"/>
          <w:bCs/>
          <w:szCs w:val="21"/>
          <w:u w:val="single"/>
        </w:rPr>
        <w:t xml:space="preserve">      </w:t>
      </w:r>
      <w:r>
        <w:rPr>
          <w:bCs/>
          <w:szCs w:val="21"/>
          <w:u w:val="single"/>
        </w:rPr>
        <w:t xml:space="preserve">    </w:t>
      </w:r>
      <w:r>
        <w:rPr>
          <w:bCs/>
          <w:szCs w:val="21"/>
        </w:rPr>
        <w:t xml:space="preserve"> 法定代表人（签字）：</w:t>
      </w:r>
      <w:r>
        <w:rPr>
          <w:bCs/>
          <w:szCs w:val="21"/>
          <w:u w:val="single"/>
        </w:rPr>
        <w:t xml:space="preserve">  </w:t>
      </w:r>
      <w:r>
        <w:rPr>
          <w:rFonts w:hint="eastAsia"/>
          <w:bCs/>
          <w:szCs w:val="21"/>
          <w:u w:val="single"/>
        </w:rPr>
        <w:t xml:space="preserve">      </w:t>
      </w:r>
      <w:r>
        <w:rPr>
          <w:bCs/>
          <w:szCs w:val="21"/>
          <w:u w:val="single"/>
        </w:rPr>
        <w:t xml:space="preserve"> </w:t>
      </w:r>
      <w:r>
        <w:rPr>
          <w:rFonts w:hint="eastAsia"/>
          <w:bCs/>
          <w:szCs w:val="21"/>
          <w:u w:val="single"/>
        </w:rPr>
        <w:t xml:space="preserve">  </w:t>
      </w:r>
      <w:r>
        <w:rPr>
          <w:bCs/>
          <w:szCs w:val="21"/>
          <w:u w:val="single"/>
        </w:rPr>
        <w:t xml:space="preserve">     </w:t>
      </w:r>
    </w:p>
    <w:p w14:paraId="0EB58EE2">
      <w:pPr>
        <w:spacing w:line="500" w:lineRule="exact"/>
        <w:ind w:firstLine="420" w:firstLineChars="200"/>
        <w:rPr>
          <w:bCs/>
          <w:szCs w:val="21"/>
        </w:rPr>
      </w:pPr>
      <w:r>
        <w:rPr>
          <w:bCs/>
          <w:szCs w:val="21"/>
        </w:rPr>
        <w:t>委托代理人（签字）：</w:t>
      </w:r>
      <w:r>
        <w:rPr>
          <w:bCs/>
          <w:szCs w:val="21"/>
          <w:u w:val="single"/>
        </w:rPr>
        <w:t xml:space="preserve">   </w:t>
      </w:r>
      <w:r>
        <w:rPr>
          <w:rFonts w:hint="eastAsia"/>
          <w:bCs/>
          <w:szCs w:val="21"/>
          <w:u w:val="single"/>
        </w:rPr>
        <w:t xml:space="preserve">      </w:t>
      </w:r>
      <w:r>
        <w:rPr>
          <w:bCs/>
          <w:szCs w:val="21"/>
          <w:u w:val="single"/>
        </w:rPr>
        <w:t xml:space="preserve">   </w:t>
      </w:r>
      <w:r>
        <w:rPr>
          <w:bCs/>
          <w:szCs w:val="21"/>
        </w:rPr>
        <w:t xml:space="preserve"> 委托代理人（签字）：</w:t>
      </w:r>
      <w:r>
        <w:rPr>
          <w:bCs/>
          <w:szCs w:val="21"/>
          <w:u w:val="single"/>
        </w:rPr>
        <w:t xml:space="preserve">  </w:t>
      </w:r>
      <w:r>
        <w:rPr>
          <w:rFonts w:hint="eastAsia"/>
          <w:bCs/>
          <w:szCs w:val="21"/>
          <w:u w:val="single"/>
        </w:rPr>
        <w:t xml:space="preserve">       </w:t>
      </w:r>
      <w:r>
        <w:rPr>
          <w:bCs/>
          <w:szCs w:val="21"/>
          <w:u w:val="single"/>
        </w:rPr>
        <w:t xml:space="preserve"> </w:t>
      </w:r>
      <w:r>
        <w:rPr>
          <w:rFonts w:hint="eastAsia"/>
          <w:bCs/>
          <w:szCs w:val="21"/>
          <w:u w:val="single"/>
        </w:rPr>
        <w:t xml:space="preserve"> </w:t>
      </w:r>
      <w:r>
        <w:rPr>
          <w:bCs/>
          <w:szCs w:val="21"/>
          <w:u w:val="single"/>
        </w:rPr>
        <w:t xml:space="preserve">     </w:t>
      </w:r>
    </w:p>
    <w:p w14:paraId="6E39B05C">
      <w:pPr>
        <w:spacing w:line="500" w:lineRule="exact"/>
        <w:ind w:firstLine="420" w:firstLineChars="200"/>
        <w:rPr>
          <w:bCs/>
          <w:szCs w:val="21"/>
        </w:rPr>
      </w:pPr>
      <w:r>
        <w:rPr>
          <w:bCs/>
          <w:szCs w:val="21"/>
        </w:rPr>
        <w:t>电  话：</w:t>
      </w:r>
      <w:r>
        <w:rPr>
          <w:bCs/>
          <w:szCs w:val="21"/>
          <w:u w:val="single"/>
        </w:rPr>
        <w:t></w:t>
      </w:r>
      <w:r>
        <w:rPr>
          <w:rFonts w:hint="eastAsia"/>
          <w:bCs/>
          <w:szCs w:val="21"/>
          <w:u w:val="single"/>
        </w:rPr>
        <w:t xml:space="preserve">       </w:t>
      </w:r>
      <w:r>
        <w:rPr>
          <w:bCs/>
          <w:szCs w:val="21"/>
          <w:u w:val="single"/>
        </w:rPr>
        <w:t xml:space="preserve">  </w:t>
      </w:r>
      <w:r>
        <w:rPr>
          <w:rFonts w:hint="eastAsia"/>
          <w:bCs/>
          <w:szCs w:val="21"/>
          <w:u w:val="single"/>
        </w:rPr>
        <w:t xml:space="preserve">  </w:t>
      </w:r>
      <w:r>
        <w:rPr>
          <w:bCs/>
          <w:szCs w:val="21"/>
          <w:u w:val="single"/>
        </w:rPr>
        <w:t xml:space="preserve">   </w:t>
      </w:r>
      <w:r>
        <w:rPr>
          <w:bCs/>
          <w:szCs w:val="21"/>
        </w:rPr>
        <w:t xml:space="preserve"> 电  话：</w:t>
      </w:r>
      <w:r>
        <w:rPr>
          <w:bCs/>
          <w:szCs w:val="21"/>
          <w:u w:val="single"/>
        </w:rPr>
        <w:t></w:t>
      </w:r>
      <w:r>
        <w:rPr>
          <w:rFonts w:hint="eastAsia"/>
          <w:bCs/>
          <w:szCs w:val="21"/>
          <w:u w:val="single"/>
        </w:rPr>
        <w:t xml:space="preserve">        </w:t>
      </w:r>
      <w:r>
        <w:rPr>
          <w:bCs/>
          <w:szCs w:val="21"/>
          <w:u w:val="single"/>
        </w:rPr>
        <w:t xml:space="preserve">         </w:t>
      </w:r>
    </w:p>
    <w:p w14:paraId="0A32A332">
      <w:pPr>
        <w:spacing w:line="500" w:lineRule="exact"/>
        <w:ind w:firstLine="420" w:firstLineChars="200"/>
        <w:rPr>
          <w:bCs/>
          <w:szCs w:val="21"/>
        </w:rPr>
      </w:pPr>
      <w:r>
        <w:rPr>
          <w:bCs/>
          <w:szCs w:val="21"/>
        </w:rPr>
        <w:t>传  真：</w:t>
      </w:r>
      <w:r>
        <w:rPr>
          <w:bCs/>
          <w:szCs w:val="21"/>
          <w:u w:val="single"/>
        </w:rPr>
        <w:t></w:t>
      </w:r>
      <w:r>
        <w:rPr>
          <w:rFonts w:hint="eastAsia"/>
          <w:bCs/>
          <w:szCs w:val="21"/>
          <w:u w:val="single"/>
        </w:rPr>
        <w:t xml:space="preserve">        </w:t>
      </w:r>
      <w:r>
        <w:rPr>
          <w:bCs/>
          <w:szCs w:val="21"/>
          <w:u w:val="single"/>
        </w:rPr>
        <w:t xml:space="preserve">  </w:t>
      </w:r>
      <w:r>
        <w:rPr>
          <w:rFonts w:hint="eastAsia"/>
          <w:bCs/>
          <w:szCs w:val="21"/>
          <w:u w:val="single"/>
        </w:rPr>
        <w:t xml:space="preserve"> </w:t>
      </w:r>
      <w:r>
        <w:rPr>
          <w:bCs/>
          <w:szCs w:val="21"/>
          <w:u w:val="single"/>
        </w:rPr>
        <w:t xml:space="preserve">   </w:t>
      </w:r>
      <w:r>
        <w:rPr>
          <w:bCs/>
          <w:szCs w:val="21"/>
        </w:rPr>
        <w:t xml:space="preserve"> 传  真：</w:t>
      </w:r>
      <w:r>
        <w:rPr>
          <w:bCs/>
          <w:szCs w:val="21"/>
          <w:u w:val="single"/>
        </w:rPr>
        <w:t></w:t>
      </w:r>
      <w:r>
        <w:rPr>
          <w:rFonts w:hint="eastAsia"/>
          <w:bCs/>
          <w:szCs w:val="21"/>
          <w:u w:val="single"/>
        </w:rPr>
        <w:t xml:space="preserve">         </w:t>
      </w:r>
      <w:r>
        <w:rPr>
          <w:bCs/>
          <w:szCs w:val="21"/>
          <w:u w:val="single"/>
        </w:rPr>
        <w:t xml:space="preserve">        </w:t>
      </w:r>
    </w:p>
    <w:p w14:paraId="25A1A6CB">
      <w:pPr>
        <w:spacing w:line="500" w:lineRule="exact"/>
        <w:ind w:firstLine="420" w:firstLineChars="200"/>
        <w:rPr>
          <w:bCs/>
          <w:szCs w:val="21"/>
        </w:rPr>
      </w:pPr>
      <w:r>
        <w:rPr>
          <w:bCs/>
          <w:szCs w:val="21"/>
        </w:rPr>
        <w:t>开户银行：</w:t>
      </w:r>
      <w:r>
        <w:rPr>
          <w:bCs/>
          <w:szCs w:val="21"/>
          <w:u w:val="single"/>
        </w:rPr>
        <w:t></w:t>
      </w:r>
      <w:r>
        <w:rPr>
          <w:rFonts w:hint="eastAsia"/>
          <w:bCs/>
          <w:szCs w:val="21"/>
          <w:u w:val="single"/>
        </w:rPr>
        <w:t xml:space="preserve">        </w:t>
      </w:r>
      <w:r>
        <w:rPr>
          <w:bCs/>
          <w:szCs w:val="21"/>
          <w:u w:val="single"/>
        </w:rPr>
        <w:t xml:space="preserve">  </w:t>
      </w:r>
      <w:r>
        <w:rPr>
          <w:rFonts w:hint="eastAsia"/>
          <w:bCs/>
          <w:szCs w:val="21"/>
          <w:u w:val="single"/>
        </w:rPr>
        <w:t xml:space="preserve"> </w:t>
      </w:r>
      <w:r>
        <w:rPr>
          <w:bCs/>
          <w:szCs w:val="21"/>
          <w:u w:val="single"/>
        </w:rPr>
        <w:t xml:space="preserve">   </w:t>
      </w:r>
      <w:r>
        <w:rPr>
          <w:bCs/>
          <w:szCs w:val="21"/>
        </w:rPr>
        <w:t xml:space="preserve"> 开户银行：</w:t>
      </w:r>
      <w:r>
        <w:rPr>
          <w:bCs/>
          <w:szCs w:val="21"/>
          <w:u w:val="single"/>
        </w:rPr>
        <w:t></w:t>
      </w:r>
      <w:r>
        <w:rPr>
          <w:rFonts w:hint="eastAsia"/>
          <w:bCs/>
          <w:szCs w:val="21"/>
          <w:u w:val="single"/>
        </w:rPr>
        <w:t xml:space="preserve">        </w:t>
      </w:r>
      <w:r>
        <w:rPr>
          <w:bCs/>
          <w:szCs w:val="21"/>
          <w:u w:val="single"/>
        </w:rPr>
        <w:t xml:space="preserve">      </w:t>
      </w:r>
    </w:p>
    <w:p w14:paraId="6D59A2E8">
      <w:pPr>
        <w:spacing w:line="500" w:lineRule="exact"/>
        <w:ind w:firstLine="420" w:firstLineChars="200"/>
        <w:rPr>
          <w:bCs/>
          <w:szCs w:val="21"/>
        </w:rPr>
      </w:pPr>
      <w:r>
        <w:rPr>
          <w:bCs/>
          <w:szCs w:val="21"/>
        </w:rPr>
        <w:t>账  号：</w:t>
      </w:r>
      <w:r>
        <w:rPr>
          <w:bCs/>
          <w:szCs w:val="21"/>
          <w:u w:val="single"/>
        </w:rPr>
        <w:t xml:space="preserve">     </w:t>
      </w:r>
      <w:r>
        <w:rPr>
          <w:rFonts w:hint="eastAsia"/>
          <w:bCs/>
          <w:szCs w:val="21"/>
          <w:u w:val="single"/>
        </w:rPr>
        <w:t xml:space="preserve">  </w:t>
      </w:r>
      <w:r>
        <w:rPr>
          <w:bCs/>
          <w:szCs w:val="21"/>
          <w:u w:val="single"/>
        </w:rPr>
        <w:t xml:space="preserve"> </w:t>
      </w:r>
      <w:r>
        <w:rPr>
          <w:rFonts w:hint="eastAsia"/>
          <w:bCs/>
          <w:szCs w:val="21"/>
          <w:u w:val="single"/>
        </w:rPr>
        <w:t xml:space="preserve">   </w:t>
      </w:r>
      <w:r>
        <w:rPr>
          <w:bCs/>
          <w:szCs w:val="21"/>
          <w:u w:val="single"/>
        </w:rPr>
        <w:t xml:space="preserve"> </w:t>
      </w:r>
      <w:r>
        <w:rPr>
          <w:rFonts w:hint="eastAsia"/>
          <w:bCs/>
          <w:szCs w:val="21"/>
          <w:u w:val="single"/>
        </w:rPr>
        <w:t xml:space="preserve">    </w:t>
      </w:r>
      <w:r>
        <w:rPr>
          <w:bCs/>
          <w:szCs w:val="21"/>
          <w:u w:val="single"/>
        </w:rPr>
        <w:t xml:space="preserve">  </w:t>
      </w:r>
      <w:r>
        <w:rPr>
          <w:bCs/>
          <w:szCs w:val="21"/>
        </w:rPr>
        <w:t xml:space="preserve"> 账  号：</w:t>
      </w:r>
      <w:r>
        <w:rPr>
          <w:bCs/>
          <w:szCs w:val="21"/>
          <w:u w:val="single"/>
        </w:rPr>
        <w:t></w:t>
      </w:r>
      <w:r>
        <w:rPr>
          <w:rFonts w:hint="eastAsia"/>
          <w:bCs/>
          <w:szCs w:val="21"/>
          <w:u w:val="single"/>
        </w:rPr>
        <w:t xml:space="preserve">         </w:t>
      </w:r>
      <w:r>
        <w:rPr>
          <w:bCs/>
          <w:szCs w:val="21"/>
          <w:u w:val="single"/>
        </w:rPr>
        <w:t xml:space="preserve">       </w:t>
      </w:r>
    </w:p>
    <w:p w14:paraId="0B57DE37">
      <w:pPr>
        <w:spacing w:line="500" w:lineRule="exact"/>
        <w:ind w:firstLine="420" w:firstLineChars="200"/>
        <w:rPr>
          <w:szCs w:val="21"/>
          <w:u w:val="single"/>
        </w:rPr>
      </w:pPr>
      <w:r>
        <w:rPr>
          <w:bCs/>
          <w:szCs w:val="21"/>
        </w:rPr>
        <w:t>邮政编码：</w:t>
      </w:r>
      <w:r>
        <w:rPr>
          <w:bCs/>
          <w:szCs w:val="21"/>
          <w:u w:val="single"/>
        </w:rPr>
        <w:t xml:space="preserve">   </w:t>
      </w:r>
      <w:r>
        <w:rPr>
          <w:rFonts w:hint="eastAsia"/>
          <w:bCs/>
          <w:szCs w:val="21"/>
          <w:u w:val="single"/>
        </w:rPr>
        <w:t xml:space="preserve">    </w:t>
      </w:r>
      <w:r>
        <w:rPr>
          <w:bCs/>
          <w:szCs w:val="21"/>
          <w:u w:val="single"/>
        </w:rPr>
        <w:t xml:space="preserve">  </w:t>
      </w:r>
      <w:r>
        <w:rPr>
          <w:rFonts w:hint="eastAsia"/>
          <w:bCs/>
          <w:szCs w:val="21"/>
          <w:u w:val="single"/>
        </w:rPr>
        <w:t xml:space="preserve">     </w:t>
      </w:r>
      <w:r>
        <w:rPr>
          <w:bCs/>
          <w:szCs w:val="21"/>
          <w:u w:val="single"/>
        </w:rPr>
        <w:t xml:space="preserve">  </w:t>
      </w:r>
      <w:r>
        <w:rPr>
          <w:bCs/>
          <w:szCs w:val="21"/>
        </w:rPr>
        <w:t xml:space="preserve"> 邮政编码：</w:t>
      </w:r>
      <w:r>
        <w:rPr>
          <w:bCs/>
          <w:szCs w:val="21"/>
          <w:u w:val="single"/>
        </w:rPr>
        <w:t></w:t>
      </w:r>
      <w:r>
        <w:rPr>
          <w:rFonts w:hint="eastAsia"/>
          <w:bCs/>
          <w:szCs w:val="21"/>
          <w:u w:val="single"/>
        </w:rPr>
        <w:t xml:space="preserve">       </w:t>
      </w:r>
      <w:r>
        <w:rPr>
          <w:bCs/>
          <w:szCs w:val="21"/>
          <w:u w:val="single"/>
        </w:rPr>
        <w:t xml:space="preserve"> </w:t>
      </w:r>
      <w:r>
        <w:rPr>
          <w:rFonts w:hint="eastAsia"/>
          <w:bCs/>
          <w:szCs w:val="21"/>
          <w:u w:val="single"/>
        </w:rPr>
        <w:t xml:space="preserve">  </w:t>
      </w:r>
      <w:r>
        <w:rPr>
          <w:bCs/>
          <w:szCs w:val="21"/>
          <w:u w:val="single"/>
        </w:rPr>
        <w:t xml:space="preserve">    </w:t>
      </w:r>
    </w:p>
    <w:p w14:paraId="4C2B4A94">
      <w:pPr>
        <w:spacing w:line="360" w:lineRule="exact"/>
        <w:ind w:firstLine="420" w:firstLineChars="200"/>
        <w:rPr>
          <w:szCs w:val="21"/>
          <w:u w:val="single"/>
        </w:rPr>
      </w:pPr>
    </w:p>
    <w:p w14:paraId="228A0437">
      <w:pPr>
        <w:spacing w:line="500" w:lineRule="exact"/>
        <w:ind w:firstLine="420" w:firstLineChars="200"/>
        <w:rPr>
          <w:bCs/>
          <w:szCs w:val="21"/>
        </w:rPr>
      </w:pPr>
      <w:r>
        <w:rPr>
          <w:bCs/>
          <w:szCs w:val="21"/>
        </w:rPr>
        <w:t>发包人（公章）：</w:t>
      </w:r>
      <w:r>
        <w:rPr>
          <w:bCs/>
          <w:szCs w:val="21"/>
          <w:u w:val="single"/>
        </w:rPr>
        <w:t xml:space="preserve">    </w:t>
      </w:r>
      <w:r>
        <w:rPr>
          <w:rFonts w:hint="eastAsia"/>
          <w:bCs/>
          <w:szCs w:val="21"/>
          <w:u w:val="single"/>
        </w:rPr>
        <w:t xml:space="preserve">       </w:t>
      </w:r>
      <w:r>
        <w:rPr>
          <w:bCs/>
          <w:szCs w:val="21"/>
          <w:u w:val="single"/>
        </w:rPr>
        <w:t xml:space="preserve">    </w:t>
      </w:r>
      <w:r>
        <w:rPr>
          <w:bCs/>
          <w:szCs w:val="21"/>
        </w:rPr>
        <w:t xml:space="preserve"> </w:t>
      </w:r>
    </w:p>
    <w:p w14:paraId="3BE1ED67">
      <w:pPr>
        <w:spacing w:line="500" w:lineRule="exact"/>
        <w:ind w:firstLine="420" w:firstLineChars="200"/>
        <w:rPr>
          <w:bCs/>
          <w:szCs w:val="21"/>
        </w:rPr>
      </w:pPr>
      <w:r>
        <w:rPr>
          <w:bCs/>
          <w:szCs w:val="21"/>
        </w:rPr>
        <w:t>地  址：</w:t>
      </w:r>
      <w:r>
        <w:rPr>
          <w:bCs/>
          <w:szCs w:val="21"/>
          <w:u w:val="single"/>
        </w:rPr>
        <w:t xml:space="preserve"> </w:t>
      </w:r>
      <w:r>
        <w:rPr>
          <w:rFonts w:hint="eastAsia"/>
          <w:bCs/>
          <w:szCs w:val="21"/>
          <w:u w:val="single"/>
        </w:rPr>
        <w:t xml:space="preserve">         </w:t>
      </w:r>
      <w:r>
        <w:rPr>
          <w:bCs/>
          <w:szCs w:val="21"/>
          <w:u w:val="single"/>
        </w:rPr>
        <w:t xml:space="preserve">     </w:t>
      </w:r>
      <w:r>
        <w:rPr>
          <w:bCs/>
          <w:szCs w:val="21"/>
        </w:rPr>
        <w:t xml:space="preserve"> </w:t>
      </w:r>
    </w:p>
    <w:p w14:paraId="4FBEF4FB">
      <w:pPr>
        <w:spacing w:line="500" w:lineRule="exact"/>
        <w:ind w:firstLine="420" w:firstLineChars="200"/>
        <w:rPr>
          <w:bCs/>
          <w:szCs w:val="21"/>
          <w:u w:val="single"/>
        </w:rPr>
      </w:pPr>
      <w:r>
        <w:rPr>
          <w:bCs/>
          <w:szCs w:val="21"/>
        </w:rPr>
        <w:t>法定代表人（签字）：</w:t>
      </w:r>
      <w:r>
        <w:rPr>
          <w:bCs/>
          <w:szCs w:val="21"/>
          <w:u w:val="single"/>
        </w:rPr>
        <w:t xml:space="preserve">  </w:t>
      </w:r>
      <w:r>
        <w:rPr>
          <w:rFonts w:hint="eastAsia"/>
          <w:bCs/>
          <w:szCs w:val="21"/>
          <w:u w:val="single"/>
        </w:rPr>
        <w:t xml:space="preserve">      </w:t>
      </w:r>
      <w:r>
        <w:rPr>
          <w:bCs/>
          <w:szCs w:val="21"/>
          <w:u w:val="single"/>
        </w:rPr>
        <w:t xml:space="preserve">    </w:t>
      </w:r>
    </w:p>
    <w:p w14:paraId="5D0AC405">
      <w:pPr>
        <w:spacing w:line="500" w:lineRule="exact"/>
        <w:ind w:firstLine="420" w:firstLineChars="200"/>
        <w:rPr>
          <w:bCs/>
          <w:szCs w:val="21"/>
        </w:rPr>
      </w:pPr>
      <w:r>
        <w:rPr>
          <w:bCs/>
          <w:szCs w:val="21"/>
        </w:rPr>
        <w:t>委托代理人（签字）：</w:t>
      </w:r>
      <w:r>
        <w:rPr>
          <w:bCs/>
          <w:szCs w:val="21"/>
          <w:u w:val="single"/>
        </w:rPr>
        <w:t xml:space="preserve">   </w:t>
      </w:r>
      <w:r>
        <w:rPr>
          <w:rFonts w:hint="eastAsia"/>
          <w:bCs/>
          <w:szCs w:val="21"/>
          <w:u w:val="single"/>
        </w:rPr>
        <w:t xml:space="preserve">      </w:t>
      </w:r>
      <w:r>
        <w:rPr>
          <w:bCs/>
          <w:szCs w:val="21"/>
          <w:u w:val="single"/>
        </w:rPr>
        <w:t xml:space="preserve">   </w:t>
      </w:r>
      <w:r>
        <w:rPr>
          <w:bCs/>
          <w:szCs w:val="21"/>
        </w:rPr>
        <w:t xml:space="preserve"> </w:t>
      </w:r>
    </w:p>
    <w:p w14:paraId="421E99CC">
      <w:pPr>
        <w:spacing w:line="500" w:lineRule="exact"/>
        <w:ind w:firstLine="420" w:firstLineChars="200"/>
        <w:rPr>
          <w:bCs/>
          <w:szCs w:val="21"/>
          <w:u w:val="single"/>
        </w:rPr>
      </w:pPr>
      <w:r>
        <w:rPr>
          <w:bCs/>
          <w:szCs w:val="21"/>
        </w:rPr>
        <w:t>电  话：</w:t>
      </w:r>
      <w:r>
        <w:rPr>
          <w:bCs/>
          <w:szCs w:val="21"/>
          <w:u w:val="single"/>
        </w:rPr>
        <w:t></w:t>
      </w:r>
      <w:r>
        <w:rPr>
          <w:rFonts w:hint="eastAsia"/>
          <w:bCs/>
          <w:szCs w:val="21"/>
          <w:u w:val="single"/>
        </w:rPr>
        <w:t xml:space="preserve">       </w:t>
      </w:r>
      <w:r>
        <w:rPr>
          <w:bCs/>
          <w:szCs w:val="21"/>
          <w:u w:val="single"/>
        </w:rPr>
        <w:t xml:space="preserve">  </w:t>
      </w:r>
      <w:r>
        <w:rPr>
          <w:rFonts w:hint="eastAsia"/>
          <w:bCs/>
          <w:szCs w:val="21"/>
          <w:u w:val="single"/>
        </w:rPr>
        <w:t xml:space="preserve">  </w:t>
      </w:r>
      <w:r>
        <w:rPr>
          <w:bCs/>
          <w:szCs w:val="21"/>
          <w:u w:val="single"/>
        </w:rPr>
        <w:t xml:space="preserve">   </w:t>
      </w:r>
    </w:p>
    <w:p w14:paraId="64B6EDDF">
      <w:pPr>
        <w:spacing w:line="500" w:lineRule="exact"/>
        <w:ind w:firstLine="420" w:firstLineChars="200"/>
        <w:rPr>
          <w:bCs/>
          <w:szCs w:val="21"/>
        </w:rPr>
      </w:pPr>
      <w:r>
        <w:rPr>
          <w:bCs/>
          <w:szCs w:val="21"/>
        </w:rPr>
        <w:t>传  真：</w:t>
      </w:r>
      <w:r>
        <w:rPr>
          <w:bCs/>
          <w:szCs w:val="21"/>
          <w:u w:val="single"/>
        </w:rPr>
        <w:t></w:t>
      </w:r>
      <w:r>
        <w:rPr>
          <w:rFonts w:hint="eastAsia"/>
          <w:bCs/>
          <w:szCs w:val="21"/>
          <w:u w:val="single"/>
        </w:rPr>
        <w:t xml:space="preserve">        </w:t>
      </w:r>
      <w:r>
        <w:rPr>
          <w:bCs/>
          <w:szCs w:val="21"/>
          <w:u w:val="single"/>
        </w:rPr>
        <w:t xml:space="preserve">  </w:t>
      </w:r>
      <w:r>
        <w:rPr>
          <w:rFonts w:hint="eastAsia"/>
          <w:bCs/>
          <w:szCs w:val="21"/>
          <w:u w:val="single"/>
        </w:rPr>
        <w:t xml:space="preserve"> </w:t>
      </w:r>
      <w:r>
        <w:rPr>
          <w:bCs/>
          <w:szCs w:val="21"/>
          <w:u w:val="single"/>
        </w:rPr>
        <w:t xml:space="preserve">   </w:t>
      </w:r>
      <w:r>
        <w:rPr>
          <w:bCs/>
          <w:szCs w:val="21"/>
        </w:rPr>
        <w:t xml:space="preserve"> </w:t>
      </w:r>
    </w:p>
    <w:p w14:paraId="0711945C">
      <w:pPr>
        <w:spacing w:line="500" w:lineRule="exact"/>
        <w:ind w:firstLine="420" w:firstLineChars="200"/>
        <w:rPr>
          <w:bCs/>
          <w:szCs w:val="21"/>
        </w:rPr>
      </w:pPr>
      <w:r>
        <w:rPr>
          <w:bCs/>
          <w:szCs w:val="21"/>
        </w:rPr>
        <w:t>开户银行：</w:t>
      </w:r>
      <w:r>
        <w:rPr>
          <w:bCs/>
          <w:szCs w:val="21"/>
          <w:u w:val="single"/>
        </w:rPr>
        <w:t></w:t>
      </w:r>
      <w:r>
        <w:rPr>
          <w:rFonts w:hint="eastAsia"/>
          <w:bCs/>
          <w:szCs w:val="21"/>
          <w:u w:val="single"/>
        </w:rPr>
        <w:t xml:space="preserve">        </w:t>
      </w:r>
      <w:r>
        <w:rPr>
          <w:bCs/>
          <w:szCs w:val="21"/>
          <w:u w:val="single"/>
        </w:rPr>
        <w:t xml:space="preserve">  </w:t>
      </w:r>
      <w:r>
        <w:rPr>
          <w:rFonts w:hint="eastAsia"/>
          <w:bCs/>
          <w:szCs w:val="21"/>
          <w:u w:val="single"/>
        </w:rPr>
        <w:t xml:space="preserve"> </w:t>
      </w:r>
      <w:r>
        <w:rPr>
          <w:bCs/>
          <w:szCs w:val="21"/>
          <w:u w:val="single"/>
        </w:rPr>
        <w:t xml:space="preserve">   </w:t>
      </w:r>
      <w:r>
        <w:rPr>
          <w:bCs/>
          <w:szCs w:val="21"/>
        </w:rPr>
        <w:t xml:space="preserve"> </w:t>
      </w:r>
    </w:p>
    <w:p w14:paraId="1B33AC75">
      <w:pPr>
        <w:spacing w:line="500" w:lineRule="exact"/>
        <w:ind w:firstLine="420" w:firstLineChars="200"/>
        <w:rPr>
          <w:bCs/>
          <w:szCs w:val="21"/>
        </w:rPr>
      </w:pPr>
      <w:r>
        <w:rPr>
          <w:bCs/>
          <w:szCs w:val="21"/>
        </w:rPr>
        <w:t>账  号：</w:t>
      </w:r>
      <w:r>
        <w:rPr>
          <w:bCs/>
          <w:szCs w:val="21"/>
          <w:u w:val="single"/>
        </w:rPr>
        <w:t xml:space="preserve">     </w:t>
      </w:r>
      <w:r>
        <w:rPr>
          <w:rFonts w:hint="eastAsia"/>
          <w:bCs/>
          <w:szCs w:val="21"/>
          <w:u w:val="single"/>
        </w:rPr>
        <w:t xml:space="preserve">  </w:t>
      </w:r>
      <w:r>
        <w:rPr>
          <w:bCs/>
          <w:szCs w:val="21"/>
          <w:u w:val="single"/>
        </w:rPr>
        <w:t xml:space="preserve"> </w:t>
      </w:r>
      <w:r>
        <w:rPr>
          <w:rFonts w:hint="eastAsia"/>
          <w:bCs/>
          <w:szCs w:val="21"/>
          <w:u w:val="single"/>
        </w:rPr>
        <w:t xml:space="preserve">   </w:t>
      </w:r>
      <w:r>
        <w:rPr>
          <w:bCs/>
          <w:szCs w:val="21"/>
          <w:u w:val="single"/>
        </w:rPr>
        <w:t xml:space="preserve"> </w:t>
      </w:r>
      <w:r>
        <w:rPr>
          <w:rFonts w:hint="eastAsia"/>
          <w:bCs/>
          <w:szCs w:val="21"/>
          <w:u w:val="single"/>
        </w:rPr>
        <w:t xml:space="preserve">    </w:t>
      </w:r>
      <w:r>
        <w:rPr>
          <w:bCs/>
          <w:szCs w:val="21"/>
          <w:u w:val="single"/>
        </w:rPr>
        <w:t xml:space="preserve">  </w:t>
      </w:r>
      <w:r>
        <w:rPr>
          <w:bCs/>
          <w:szCs w:val="21"/>
        </w:rPr>
        <w:t xml:space="preserve"> </w:t>
      </w:r>
    </w:p>
    <w:p w14:paraId="6B4214DF">
      <w:pPr>
        <w:spacing w:line="500" w:lineRule="exact"/>
        <w:ind w:firstLine="420" w:firstLineChars="200"/>
        <w:rPr>
          <w:szCs w:val="21"/>
          <w:u w:val="single"/>
        </w:rPr>
      </w:pPr>
      <w:r>
        <w:rPr>
          <w:bCs/>
          <w:szCs w:val="21"/>
        </w:rPr>
        <w:t>邮政编码：</w:t>
      </w:r>
      <w:r>
        <w:rPr>
          <w:bCs/>
          <w:szCs w:val="21"/>
          <w:u w:val="single"/>
        </w:rPr>
        <w:t xml:space="preserve">   </w:t>
      </w:r>
      <w:r>
        <w:rPr>
          <w:rFonts w:hint="eastAsia"/>
          <w:bCs/>
          <w:szCs w:val="21"/>
          <w:u w:val="single"/>
        </w:rPr>
        <w:t xml:space="preserve">    </w:t>
      </w:r>
      <w:r>
        <w:rPr>
          <w:bCs/>
          <w:szCs w:val="21"/>
          <w:u w:val="single"/>
        </w:rPr>
        <w:t xml:space="preserve">  </w:t>
      </w:r>
      <w:r>
        <w:rPr>
          <w:rFonts w:hint="eastAsia"/>
          <w:bCs/>
          <w:szCs w:val="21"/>
          <w:u w:val="single"/>
        </w:rPr>
        <w:t xml:space="preserve">     </w:t>
      </w:r>
      <w:r>
        <w:rPr>
          <w:bCs/>
          <w:szCs w:val="21"/>
          <w:u w:val="single"/>
        </w:rPr>
        <w:t xml:space="preserve">  </w:t>
      </w:r>
      <w:r>
        <w:rPr>
          <w:bCs/>
          <w:szCs w:val="21"/>
        </w:rPr>
        <w:t xml:space="preserve"> </w:t>
      </w:r>
    </w:p>
    <w:p w14:paraId="38CF2707">
      <w:r>
        <w:br w:type="page"/>
      </w:r>
    </w:p>
    <w:p w14:paraId="6A86FD7F">
      <w:pPr>
        <w:rPr>
          <w:rFonts w:hint="default" w:ascii="Times New Roman" w:hAnsi="Times New Roman" w:eastAsia="黑体" w:cs="Arial"/>
          <w:b/>
          <w:bCs/>
          <w:color w:val="000000"/>
          <w:sz w:val="21"/>
          <w:szCs w:val="21"/>
          <w:lang w:val="en-US" w:eastAsia="zh-CN" w:bidi="ar-SA"/>
        </w:rPr>
      </w:pPr>
      <w:r>
        <w:rPr>
          <w:rFonts w:hint="eastAsia" w:ascii="Times New Roman" w:hAnsi="Times New Roman" w:eastAsia="黑体" w:cs="Arial"/>
          <w:b/>
          <w:bCs/>
          <w:color w:val="000000"/>
          <w:sz w:val="21"/>
          <w:szCs w:val="21"/>
          <w:lang w:val="en-US" w:eastAsia="zh-CN" w:bidi="ar-SA"/>
        </w:rPr>
        <w:t>附件8</w:t>
      </w:r>
    </w:p>
    <w:p w14:paraId="659D3E6A">
      <w:pPr>
        <w:widowControl/>
        <w:spacing w:line="360" w:lineRule="auto"/>
        <w:jc w:val="left"/>
        <w:rPr>
          <w:snapToGrid w:val="0"/>
          <w:kern w:val="0"/>
          <w:szCs w:val="21"/>
        </w:rPr>
      </w:pPr>
    </w:p>
    <w:p w14:paraId="324F4866">
      <w:pPr>
        <w:pStyle w:val="38"/>
        <w:pBdr>
          <w:top w:val="none" w:color="000000" w:sz="0" w:space="0"/>
          <w:left w:val="none" w:color="000000" w:sz="0" w:space="0"/>
          <w:bottom w:val="none" w:color="000000" w:sz="0" w:space="0"/>
          <w:right w:val="none" w:color="000000" w:sz="0" w:space="0"/>
        </w:pBdr>
        <w:spacing w:before="0" w:beforeAutospacing="0" w:after="0" w:afterAutospacing="0" w:line="360" w:lineRule="auto"/>
        <w:jc w:val="center"/>
        <w:rPr>
          <w:rStyle w:val="39"/>
          <w:rFonts w:ascii="Times New Roman" w:hAnsi="Times New Roman"/>
          <w:snapToGrid w:val="0"/>
          <w:color w:val="auto"/>
          <w:spacing w:val="15"/>
          <w:sz w:val="21"/>
          <w:szCs w:val="21"/>
          <w:shd w:val="clear" w:color="auto" w:fill="FFFFFF"/>
        </w:rPr>
      </w:pPr>
      <w:r>
        <w:rPr>
          <w:rStyle w:val="39"/>
          <w:rFonts w:ascii="Times New Roman" w:hAnsi="Times New Roman"/>
          <w:snapToGrid w:val="0"/>
          <w:color w:val="auto"/>
          <w:spacing w:val="15"/>
          <w:sz w:val="21"/>
          <w:szCs w:val="21"/>
          <w:shd w:val="clear" w:color="auto" w:fill="FFFFFF"/>
        </w:rPr>
        <w:t>履约保函（独立保函）</w:t>
      </w:r>
    </w:p>
    <w:p w14:paraId="64D09257">
      <w:pPr>
        <w:pStyle w:val="38"/>
        <w:pBdr>
          <w:top w:val="none" w:color="000000" w:sz="0" w:space="0"/>
          <w:left w:val="none" w:color="000000" w:sz="0" w:space="0"/>
          <w:bottom w:val="none" w:color="000000" w:sz="0" w:space="0"/>
          <w:right w:val="none" w:color="000000" w:sz="0" w:space="0"/>
        </w:pBdr>
        <w:spacing w:before="0" w:beforeAutospacing="0" w:after="0" w:afterAutospacing="0" w:line="360" w:lineRule="auto"/>
        <w:jc w:val="right"/>
        <w:rPr>
          <w:rFonts w:ascii="Times New Roman" w:hAnsi="Times New Roman"/>
          <w:snapToGrid w:val="0"/>
          <w:color w:val="auto"/>
          <w:spacing w:val="15"/>
          <w:sz w:val="21"/>
          <w:szCs w:val="21"/>
          <w:shd w:val="clear" w:color="auto" w:fill="FFFFFF"/>
        </w:rPr>
      </w:pPr>
      <w:r>
        <w:rPr>
          <w:rFonts w:ascii="Times New Roman" w:hAnsi="Times New Roman"/>
          <w:snapToGrid w:val="0"/>
          <w:color w:val="auto"/>
          <w:spacing w:val="15"/>
          <w:sz w:val="21"/>
          <w:szCs w:val="21"/>
          <w:shd w:val="clear" w:color="auto" w:fill="FFFFFF"/>
        </w:rPr>
        <w:t>编号：          </w:t>
      </w:r>
    </w:p>
    <w:p w14:paraId="2FB7B7E7">
      <w:pPr>
        <w:pStyle w:val="38"/>
        <w:pBdr>
          <w:top w:val="none" w:color="000000" w:sz="0" w:space="0"/>
          <w:left w:val="none" w:color="000000" w:sz="0" w:space="0"/>
          <w:bottom w:val="none" w:color="000000" w:sz="0" w:space="0"/>
          <w:right w:val="none" w:color="000000" w:sz="0" w:space="0"/>
        </w:pBdr>
        <w:spacing w:before="0" w:beforeAutospacing="0" w:after="0" w:afterAutospacing="0" w:line="360" w:lineRule="auto"/>
        <w:jc w:val="both"/>
        <w:rPr>
          <w:rFonts w:ascii="Times New Roman" w:hAnsi="Times New Roman"/>
          <w:snapToGrid w:val="0"/>
          <w:color w:val="auto"/>
          <w:spacing w:val="15"/>
          <w:sz w:val="21"/>
          <w:szCs w:val="21"/>
          <w:shd w:val="clear" w:color="auto" w:fill="FFFFFF"/>
        </w:rPr>
      </w:pPr>
      <w:r>
        <w:rPr>
          <w:rFonts w:ascii="Times New Roman" w:hAnsi="Times New Roman"/>
          <w:snapToGrid w:val="0"/>
          <w:color w:val="auto"/>
          <w:spacing w:val="15"/>
          <w:sz w:val="21"/>
          <w:szCs w:val="21"/>
          <w:shd w:val="clear" w:color="auto" w:fill="FFFFFF"/>
        </w:rPr>
        <w:t>申请人：                       地址：</w:t>
      </w:r>
    </w:p>
    <w:p w14:paraId="52EF2EAD">
      <w:pPr>
        <w:pStyle w:val="38"/>
        <w:pBdr>
          <w:top w:val="none" w:color="000000" w:sz="0" w:space="0"/>
          <w:left w:val="none" w:color="000000" w:sz="0" w:space="0"/>
          <w:bottom w:val="none" w:color="000000" w:sz="0" w:space="0"/>
          <w:right w:val="none" w:color="000000" w:sz="0" w:space="0"/>
        </w:pBdr>
        <w:spacing w:before="0" w:beforeAutospacing="0" w:after="0" w:afterAutospacing="0" w:line="360" w:lineRule="auto"/>
        <w:jc w:val="both"/>
        <w:rPr>
          <w:rFonts w:ascii="Times New Roman" w:hAnsi="Times New Roman"/>
          <w:snapToGrid w:val="0"/>
          <w:color w:val="auto"/>
          <w:spacing w:val="15"/>
          <w:sz w:val="21"/>
          <w:szCs w:val="21"/>
          <w:shd w:val="clear" w:color="auto" w:fill="FFFFFF"/>
        </w:rPr>
      </w:pPr>
      <w:r>
        <w:rPr>
          <w:rFonts w:ascii="Times New Roman" w:hAnsi="Times New Roman"/>
          <w:snapToGrid w:val="0"/>
          <w:color w:val="auto"/>
          <w:spacing w:val="15"/>
          <w:sz w:val="21"/>
          <w:szCs w:val="21"/>
          <w:shd w:val="clear" w:color="auto" w:fill="FFFFFF"/>
        </w:rPr>
        <w:t>受益人：                       地址：</w:t>
      </w:r>
    </w:p>
    <w:p w14:paraId="64BC74A8">
      <w:pPr>
        <w:pStyle w:val="38"/>
        <w:pBdr>
          <w:top w:val="none" w:color="000000" w:sz="0" w:space="0"/>
          <w:left w:val="none" w:color="000000" w:sz="0" w:space="0"/>
          <w:bottom w:val="none" w:color="000000" w:sz="0" w:space="0"/>
          <w:right w:val="none" w:color="000000" w:sz="0" w:space="0"/>
        </w:pBdr>
        <w:spacing w:before="0" w:beforeAutospacing="0" w:after="0" w:afterAutospacing="0" w:line="360" w:lineRule="auto"/>
        <w:jc w:val="both"/>
        <w:rPr>
          <w:rFonts w:ascii="Times New Roman" w:hAnsi="Times New Roman"/>
          <w:snapToGrid w:val="0"/>
          <w:color w:val="auto"/>
          <w:spacing w:val="15"/>
          <w:sz w:val="21"/>
          <w:szCs w:val="21"/>
          <w:shd w:val="clear" w:color="auto" w:fill="FFFFFF"/>
        </w:rPr>
      </w:pPr>
      <w:r>
        <w:rPr>
          <w:rFonts w:ascii="Times New Roman" w:hAnsi="Times New Roman"/>
          <w:snapToGrid w:val="0"/>
          <w:color w:val="auto"/>
          <w:spacing w:val="15"/>
          <w:sz w:val="21"/>
          <w:szCs w:val="21"/>
          <w:shd w:val="clear" w:color="auto" w:fill="FFFFFF"/>
        </w:rPr>
        <w:t>开立人：                       地址：</w:t>
      </w:r>
    </w:p>
    <w:p w14:paraId="62FEC7AC">
      <w:pPr>
        <w:pStyle w:val="38"/>
        <w:pBdr>
          <w:top w:val="none" w:color="000000" w:sz="0" w:space="0"/>
          <w:left w:val="none" w:color="000000" w:sz="0" w:space="0"/>
          <w:bottom w:val="none" w:color="000000" w:sz="0" w:space="0"/>
          <w:right w:val="none" w:color="000000" w:sz="0" w:space="0"/>
        </w:pBdr>
        <w:spacing w:before="0" w:beforeAutospacing="0" w:after="0" w:afterAutospacing="0" w:line="360" w:lineRule="auto"/>
        <w:jc w:val="both"/>
        <w:rPr>
          <w:rFonts w:ascii="Times New Roman" w:hAnsi="Times New Roman"/>
          <w:snapToGrid w:val="0"/>
          <w:color w:val="auto"/>
          <w:spacing w:val="15"/>
          <w:sz w:val="21"/>
          <w:szCs w:val="21"/>
          <w:shd w:val="clear" w:color="auto" w:fill="FFFFFF"/>
        </w:rPr>
      </w:pPr>
      <w:r>
        <w:rPr>
          <w:rFonts w:ascii="Times New Roman" w:hAnsi="Times New Roman"/>
          <w:snapToGrid w:val="0"/>
          <w:color w:val="auto"/>
          <w:spacing w:val="15"/>
          <w:sz w:val="21"/>
          <w:szCs w:val="21"/>
          <w:shd w:val="clear" w:color="auto" w:fill="FFFFFF"/>
        </w:rPr>
        <w:t>（受益人名称）：</w:t>
      </w:r>
    </w:p>
    <w:p w14:paraId="6A1E53BA">
      <w:pPr>
        <w:pStyle w:val="38"/>
        <w:pBdr>
          <w:top w:val="none" w:color="000000" w:sz="0" w:space="0"/>
          <w:left w:val="none" w:color="000000" w:sz="0" w:space="0"/>
          <w:bottom w:val="none" w:color="000000" w:sz="0" w:space="0"/>
          <w:right w:val="none" w:color="000000" w:sz="0" w:space="0"/>
        </w:pBdr>
        <w:spacing w:before="0" w:beforeAutospacing="0" w:after="0" w:afterAutospacing="0" w:line="360" w:lineRule="auto"/>
        <w:ind w:firstLine="480"/>
        <w:jc w:val="both"/>
        <w:rPr>
          <w:rFonts w:ascii="Times New Roman" w:hAnsi="Times New Roman"/>
          <w:snapToGrid w:val="0"/>
          <w:color w:val="auto"/>
          <w:spacing w:val="15"/>
          <w:sz w:val="21"/>
          <w:szCs w:val="21"/>
          <w:shd w:val="clear" w:color="auto" w:fill="FFFFFF"/>
        </w:rPr>
      </w:pPr>
      <w:r>
        <w:rPr>
          <w:rFonts w:ascii="Times New Roman" w:hAnsi="Times New Roman"/>
          <w:snapToGrid w:val="0"/>
          <w:color w:val="auto"/>
          <w:spacing w:val="15"/>
          <w:sz w:val="21"/>
          <w:szCs w:val="21"/>
          <w:shd w:val="clear" w:color="auto" w:fill="FFFFFF"/>
        </w:rPr>
        <w:t>鉴于</w:t>
      </w:r>
      <w:r>
        <w:rPr>
          <w:rFonts w:ascii="Times New Roman" w:hAnsi="Times New Roman"/>
          <w:snapToGrid w:val="0"/>
          <w:color w:val="auto"/>
          <w:spacing w:val="15"/>
          <w:sz w:val="21"/>
          <w:szCs w:val="21"/>
          <w:u w:val="single"/>
          <w:shd w:val="clear" w:color="auto" w:fill="FFFFFF"/>
        </w:rPr>
        <w:t>        </w:t>
      </w:r>
      <w:r>
        <w:rPr>
          <w:rFonts w:ascii="Times New Roman" w:hAnsi="Times New Roman"/>
          <w:snapToGrid w:val="0"/>
          <w:color w:val="auto"/>
          <w:spacing w:val="15"/>
          <w:sz w:val="21"/>
          <w:szCs w:val="21"/>
          <w:shd w:val="clear" w:color="auto" w:fill="FFFFFF"/>
        </w:rPr>
        <w:t>（以下简称“受益人”）与</w:t>
      </w:r>
      <w:r>
        <w:rPr>
          <w:rFonts w:ascii="Times New Roman" w:hAnsi="Times New Roman"/>
          <w:snapToGrid w:val="0"/>
          <w:color w:val="auto"/>
          <w:spacing w:val="15"/>
          <w:sz w:val="21"/>
          <w:szCs w:val="21"/>
          <w:u w:val="single"/>
          <w:shd w:val="clear" w:color="auto" w:fill="FFFFFF"/>
        </w:rPr>
        <w:t>         </w:t>
      </w:r>
      <w:r>
        <w:rPr>
          <w:rFonts w:ascii="Times New Roman" w:hAnsi="Times New Roman"/>
          <w:snapToGrid w:val="0"/>
          <w:color w:val="auto"/>
          <w:spacing w:val="15"/>
          <w:sz w:val="21"/>
          <w:szCs w:val="21"/>
          <w:shd w:val="clear" w:color="auto" w:fill="FFFFFF"/>
        </w:rPr>
        <w:t>（以下简称“申请人”）于</w:t>
      </w:r>
      <w:r>
        <w:rPr>
          <w:rFonts w:ascii="Times New Roman" w:hAnsi="Times New Roman"/>
          <w:snapToGrid w:val="0"/>
          <w:color w:val="auto"/>
          <w:spacing w:val="15"/>
          <w:sz w:val="21"/>
          <w:szCs w:val="21"/>
          <w:u w:val="single"/>
          <w:shd w:val="clear" w:color="auto" w:fill="FFFFFF"/>
        </w:rPr>
        <w:t>   年   月   </w:t>
      </w:r>
      <w:r>
        <w:rPr>
          <w:rFonts w:ascii="Times New Roman" w:hAnsi="Times New Roman"/>
          <w:snapToGrid w:val="0"/>
          <w:color w:val="auto"/>
          <w:spacing w:val="15"/>
          <w:sz w:val="21"/>
          <w:szCs w:val="21"/>
          <w:shd w:val="clear" w:color="auto" w:fill="FFFFFF"/>
        </w:rPr>
        <w:t>日就</w:t>
      </w:r>
      <w:r>
        <w:rPr>
          <w:rFonts w:ascii="Times New Roman" w:hAnsi="Times New Roman"/>
          <w:snapToGrid w:val="0"/>
          <w:color w:val="auto"/>
          <w:spacing w:val="15"/>
          <w:sz w:val="21"/>
          <w:szCs w:val="21"/>
          <w:u w:val="single"/>
          <w:shd w:val="clear" w:color="auto" w:fill="FFFFFF"/>
        </w:rPr>
        <w:t>          </w:t>
      </w:r>
      <w:r>
        <w:rPr>
          <w:rFonts w:ascii="Times New Roman" w:hAnsi="Times New Roman"/>
          <w:snapToGrid w:val="0"/>
          <w:color w:val="auto"/>
          <w:spacing w:val="15"/>
          <w:sz w:val="21"/>
          <w:szCs w:val="21"/>
          <w:shd w:val="clear" w:color="auto" w:fill="FFFFFF"/>
        </w:rPr>
        <w:t> 工程（以下简称“本工程”）施工和有关事项协商一致共同签订《</w:t>
      </w:r>
      <w:r>
        <w:rPr>
          <w:rFonts w:ascii="Times New Roman" w:hAnsi="Times New Roman"/>
          <w:snapToGrid w:val="0"/>
          <w:color w:val="auto"/>
          <w:spacing w:val="15"/>
          <w:sz w:val="21"/>
          <w:szCs w:val="21"/>
          <w:u w:val="single"/>
          <w:shd w:val="clear" w:color="auto" w:fill="FFFFFF"/>
        </w:rPr>
        <w:t xml:space="preserve">        </w:t>
      </w:r>
      <w:r>
        <w:rPr>
          <w:rFonts w:ascii="Times New Roman" w:hAnsi="Times New Roman"/>
          <w:snapToGrid w:val="0"/>
          <w:color w:val="auto"/>
          <w:spacing w:val="15"/>
          <w:sz w:val="21"/>
          <w:szCs w:val="21"/>
          <w:shd w:val="clear" w:color="auto" w:fill="FFFFFF"/>
        </w:rPr>
        <w:t>》（以下简称“基础合同”），我方（即“开立人”）根据基础合同了解到申请人为基础合同项下之承包人，受益人为基础合同项下之发包人，基于申请人的请求，我方同意就申请人履行与贵方签订的基础合同项下的义务，向贵方提供不可撤销、不可转让的见索即付独立保函（以下简称“本保函”）。</w:t>
      </w:r>
    </w:p>
    <w:p w14:paraId="1A1A60C9">
      <w:pPr>
        <w:pStyle w:val="38"/>
        <w:pBdr>
          <w:top w:val="none" w:color="000000" w:sz="0" w:space="0"/>
          <w:left w:val="none" w:color="000000" w:sz="0" w:space="0"/>
          <w:bottom w:val="none" w:color="000000" w:sz="0" w:space="0"/>
          <w:right w:val="none" w:color="000000" w:sz="0" w:space="0"/>
        </w:pBdr>
        <w:spacing w:before="0" w:beforeAutospacing="0" w:after="0" w:afterAutospacing="0" w:line="360" w:lineRule="auto"/>
        <w:ind w:firstLine="480"/>
        <w:jc w:val="both"/>
        <w:rPr>
          <w:rFonts w:ascii="Times New Roman" w:hAnsi="Times New Roman"/>
          <w:snapToGrid w:val="0"/>
          <w:color w:val="auto"/>
          <w:spacing w:val="15"/>
          <w:sz w:val="21"/>
          <w:szCs w:val="21"/>
          <w:shd w:val="clear" w:color="auto" w:fill="FFFFFF"/>
        </w:rPr>
      </w:pPr>
      <w:r>
        <w:rPr>
          <w:rFonts w:ascii="Times New Roman" w:hAnsi="Times New Roman"/>
          <w:snapToGrid w:val="0"/>
          <w:color w:val="auto"/>
          <w:spacing w:val="15"/>
          <w:sz w:val="21"/>
          <w:szCs w:val="21"/>
          <w:shd w:val="clear" w:color="auto" w:fill="FFFFFF"/>
        </w:rPr>
        <w:t>一、本保函担保范围：承包人未按照基础合同的约定履行义务，应当向贵方承担的违约责任和赔偿因此造成的损失、利息、律师费、诉讼费用等实现债权的费用。</w:t>
      </w:r>
    </w:p>
    <w:p w14:paraId="694558A5">
      <w:pPr>
        <w:pStyle w:val="38"/>
        <w:pBdr>
          <w:top w:val="none" w:color="000000" w:sz="0" w:space="0"/>
          <w:left w:val="none" w:color="000000" w:sz="0" w:space="0"/>
          <w:bottom w:val="none" w:color="000000" w:sz="0" w:space="0"/>
          <w:right w:val="none" w:color="000000" w:sz="0" w:space="0"/>
        </w:pBdr>
        <w:spacing w:before="0" w:beforeAutospacing="0" w:after="0" w:afterAutospacing="0" w:line="360" w:lineRule="auto"/>
        <w:ind w:firstLine="480"/>
        <w:jc w:val="both"/>
        <w:rPr>
          <w:rFonts w:ascii="Times New Roman" w:hAnsi="Times New Roman"/>
          <w:snapToGrid w:val="0"/>
          <w:color w:val="auto"/>
          <w:spacing w:val="15"/>
          <w:sz w:val="21"/>
          <w:szCs w:val="21"/>
          <w:shd w:val="clear" w:color="auto" w:fill="FFFFFF"/>
        </w:rPr>
      </w:pPr>
      <w:r>
        <w:rPr>
          <w:rFonts w:ascii="Times New Roman" w:hAnsi="Times New Roman"/>
          <w:snapToGrid w:val="0"/>
          <w:color w:val="auto"/>
          <w:spacing w:val="15"/>
          <w:sz w:val="21"/>
          <w:szCs w:val="21"/>
          <w:shd w:val="clear" w:color="auto" w:fill="FFFFFF"/>
        </w:rPr>
        <w:t>二、本保函担保金额最高不超过人民币（大写）</w:t>
      </w:r>
      <w:r>
        <w:rPr>
          <w:rFonts w:ascii="Times New Roman" w:hAnsi="Times New Roman"/>
          <w:snapToGrid w:val="0"/>
          <w:color w:val="auto"/>
          <w:spacing w:val="15"/>
          <w:sz w:val="21"/>
          <w:szCs w:val="21"/>
          <w:u w:val="single"/>
          <w:shd w:val="clear" w:color="auto" w:fill="FFFFFF"/>
        </w:rPr>
        <w:t>         </w:t>
      </w:r>
      <w:r>
        <w:rPr>
          <w:rFonts w:ascii="Times New Roman" w:hAnsi="Times New Roman"/>
          <w:snapToGrid w:val="0"/>
          <w:color w:val="auto"/>
          <w:spacing w:val="15"/>
          <w:sz w:val="21"/>
          <w:szCs w:val="21"/>
          <w:shd w:val="clear" w:color="auto" w:fill="FFFFFF"/>
        </w:rPr>
        <w:t> 元（¥</w:t>
      </w:r>
      <w:r>
        <w:rPr>
          <w:rFonts w:ascii="Times New Roman" w:hAnsi="Times New Roman"/>
          <w:snapToGrid w:val="0"/>
          <w:color w:val="auto"/>
          <w:spacing w:val="15"/>
          <w:sz w:val="21"/>
          <w:szCs w:val="21"/>
          <w:u w:val="single"/>
          <w:shd w:val="clear" w:color="auto" w:fill="FFFFFF"/>
        </w:rPr>
        <w:t>       </w:t>
      </w:r>
      <w:r>
        <w:rPr>
          <w:rFonts w:ascii="Times New Roman" w:hAnsi="Times New Roman"/>
          <w:snapToGrid w:val="0"/>
          <w:color w:val="auto"/>
          <w:spacing w:val="15"/>
          <w:sz w:val="21"/>
          <w:szCs w:val="21"/>
          <w:shd w:val="clear" w:color="auto" w:fill="FFFFFF"/>
        </w:rPr>
        <w:t>）。</w:t>
      </w:r>
    </w:p>
    <w:p w14:paraId="01E6A6EB">
      <w:pPr>
        <w:pStyle w:val="38"/>
        <w:pBdr>
          <w:top w:val="none" w:color="000000" w:sz="0" w:space="0"/>
          <w:left w:val="none" w:color="000000" w:sz="0" w:space="0"/>
          <w:bottom w:val="none" w:color="000000" w:sz="0" w:space="0"/>
          <w:right w:val="none" w:color="000000" w:sz="0" w:space="0"/>
        </w:pBdr>
        <w:spacing w:before="0" w:beforeAutospacing="0" w:after="0" w:afterAutospacing="0" w:line="360" w:lineRule="auto"/>
        <w:ind w:firstLine="480"/>
        <w:jc w:val="both"/>
        <w:rPr>
          <w:rFonts w:ascii="Times New Roman" w:hAnsi="Times New Roman"/>
          <w:snapToGrid w:val="0"/>
          <w:color w:val="auto"/>
          <w:spacing w:val="15"/>
          <w:sz w:val="21"/>
          <w:szCs w:val="21"/>
          <w:shd w:val="clear" w:color="auto" w:fill="FFFFFF"/>
        </w:rPr>
      </w:pPr>
      <w:r>
        <w:rPr>
          <w:rFonts w:ascii="Times New Roman" w:hAnsi="Times New Roman"/>
          <w:snapToGrid w:val="0"/>
          <w:color w:val="auto"/>
          <w:spacing w:val="15"/>
          <w:sz w:val="21"/>
          <w:szCs w:val="21"/>
          <w:shd w:val="clear" w:color="auto" w:fill="FFFFFF"/>
        </w:rPr>
        <w:t>三、本保函有效期自开立之日起至基础合同约定的缺陷责任期后   日止，最迟不超</w:t>
      </w:r>
      <w:r>
        <w:rPr>
          <w:rFonts w:ascii="Times New Roman" w:hAnsi="Times New Roman"/>
          <w:snapToGrid w:val="0"/>
          <w:color w:val="auto"/>
          <w:spacing w:val="15"/>
          <w:sz w:val="21"/>
          <w:szCs w:val="21"/>
          <w:u w:val="single"/>
          <w:shd w:val="clear" w:color="auto" w:fill="FFFFFF"/>
        </w:rPr>
        <w:t>过    年    月    日</w:t>
      </w:r>
      <w:r>
        <w:rPr>
          <w:rFonts w:ascii="Times New Roman" w:hAnsi="Times New Roman"/>
          <w:snapToGrid w:val="0"/>
          <w:color w:val="auto"/>
          <w:spacing w:val="15"/>
          <w:sz w:val="21"/>
          <w:szCs w:val="21"/>
          <w:shd w:val="clear" w:color="auto" w:fill="FFFFFF"/>
        </w:rPr>
        <w:t>。</w:t>
      </w:r>
    </w:p>
    <w:p w14:paraId="12FFBF85">
      <w:pPr>
        <w:pStyle w:val="38"/>
        <w:pBdr>
          <w:top w:val="none" w:color="000000" w:sz="0" w:space="0"/>
          <w:left w:val="none" w:color="000000" w:sz="0" w:space="0"/>
          <w:bottom w:val="none" w:color="000000" w:sz="0" w:space="0"/>
          <w:right w:val="none" w:color="000000" w:sz="0" w:space="0"/>
        </w:pBdr>
        <w:spacing w:before="0" w:beforeAutospacing="0" w:after="0" w:afterAutospacing="0" w:line="360" w:lineRule="auto"/>
        <w:ind w:firstLine="480"/>
        <w:jc w:val="both"/>
        <w:rPr>
          <w:rFonts w:ascii="Times New Roman" w:hAnsi="Times New Roman"/>
          <w:snapToGrid w:val="0"/>
          <w:color w:val="auto"/>
          <w:spacing w:val="15"/>
          <w:sz w:val="21"/>
          <w:szCs w:val="21"/>
          <w:shd w:val="clear" w:color="auto" w:fill="FFFFFF"/>
        </w:rPr>
      </w:pPr>
      <w:r>
        <w:rPr>
          <w:rFonts w:ascii="Times New Roman" w:hAnsi="Times New Roman"/>
          <w:snapToGrid w:val="0"/>
          <w:color w:val="auto"/>
          <w:spacing w:val="15"/>
          <w:sz w:val="21"/>
          <w:szCs w:val="21"/>
          <w:shd w:val="clear" w:color="auto" w:fill="FFFFFF"/>
        </w:rPr>
        <w:t>四、我方承诺，在收到受益人发来的书面付款通知后的</w:t>
      </w:r>
      <w:r>
        <w:rPr>
          <w:rFonts w:ascii="Times New Roman" w:hAnsi="Times New Roman"/>
          <w:snapToGrid w:val="0"/>
          <w:color w:val="auto"/>
          <w:spacing w:val="15"/>
          <w:sz w:val="21"/>
          <w:szCs w:val="21"/>
          <w:u w:val="single"/>
          <w:shd w:val="clear" w:color="auto" w:fill="FFFFFF"/>
        </w:rPr>
        <w:t>    </w:t>
      </w:r>
      <w:r>
        <w:rPr>
          <w:rFonts w:ascii="Times New Roman" w:hAnsi="Times New Roman"/>
          <w:snapToGrid w:val="0"/>
          <w:color w:val="auto"/>
          <w:spacing w:val="15"/>
          <w:sz w:val="21"/>
          <w:szCs w:val="21"/>
          <w:shd w:val="clear" w:color="auto" w:fill="FFFFFF"/>
        </w:rPr>
        <w:t>日内无条件支付，前述书面付款通知即为付款要求之单据，且应满足以下要求：</w:t>
      </w:r>
    </w:p>
    <w:p w14:paraId="326CF189">
      <w:pPr>
        <w:pStyle w:val="38"/>
        <w:pBdr>
          <w:top w:val="none" w:color="000000" w:sz="0" w:space="0"/>
          <w:left w:val="none" w:color="000000" w:sz="0" w:space="0"/>
          <w:bottom w:val="none" w:color="000000" w:sz="0" w:space="0"/>
          <w:right w:val="none" w:color="000000" w:sz="0" w:space="0"/>
        </w:pBdr>
        <w:spacing w:before="0" w:beforeAutospacing="0" w:after="0" w:afterAutospacing="0" w:line="360" w:lineRule="auto"/>
        <w:ind w:firstLine="480"/>
        <w:jc w:val="both"/>
        <w:rPr>
          <w:rFonts w:ascii="Times New Roman" w:hAnsi="Times New Roman"/>
          <w:snapToGrid w:val="0"/>
          <w:color w:val="auto"/>
          <w:spacing w:val="15"/>
          <w:sz w:val="21"/>
          <w:szCs w:val="21"/>
          <w:shd w:val="clear" w:color="auto" w:fill="FFFFFF"/>
        </w:rPr>
      </w:pPr>
      <w:r>
        <w:rPr>
          <w:rFonts w:ascii="Times New Roman" w:hAnsi="Times New Roman"/>
          <w:snapToGrid w:val="0"/>
          <w:color w:val="auto"/>
          <w:spacing w:val="15"/>
          <w:sz w:val="21"/>
          <w:szCs w:val="21"/>
          <w:shd w:val="clear" w:color="auto" w:fill="FFFFFF"/>
        </w:rPr>
        <w:t>（1）付款通知到达的日期在本保函的有效期内；</w:t>
      </w:r>
    </w:p>
    <w:p w14:paraId="589C1FE9">
      <w:pPr>
        <w:pStyle w:val="38"/>
        <w:pBdr>
          <w:top w:val="none" w:color="000000" w:sz="0" w:space="0"/>
          <w:left w:val="none" w:color="000000" w:sz="0" w:space="0"/>
          <w:bottom w:val="none" w:color="000000" w:sz="0" w:space="0"/>
          <w:right w:val="none" w:color="000000" w:sz="0" w:space="0"/>
        </w:pBdr>
        <w:spacing w:before="0" w:beforeAutospacing="0" w:after="0" w:afterAutospacing="0" w:line="360" w:lineRule="auto"/>
        <w:ind w:firstLine="480"/>
        <w:jc w:val="both"/>
        <w:rPr>
          <w:rFonts w:ascii="Times New Roman" w:hAnsi="Times New Roman"/>
          <w:snapToGrid w:val="0"/>
          <w:color w:val="auto"/>
          <w:spacing w:val="15"/>
          <w:sz w:val="21"/>
          <w:szCs w:val="21"/>
          <w:shd w:val="clear" w:color="auto" w:fill="FFFFFF"/>
        </w:rPr>
      </w:pPr>
      <w:r>
        <w:rPr>
          <w:rFonts w:ascii="Times New Roman" w:hAnsi="Times New Roman"/>
          <w:snapToGrid w:val="0"/>
          <w:color w:val="auto"/>
          <w:spacing w:val="15"/>
          <w:sz w:val="21"/>
          <w:szCs w:val="21"/>
          <w:shd w:val="clear" w:color="auto" w:fill="FFFFFF"/>
        </w:rPr>
        <w:t>（2）载明要求支付的金额；</w:t>
      </w:r>
    </w:p>
    <w:p w14:paraId="5A026A1C">
      <w:pPr>
        <w:pStyle w:val="38"/>
        <w:pBdr>
          <w:top w:val="none" w:color="000000" w:sz="0" w:space="0"/>
          <w:left w:val="none" w:color="000000" w:sz="0" w:space="0"/>
          <w:bottom w:val="none" w:color="000000" w:sz="0" w:space="0"/>
          <w:right w:val="none" w:color="000000" w:sz="0" w:space="0"/>
        </w:pBdr>
        <w:spacing w:before="0" w:beforeAutospacing="0" w:after="0" w:afterAutospacing="0" w:line="360" w:lineRule="auto"/>
        <w:ind w:firstLine="480"/>
        <w:jc w:val="both"/>
        <w:rPr>
          <w:rFonts w:ascii="Times New Roman" w:hAnsi="Times New Roman"/>
          <w:snapToGrid w:val="0"/>
          <w:color w:val="auto"/>
          <w:spacing w:val="15"/>
          <w:sz w:val="21"/>
          <w:szCs w:val="21"/>
          <w:shd w:val="clear" w:color="auto" w:fill="FFFFFF"/>
        </w:rPr>
      </w:pPr>
      <w:r>
        <w:rPr>
          <w:rFonts w:ascii="Times New Roman" w:hAnsi="Times New Roman"/>
          <w:snapToGrid w:val="0"/>
          <w:color w:val="auto"/>
          <w:spacing w:val="15"/>
          <w:sz w:val="21"/>
          <w:szCs w:val="21"/>
          <w:shd w:val="clear" w:color="auto" w:fill="FFFFFF"/>
        </w:rPr>
        <w:t>（3）载明申请人违反合同义务的条款和内容；</w:t>
      </w:r>
    </w:p>
    <w:p w14:paraId="2F695670">
      <w:pPr>
        <w:pStyle w:val="38"/>
        <w:pBdr>
          <w:top w:val="none" w:color="000000" w:sz="0" w:space="0"/>
          <w:left w:val="none" w:color="000000" w:sz="0" w:space="0"/>
          <w:bottom w:val="none" w:color="000000" w:sz="0" w:space="0"/>
          <w:right w:val="none" w:color="000000" w:sz="0" w:space="0"/>
        </w:pBdr>
        <w:spacing w:before="0" w:beforeAutospacing="0" w:after="0" w:afterAutospacing="0" w:line="360" w:lineRule="auto"/>
        <w:ind w:firstLine="480"/>
        <w:jc w:val="both"/>
        <w:rPr>
          <w:rFonts w:ascii="Times New Roman" w:hAnsi="Times New Roman"/>
          <w:snapToGrid w:val="0"/>
          <w:color w:val="auto"/>
          <w:spacing w:val="15"/>
          <w:sz w:val="21"/>
          <w:szCs w:val="21"/>
          <w:shd w:val="clear" w:color="auto" w:fill="FFFFFF"/>
        </w:rPr>
      </w:pPr>
      <w:r>
        <w:rPr>
          <w:rFonts w:ascii="Times New Roman" w:hAnsi="Times New Roman"/>
          <w:snapToGrid w:val="0"/>
          <w:color w:val="auto"/>
          <w:spacing w:val="15"/>
          <w:sz w:val="21"/>
          <w:szCs w:val="21"/>
          <w:shd w:val="clear" w:color="auto" w:fill="FFFFFF"/>
        </w:rPr>
        <w:t>（4）声明不存在合同文件约定或我国法律规定免除申请人或开立人支付责任的情形；</w:t>
      </w:r>
    </w:p>
    <w:p w14:paraId="67704B47">
      <w:pPr>
        <w:pStyle w:val="38"/>
        <w:pBdr>
          <w:top w:val="none" w:color="000000" w:sz="0" w:space="0"/>
          <w:left w:val="none" w:color="000000" w:sz="0" w:space="0"/>
          <w:bottom w:val="none" w:color="000000" w:sz="0" w:space="0"/>
          <w:right w:val="none" w:color="000000" w:sz="0" w:space="0"/>
        </w:pBdr>
        <w:spacing w:before="0" w:beforeAutospacing="0" w:after="0" w:afterAutospacing="0" w:line="360" w:lineRule="auto"/>
        <w:ind w:firstLine="480"/>
        <w:jc w:val="both"/>
        <w:rPr>
          <w:rFonts w:ascii="Times New Roman" w:hAnsi="Times New Roman"/>
          <w:snapToGrid w:val="0"/>
          <w:color w:val="auto"/>
          <w:spacing w:val="15"/>
          <w:sz w:val="21"/>
          <w:szCs w:val="21"/>
          <w:shd w:val="clear" w:color="auto" w:fill="FFFFFF"/>
        </w:rPr>
      </w:pPr>
      <w:r>
        <w:rPr>
          <w:rFonts w:ascii="Times New Roman" w:hAnsi="Times New Roman"/>
          <w:snapToGrid w:val="0"/>
          <w:color w:val="auto"/>
          <w:spacing w:val="15"/>
          <w:sz w:val="21"/>
          <w:szCs w:val="21"/>
          <w:shd w:val="clear" w:color="auto" w:fill="FFFFFF"/>
        </w:rPr>
        <w:t>（5）付款通知应在本保函有效期内到达的地址是：             。</w:t>
      </w:r>
    </w:p>
    <w:p w14:paraId="418FDF67">
      <w:pPr>
        <w:pStyle w:val="38"/>
        <w:pBdr>
          <w:top w:val="none" w:color="000000" w:sz="0" w:space="0"/>
          <w:left w:val="none" w:color="000000" w:sz="0" w:space="0"/>
          <w:bottom w:val="none" w:color="000000" w:sz="0" w:space="0"/>
          <w:right w:val="none" w:color="000000" w:sz="0" w:space="0"/>
        </w:pBdr>
        <w:spacing w:before="0" w:beforeAutospacing="0" w:after="0" w:afterAutospacing="0" w:line="360" w:lineRule="auto"/>
        <w:ind w:firstLine="480"/>
        <w:jc w:val="both"/>
        <w:rPr>
          <w:rFonts w:ascii="Times New Roman" w:hAnsi="Times New Roman"/>
          <w:snapToGrid w:val="0"/>
          <w:color w:val="auto"/>
          <w:spacing w:val="15"/>
          <w:sz w:val="21"/>
          <w:szCs w:val="21"/>
          <w:shd w:val="clear" w:color="auto" w:fill="FFFFFF"/>
        </w:rPr>
      </w:pPr>
      <w:r>
        <w:rPr>
          <w:rFonts w:ascii="Times New Roman" w:hAnsi="Times New Roman"/>
          <w:snapToGrid w:val="0"/>
          <w:color w:val="auto"/>
          <w:spacing w:val="15"/>
          <w:sz w:val="21"/>
          <w:szCs w:val="21"/>
          <w:shd w:val="clear" w:color="auto" w:fill="FFFFFF"/>
        </w:rPr>
        <w:t>受益人发出的书面付款通知应由其为鉴明受益人法定代表人（负责人）或授权代理人签字并加盖公章。</w:t>
      </w:r>
    </w:p>
    <w:p w14:paraId="44FF3A7B">
      <w:pPr>
        <w:pStyle w:val="38"/>
        <w:pBdr>
          <w:top w:val="none" w:color="000000" w:sz="0" w:space="0"/>
          <w:left w:val="none" w:color="000000" w:sz="0" w:space="0"/>
          <w:bottom w:val="none" w:color="000000" w:sz="0" w:space="0"/>
          <w:right w:val="none" w:color="000000" w:sz="0" w:space="0"/>
        </w:pBdr>
        <w:spacing w:before="0" w:beforeAutospacing="0" w:after="0" w:afterAutospacing="0" w:line="360" w:lineRule="auto"/>
        <w:ind w:firstLine="480"/>
        <w:jc w:val="both"/>
        <w:rPr>
          <w:rFonts w:ascii="Times New Roman" w:hAnsi="Times New Roman"/>
          <w:snapToGrid w:val="0"/>
          <w:color w:val="auto"/>
          <w:spacing w:val="15"/>
          <w:sz w:val="21"/>
          <w:szCs w:val="21"/>
          <w:shd w:val="clear" w:color="auto" w:fill="FFFFFF"/>
        </w:rPr>
      </w:pPr>
      <w:r>
        <w:rPr>
          <w:rFonts w:ascii="Times New Roman" w:hAnsi="Times New Roman"/>
          <w:snapToGrid w:val="0"/>
          <w:color w:val="auto"/>
          <w:spacing w:val="15"/>
          <w:sz w:val="21"/>
          <w:szCs w:val="21"/>
          <w:shd w:val="clear" w:color="auto" w:fill="FFFFFF"/>
        </w:rPr>
        <w:t>五、本保函项下的权利不得转让，不得设定担保。贵方未经我方书面同意转 让本保函或其项下任何权利，对我方不发生法律效力。</w:t>
      </w:r>
    </w:p>
    <w:p w14:paraId="15343439">
      <w:pPr>
        <w:pStyle w:val="38"/>
        <w:pBdr>
          <w:top w:val="none" w:color="000000" w:sz="0" w:space="0"/>
          <w:left w:val="none" w:color="000000" w:sz="0" w:space="0"/>
          <w:bottom w:val="none" w:color="000000" w:sz="0" w:space="0"/>
          <w:right w:val="none" w:color="000000" w:sz="0" w:space="0"/>
        </w:pBdr>
        <w:spacing w:before="0" w:beforeAutospacing="0" w:after="0" w:afterAutospacing="0" w:line="360" w:lineRule="auto"/>
        <w:ind w:firstLine="480"/>
        <w:jc w:val="both"/>
        <w:rPr>
          <w:rFonts w:ascii="Times New Roman" w:hAnsi="Times New Roman"/>
          <w:snapToGrid w:val="0"/>
          <w:color w:val="auto"/>
          <w:spacing w:val="15"/>
          <w:sz w:val="21"/>
          <w:szCs w:val="21"/>
          <w:shd w:val="clear" w:color="auto" w:fill="FFFFFF"/>
        </w:rPr>
      </w:pPr>
      <w:r>
        <w:rPr>
          <w:rFonts w:ascii="Times New Roman" w:hAnsi="Times New Roman"/>
          <w:snapToGrid w:val="0"/>
          <w:color w:val="auto"/>
          <w:spacing w:val="15"/>
          <w:sz w:val="21"/>
          <w:szCs w:val="21"/>
          <w:shd w:val="clear" w:color="auto" w:fill="FFFFFF"/>
        </w:rPr>
        <w:t>六、与本保函有关的基础合同不成立、不生效、无效、被撤销、被解除，不影响本保函的独立有效。</w:t>
      </w:r>
    </w:p>
    <w:p w14:paraId="373FA47B">
      <w:pPr>
        <w:pStyle w:val="38"/>
        <w:pBdr>
          <w:top w:val="none" w:color="000000" w:sz="0" w:space="0"/>
          <w:left w:val="none" w:color="000000" w:sz="0" w:space="0"/>
          <w:bottom w:val="none" w:color="000000" w:sz="0" w:space="0"/>
          <w:right w:val="none" w:color="000000" w:sz="0" w:space="0"/>
        </w:pBdr>
        <w:spacing w:before="0" w:beforeAutospacing="0" w:after="0" w:afterAutospacing="0" w:line="360" w:lineRule="auto"/>
        <w:ind w:firstLine="480"/>
        <w:jc w:val="both"/>
        <w:rPr>
          <w:rFonts w:ascii="Times New Roman" w:hAnsi="Times New Roman"/>
          <w:snapToGrid w:val="0"/>
          <w:color w:val="auto"/>
          <w:spacing w:val="15"/>
          <w:sz w:val="21"/>
          <w:szCs w:val="21"/>
          <w:shd w:val="clear" w:color="auto" w:fill="FFFFFF"/>
        </w:rPr>
      </w:pPr>
      <w:r>
        <w:rPr>
          <w:rFonts w:ascii="Times New Roman" w:hAnsi="Times New Roman"/>
          <w:snapToGrid w:val="0"/>
          <w:color w:val="auto"/>
          <w:spacing w:val="15"/>
          <w:sz w:val="21"/>
          <w:szCs w:val="21"/>
          <w:shd w:val="clear" w:color="auto" w:fill="FFFFFF"/>
        </w:rPr>
        <w:t>七、贵方应在本保函到期后的七日内将本保函正本退回我方注销，但是不论贵方是否按此要求将本保函正本退回我方，我方在本保函项下的义务和责任均在保函有效期到期后自动消灭。</w:t>
      </w:r>
    </w:p>
    <w:p w14:paraId="24351052">
      <w:pPr>
        <w:pStyle w:val="38"/>
        <w:pBdr>
          <w:top w:val="none" w:color="000000" w:sz="0" w:space="0"/>
          <w:left w:val="none" w:color="000000" w:sz="0" w:space="0"/>
          <w:bottom w:val="none" w:color="000000" w:sz="0" w:space="0"/>
          <w:right w:val="none" w:color="000000" w:sz="0" w:space="0"/>
        </w:pBdr>
        <w:spacing w:before="0" w:beforeAutospacing="0" w:after="0" w:afterAutospacing="0" w:line="360" w:lineRule="auto"/>
        <w:ind w:firstLine="480"/>
        <w:jc w:val="both"/>
        <w:rPr>
          <w:rFonts w:ascii="Times New Roman" w:hAnsi="Times New Roman"/>
          <w:snapToGrid w:val="0"/>
          <w:color w:val="auto"/>
          <w:spacing w:val="15"/>
          <w:sz w:val="21"/>
          <w:szCs w:val="21"/>
          <w:shd w:val="clear" w:color="auto" w:fill="FFFFFF"/>
        </w:rPr>
      </w:pPr>
      <w:r>
        <w:rPr>
          <w:rFonts w:ascii="Times New Roman" w:hAnsi="Times New Roman"/>
          <w:snapToGrid w:val="0"/>
          <w:color w:val="auto"/>
          <w:spacing w:val="15"/>
          <w:sz w:val="21"/>
          <w:szCs w:val="21"/>
          <w:shd w:val="clear" w:color="auto" w:fill="FFFFFF"/>
        </w:rPr>
        <w:t>八、本保函适用的法律为中华人民共和国法律，争议裁判管辖地为中华人民共和国     。</w:t>
      </w:r>
    </w:p>
    <w:p w14:paraId="5EDC7238">
      <w:pPr>
        <w:pStyle w:val="38"/>
        <w:pBdr>
          <w:top w:val="none" w:color="000000" w:sz="0" w:space="0"/>
          <w:left w:val="none" w:color="000000" w:sz="0" w:space="0"/>
          <w:bottom w:val="none" w:color="000000" w:sz="0" w:space="0"/>
          <w:right w:val="none" w:color="000000" w:sz="0" w:space="0"/>
        </w:pBdr>
        <w:spacing w:before="0" w:beforeAutospacing="0" w:after="0" w:afterAutospacing="0" w:line="360" w:lineRule="auto"/>
        <w:ind w:firstLine="480"/>
        <w:jc w:val="both"/>
        <w:rPr>
          <w:rFonts w:ascii="Times New Roman" w:hAnsi="Times New Roman"/>
          <w:snapToGrid w:val="0"/>
          <w:color w:val="auto"/>
          <w:spacing w:val="15"/>
          <w:sz w:val="21"/>
          <w:szCs w:val="21"/>
          <w:shd w:val="clear" w:color="auto" w:fill="FFFFFF"/>
        </w:rPr>
      </w:pPr>
      <w:r>
        <w:rPr>
          <w:rFonts w:ascii="Times New Roman" w:hAnsi="Times New Roman"/>
          <w:snapToGrid w:val="0"/>
          <w:color w:val="auto"/>
          <w:spacing w:val="15"/>
          <w:sz w:val="21"/>
          <w:szCs w:val="21"/>
          <w:shd w:val="clear" w:color="auto" w:fill="FFFFFF"/>
        </w:rPr>
        <w:t>九、本保函自我方法定代表人或授权代表签字并加盖公章之日起生效。</w:t>
      </w:r>
    </w:p>
    <w:p w14:paraId="269B50E5">
      <w:pPr>
        <w:pStyle w:val="38"/>
        <w:pBdr>
          <w:top w:val="none" w:color="000000" w:sz="0" w:space="0"/>
          <w:left w:val="none" w:color="000000" w:sz="0" w:space="0"/>
          <w:bottom w:val="none" w:color="000000" w:sz="0" w:space="0"/>
          <w:right w:val="none" w:color="000000" w:sz="0" w:space="0"/>
        </w:pBdr>
        <w:spacing w:before="0" w:beforeAutospacing="0" w:after="0" w:afterAutospacing="0" w:line="360" w:lineRule="auto"/>
        <w:ind w:firstLine="480"/>
        <w:jc w:val="both"/>
        <w:rPr>
          <w:rFonts w:ascii="Times New Roman" w:hAnsi="Times New Roman"/>
          <w:snapToGrid w:val="0"/>
          <w:color w:val="auto"/>
          <w:spacing w:val="15"/>
          <w:sz w:val="21"/>
          <w:szCs w:val="21"/>
          <w:shd w:val="clear" w:color="auto" w:fill="FFFFFF"/>
        </w:rPr>
      </w:pPr>
      <w:r>
        <w:rPr>
          <w:rFonts w:ascii="Times New Roman" w:hAnsi="Times New Roman"/>
          <w:snapToGrid w:val="0"/>
          <w:color w:val="auto"/>
          <w:spacing w:val="15"/>
          <w:sz w:val="21"/>
          <w:szCs w:val="21"/>
          <w:shd w:val="clear" w:color="auto" w:fill="FFFFFF"/>
        </w:rPr>
        <w:t>开 立 人：                       （公章）</w:t>
      </w:r>
    </w:p>
    <w:p w14:paraId="322B4C57">
      <w:pPr>
        <w:pStyle w:val="38"/>
        <w:pBdr>
          <w:top w:val="none" w:color="000000" w:sz="0" w:space="0"/>
          <w:left w:val="none" w:color="000000" w:sz="0" w:space="0"/>
          <w:bottom w:val="none" w:color="000000" w:sz="0" w:space="0"/>
          <w:right w:val="none" w:color="000000" w:sz="0" w:space="0"/>
        </w:pBdr>
        <w:spacing w:before="0" w:beforeAutospacing="0" w:after="0" w:afterAutospacing="0" w:line="360" w:lineRule="auto"/>
        <w:ind w:firstLine="480"/>
        <w:jc w:val="both"/>
        <w:rPr>
          <w:rFonts w:ascii="Times New Roman" w:hAnsi="Times New Roman"/>
          <w:snapToGrid w:val="0"/>
          <w:color w:val="auto"/>
          <w:spacing w:val="15"/>
          <w:sz w:val="21"/>
          <w:szCs w:val="21"/>
          <w:shd w:val="clear" w:color="auto" w:fill="FFFFFF"/>
        </w:rPr>
      </w:pPr>
      <w:r>
        <w:rPr>
          <w:rFonts w:ascii="Times New Roman" w:hAnsi="Times New Roman"/>
          <w:snapToGrid w:val="0"/>
          <w:color w:val="auto"/>
          <w:spacing w:val="15"/>
          <w:sz w:val="21"/>
          <w:szCs w:val="21"/>
          <w:shd w:val="clear" w:color="auto" w:fill="FFFFFF"/>
        </w:rPr>
        <w:t>法定代表人（或授权代表）：               （签字）</w:t>
      </w:r>
    </w:p>
    <w:p w14:paraId="4B9BA028">
      <w:pPr>
        <w:pStyle w:val="38"/>
        <w:pBdr>
          <w:top w:val="none" w:color="000000" w:sz="0" w:space="0"/>
          <w:left w:val="none" w:color="000000" w:sz="0" w:space="0"/>
          <w:bottom w:val="none" w:color="000000" w:sz="0" w:space="0"/>
          <w:right w:val="none" w:color="000000" w:sz="0" w:space="0"/>
        </w:pBdr>
        <w:spacing w:before="0" w:beforeAutospacing="0" w:after="0" w:afterAutospacing="0" w:line="360" w:lineRule="auto"/>
        <w:ind w:firstLine="480"/>
        <w:jc w:val="both"/>
        <w:rPr>
          <w:rFonts w:ascii="Times New Roman" w:hAnsi="Times New Roman"/>
          <w:snapToGrid w:val="0"/>
          <w:color w:val="auto"/>
          <w:spacing w:val="15"/>
          <w:sz w:val="21"/>
          <w:szCs w:val="21"/>
          <w:shd w:val="clear" w:color="auto" w:fill="FFFFFF"/>
        </w:rPr>
      </w:pPr>
      <w:r>
        <w:rPr>
          <w:rFonts w:ascii="Times New Roman" w:hAnsi="Times New Roman"/>
          <w:snapToGrid w:val="0"/>
          <w:color w:val="auto"/>
          <w:spacing w:val="15"/>
          <w:sz w:val="21"/>
          <w:szCs w:val="21"/>
          <w:shd w:val="clear" w:color="auto" w:fill="FFFFFF"/>
        </w:rPr>
        <w:t>地    址：                                      </w:t>
      </w:r>
    </w:p>
    <w:p w14:paraId="72D5A19B">
      <w:pPr>
        <w:pStyle w:val="38"/>
        <w:pBdr>
          <w:top w:val="none" w:color="000000" w:sz="0" w:space="0"/>
          <w:left w:val="none" w:color="000000" w:sz="0" w:space="0"/>
          <w:bottom w:val="none" w:color="000000" w:sz="0" w:space="0"/>
          <w:right w:val="none" w:color="000000" w:sz="0" w:space="0"/>
        </w:pBdr>
        <w:spacing w:before="0" w:beforeAutospacing="0" w:after="0" w:afterAutospacing="0" w:line="360" w:lineRule="auto"/>
        <w:ind w:firstLine="480"/>
        <w:jc w:val="both"/>
        <w:rPr>
          <w:rFonts w:ascii="Times New Roman" w:hAnsi="Times New Roman"/>
          <w:snapToGrid w:val="0"/>
          <w:color w:val="auto"/>
          <w:spacing w:val="15"/>
          <w:sz w:val="21"/>
          <w:szCs w:val="21"/>
          <w:shd w:val="clear" w:color="auto" w:fill="FFFFFF"/>
        </w:rPr>
      </w:pPr>
      <w:r>
        <w:rPr>
          <w:rFonts w:ascii="Times New Roman" w:hAnsi="Times New Roman"/>
          <w:snapToGrid w:val="0"/>
          <w:color w:val="auto"/>
          <w:spacing w:val="15"/>
          <w:sz w:val="21"/>
          <w:szCs w:val="21"/>
          <w:shd w:val="clear" w:color="auto" w:fill="FFFFFF"/>
        </w:rPr>
        <w:t>邮政编码：                </w:t>
      </w:r>
    </w:p>
    <w:p w14:paraId="5750BD56">
      <w:pPr>
        <w:pStyle w:val="38"/>
        <w:pBdr>
          <w:top w:val="none" w:color="000000" w:sz="0" w:space="0"/>
          <w:left w:val="none" w:color="000000" w:sz="0" w:space="0"/>
          <w:bottom w:val="none" w:color="000000" w:sz="0" w:space="0"/>
          <w:right w:val="none" w:color="000000" w:sz="0" w:space="0"/>
        </w:pBdr>
        <w:spacing w:before="0" w:beforeAutospacing="0" w:after="0" w:afterAutospacing="0" w:line="360" w:lineRule="auto"/>
        <w:ind w:firstLine="480"/>
        <w:jc w:val="both"/>
        <w:rPr>
          <w:rFonts w:ascii="Times New Roman" w:hAnsi="Times New Roman"/>
          <w:snapToGrid w:val="0"/>
          <w:color w:val="auto"/>
          <w:spacing w:val="15"/>
          <w:sz w:val="21"/>
          <w:szCs w:val="21"/>
          <w:shd w:val="clear" w:color="auto" w:fill="FFFFFF"/>
        </w:rPr>
      </w:pPr>
      <w:r>
        <w:rPr>
          <w:rFonts w:ascii="Times New Roman" w:hAnsi="Times New Roman"/>
          <w:snapToGrid w:val="0"/>
          <w:color w:val="auto"/>
          <w:spacing w:val="15"/>
          <w:sz w:val="21"/>
          <w:szCs w:val="21"/>
          <w:shd w:val="clear" w:color="auto" w:fill="FFFFFF"/>
        </w:rPr>
        <w:t>电    话：                </w:t>
      </w:r>
    </w:p>
    <w:p w14:paraId="260DEE3A">
      <w:pPr>
        <w:pStyle w:val="38"/>
        <w:pBdr>
          <w:top w:val="none" w:color="000000" w:sz="0" w:space="0"/>
          <w:left w:val="none" w:color="000000" w:sz="0" w:space="0"/>
          <w:bottom w:val="none" w:color="000000" w:sz="0" w:space="0"/>
          <w:right w:val="none" w:color="000000" w:sz="0" w:space="0"/>
        </w:pBdr>
        <w:spacing w:before="0" w:beforeAutospacing="0" w:after="0" w:afterAutospacing="0" w:line="360" w:lineRule="auto"/>
        <w:ind w:firstLine="480"/>
        <w:jc w:val="both"/>
        <w:rPr>
          <w:rFonts w:ascii="Times New Roman" w:hAnsi="Times New Roman"/>
          <w:snapToGrid w:val="0"/>
          <w:color w:val="auto"/>
          <w:spacing w:val="15"/>
          <w:sz w:val="21"/>
          <w:szCs w:val="21"/>
          <w:shd w:val="clear" w:color="auto" w:fill="FFFFFF"/>
        </w:rPr>
      </w:pPr>
      <w:r>
        <w:rPr>
          <w:rFonts w:ascii="Times New Roman" w:hAnsi="Times New Roman"/>
          <w:snapToGrid w:val="0"/>
          <w:color w:val="auto"/>
          <w:spacing w:val="15"/>
          <w:sz w:val="21"/>
          <w:szCs w:val="21"/>
          <w:shd w:val="clear" w:color="auto" w:fill="FFFFFF"/>
        </w:rPr>
        <w:t>传    真：                </w:t>
      </w:r>
    </w:p>
    <w:p w14:paraId="3EFBA08F">
      <w:pPr>
        <w:pStyle w:val="38"/>
        <w:pBdr>
          <w:top w:val="none" w:color="000000" w:sz="0" w:space="0"/>
          <w:left w:val="none" w:color="000000" w:sz="0" w:space="0"/>
          <w:bottom w:val="none" w:color="000000" w:sz="0" w:space="0"/>
          <w:right w:val="none" w:color="000000" w:sz="0" w:space="0"/>
        </w:pBdr>
        <w:spacing w:before="0" w:beforeAutospacing="0" w:after="0" w:afterAutospacing="0" w:line="360" w:lineRule="auto"/>
        <w:ind w:firstLine="480"/>
        <w:jc w:val="both"/>
        <w:rPr>
          <w:rFonts w:ascii="Times New Roman" w:hAnsi="Times New Roman"/>
          <w:snapToGrid w:val="0"/>
          <w:color w:val="auto"/>
          <w:spacing w:val="15"/>
          <w:sz w:val="21"/>
          <w:szCs w:val="21"/>
          <w:shd w:val="clear" w:color="auto" w:fill="FFFFFF"/>
        </w:rPr>
      </w:pPr>
      <w:r>
        <w:rPr>
          <w:rFonts w:ascii="Times New Roman" w:hAnsi="Times New Roman"/>
          <w:snapToGrid w:val="0"/>
          <w:color w:val="auto"/>
          <w:spacing w:val="15"/>
          <w:sz w:val="21"/>
          <w:szCs w:val="21"/>
          <w:shd w:val="clear" w:color="auto" w:fill="FFFFFF"/>
        </w:rPr>
        <w:t>开立时间：      年      月   </w:t>
      </w:r>
    </w:p>
    <w:p w14:paraId="6468AAA2">
      <w:pPr>
        <w:pStyle w:val="38"/>
        <w:pBdr>
          <w:top w:val="none" w:color="000000" w:sz="0" w:space="0"/>
          <w:left w:val="none" w:color="000000" w:sz="0" w:space="0"/>
          <w:bottom w:val="none" w:color="000000" w:sz="0" w:space="0"/>
          <w:right w:val="none" w:color="000000" w:sz="0" w:space="0"/>
        </w:pBdr>
        <w:spacing w:before="0" w:beforeAutospacing="0" w:after="0" w:afterAutospacing="0" w:line="360" w:lineRule="auto"/>
        <w:jc w:val="both"/>
        <w:rPr>
          <w:rFonts w:ascii="Times New Roman" w:hAnsi="Times New Roman"/>
          <w:snapToGrid w:val="0"/>
          <w:color w:val="auto"/>
          <w:sz w:val="21"/>
          <w:szCs w:val="21"/>
        </w:rPr>
      </w:pPr>
    </w:p>
    <w:p w14:paraId="70804026">
      <w:pPr>
        <w:pStyle w:val="38"/>
        <w:pBdr>
          <w:top w:val="none" w:color="000000" w:sz="0" w:space="0"/>
          <w:left w:val="none" w:color="000000" w:sz="0" w:space="0"/>
          <w:bottom w:val="none" w:color="000000" w:sz="0" w:space="0"/>
          <w:right w:val="none" w:color="000000" w:sz="0" w:space="0"/>
        </w:pBdr>
        <w:spacing w:before="0" w:beforeAutospacing="0" w:after="0" w:afterAutospacing="0" w:line="360" w:lineRule="auto"/>
        <w:jc w:val="both"/>
        <w:rPr>
          <w:rFonts w:ascii="Times New Roman" w:hAnsi="Times New Roman"/>
          <w:snapToGrid w:val="0"/>
          <w:color w:val="auto"/>
          <w:spacing w:val="15"/>
          <w:sz w:val="21"/>
          <w:szCs w:val="21"/>
          <w:shd w:val="clear" w:color="auto" w:fill="FFFFFF"/>
        </w:rPr>
      </w:pPr>
    </w:p>
    <w:p w14:paraId="1D5AE669">
      <w:pPr>
        <w:pStyle w:val="38"/>
        <w:pBdr>
          <w:top w:val="none" w:color="000000" w:sz="0" w:space="0"/>
          <w:left w:val="none" w:color="000000" w:sz="0" w:space="0"/>
          <w:bottom w:val="none" w:color="000000" w:sz="0" w:space="0"/>
          <w:right w:val="none" w:color="000000" w:sz="0" w:space="0"/>
        </w:pBdr>
        <w:spacing w:before="0" w:beforeAutospacing="0" w:after="0" w:afterAutospacing="0" w:line="360" w:lineRule="auto"/>
        <w:jc w:val="both"/>
        <w:rPr>
          <w:rFonts w:ascii="Times New Roman" w:hAnsi="Times New Roman"/>
          <w:snapToGrid w:val="0"/>
          <w:color w:val="auto"/>
          <w:spacing w:val="15"/>
          <w:sz w:val="21"/>
          <w:szCs w:val="21"/>
          <w:shd w:val="clear" w:color="auto" w:fill="FFFFFF"/>
        </w:rPr>
      </w:pPr>
    </w:p>
    <w:p w14:paraId="1A70C65B">
      <w:pPr>
        <w:rPr>
          <w:rStyle w:val="39"/>
          <w:rFonts w:ascii="Times New Roman" w:hAnsi="Times New Roman"/>
          <w:snapToGrid w:val="0"/>
          <w:color w:val="auto"/>
          <w:spacing w:val="15"/>
          <w:sz w:val="21"/>
          <w:szCs w:val="21"/>
          <w:shd w:val="clear" w:color="auto" w:fill="FFFFFF"/>
        </w:rPr>
      </w:pPr>
      <w:r>
        <w:rPr>
          <w:rStyle w:val="39"/>
          <w:rFonts w:ascii="Times New Roman" w:hAnsi="Times New Roman"/>
          <w:snapToGrid w:val="0"/>
          <w:color w:val="auto"/>
          <w:spacing w:val="15"/>
          <w:sz w:val="21"/>
          <w:szCs w:val="21"/>
          <w:shd w:val="clear" w:color="auto" w:fill="FFFFFF"/>
        </w:rPr>
        <w:br w:type="page"/>
      </w:r>
    </w:p>
    <w:p w14:paraId="5590B33E">
      <w:pPr>
        <w:pStyle w:val="38"/>
        <w:pBdr>
          <w:top w:val="none" w:color="000000" w:sz="0" w:space="0"/>
          <w:left w:val="none" w:color="000000" w:sz="0" w:space="0"/>
          <w:bottom w:val="none" w:color="000000" w:sz="0" w:space="0"/>
          <w:right w:val="none" w:color="000000" w:sz="0" w:space="0"/>
        </w:pBdr>
        <w:spacing w:before="0" w:beforeAutospacing="0" w:after="0" w:afterAutospacing="0" w:line="360" w:lineRule="auto"/>
        <w:jc w:val="center"/>
        <w:rPr>
          <w:rStyle w:val="39"/>
          <w:rFonts w:ascii="Times New Roman" w:hAnsi="Times New Roman"/>
          <w:snapToGrid w:val="0"/>
          <w:color w:val="auto"/>
          <w:spacing w:val="15"/>
          <w:sz w:val="21"/>
          <w:szCs w:val="21"/>
          <w:shd w:val="clear" w:color="auto" w:fill="FFFFFF"/>
        </w:rPr>
      </w:pPr>
      <w:r>
        <w:rPr>
          <w:rStyle w:val="39"/>
          <w:rFonts w:ascii="Times New Roman" w:hAnsi="Times New Roman"/>
          <w:snapToGrid w:val="0"/>
          <w:color w:val="auto"/>
          <w:spacing w:val="15"/>
          <w:sz w:val="21"/>
          <w:szCs w:val="21"/>
          <w:shd w:val="clear" w:color="auto" w:fill="FFFFFF"/>
        </w:rPr>
        <w:t>履约保函</w:t>
      </w:r>
    </w:p>
    <w:p w14:paraId="7032986D">
      <w:pPr>
        <w:pStyle w:val="38"/>
        <w:pBdr>
          <w:top w:val="none" w:color="000000" w:sz="0" w:space="0"/>
          <w:left w:val="none" w:color="000000" w:sz="0" w:space="0"/>
          <w:bottom w:val="none" w:color="000000" w:sz="0" w:space="0"/>
          <w:right w:val="none" w:color="000000" w:sz="0" w:space="0"/>
        </w:pBdr>
        <w:spacing w:before="0" w:beforeAutospacing="0" w:after="0" w:afterAutospacing="0" w:line="360" w:lineRule="auto"/>
        <w:jc w:val="center"/>
        <w:rPr>
          <w:rStyle w:val="39"/>
          <w:rFonts w:ascii="Times New Roman" w:hAnsi="Times New Roman"/>
          <w:snapToGrid w:val="0"/>
          <w:color w:val="auto"/>
          <w:spacing w:val="15"/>
          <w:sz w:val="21"/>
          <w:szCs w:val="21"/>
          <w:shd w:val="clear" w:color="auto" w:fill="FFFFFF"/>
        </w:rPr>
      </w:pPr>
      <w:r>
        <w:rPr>
          <w:rStyle w:val="39"/>
          <w:rFonts w:ascii="Times New Roman" w:hAnsi="Times New Roman"/>
          <w:snapToGrid w:val="0"/>
          <w:color w:val="auto"/>
          <w:spacing w:val="15"/>
          <w:sz w:val="21"/>
          <w:szCs w:val="21"/>
          <w:shd w:val="clear" w:color="auto" w:fill="FFFFFF"/>
        </w:rPr>
        <w:t>（非独立保函）</w:t>
      </w:r>
    </w:p>
    <w:p w14:paraId="14CAC990">
      <w:pPr>
        <w:pStyle w:val="38"/>
        <w:pBdr>
          <w:top w:val="none" w:color="000000" w:sz="0" w:space="0"/>
          <w:left w:val="none" w:color="000000" w:sz="0" w:space="0"/>
          <w:bottom w:val="none" w:color="000000" w:sz="0" w:space="0"/>
          <w:right w:val="none" w:color="000000" w:sz="0" w:space="0"/>
        </w:pBdr>
        <w:spacing w:before="0" w:beforeAutospacing="0" w:after="0" w:afterAutospacing="0" w:line="360" w:lineRule="auto"/>
        <w:jc w:val="center"/>
        <w:rPr>
          <w:rFonts w:ascii="Times New Roman" w:hAnsi="Times New Roman"/>
          <w:snapToGrid w:val="0"/>
          <w:color w:val="auto"/>
          <w:sz w:val="21"/>
          <w:szCs w:val="21"/>
        </w:rPr>
      </w:pPr>
    </w:p>
    <w:p w14:paraId="5C35808B">
      <w:pPr>
        <w:pStyle w:val="38"/>
        <w:pBdr>
          <w:top w:val="none" w:color="000000" w:sz="0" w:space="0"/>
          <w:left w:val="none" w:color="000000" w:sz="0" w:space="0"/>
          <w:bottom w:val="none" w:color="000000" w:sz="0" w:space="0"/>
          <w:right w:val="none" w:color="000000" w:sz="0" w:space="0"/>
        </w:pBdr>
        <w:spacing w:before="0" w:beforeAutospacing="0" w:after="0" w:afterAutospacing="0" w:line="360" w:lineRule="auto"/>
        <w:jc w:val="right"/>
        <w:rPr>
          <w:rFonts w:ascii="Times New Roman" w:hAnsi="Times New Roman"/>
          <w:snapToGrid w:val="0"/>
          <w:color w:val="auto"/>
          <w:spacing w:val="15"/>
          <w:sz w:val="21"/>
          <w:szCs w:val="21"/>
          <w:shd w:val="clear" w:color="auto" w:fill="FFFFFF"/>
        </w:rPr>
      </w:pPr>
      <w:r>
        <w:rPr>
          <w:rFonts w:ascii="Times New Roman" w:hAnsi="Times New Roman"/>
          <w:snapToGrid w:val="0"/>
          <w:color w:val="auto"/>
          <w:spacing w:val="15"/>
          <w:sz w:val="21"/>
          <w:szCs w:val="21"/>
          <w:shd w:val="clear" w:color="auto" w:fill="FFFFFF"/>
        </w:rPr>
        <w:t>编号：          </w:t>
      </w:r>
    </w:p>
    <w:p w14:paraId="0106C797">
      <w:pPr>
        <w:pStyle w:val="38"/>
        <w:pBdr>
          <w:top w:val="none" w:color="000000" w:sz="0" w:space="0"/>
          <w:left w:val="none" w:color="000000" w:sz="0" w:space="0"/>
          <w:bottom w:val="none" w:color="000000" w:sz="0" w:space="0"/>
          <w:right w:val="none" w:color="000000" w:sz="0" w:space="0"/>
        </w:pBdr>
        <w:spacing w:before="0" w:beforeAutospacing="0" w:after="0" w:afterAutospacing="0" w:line="360" w:lineRule="auto"/>
        <w:jc w:val="both"/>
        <w:rPr>
          <w:rFonts w:ascii="Times New Roman" w:hAnsi="Times New Roman"/>
          <w:snapToGrid w:val="0"/>
          <w:color w:val="auto"/>
          <w:spacing w:val="15"/>
          <w:sz w:val="21"/>
          <w:szCs w:val="21"/>
          <w:shd w:val="clear" w:color="auto" w:fill="FFFFFF"/>
        </w:rPr>
      </w:pPr>
      <w:r>
        <w:rPr>
          <w:rFonts w:ascii="Times New Roman" w:hAnsi="Times New Roman"/>
          <w:snapToGrid w:val="0"/>
          <w:color w:val="auto"/>
          <w:spacing w:val="15"/>
          <w:sz w:val="21"/>
          <w:szCs w:val="21"/>
          <w:shd w:val="clear" w:color="auto" w:fill="FFFFFF"/>
        </w:rPr>
        <w:t>承包人：                                  地址：</w:t>
      </w:r>
    </w:p>
    <w:p w14:paraId="24E79020">
      <w:pPr>
        <w:pStyle w:val="38"/>
        <w:pBdr>
          <w:top w:val="none" w:color="000000" w:sz="0" w:space="0"/>
          <w:left w:val="none" w:color="000000" w:sz="0" w:space="0"/>
          <w:bottom w:val="none" w:color="000000" w:sz="0" w:space="0"/>
          <w:right w:val="none" w:color="000000" w:sz="0" w:space="0"/>
        </w:pBdr>
        <w:spacing w:before="0" w:beforeAutospacing="0" w:after="0" w:afterAutospacing="0" w:line="360" w:lineRule="auto"/>
        <w:jc w:val="both"/>
        <w:rPr>
          <w:rFonts w:ascii="Times New Roman" w:hAnsi="Times New Roman"/>
          <w:snapToGrid w:val="0"/>
          <w:color w:val="auto"/>
          <w:spacing w:val="15"/>
          <w:sz w:val="21"/>
          <w:szCs w:val="21"/>
          <w:shd w:val="clear" w:color="auto" w:fill="FFFFFF"/>
        </w:rPr>
      </w:pPr>
      <w:r>
        <w:rPr>
          <w:rFonts w:ascii="Times New Roman" w:hAnsi="Times New Roman"/>
          <w:snapToGrid w:val="0"/>
          <w:color w:val="auto"/>
          <w:spacing w:val="15"/>
          <w:sz w:val="21"/>
          <w:szCs w:val="21"/>
          <w:shd w:val="clear" w:color="auto" w:fill="FFFFFF"/>
        </w:rPr>
        <w:t>担保权人/发包人：                          地址：</w:t>
      </w:r>
    </w:p>
    <w:p w14:paraId="2E930D5F">
      <w:pPr>
        <w:pStyle w:val="38"/>
        <w:pBdr>
          <w:top w:val="none" w:color="000000" w:sz="0" w:space="0"/>
          <w:left w:val="none" w:color="000000" w:sz="0" w:space="0"/>
          <w:bottom w:val="none" w:color="000000" w:sz="0" w:space="0"/>
          <w:right w:val="none" w:color="000000" w:sz="0" w:space="0"/>
        </w:pBdr>
        <w:spacing w:before="0" w:beforeAutospacing="0" w:after="0" w:afterAutospacing="0" w:line="360" w:lineRule="auto"/>
        <w:jc w:val="both"/>
        <w:rPr>
          <w:rFonts w:ascii="Times New Roman" w:hAnsi="Times New Roman"/>
          <w:snapToGrid w:val="0"/>
          <w:color w:val="auto"/>
          <w:spacing w:val="15"/>
          <w:sz w:val="21"/>
          <w:szCs w:val="21"/>
          <w:shd w:val="clear" w:color="auto" w:fill="FFFFFF"/>
        </w:rPr>
      </w:pPr>
      <w:r>
        <w:rPr>
          <w:rFonts w:ascii="Times New Roman" w:hAnsi="Times New Roman"/>
          <w:snapToGrid w:val="0"/>
          <w:color w:val="auto"/>
          <w:spacing w:val="15"/>
          <w:sz w:val="21"/>
          <w:szCs w:val="21"/>
          <w:shd w:val="clear" w:color="auto" w:fill="FFFFFF"/>
        </w:rPr>
        <w:t>保证人：                                   地址：</w:t>
      </w:r>
    </w:p>
    <w:p w14:paraId="1F30EF87">
      <w:pPr>
        <w:pStyle w:val="38"/>
        <w:pBdr>
          <w:top w:val="none" w:color="000000" w:sz="0" w:space="0"/>
          <w:left w:val="none" w:color="000000" w:sz="0" w:space="0"/>
          <w:bottom w:val="none" w:color="000000" w:sz="0" w:space="0"/>
          <w:right w:val="none" w:color="000000" w:sz="0" w:space="0"/>
        </w:pBdr>
        <w:spacing w:before="0" w:beforeAutospacing="0" w:after="0" w:afterAutospacing="0" w:line="360" w:lineRule="auto"/>
        <w:jc w:val="both"/>
        <w:rPr>
          <w:rFonts w:ascii="Times New Roman" w:hAnsi="Times New Roman"/>
          <w:snapToGrid w:val="0"/>
          <w:color w:val="auto"/>
          <w:spacing w:val="15"/>
          <w:sz w:val="21"/>
          <w:szCs w:val="21"/>
          <w:shd w:val="clear" w:color="auto" w:fill="FFFFFF"/>
        </w:rPr>
      </w:pPr>
      <w:r>
        <w:rPr>
          <w:rFonts w:ascii="Times New Roman" w:hAnsi="Times New Roman"/>
          <w:snapToGrid w:val="0"/>
          <w:color w:val="auto"/>
          <w:spacing w:val="15"/>
          <w:sz w:val="21"/>
          <w:szCs w:val="21"/>
          <w:shd w:val="clear" w:color="auto" w:fill="FFFFFF"/>
        </w:rPr>
        <w:t>（发包人名称）：</w:t>
      </w:r>
    </w:p>
    <w:p w14:paraId="0410567A">
      <w:pPr>
        <w:pStyle w:val="38"/>
        <w:pBdr>
          <w:top w:val="none" w:color="000000" w:sz="0" w:space="0"/>
          <w:left w:val="none" w:color="000000" w:sz="0" w:space="0"/>
          <w:bottom w:val="none" w:color="000000" w:sz="0" w:space="0"/>
          <w:right w:val="none" w:color="000000" w:sz="0" w:space="0"/>
        </w:pBdr>
        <w:spacing w:before="0" w:beforeAutospacing="0" w:after="0" w:afterAutospacing="0" w:line="360" w:lineRule="auto"/>
        <w:ind w:firstLine="480"/>
        <w:jc w:val="both"/>
        <w:rPr>
          <w:rFonts w:ascii="Times New Roman" w:hAnsi="Times New Roman"/>
          <w:snapToGrid w:val="0"/>
          <w:color w:val="auto"/>
          <w:spacing w:val="15"/>
          <w:sz w:val="21"/>
          <w:szCs w:val="21"/>
          <w:shd w:val="clear" w:color="auto" w:fill="FFFFFF"/>
        </w:rPr>
      </w:pPr>
      <w:r>
        <w:rPr>
          <w:rFonts w:ascii="Times New Roman" w:hAnsi="Times New Roman"/>
          <w:snapToGrid w:val="0"/>
          <w:color w:val="auto"/>
          <w:spacing w:val="15"/>
          <w:sz w:val="21"/>
          <w:szCs w:val="21"/>
          <w:shd w:val="clear" w:color="auto" w:fill="FFFFFF"/>
        </w:rPr>
        <w:t>鉴于</w:t>
      </w:r>
      <w:r>
        <w:rPr>
          <w:rFonts w:ascii="Times New Roman" w:hAnsi="Times New Roman"/>
          <w:snapToGrid w:val="0"/>
          <w:color w:val="auto"/>
          <w:spacing w:val="15"/>
          <w:sz w:val="21"/>
          <w:szCs w:val="21"/>
          <w:u w:val="single"/>
          <w:shd w:val="clear" w:color="auto" w:fill="FFFFFF"/>
        </w:rPr>
        <w:t>        </w:t>
      </w:r>
      <w:r>
        <w:rPr>
          <w:rFonts w:ascii="Times New Roman" w:hAnsi="Times New Roman"/>
          <w:snapToGrid w:val="0"/>
          <w:color w:val="auto"/>
          <w:spacing w:val="15"/>
          <w:sz w:val="21"/>
          <w:szCs w:val="21"/>
          <w:shd w:val="clear" w:color="auto" w:fill="FFFFFF"/>
        </w:rPr>
        <w:t>（以下简称“发包人”）与</w:t>
      </w:r>
      <w:r>
        <w:rPr>
          <w:rFonts w:ascii="Times New Roman" w:hAnsi="Times New Roman"/>
          <w:snapToGrid w:val="0"/>
          <w:color w:val="auto"/>
          <w:spacing w:val="15"/>
          <w:sz w:val="21"/>
          <w:szCs w:val="21"/>
          <w:u w:val="single"/>
          <w:shd w:val="clear" w:color="auto" w:fill="FFFFFF"/>
        </w:rPr>
        <w:t>         </w:t>
      </w:r>
      <w:r>
        <w:rPr>
          <w:rFonts w:ascii="Times New Roman" w:hAnsi="Times New Roman"/>
          <w:snapToGrid w:val="0"/>
          <w:color w:val="auto"/>
          <w:spacing w:val="15"/>
          <w:sz w:val="21"/>
          <w:szCs w:val="21"/>
          <w:shd w:val="clear" w:color="auto" w:fill="FFFFFF"/>
        </w:rPr>
        <w:t>（以下简称“承包人”）于</w:t>
      </w:r>
      <w:r>
        <w:rPr>
          <w:rFonts w:ascii="Times New Roman" w:hAnsi="Times New Roman"/>
          <w:snapToGrid w:val="0"/>
          <w:color w:val="auto"/>
          <w:spacing w:val="15"/>
          <w:sz w:val="21"/>
          <w:szCs w:val="21"/>
          <w:u w:val="single"/>
          <w:shd w:val="clear" w:color="auto" w:fill="FFFFFF"/>
        </w:rPr>
        <w:t>   年   月   日就           </w:t>
      </w:r>
      <w:r>
        <w:rPr>
          <w:rFonts w:ascii="Times New Roman" w:hAnsi="Times New Roman"/>
          <w:snapToGrid w:val="0"/>
          <w:color w:val="auto"/>
          <w:spacing w:val="15"/>
          <w:sz w:val="21"/>
          <w:szCs w:val="21"/>
          <w:shd w:val="clear" w:color="auto" w:fill="FFFFFF"/>
        </w:rPr>
        <w:t>工程（以下简称“本工程”）施工和有关事项协商一致共同签订《</w:t>
      </w:r>
      <w:r>
        <w:rPr>
          <w:rFonts w:ascii="Times New Roman" w:hAnsi="Times New Roman"/>
          <w:snapToGrid w:val="0"/>
          <w:color w:val="auto"/>
          <w:spacing w:val="15"/>
          <w:sz w:val="21"/>
          <w:szCs w:val="21"/>
          <w:u w:val="single"/>
          <w:shd w:val="clear" w:color="auto" w:fill="FFFFFF"/>
        </w:rPr>
        <w:t xml:space="preserve">        </w:t>
      </w:r>
      <w:r>
        <w:rPr>
          <w:rFonts w:ascii="Times New Roman" w:hAnsi="Times New Roman"/>
          <w:snapToGrid w:val="0"/>
          <w:color w:val="auto"/>
          <w:spacing w:val="15"/>
          <w:sz w:val="21"/>
          <w:szCs w:val="21"/>
          <w:shd w:val="clear" w:color="auto" w:fill="FFFFFF"/>
        </w:rPr>
        <w:t>》（以下简称“主合同”），我方即保证人基于承包人的请求，同意就承包人履行与贵方签订的主合同项下的义务，向贵方提供如下保证担保（以下简称“本保证担保”）。</w:t>
      </w:r>
    </w:p>
    <w:p w14:paraId="6112E834">
      <w:pPr>
        <w:pStyle w:val="38"/>
        <w:pBdr>
          <w:top w:val="none" w:color="000000" w:sz="0" w:space="0"/>
          <w:left w:val="none" w:color="000000" w:sz="0" w:space="0"/>
          <w:bottom w:val="none" w:color="000000" w:sz="0" w:space="0"/>
          <w:right w:val="none" w:color="000000" w:sz="0" w:space="0"/>
        </w:pBdr>
        <w:spacing w:before="0" w:beforeAutospacing="0" w:after="0" w:afterAutospacing="0" w:line="360" w:lineRule="auto"/>
        <w:jc w:val="both"/>
        <w:rPr>
          <w:rFonts w:ascii="Times New Roman" w:hAnsi="Times New Roman"/>
          <w:snapToGrid w:val="0"/>
          <w:color w:val="auto"/>
          <w:spacing w:val="15"/>
          <w:sz w:val="21"/>
          <w:szCs w:val="21"/>
          <w:shd w:val="clear" w:color="auto" w:fill="FFFFFF"/>
        </w:rPr>
      </w:pPr>
      <w:r>
        <w:rPr>
          <w:rFonts w:ascii="Times New Roman" w:hAnsi="Times New Roman"/>
          <w:snapToGrid w:val="0"/>
          <w:color w:val="auto"/>
          <w:spacing w:val="15"/>
          <w:sz w:val="21"/>
          <w:szCs w:val="21"/>
          <w:shd w:val="clear" w:color="auto" w:fill="FFFFFF"/>
        </w:rPr>
        <w:t>    </w:t>
      </w:r>
      <w:r>
        <w:rPr>
          <w:rStyle w:val="39"/>
          <w:rFonts w:ascii="Times New Roman" w:hAnsi="Times New Roman"/>
          <w:snapToGrid w:val="0"/>
          <w:color w:val="auto"/>
          <w:spacing w:val="15"/>
          <w:sz w:val="21"/>
          <w:szCs w:val="21"/>
          <w:shd w:val="clear" w:color="auto" w:fill="FFFFFF"/>
        </w:rPr>
        <w:t>一、保证担保的范围及保证担保金额</w:t>
      </w:r>
    </w:p>
    <w:p w14:paraId="33C162F4">
      <w:pPr>
        <w:pStyle w:val="38"/>
        <w:pBdr>
          <w:top w:val="none" w:color="000000" w:sz="0" w:space="0"/>
          <w:left w:val="none" w:color="000000" w:sz="0" w:space="0"/>
          <w:bottom w:val="none" w:color="000000" w:sz="0" w:space="0"/>
          <w:right w:val="none" w:color="000000" w:sz="0" w:space="0"/>
        </w:pBdr>
        <w:spacing w:before="0" w:beforeAutospacing="0" w:after="0" w:afterAutospacing="0" w:line="360" w:lineRule="auto"/>
        <w:ind w:firstLine="480"/>
        <w:jc w:val="both"/>
        <w:rPr>
          <w:rFonts w:ascii="Times New Roman" w:hAnsi="Times New Roman"/>
          <w:snapToGrid w:val="0"/>
          <w:color w:val="auto"/>
          <w:spacing w:val="15"/>
          <w:sz w:val="21"/>
          <w:szCs w:val="21"/>
          <w:shd w:val="clear" w:color="auto" w:fill="FFFFFF"/>
        </w:rPr>
      </w:pPr>
      <w:r>
        <w:rPr>
          <w:rFonts w:ascii="Times New Roman" w:hAnsi="Times New Roman"/>
          <w:snapToGrid w:val="0"/>
          <w:color w:val="auto"/>
          <w:spacing w:val="15"/>
          <w:sz w:val="21"/>
          <w:szCs w:val="21"/>
          <w:shd w:val="clear" w:color="auto" w:fill="FFFFFF"/>
        </w:rPr>
        <w:t>1.保证担保范围：承包人未按照主合同的约定履行义务，应当向贵方承担的违约责任和赔偿因此造成的损失、利息、律师费、诉讼费用等实现债权的费用。</w:t>
      </w:r>
    </w:p>
    <w:p w14:paraId="78418113">
      <w:pPr>
        <w:pStyle w:val="38"/>
        <w:pBdr>
          <w:top w:val="none" w:color="000000" w:sz="0" w:space="0"/>
          <w:left w:val="none" w:color="000000" w:sz="0" w:space="0"/>
          <w:bottom w:val="none" w:color="000000" w:sz="0" w:space="0"/>
          <w:right w:val="none" w:color="000000" w:sz="0" w:space="0"/>
        </w:pBdr>
        <w:spacing w:before="0" w:beforeAutospacing="0" w:after="0" w:afterAutospacing="0" w:line="360" w:lineRule="auto"/>
        <w:ind w:firstLine="480"/>
        <w:jc w:val="both"/>
        <w:rPr>
          <w:rFonts w:ascii="Times New Roman" w:hAnsi="Times New Roman"/>
          <w:snapToGrid w:val="0"/>
          <w:color w:val="auto"/>
          <w:spacing w:val="15"/>
          <w:sz w:val="21"/>
          <w:szCs w:val="21"/>
          <w:shd w:val="clear" w:color="auto" w:fill="FFFFFF"/>
        </w:rPr>
      </w:pPr>
      <w:r>
        <w:rPr>
          <w:rFonts w:ascii="Times New Roman" w:hAnsi="Times New Roman"/>
          <w:snapToGrid w:val="0"/>
          <w:color w:val="auto"/>
          <w:spacing w:val="15"/>
          <w:sz w:val="21"/>
          <w:szCs w:val="21"/>
          <w:shd w:val="clear" w:color="auto" w:fill="FFFFFF"/>
        </w:rPr>
        <w:t>2.保证担保金额最高不超过人民币（大写</w:t>
      </w:r>
      <w:r>
        <w:rPr>
          <w:rFonts w:ascii="Times New Roman" w:hAnsi="Times New Roman"/>
          <w:snapToGrid w:val="0"/>
          <w:color w:val="auto"/>
          <w:spacing w:val="15"/>
          <w:sz w:val="21"/>
          <w:szCs w:val="21"/>
          <w:u w:val="single"/>
          <w:shd w:val="clear" w:color="auto" w:fill="FFFFFF"/>
        </w:rPr>
        <w:t>）          </w:t>
      </w:r>
      <w:r>
        <w:rPr>
          <w:rFonts w:ascii="Times New Roman" w:hAnsi="Times New Roman"/>
          <w:snapToGrid w:val="0"/>
          <w:color w:val="auto"/>
          <w:spacing w:val="15"/>
          <w:sz w:val="21"/>
          <w:szCs w:val="21"/>
          <w:shd w:val="clear" w:color="auto" w:fill="FFFFFF"/>
        </w:rPr>
        <w:t>元（¥</w:t>
      </w:r>
      <w:r>
        <w:rPr>
          <w:rFonts w:ascii="Times New Roman" w:hAnsi="Times New Roman"/>
          <w:snapToGrid w:val="0"/>
          <w:color w:val="auto"/>
          <w:spacing w:val="15"/>
          <w:sz w:val="21"/>
          <w:szCs w:val="21"/>
          <w:u w:val="single"/>
          <w:shd w:val="clear" w:color="auto" w:fill="FFFFFF"/>
        </w:rPr>
        <w:t>      元 </w:t>
      </w:r>
      <w:r>
        <w:rPr>
          <w:rFonts w:ascii="Times New Roman" w:hAnsi="Times New Roman"/>
          <w:snapToGrid w:val="0"/>
          <w:color w:val="auto"/>
          <w:spacing w:val="15"/>
          <w:sz w:val="21"/>
          <w:szCs w:val="21"/>
          <w:shd w:val="clear" w:color="auto" w:fill="FFFFFF"/>
        </w:rPr>
        <w:t>）。</w:t>
      </w:r>
    </w:p>
    <w:p w14:paraId="62400024">
      <w:pPr>
        <w:pStyle w:val="38"/>
        <w:pBdr>
          <w:top w:val="none" w:color="000000" w:sz="0" w:space="0"/>
          <w:left w:val="none" w:color="000000" w:sz="0" w:space="0"/>
          <w:bottom w:val="none" w:color="000000" w:sz="0" w:space="0"/>
          <w:right w:val="none" w:color="000000" w:sz="0" w:space="0"/>
        </w:pBdr>
        <w:spacing w:before="0" w:beforeAutospacing="0" w:after="0" w:afterAutospacing="0" w:line="360" w:lineRule="auto"/>
        <w:ind w:firstLine="480"/>
        <w:jc w:val="both"/>
        <w:rPr>
          <w:rStyle w:val="39"/>
          <w:rFonts w:ascii="Times New Roman" w:hAnsi="Times New Roman"/>
          <w:snapToGrid w:val="0"/>
          <w:color w:val="auto"/>
          <w:spacing w:val="15"/>
          <w:sz w:val="21"/>
          <w:szCs w:val="21"/>
          <w:shd w:val="clear" w:color="auto" w:fill="FFFFFF"/>
        </w:rPr>
      </w:pPr>
      <w:r>
        <w:rPr>
          <w:rStyle w:val="39"/>
          <w:rFonts w:ascii="Times New Roman" w:hAnsi="Times New Roman"/>
          <w:snapToGrid w:val="0"/>
          <w:color w:val="auto"/>
          <w:spacing w:val="15"/>
          <w:sz w:val="21"/>
          <w:szCs w:val="21"/>
          <w:shd w:val="clear" w:color="auto" w:fill="FFFFFF"/>
        </w:rPr>
        <w:t>二、保证担保的方式及保证期间</w:t>
      </w:r>
    </w:p>
    <w:p w14:paraId="3827EF85">
      <w:pPr>
        <w:pStyle w:val="38"/>
        <w:pBdr>
          <w:top w:val="none" w:color="000000" w:sz="0" w:space="0"/>
          <w:left w:val="none" w:color="000000" w:sz="0" w:space="0"/>
          <w:bottom w:val="none" w:color="000000" w:sz="0" w:space="0"/>
          <w:right w:val="none" w:color="000000" w:sz="0" w:space="0"/>
        </w:pBdr>
        <w:spacing w:before="0" w:beforeAutospacing="0" w:after="0" w:afterAutospacing="0" w:line="360" w:lineRule="auto"/>
        <w:ind w:firstLine="480"/>
        <w:jc w:val="both"/>
        <w:rPr>
          <w:rFonts w:ascii="Times New Roman" w:hAnsi="Times New Roman"/>
          <w:snapToGrid w:val="0"/>
          <w:color w:val="auto"/>
          <w:spacing w:val="15"/>
          <w:sz w:val="21"/>
          <w:szCs w:val="21"/>
          <w:shd w:val="clear" w:color="auto" w:fill="FFFFFF"/>
        </w:rPr>
      </w:pPr>
      <w:r>
        <w:rPr>
          <w:rFonts w:ascii="Times New Roman" w:hAnsi="Times New Roman"/>
          <w:snapToGrid w:val="0"/>
          <w:color w:val="auto"/>
          <w:spacing w:val="15"/>
          <w:sz w:val="21"/>
          <w:szCs w:val="21"/>
          <w:shd w:val="clear" w:color="auto" w:fill="FFFFFF"/>
        </w:rPr>
        <w:t>1.保证担保方式：连带责任保证。</w:t>
      </w:r>
    </w:p>
    <w:p w14:paraId="7992FBFB">
      <w:pPr>
        <w:pStyle w:val="38"/>
        <w:pBdr>
          <w:top w:val="none" w:color="000000" w:sz="0" w:space="0"/>
          <w:left w:val="none" w:color="000000" w:sz="0" w:space="0"/>
          <w:bottom w:val="none" w:color="000000" w:sz="0" w:space="0"/>
          <w:right w:val="none" w:color="000000" w:sz="0" w:space="0"/>
        </w:pBdr>
        <w:spacing w:before="0" w:beforeAutospacing="0" w:after="0" w:afterAutospacing="0" w:line="360" w:lineRule="auto"/>
        <w:ind w:firstLine="480"/>
        <w:jc w:val="both"/>
        <w:rPr>
          <w:rFonts w:ascii="Times New Roman" w:hAnsi="Times New Roman"/>
          <w:snapToGrid w:val="0"/>
          <w:color w:val="auto"/>
          <w:spacing w:val="15"/>
          <w:sz w:val="21"/>
          <w:szCs w:val="21"/>
          <w:shd w:val="clear" w:color="auto" w:fill="FFFFFF"/>
        </w:rPr>
      </w:pPr>
      <w:r>
        <w:rPr>
          <w:rFonts w:ascii="Times New Roman" w:hAnsi="Times New Roman"/>
          <w:snapToGrid w:val="0"/>
          <w:color w:val="auto"/>
          <w:spacing w:val="15"/>
          <w:sz w:val="21"/>
          <w:szCs w:val="21"/>
          <w:shd w:val="clear" w:color="auto" w:fill="FFFFFF"/>
        </w:rPr>
        <w:t>2.保证期间：自出具之日起至主合同约定的缺陷责任期后</w:t>
      </w:r>
      <w:r>
        <w:rPr>
          <w:rFonts w:ascii="Times New Roman" w:hAnsi="Times New Roman"/>
          <w:snapToGrid w:val="0"/>
          <w:color w:val="auto"/>
          <w:spacing w:val="15"/>
          <w:sz w:val="21"/>
          <w:szCs w:val="21"/>
          <w:u w:val="single"/>
          <w:shd w:val="clear" w:color="auto" w:fill="FFFFFF"/>
        </w:rPr>
        <w:t>   </w:t>
      </w:r>
      <w:r>
        <w:rPr>
          <w:rFonts w:ascii="Times New Roman" w:hAnsi="Times New Roman"/>
          <w:snapToGrid w:val="0"/>
          <w:color w:val="auto"/>
          <w:spacing w:val="15"/>
          <w:sz w:val="21"/>
          <w:szCs w:val="21"/>
          <w:shd w:val="clear" w:color="auto" w:fill="FFFFFF"/>
        </w:rPr>
        <w:t>日止，最迟不超过</w:t>
      </w:r>
      <w:r>
        <w:rPr>
          <w:rFonts w:ascii="Times New Roman" w:hAnsi="Times New Roman"/>
          <w:snapToGrid w:val="0"/>
          <w:color w:val="auto"/>
          <w:spacing w:val="15"/>
          <w:sz w:val="21"/>
          <w:szCs w:val="21"/>
          <w:u w:val="single"/>
          <w:shd w:val="clear" w:color="auto" w:fill="FFFFFF"/>
        </w:rPr>
        <w:t>    年    月    </w:t>
      </w:r>
      <w:r>
        <w:rPr>
          <w:rFonts w:ascii="Times New Roman" w:hAnsi="Times New Roman"/>
          <w:snapToGrid w:val="0"/>
          <w:color w:val="auto"/>
          <w:spacing w:val="15"/>
          <w:sz w:val="21"/>
          <w:szCs w:val="21"/>
          <w:shd w:val="clear" w:color="auto" w:fill="FFFFFF"/>
        </w:rPr>
        <w:t>日。</w:t>
      </w:r>
    </w:p>
    <w:p w14:paraId="42FDB370">
      <w:pPr>
        <w:pStyle w:val="38"/>
        <w:pBdr>
          <w:top w:val="none" w:color="000000" w:sz="0" w:space="0"/>
          <w:left w:val="none" w:color="000000" w:sz="0" w:space="0"/>
          <w:bottom w:val="none" w:color="000000" w:sz="0" w:space="0"/>
          <w:right w:val="none" w:color="000000" w:sz="0" w:space="0"/>
        </w:pBdr>
        <w:spacing w:before="0" w:beforeAutospacing="0" w:after="0" w:afterAutospacing="0" w:line="360" w:lineRule="auto"/>
        <w:ind w:firstLine="480"/>
        <w:jc w:val="both"/>
        <w:rPr>
          <w:rStyle w:val="39"/>
          <w:rFonts w:ascii="Times New Roman" w:hAnsi="Times New Roman"/>
          <w:snapToGrid w:val="0"/>
          <w:color w:val="auto"/>
          <w:spacing w:val="15"/>
          <w:sz w:val="21"/>
          <w:szCs w:val="21"/>
          <w:shd w:val="clear" w:color="auto" w:fill="FFFFFF"/>
        </w:rPr>
      </w:pPr>
      <w:r>
        <w:rPr>
          <w:rStyle w:val="39"/>
          <w:rFonts w:ascii="Times New Roman" w:hAnsi="Times New Roman"/>
          <w:snapToGrid w:val="0"/>
          <w:color w:val="auto"/>
          <w:spacing w:val="15"/>
          <w:sz w:val="21"/>
          <w:szCs w:val="21"/>
          <w:shd w:val="clear" w:color="auto" w:fill="FFFFFF"/>
        </w:rPr>
        <w:t>三、承担保证担保责任的形式</w:t>
      </w:r>
    </w:p>
    <w:p w14:paraId="0C51C2D5">
      <w:pPr>
        <w:pStyle w:val="38"/>
        <w:pBdr>
          <w:top w:val="none" w:color="000000" w:sz="0" w:space="0"/>
          <w:left w:val="none" w:color="000000" w:sz="0" w:space="0"/>
          <w:bottom w:val="none" w:color="000000" w:sz="0" w:space="0"/>
          <w:right w:val="none" w:color="000000" w:sz="0" w:space="0"/>
        </w:pBdr>
        <w:spacing w:before="0" w:beforeAutospacing="0" w:after="0" w:afterAutospacing="0" w:line="360" w:lineRule="auto"/>
        <w:ind w:firstLine="480"/>
        <w:jc w:val="both"/>
        <w:rPr>
          <w:rFonts w:ascii="Times New Roman" w:hAnsi="Times New Roman"/>
          <w:snapToGrid w:val="0"/>
          <w:color w:val="auto"/>
          <w:spacing w:val="15"/>
          <w:sz w:val="21"/>
          <w:szCs w:val="21"/>
          <w:shd w:val="clear" w:color="auto" w:fill="FFFFFF"/>
        </w:rPr>
      </w:pPr>
      <w:r>
        <w:rPr>
          <w:rFonts w:ascii="Times New Roman" w:hAnsi="Times New Roman"/>
          <w:snapToGrid w:val="0"/>
          <w:color w:val="auto"/>
          <w:spacing w:val="15"/>
          <w:sz w:val="21"/>
          <w:szCs w:val="21"/>
          <w:shd w:val="clear" w:color="auto" w:fill="FFFFFF"/>
        </w:rPr>
        <w:t>我方按照贵方的要求以下列方式之一承担保证担保责任：</w:t>
      </w:r>
    </w:p>
    <w:p w14:paraId="300D2351">
      <w:pPr>
        <w:pStyle w:val="38"/>
        <w:pBdr>
          <w:top w:val="none" w:color="000000" w:sz="0" w:space="0"/>
          <w:left w:val="none" w:color="000000" w:sz="0" w:space="0"/>
          <w:bottom w:val="none" w:color="000000" w:sz="0" w:space="0"/>
          <w:right w:val="none" w:color="000000" w:sz="0" w:space="0"/>
        </w:pBdr>
        <w:spacing w:before="0" w:beforeAutospacing="0" w:after="0" w:afterAutospacing="0" w:line="360" w:lineRule="auto"/>
        <w:ind w:firstLine="480"/>
        <w:jc w:val="both"/>
        <w:rPr>
          <w:rFonts w:ascii="Times New Roman" w:hAnsi="Times New Roman"/>
          <w:snapToGrid w:val="0"/>
          <w:color w:val="auto"/>
          <w:spacing w:val="15"/>
          <w:sz w:val="21"/>
          <w:szCs w:val="21"/>
          <w:shd w:val="clear" w:color="auto" w:fill="FFFFFF"/>
        </w:rPr>
      </w:pPr>
      <w:r>
        <w:rPr>
          <w:rFonts w:ascii="Times New Roman" w:hAnsi="Times New Roman"/>
          <w:snapToGrid w:val="0"/>
          <w:color w:val="auto"/>
          <w:spacing w:val="15"/>
          <w:sz w:val="21"/>
          <w:szCs w:val="21"/>
          <w:shd w:val="clear" w:color="auto" w:fill="FFFFFF"/>
        </w:rPr>
        <w:t>1.向承包人资金、设备或者技术援助，使其能继续履行合同义务；</w:t>
      </w:r>
    </w:p>
    <w:p w14:paraId="7D8CC96B">
      <w:pPr>
        <w:pStyle w:val="38"/>
        <w:pBdr>
          <w:top w:val="none" w:color="000000" w:sz="0" w:space="0"/>
          <w:left w:val="none" w:color="000000" w:sz="0" w:space="0"/>
          <w:bottom w:val="none" w:color="000000" w:sz="0" w:space="0"/>
          <w:right w:val="none" w:color="000000" w:sz="0" w:space="0"/>
        </w:pBdr>
        <w:spacing w:before="0" w:beforeAutospacing="0" w:after="0" w:afterAutospacing="0" w:line="360" w:lineRule="auto"/>
        <w:ind w:firstLine="480"/>
        <w:jc w:val="both"/>
        <w:rPr>
          <w:rFonts w:ascii="Times New Roman" w:hAnsi="Times New Roman"/>
          <w:snapToGrid w:val="0"/>
          <w:color w:val="auto"/>
          <w:spacing w:val="15"/>
          <w:sz w:val="21"/>
          <w:szCs w:val="21"/>
          <w:shd w:val="clear" w:color="auto" w:fill="FFFFFF"/>
        </w:rPr>
      </w:pPr>
      <w:r>
        <w:rPr>
          <w:rFonts w:ascii="Times New Roman" w:hAnsi="Times New Roman"/>
          <w:snapToGrid w:val="0"/>
          <w:color w:val="auto"/>
          <w:spacing w:val="15"/>
          <w:sz w:val="21"/>
          <w:szCs w:val="21"/>
          <w:shd w:val="clear" w:color="auto" w:fill="FFFFFF"/>
        </w:rPr>
        <w:t>2.直接接管该项工程或者委托经贵方同意的其他承包商，继续履行合同义务；</w:t>
      </w:r>
    </w:p>
    <w:p w14:paraId="7199D086">
      <w:pPr>
        <w:pStyle w:val="38"/>
        <w:pBdr>
          <w:top w:val="none" w:color="000000" w:sz="0" w:space="0"/>
          <w:left w:val="none" w:color="000000" w:sz="0" w:space="0"/>
          <w:bottom w:val="none" w:color="000000" w:sz="0" w:space="0"/>
          <w:right w:val="none" w:color="000000" w:sz="0" w:space="0"/>
        </w:pBdr>
        <w:spacing w:before="0" w:beforeAutospacing="0" w:after="0" w:afterAutospacing="0" w:line="360" w:lineRule="auto"/>
        <w:ind w:firstLine="480"/>
        <w:jc w:val="both"/>
        <w:rPr>
          <w:rFonts w:ascii="Times New Roman" w:hAnsi="Times New Roman"/>
          <w:snapToGrid w:val="0"/>
          <w:color w:val="auto"/>
          <w:spacing w:val="15"/>
          <w:sz w:val="21"/>
          <w:szCs w:val="21"/>
          <w:shd w:val="clear" w:color="auto" w:fill="FFFFFF"/>
        </w:rPr>
      </w:pPr>
      <w:r>
        <w:rPr>
          <w:rFonts w:ascii="Times New Roman" w:hAnsi="Times New Roman"/>
          <w:snapToGrid w:val="0"/>
          <w:color w:val="auto"/>
          <w:spacing w:val="15"/>
          <w:sz w:val="21"/>
          <w:szCs w:val="21"/>
          <w:shd w:val="clear" w:color="auto" w:fill="FFFFFF"/>
        </w:rPr>
        <w:t>3.在保证担保金额最高限额内，按照合同约定，向贵方承担违约责任和赔偿因此造成的损失，以及利息和律师费、诉讼费用等实现债权的费用。</w:t>
      </w:r>
    </w:p>
    <w:p w14:paraId="2CCF2D95">
      <w:pPr>
        <w:pStyle w:val="38"/>
        <w:pBdr>
          <w:top w:val="none" w:color="000000" w:sz="0" w:space="0"/>
          <w:left w:val="none" w:color="000000" w:sz="0" w:space="0"/>
          <w:bottom w:val="none" w:color="000000" w:sz="0" w:space="0"/>
          <w:right w:val="none" w:color="000000" w:sz="0" w:space="0"/>
        </w:pBdr>
        <w:spacing w:before="0" w:beforeAutospacing="0" w:after="0" w:afterAutospacing="0" w:line="360" w:lineRule="auto"/>
        <w:ind w:firstLine="480"/>
        <w:jc w:val="both"/>
        <w:rPr>
          <w:rStyle w:val="39"/>
          <w:rFonts w:ascii="Times New Roman" w:hAnsi="Times New Roman"/>
          <w:snapToGrid w:val="0"/>
          <w:color w:val="auto"/>
          <w:spacing w:val="15"/>
          <w:sz w:val="21"/>
          <w:szCs w:val="21"/>
          <w:shd w:val="clear" w:color="auto" w:fill="FFFFFF"/>
        </w:rPr>
      </w:pPr>
      <w:r>
        <w:rPr>
          <w:rStyle w:val="39"/>
          <w:rFonts w:ascii="Times New Roman" w:hAnsi="Times New Roman"/>
          <w:snapToGrid w:val="0"/>
          <w:color w:val="auto"/>
          <w:spacing w:val="15"/>
          <w:sz w:val="21"/>
          <w:szCs w:val="21"/>
          <w:shd w:val="clear" w:color="auto" w:fill="FFFFFF"/>
        </w:rPr>
        <w:t>四、代偿的安排</w:t>
      </w:r>
    </w:p>
    <w:p w14:paraId="77119B81">
      <w:pPr>
        <w:pStyle w:val="38"/>
        <w:pBdr>
          <w:top w:val="none" w:color="000000" w:sz="0" w:space="0"/>
          <w:left w:val="none" w:color="000000" w:sz="0" w:space="0"/>
          <w:bottom w:val="none" w:color="000000" w:sz="0" w:space="0"/>
          <w:right w:val="none" w:color="000000" w:sz="0" w:space="0"/>
        </w:pBdr>
        <w:spacing w:before="0" w:beforeAutospacing="0" w:after="0" w:afterAutospacing="0" w:line="360" w:lineRule="auto"/>
        <w:ind w:firstLine="480"/>
        <w:jc w:val="both"/>
        <w:rPr>
          <w:rFonts w:ascii="Times New Roman" w:hAnsi="Times New Roman"/>
          <w:snapToGrid w:val="0"/>
          <w:color w:val="auto"/>
          <w:spacing w:val="15"/>
          <w:sz w:val="21"/>
          <w:szCs w:val="21"/>
          <w:shd w:val="clear" w:color="auto" w:fill="FFFFFF"/>
        </w:rPr>
      </w:pPr>
      <w:r>
        <w:rPr>
          <w:rFonts w:ascii="Times New Roman" w:hAnsi="Times New Roman"/>
          <w:snapToGrid w:val="0"/>
          <w:color w:val="auto"/>
          <w:spacing w:val="15"/>
          <w:sz w:val="21"/>
          <w:szCs w:val="21"/>
          <w:shd w:val="clear" w:color="auto" w:fill="FFFFFF"/>
        </w:rPr>
        <w:t>1.贵方要求我方承担保证责任的，应向我方发出书面索赔通知及承包人未履行主合同约定义务的证明材料。索赔通知应写明要求索赔的金额，支付款项应到达的帐号，并附有说明承包人违反主合同造成贵方损失情况的证明材料。</w:t>
      </w:r>
    </w:p>
    <w:p w14:paraId="490654F2">
      <w:pPr>
        <w:pStyle w:val="38"/>
        <w:pBdr>
          <w:top w:val="none" w:color="000000" w:sz="0" w:space="0"/>
          <w:left w:val="none" w:color="000000" w:sz="0" w:space="0"/>
          <w:bottom w:val="none" w:color="000000" w:sz="0" w:space="0"/>
          <w:right w:val="none" w:color="000000" w:sz="0" w:space="0"/>
        </w:pBdr>
        <w:spacing w:before="0" w:beforeAutospacing="0" w:after="0" w:afterAutospacing="0" w:line="360" w:lineRule="auto"/>
        <w:ind w:firstLine="480"/>
        <w:jc w:val="both"/>
        <w:rPr>
          <w:rFonts w:ascii="Times New Roman" w:hAnsi="Times New Roman"/>
          <w:snapToGrid w:val="0"/>
          <w:color w:val="auto"/>
          <w:spacing w:val="15"/>
          <w:sz w:val="21"/>
          <w:szCs w:val="21"/>
          <w:shd w:val="clear" w:color="auto" w:fill="FFFFFF"/>
        </w:rPr>
      </w:pPr>
      <w:r>
        <w:rPr>
          <w:rFonts w:ascii="Times New Roman" w:hAnsi="Times New Roman"/>
          <w:snapToGrid w:val="0"/>
          <w:color w:val="auto"/>
          <w:spacing w:val="15"/>
          <w:sz w:val="21"/>
          <w:szCs w:val="21"/>
          <w:shd w:val="clear" w:color="auto" w:fill="FFFFFF"/>
        </w:rPr>
        <w:t>2.贵方以工程质量不符合主合同约定标准为由，向我方提出违约索赔的，还需同时提供符合相应条件要求的工程质量检测部门出具的质量说明材料。</w:t>
      </w:r>
    </w:p>
    <w:p w14:paraId="10DDAFA7">
      <w:pPr>
        <w:pStyle w:val="38"/>
        <w:pBdr>
          <w:top w:val="none" w:color="000000" w:sz="0" w:space="0"/>
          <w:left w:val="none" w:color="000000" w:sz="0" w:space="0"/>
          <w:bottom w:val="none" w:color="000000" w:sz="0" w:space="0"/>
          <w:right w:val="none" w:color="000000" w:sz="0" w:space="0"/>
        </w:pBdr>
        <w:spacing w:before="0" w:beforeAutospacing="0" w:after="0" w:afterAutospacing="0" w:line="360" w:lineRule="auto"/>
        <w:ind w:firstLine="480"/>
        <w:jc w:val="both"/>
        <w:rPr>
          <w:rFonts w:ascii="Times New Roman" w:hAnsi="Times New Roman"/>
          <w:snapToGrid w:val="0"/>
          <w:color w:val="auto"/>
          <w:spacing w:val="15"/>
          <w:sz w:val="21"/>
          <w:szCs w:val="21"/>
          <w:shd w:val="clear" w:color="auto" w:fill="FFFFFF"/>
        </w:rPr>
      </w:pPr>
      <w:r>
        <w:rPr>
          <w:rFonts w:ascii="Times New Roman" w:hAnsi="Times New Roman"/>
          <w:snapToGrid w:val="0"/>
          <w:color w:val="auto"/>
          <w:spacing w:val="15"/>
          <w:sz w:val="21"/>
          <w:szCs w:val="21"/>
          <w:shd w:val="clear" w:color="auto" w:fill="FFFFFF"/>
        </w:rPr>
        <w:t>3.我方收到贵方的书面索赔通知及相应证明材料后，在   工作日内进行核定后按照本保函的承诺承担保证责任。</w:t>
      </w:r>
    </w:p>
    <w:p w14:paraId="1092786B">
      <w:pPr>
        <w:pStyle w:val="38"/>
        <w:pBdr>
          <w:top w:val="none" w:color="000000" w:sz="0" w:space="0"/>
          <w:left w:val="none" w:color="000000" w:sz="0" w:space="0"/>
          <w:bottom w:val="none" w:color="000000" w:sz="0" w:space="0"/>
          <w:right w:val="none" w:color="000000" w:sz="0" w:space="0"/>
        </w:pBdr>
        <w:spacing w:before="0" w:beforeAutospacing="0" w:after="0" w:afterAutospacing="0" w:line="360" w:lineRule="auto"/>
        <w:ind w:firstLine="480"/>
        <w:jc w:val="both"/>
        <w:rPr>
          <w:rStyle w:val="39"/>
          <w:rFonts w:ascii="Times New Roman" w:hAnsi="Times New Roman"/>
          <w:snapToGrid w:val="0"/>
          <w:color w:val="auto"/>
          <w:spacing w:val="15"/>
          <w:sz w:val="21"/>
          <w:szCs w:val="21"/>
          <w:shd w:val="clear" w:color="auto" w:fill="FFFFFF"/>
        </w:rPr>
      </w:pPr>
      <w:r>
        <w:rPr>
          <w:rStyle w:val="39"/>
          <w:rFonts w:ascii="Times New Roman" w:hAnsi="Times New Roman"/>
          <w:snapToGrid w:val="0"/>
          <w:color w:val="auto"/>
          <w:spacing w:val="15"/>
          <w:sz w:val="21"/>
          <w:szCs w:val="21"/>
          <w:shd w:val="clear" w:color="auto" w:fill="FFFFFF"/>
        </w:rPr>
        <w:t>五、保证担保责任的解除</w:t>
      </w:r>
    </w:p>
    <w:p w14:paraId="71C549AA">
      <w:pPr>
        <w:pStyle w:val="38"/>
        <w:pBdr>
          <w:top w:val="none" w:color="000000" w:sz="0" w:space="0"/>
          <w:left w:val="none" w:color="000000" w:sz="0" w:space="0"/>
          <w:bottom w:val="none" w:color="000000" w:sz="0" w:space="0"/>
          <w:right w:val="none" w:color="000000" w:sz="0" w:space="0"/>
        </w:pBdr>
        <w:spacing w:before="0" w:beforeAutospacing="0" w:after="0" w:afterAutospacing="0" w:line="360" w:lineRule="auto"/>
        <w:ind w:firstLine="480"/>
        <w:jc w:val="both"/>
        <w:rPr>
          <w:rFonts w:ascii="Times New Roman" w:hAnsi="Times New Roman"/>
          <w:snapToGrid w:val="0"/>
          <w:color w:val="auto"/>
          <w:spacing w:val="15"/>
          <w:sz w:val="21"/>
          <w:szCs w:val="21"/>
          <w:shd w:val="clear" w:color="auto" w:fill="FFFFFF"/>
        </w:rPr>
      </w:pPr>
      <w:r>
        <w:rPr>
          <w:rFonts w:ascii="Times New Roman" w:hAnsi="Times New Roman"/>
          <w:snapToGrid w:val="0"/>
          <w:color w:val="auto"/>
          <w:spacing w:val="15"/>
          <w:sz w:val="21"/>
          <w:szCs w:val="21"/>
          <w:shd w:val="clear" w:color="auto" w:fill="FFFFFF"/>
        </w:rPr>
        <w:t>1.保证期间届满贵方未向我方书面主张保证责任的，自保证期间届满次日起，我方解除保证责任。</w:t>
      </w:r>
    </w:p>
    <w:p w14:paraId="61A0E276">
      <w:pPr>
        <w:pStyle w:val="38"/>
        <w:pBdr>
          <w:top w:val="none" w:color="000000" w:sz="0" w:space="0"/>
          <w:left w:val="none" w:color="000000" w:sz="0" w:space="0"/>
          <w:bottom w:val="none" w:color="000000" w:sz="0" w:space="0"/>
          <w:right w:val="none" w:color="000000" w:sz="0" w:space="0"/>
        </w:pBdr>
        <w:spacing w:before="0" w:beforeAutospacing="0" w:after="0" w:afterAutospacing="0" w:line="360" w:lineRule="auto"/>
        <w:ind w:firstLine="480"/>
        <w:jc w:val="both"/>
        <w:rPr>
          <w:rFonts w:ascii="Times New Roman" w:hAnsi="Times New Roman"/>
          <w:snapToGrid w:val="0"/>
          <w:color w:val="auto"/>
          <w:spacing w:val="15"/>
          <w:sz w:val="21"/>
          <w:szCs w:val="21"/>
          <w:shd w:val="clear" w:color="auto" w:fill="FFFFFF"/>
        </w:rPr>
      </w:pPr>
      <w:r>
        <w:rPr>
          <w:rFonts w:ascii="Times New Roman" w:hAnsi="Times New Roman"/>
          <w:snapToGrid w:val="0"/>
          <w:color w:val="auto"/>
          <w:spacing w:val="15"/>
          <w:sz w:val="21"/>
          <w:szCs w:val="21"/>
          <w:shd w:val="clear" w:color="auto" w:fill="FFFFFF"/>
        </w:rPr>
        <w:t>2.我方按照本保证担保向贵方履行了保证担保责任后，自我方向贵方支付的金额达到最高保证担保金额之日起，保证担保责任解除。</w:t>
      </w:r>
    </w:p>
    <w:p w14:paraId="5CC3D333">
      <w:pPr>
        <w:pStyle w:val="38"/>
        <w:pBdr>
          <w:top w:val="none" w:color="000000" w:sz="0" w:space="0"/>
          <w:left w:val="none" w:color="000000" w:sz="0" w:space="0"/>
          <w:bottom w:val="none" w:color="000000" w:sz="0" w:space="0"/>
          <w:right w:val="none" w:color="000000" w:sz="0" w:space="0"/>
        </w:pBdr>
        <w:spacing w:before="0" w:beforeAutospacing="0" w:after="0" w:afterAutospacing="0" w:line="360" w:lineRule="auto"/>
        <w:ind w:firstLine="480"/>
        <w:jc w:val="both"/>
        <w:rPr>
          <w:rFonts w:ascii="Times New Roman" w:hAnsi="Times New Roman"/>
          <w:snapToGrid w:val="0"/>
          <w:color w:val="auto"/>
          <w:spacing w:val="15"/>
          <w:sz w:val="21"/>
          <w:szCs w:val="21"/>
          <w:shd w:val="clear" w:color="auto" w:fill="FFFFFF"/>
        </w:rPr>
      </w:pPr>
      <w:r>
        <w:rPr>
          <w:rFonts w:ascii="Times New Roman" w:hAnsi="Times New Roman"/>
          <w:snapToGrid w:val="0"/>
          <w:color w:val="auto"/>
          <w:spacing w:val="15"/>
          <w:sz w:val="21"/>
          <w:szCs w:val="21"/>
          <w:shd w:val="clear" w:color="auto" w:fill="FFFFFF"/>
        </w:rPr>
        <w:t>3.按照法律法规的规定应解除我方保证担保责任的其它情形的，我方在本保证担保项下的保证担保责任亦解除。</w:t>
      </w:r>
    </w:p>
    <w:p w14:paraId="77982998">
      <w:pPr>
        <w:pStyle w:val="38"/>
        <w:pBdr>
          <w:top w:val="none" w:color="000000" w:sz="0" w:space="0"/>
          <w:left w:val="none" w:color="000000" w:sz="0" w:space="0"/>
          <w:bottom w:val="none" w:color="000000" w:sz="0" w:space="0"/>
          <w:right w:val="none" w:color="000000" w:sz="0" w:space="0"/>
        </w:pBdr>
        <w:spacing w:before="0" w:beforeAutospacing="0" w:after="0" w:afterAutospacing="0" w:line="360" w:lineRule="auto"/>
        <w:ind w:firstLine="480"/>
        <w:jc w:val="both"/>
        <w:rPr>
          <w:rFonts w:ascii="Times New Roman" w:hAnsi="Times New Roman"/>
          <w:snapToGrid w:val="0"/>
          <w:color w:val="auto"/>
          <w:spacing w:val="15"/>
          <w:sz w:val="21"/>
          <w:szCs w:val="21"/>
          <w:shd w:val="clear" w:color="auto" w:fill="FFFFFF"/>
        </w:rPr>
      </w:pPr>
      <w:r>
        <w:rPr>
          <w:rFonts w:ascii="Times New Roman" w:hAnsi="Times New Roman"/>
          <w:snapToGrid w:val="0"/>
          <w:color w:val="auto"/>
          <w:spacing w:val="15"/>
          <w:sz w:val="21"/>
          <w:szCs w:val="21"/>
          <w:shd w:val="clear" w:color="auto" w:fill="FFFFFF"/>
        </w:rPr>
        <w:t>4.我方解除保证责任后，贵方应按上述约定，自我方保证担保责任解除之日起七日内，将本保证担保原件返还我方。但是不论贵方是否按此要求将本保证担保原件退回我方，我方在本保证担保项下的义务和责任均自保证担保责任解除之日自动消灭。</w:t>
      </w:r>
    </w:p>
    <w:p w14:paraId="64DCF9DE">
      <w:pPr>
        <w:pStyle w:val="38"/>
        <w:pBdr>
          <w:top w:val="none" w:color="000000" w:sz="0" w:space="0"/>
          <w:left w:val="none" w:color="000000" w:sz="0" w:space="0"/>
          <w:bottom w:val="none" w:color="000000" w:sz="0" w:space="0"/>
          <w:right w:val="none" w:color="000000" w:sz="0" w:space="0"/>
        </w:pBdr>
        <w:spacing w:before="0" w:beforeAutospacing="0" w:after="0" w:afterAutospacing="0" w:line="360" w:lineRule="auto"/>
        <w:ind w:firstLine="480"/>
        <w:jc w:val="both"/>
        <w:rPr>
          <w:rStyle w:val="39"/>
          <w:rFonts w:ascii="Times New Roman" w:hAnsi="Times New Roman"/>
          <w:snapToGrid w:val="0"/>
          <w:color w:val="auto"/>
          <w:spacing w:val="15"/>
          <w:sz w:val="21"/>
          <w:szCs w:val="21"/>
          <w:shd w:val="clear" w:color="auto" w:fill="FFFFFF"/>
        </w:rPr>
      </w:pPr>
      <w:r>
        <w:rPr>
          <w:rStyle w:val="39"/>
          <w:rFonts w:ascii="Times New Roman" w:hAnsi="Times New Roman"/>
          <w:snapToGrid w:val="0"/>
          <w:color w:val="auto"/>
          <w:spacing w:val="15"/>
          <w:sz w:val="21"/>
          <w:szCs w:val="21"/>
          <w:shd w:val="clear" w:color="auto" w:fill="FFFFFF"/>
        </w:rPr>
        <w:t>六、免责条款</w:t>
      </w:r>
    </w:p>
    <w:p w14:paraId="575ADD22">
      <w:pPr>
        <w:pStyle w:val="38"/>
        <w:pBdr>
          <w:top w:val="none" w:color="000000" w:sz="0" w:space="0"/>
          <w:left w:val="none" w:color="000000" w:sz="0" w:space="0"/>
          <w:bottom w:val="none" w:color="000000" w:sz="0" w:space="0"/>
          <w:right w:val="none" w:color="000000" w:sz="0" w:space="0"/>
        </w:pBdr>
        <w:spacing w:before="0" w:beforeAutospacing="0" w:after="0" w:afterAutospacing="0" w:line="360" w:lineRule="auto"/>
        <w:ind w:firstLine="480"/>
        <w:jc w:val="both"/>
        <w:rPr>
          <w:rFonts w:ascii="Times New Roman" w:hAnsi="Times New Roman"/>
          <w:snapToGrid w:val="0"/>
          <w:color w:val="auto"/>
          <w:spacing w:val="15"/>
          <w:sz w:val="21"/>
          <w:szCs w:val="21"/>
          <w:shd w:val="clear" w:color="auto" w:fill="FFFFFF"/>
        </w:rPr>
      </w:pPr>
      <w:r>
        <w:rPr>
          <w:rFonts w:ascii="Times New Roman" w:hAnsi="Times New Roman"/>
          <w:snapToGrid w:val="0"/>
          <w:color w:val="auto"/>
          <w:spacing w:val="15"/>
          <w:sz w:val="21"/>
          <w:szCs w:val="21"/>
          <w:shd w:val="clear" w:color="auto" w:fill="FFFFFF"/>
        </w:rPr>
        <w:t>1.因贵方原因致使承包人未按照主合同约定履行义务的，我方不承担保证担保责任。</w:t>
      </w:r>
    </w:p>
    <w:p w14:paraId="5FBCFD0F">
      <w:pPr>
        <w:pStyle w:val="38"/>
        <w:pBdr>
          <w:top w:val="none" w:color="000000" w:sz="0" w:space="0"/>
          <w:left w:val="none" w:color="000000" w:sz="0" w:space="0"/>
          <w:bottom w:val="none" w:color="000000" w:sz="0" w:space="0"/>
          <w:right w:val="none" w:color="000000" w:sz="0" w:space="0"/>
        </w:pBdr>
        <w:spacing w:before="0" w:beforeAutospacing="0" w:after="0" w:afterAutospacing="0" w:line="360" w:lineRule="auto"/>
        <w:ind w:firstLine="480"/>
        <w:jc w:val="both"/>
        <w:rPr>
          <w:rFonts w:ascii="Times New Roman" w:hAnsi="Times New Roman"/>
          <w:snapToGrid w:val="0"/>
          <w:color w:val="auto"/>
          <w:spacing w:val="15"/>
          <w:sz w:val="21"/>
          <w:szCs w:val="21"/>
          <w:shd w:val="clear" w:color="auto" w:fill="FFFFFF"/>
        </w:rPr>
      </w:pPr>
      <w:r>
        <w:rPr>
          <w:rFonts w:ascii="Times New Roman" w:hAnsi="Times New Roman"/>
          <w:snapToGrid w:val="0"/>
          <w:color w:val="auto"/>
          <w:spacing w:val="15"/>
          <w:sz w:val="21"/>
          <w:szCs w:val="21"/>
          <w:shd w:val="clear" w:color="auto" w:fill="FFFFFF"/>
        </w:rPr>
        <w:t>2.依照法律规定或贵方与发包人的另行约定，免除承包人部分或全部义务的，我方亦免除其相应的保证担保责任。</w:t>
      </w:r>
    </w:p>
    <w:p w14:paraId="7EC8637C">
      <w:pPr>
        <w:pStyle w:val="38"/>
        <w:pBdr>
          <w:top w:val="none" w:color="000000" w:sz="0" w:space="0"/>
          <w:left w:val="none" w:color="000000" w:sz="0" w:space="0"/>
          <w:bottom w:val="none" w:color="000000" w:sz="0" w:space="0"/>
          <w:right w:val="none" w:color="000000" w:sz="0" w:space="0"/>
        </w:pBdr>
        <w:spacing w:before="0" w:beforeAutospacing="0" w:after="0" w:afterAutospacing="0" w:line="360" w:lineRule="auto"/>
        <w:ind w:firstLine="480"/>
        <w:jc w:val="both"/>
        <w:rPr>
          <w:rFonts w:ascii="Times New Roman" w:hAnsi="Times New Roman"/>
          <w:snapToGrid w:val="0"/>
          <w:color w:val="auto"/>
          <w:spacing w:val="15"/>
          <w:sz w:val="21"/>
          <w:szCs w:val="21"/>
          <w:shd w:val="clear" w:color="auto" w:fill="FFFFFF"/>
        </w:rPr>
      </w:pPr>
      <w:r>
        <w:rPr>
          <w:rFonts w:ascii="Times New Roman" w:hAnsi="Times New Roman"/>
          <w:snapToGrid w:val="0"/>
          <w:color w:val="auto"/>
          <w:spacing w:val="15"/>
          <w:sz w:val="21"/>
          <w:szCs w:val="21"/>
          <w:shd w:val="clear" w:color="auto" w:fill="FFFFFF"/>
        </w:rPr>
        <w:t>3.因不可抗力造成承包人未按照主合同约定履行义务的，我方不承担保证担保责任。</w:t>
      </w:r>
    </w:p>
    <w:p w14:paraId="7785A429">
      <w:pPr>
        <w:pStyle w:val="38"/>
        <w:pBdr>
          <w:top w:val="none" w:color="000000" w:sz="0" w:space="0"/>
          <w:left w:val="none" w:color="000000" w:sz="0" w:space="0"/>
          <w:bottom w:val="none" w:color="000000" w:sz="0" w:space="0"/>
          <w:right w:val="none" w:color="000000" w:sz="0" w:space="0"/>
        </w:pBdr>
        <w:spacing w:before="0" w:beforeAutospacing="0" w:after="0" w:afterAutospacing="0" w:line="360" w:lineRule="auto"/>
        <w:ind w:firstLine="480"/>
        <w:jc w:val="both"/>
        <w:rPr>
          <w:rStyle w:val="39"/>
          <w:rFonts w:ascii="Times New Roman" w:hAnsi="Times New Roman"/>
          <w:snapToGrid w:val="0"/>
          <w:color w:val="auto"/>
          <w:spacing w:val="15"/>
          <w:sz w:val="21"/>
          <w:szCs w:val="21"/>
          <w:shd w:val="clear" w:color="auto" w:fill="FFFFFF"/>
        </w:rPr>
      </w:pPr>
      <w:r>
        <w:rPr>
          <w:rStyle w:val="39"/>
          <w:rFonts w:ascii="Times New Roman" w:hAnsi="Times New Roman"/>
          <w:snapToGrid w:val="0"/>
          <w:color w:val="auto"/>
          <w:spacing w:val="15"/>
          <w:sz w:val="21"/>
          <w:szCs w:val="21"/>
          <w:shd w:val="clear" w:color="auto" w:fill="FFFFFF"/>
        </w:rPr>
        <w:t>七、其他</w:t>
      </w:r>
    </w:p>
    <w:p w14:paraId="49B723F2">
      <w:pPr>
        <w:pStyle w:val="38"/>
        <w:pBdr>
          <w:top w:val="none" w:color="000000" w:sz="0" w:space="0"/>
          <w:left w:val="none" w:color="000000" w:sz="0" w:space="0"/>
          <w:bottom w:val="none" w:color="000000" w:sz="0" w:space="0"/>
          <w:right w:val="none" w:color="000000" w:sz="0" w:space="0"/>
        </w:pBdr>
        <w:spacing w:before="0" w:beforeAutospacing="0" w:after="0" w:afterAutospacing="0" w:line="360" w:lineRule="auto"/>
        <w:ind w:firstLine="480"/>
        <w:jc w:val="both"/>
        <w:rPr>
          <w:rFonts w:ascii="Times New Roman" w:hAnsi="Times New Roman"/>
          <w:snapToGrid w:val="0"/>
          <w:color w:val="auto"/>
          <w:spacing w:val="15"/>
          <w:sz w:val="21"/>
          <w:szCs w:val="21"/>
          <w:shd w:val="clear" w:color="auto" w:fill="FFFFFF"/>
        </w:rPr>
      </w:pPr>
      <w:r>
        <w:rPr>
          <w:rFonts w:ascii="Times New Roman" w:hAnsi="Times New Roman"/>
          <w:snapToGrid w:val="0"/>
          <w:color w:val="auto"/>
          <w:spacing w:val="15"/>
          <w:sz w:val="21"/>
          <w:szCs w:val="21"/>
          <w:shd w:val="clear" w:color="auto" w:fill="FFFFFF"/>
        </w:rPr>
        <w:t>1.本保证担保项下的权利不得转让，不得设定担保。贵方未经我方书面同意转让本保证担保或其项下任何权利，对我方不发生法律效力。</w:t>
      </w:r>
    </w:p>
    <w:p w14:paraId="69A7C827">
      <w:pPr>
        <w:pStyle w:val="38"/>
        <w:pBdr>
          <w:top w:val="none" w:color="000000" w:sz="0" w:space="0"/>
          <w:left w:val="none" w:color="000000" w:sz="0" w:space="0"/>
          <w:bottom w:val="none" w:color="000000" w:sz="0" w:space="0"/>
          <w:right w:val="none" w:color="000000" w:sz="0" w:space="0"/>
        </w:pBdr>
        <w:spacing w:before="0" w:beforeAutospacing="0" w:after="0" w:afterAutospacing="0" w:line="360" w:lineRule="auto"/>
        <w:ind w:firstLine="480"/>
        <w:jc w:val="both"/>
        <w:rPr>
          <w:rFonts w:ascii="Times New Roman" w:hAnsi="Times New Roman"/>
          <w:snapToGrid w:val="0"/>
          <w:color w:val="auto"/>
          <w:spacing w:val="15"/>
          <w:sz w:val="21"/>
          <w:szCs w:val="21"/>
          <w:shd w:val="clear" w:color="auto" w:fill="FFFFFF"/>
        </w:rPr>
      </w:pPr>
      <w:r>
        <w:rPr>
          <w:rFonts w:ascii="Times New Roman" w:hAnsi="Times New Roman"/>
          <w:snapToGrid w:val="0"/>
          <w:color w:val="auto"/>
          <w:spacing w:val="15"/>
          <w:sz w:val="21"/>
          <w:szCs w:val="21"/>
          <w:shd w:val="clear" w:color="auto" w:fill="FFFFFF"/>
        </w:rPr>
        <w:t>2.本保证担保适用的法律为中华人民共和国法律，争议裁判管辖地为中华人民共和国     。</w:t>
      </w:r>
    </w:p>
    <w:p w14:paraId="50192513">
      <w:pPr>
        <w:pStyle w:val="38"/>
        <w:pBdr>
          <w:top w:val="none" w:color="000000" w:sz="0" w:space="0"/>
          <w:left w:val="none" w:color="000000" w:sz="0" w:space="0"/>
          <w:bottom w:val="none" w:color="000000" w:sz="0" w:space="0"/>
          <w:right w:val="none" w:color="000000" w:sz="0" w:space="0"/>
        </w:pBdr>
        <w:spacing w:before="0" w:beforeAutospacing="0" w:after="0" w:afterAutospacing="0" w:line="360" w:lineRule="auto"/>
        <w:ind w:firstLine="480"/>
        <w:jc w:val="both"/>
        <w:rPr>
          <w:rFonts w:ascii="Times New Roman" w:hAnsi="Times New Roman"/>
          <w:snapToGrid w:val="0"/>
          <w:color w:val="auto"/>
          <w:spacing w:val="15"/>
          <w:sz w:val="21"/>
          <w:szCs w:val="21"/>
          <w:shd w:val="clear" w:color="auto" w:fill="FFFFFF"/>
        </w:rPr>
      </w:pPr>
      <w:r>
        <w:rPr>
          <w:rFonts w:ascii="Times New Roman" w:hAnsi="Times New Roman"/>
          <w:snapToGrid w:val="0"/>
          <w:color w:val="auto"/>
          <w:spacing w:val="15"/>
          <w:sz w:val="21"/>
          <w:szCs w:val="21"/>
          <w:shd w:val="clear" w:color="auto" w:fill="FFFFFF"/>
        </w:rPr>
        <w:t>3.本保证担保自我方法定代表人或授权代表签字并加盖公章之日起生效。</w:t>
      </w:r>
    </w:p>
    <w:p w14:paraId="459C4158">
      <w:pPr>
        <w:pStyle w:val="38"/>
        <w:pBdr>
          <w:top w:val="none" w:color="000000" w:sz="0" w:space="0"/>
          <w:left w:val="none" w:color="000000" w:sz="0" w:space="0"/>
          <w:bottom w:val="none" w:color="000000" w:sz="0" w:space="0"/>
          <w:right w:val="none" w:color="000000" w:sz="0" w:space="0"/>
        </w:pBdr>
        <w:spacing w:before="0" w:beforeAutospacing="0" w:after="0" w:afterAutospacing="0" w:line="360" w:lineRule="auto"/>
        <w:ind w:firstLine="480"/>
        <w:jc w:val="both"/>
        <w:rPr>
          <w:rFonts w:ascii="Times New Roman" w:hAnsi="Times New Roman"/>
          <w:snapToGrid w:val="0"/>
          <w:color w:val="auto"/>
          <w:sz w:val="21"/>
          <w:szCs w:val="21"/>
        </w:rPr>
      </w:pPr>
    </w:p>
    <w:p w14:paraId="5BD9034F">
      <w:pPr>
        <w:pStyle w:val="38"/>
        <w:pBdr>
          <w:top w:val="none" w:color="000000" w:sz="0" w:space="0"/>
          <w:left w:val="none" w:color="000000" w:sz="0" w:space="0"/>
          <w:bottom w:val="none" w:color="000000" w:sz="0" w:space="0"/>
          <w:right w:val="none" w:color="000000" w:sz="0" w:space="0"/>
        </w:pBdr>
        <w:spacing w:before="0" w:beforeAutospacing="0" w:after="0" w:afterAutospacing="0" w:line="360" w:lineRule="auto"/>
        <w:ind w:firstLine="480"/>
        <w:jc w:val="both"/>
        <w:rPr>
          <w:rFonts w:ascii="Times New Roman" w:hAnsi="Times New Roman"/>
          <w:snapToGrid w:val="0"/>
          <w:color w:val="auto"/>
          <w:spacing w:val="15"/>
          <w:sz w:val="21"/>
          <w:szCs w:val="21"/>
          <w:shd w:val="clear" w:color="auto" w:fill="FFFFFF"/>
        </w:rPr>
      </w:pPr>
      <w:r>
        <w:rPr>
          <w:rFonts w:ascii="Times New Roman" w:hAnsi="Times New Roman"/>
          <w:snapToGrid w:val="0"/>
          <w:color w:val="auto"/>
          <w:spacing w:val="15"/>
          <w:sz w:val="21"/>
          <w:szCs w:val="21"/>
          <w:shd w:val="clear" w:color="auto" w:fill="FFFFFF"/>
        </w:rPr>
        <w:t>保 证 人：                      （公章）</w:t>
      </w:r>
    </w:p>
    <w:p w14:paraId="1F9EB6F1">
      <w:pPr>
        <w:pStyle w:val="38"/>
        <w:pBdr>
          <w:top w:val="none" w:color="000000" w:sz="0" w:space="0"/>
          <w:left w:val="none" w:color="000000" w:sz="0" w:space="0"/>
          <w:bottom w:val="none" w:color="000000" w:sz="0" w:space="0"/>
          <w:right w:val="none" w:color="000000" w:sz="0" w:space="0"/>
        </w:pBdr>
        <w:spacing w:before="0" w:beforeAutospacing="0" w:after="0" w:afterAutospacing="0" w:line="360" w:lineRule="auto"/>
        <w:ind w:firstLine="480"/>
        <w:jc w:val="both"/>
        <w:rPr>
          <w:rFonts w:ascii="Times New Roman" w:hAnsi="Times New Roman"/>
          <w:snapToGrid w:val="0"/>
          <w:color w:val="auto"/>
          <w:spacing w:val="15"/>
          <w:sz w:val="21"/>
          <w:szCs w:val="21"/>
          <w:shd w:val="clear" w:color="auto" w:fill="FFFFFF"/>
        </w:rPr>
      </w:pPr>
      <w:r>
        <w:rPr>
          <w:rFonts w:ascii="Times New Roman" w:hAnsi="Times New Roman"/>
          <w:snapToGrid w:val="0"/>
          <w:color w:val="auto"/>
          <w:spacing w:val="15"/>
          <w:sz w:val="21"/>
          <w:szCs w:val="21"/>
          <w:shd w:val="clear" w:color="auto" w:fill="FFFFFF"/>
        </w:rPr>
        <w:t>法定代表人（或授权代表）：               （签字）</w:t>
      </w:r>
    </w:p>
    <w:p w14:paraId="7CD9601C">
      <w:pPr>
        <w:pStyle w:val="38"/>
        <w:pBdr>
          <w:top w:val="none" w:color="000000" w:sz="0" w:space="0"/>
          <w:left w:val="none" w:color="000000" w:sz="0" w:space="0"/>
          <w:bottom w:val="none" w:color="000000" w:sz="0" w:space="0"/>
          <w:right w:val="none" w:color="000000" w:sz="0" w:space="0"/>
        </w:pBdr>
        <w:spacing w:before="0" w:beforeAutospacing="0" w:after="0" w:afterAutospacing="0" w:line="360" w:lineRule="auto"/>
        <w:ind w:firstLine="480"/>
        <w:jc w:val="both"/>
        <w:rPr>
          <w:rFonts w:ascii="Times New Roman" w:hAnsi="Times New Roman"/>
          <w:snapToGrid w:val="0"/>
          <w:color w:val="auto"/>
          <w:spacing w:val="15"/>
          <w:sz w:val="21"/>
          <w:szCs w:val="21"/>
          <w:shd w:val="clear" w:color="auto" w:fill="FFFFFF"/>
        </w:rPr>
      </w:pPr>
      <w:r>
        <w:rPr>
          <w:rFonts w:ascii="Times New Roman" w:hAnsi="Times New Roman"/>
          <w:snapToGrid w:val="0"/>
          <w:color w:val="auto"/>
          <w:spacing w:val="15"/>
          <w:sz w:val="21"/>
          <w:szCs w:val="21"/>
          <w:shd w:val="clear" w:color="auto" w:fill="FFFFFF"/>
        </w:rPr>
        <w:t>地    址：                               邮政编码：                </w:t>
      </w:r>
    </w:p>
    <w:p w14:paraId="429299EE">
      <w:pPr>
        <w:pStyle w:val="38"/>
        <w:pBdr>
          <w:top w:val="none" w:color="000000" w:sz="0" w:space="0"/>
          <w:left w:val="none" w:color="000000" w:sz="0" w:space="0"/>
          <w:bottom w:val="none" w:color="000000" w:sz="0" w:space="0"/>
          <w:right w:val="none" w:color="000000" w:sz="0" w:space="0"/>
        </w:pBdr>
        <w:spacing w:before="0" w:beforeAutospacing="0" w:after="0" w:afterAutospacing="0" w:line="360" w:lineRule="auto"/>
        <w:ind w:firstLine="480"/>
        <w:jc w:val="both"/>
        <w:rPr>
          <w:rFonts w:ascii="Times New Roman" w:hAnsi="Times New Roman"/>
          <w:snapToGrid w:val="0"/>
          <w:color w:val="auto"/>
          <w:spacing w:val="15"/>
          <w:sz w:val="21"/>
          <w:szCs w:val="21"/>
          <w:shd w:val="clear" w:color="auto" w:fill="FFFFFF"/>
        </w:rPr>
      </w:pPr>
      <w:r>
        <w:rPr>
          <w:rFonts w:ascii="Times New Roman" w:hAnsi="Times New Roman"/>
          <w:snapToGrid w:val="0"/>
          <w:color w:val="auto"/>
          <w:spacing w:val="15"/>
          <w:sz w:val="21"/>
          <w:szCs w:val="21"/>
          <w:shd w:val="clear" w:color="auto" w:fill="FFFFFF"/>
        </w:rPr>
        <w:t>电    话：                </w:t>
      </w:r>
    </w:p>
    <w:p w14:paraId="3D2D6EDC">
      <w:pPr>
        <w:pStyle w:val="38"/>
        <w:pBdr>
          <w:top w:val="none" w:color="000000" w:sz="0" w:space="0"/>
          <w:left w:val="none" w:color="000000" w:sz="0" w:space="0"/>
          <w:bottom w:val="none" w:color="000000" w:sz="0" w:space="0"/>
          <w:right w:val="none" w:color="000000" w:sz="0" w:space="0"/>
        </w:pBdr>
        <w:spacing w:before="0" w:beforeAutospacing="0" w:after="0" w:afterAutospacing="0" w:line="360" w:lineRule="auto"/>
        <w:ind w:firstLine="480"/>
        <w:jc w:val="both"/>
        <w:rPr>
          <w:rFonts w:ascii="Times New Roman" w:hAnsi="Times New Roman"/>
          <w:snapToGrid w:val="0"/>
          <w:color w:val="auto"/>
          <w:spacing w:val="15"/>
          <w:sz w:val="21"/>
          <w:szCs w:val="21"/>
          <w:shd w:val="clear" w:color="auto" w:fill="FFFFFF"/>
        </w:rPr>
      </w:pPr>
      <w:r>
        <w:rPr>
          <w:rFonts w:ascii="Times New Roman" w:hAnsi="Times New Roman"/>
          <w:snapToGrid w:val="0"/>
          <w:color w:val="auto"/>
          <w:spacing w:val="15"/>
          <w:sz w:val="21"/>
          <w:szCs w:val="21"/>
          <w:shd w:val="clear" w:color="auto" w:fill="FFFFFF"/>
        </w:rPr>
        <w:t>传    真：                </w:t>
      </w:r>
    </w:p>
    <w:p w14:paraId="039EFF50">
      <w:pPr>
        <w:pStyle w:val="38"/>
        <w:pBdr>
          <w:top w:val="none" w:color="000000" w:sz="0" w:space="0"/>
          <w:left w:val="none" w:color="000000" w:sz="0" w:space="0"/>
          <w:bottom w:val="none" w:color="000000" w:sz="0" w:space="0"/>
          <w:right w:val="none" w:color="000000" w:sz="0" w:space="0"/>
        </w:pBdr>
        <w:spacing w:before="0" w:beforeAutospacing="0" w:after="0" w:afterAutospacing="0" w:line="360" w:lineRule="auto"/>
        <w:ind w:firstLine="480"/>
        <w:jc w:val="both"/>
        <w:rPr>
          <w:rFonts w:ascii="Times New Roman" w:hAnsi="Times New Roman"/>
          <w:snapToGrid w:val="0"/>
          <w:color w:val="auto"/>
          <w:spacing w:val="15"/>
          <w:sz w:val="21"/>
          <w:szCs w:val="21"/>
          <w:shd w:val="clear" w:color="auto" w:fill="FFFFFF"/>
        </w:rPr>
      </w:pPr>
      <w:r>
        <w:rPr>
          <w:rFonts w:ascii="Times New Roman" w:hAnsi="Times New Roman"/>
          <w:snapToGrid w:val="0"/>
          <w:color w:val="auto"/>
          <w:spacing w:val="15"/>
          <w:sz w:val="21"/>
          <w:szCs w:val="21"/>
          <w:shd w:val="clear" w:color="auto" w:fill="FFFFFF"/>
        </w:rPr>
        <w:t>时    间：      年      月        日</w:t>
      </w:r>
    </w:p>
    <w:p w14:paraId="0868D461">
      <w:pPr>
        <w:rPr>
          <w:rFonts w:hint="eastAsia" w:eastAsiaTheme="minorEastAsia"/>
          <w:lang w:eastAsia="zh-CN"/>
        </w:rPr>
      </w:pPr>
    </w:p>
    <w:p w14:paraId="14D04E55">
      <w:pPr>
        <w:rPr>
          <w:rFonts w:hint="eastAsia" w:ascii="Times New Roman" w:hAnsi="Times New Roman"/>
          <w:sz w:val="21"/>
          <w:szCs w:val="21"/>
        </w:rPr>
      </w:pPr>
      <w:r>
        <w:rPr>
          <w:rFonts w:hint="eastAsia" w:ascii="Times New Roman" w:hAnsi="Times New Roman"/>
          <w:sz w:val="21"/>
          <w:szCs w:val="21"/>
        </w:rPr>
        <w:br w:type="page"/>
      </w:r>
    </w:p>
    <w:p w14:paraId="7C41B907">
      <w:pPr>
        <w:spacing w:line="360" w:lineRule="auto"/>
        <w:ind w:firstLine="210"/>
        <w:rPr>
          <w:bCs/>
          <w:snapToGrid w:val="0"/>
          <w:spacing w:val="20"/>
          <w:kern w:val="0"/>
          <w:szCs w:val="21"/>
        </w:rPr>
      </w:pPr>
      <w:r>
        <w:rPr>
          <w:b/>
          <w:bCs/>
          <w:iCs/>
          <w:snapToGrid w:val="0"/>
          <w:spacing w:val="20"/>
          <w:kern w:val="0"/>
          <w:szCs w:val="21"/>
        </w:rPr>
        <w:t>附件</w:t>
      </w:r>
      <w:r>
        <w:rPr>
          <w:rFonts w:hint="eastAsia"/>
          <w:b/>
          <w:bCs/>
          <w:iCs/>
          <w:snapToGrid w:val="0"/>
          <w:spacing w:val="20"/>
          <w:kern w:val="0"/>
          <w:szCs w:val="21"/>
          <w:lang w:val="en-US" w:eastAsia="zh-CN"/>
        </w:rPr>
        <w:t>9</w:t>
      </w:r>
      <w:r>
        <w:rPr>
          <w:b/>
          <w:bCs/>
          <w:iCs/>
          <w:snapToGrid w:val="0"/>
          <w:spacing w:val="20"/>
          <w:kern w:val="0"/>
          <w:szCs w:val="21"/>
        </w:rPr>
        <w:t>：</w:t>
      </w:r>
    </w:p>
    <w:p w14:paraId="7591EBE4">
      <w:pPr>
        <w:pStyle w:val="38"/>
        <w:pBdr>
          <w:top w:val="none" w:color="000000" w:sz="0" w:space="0"/>
          <w:left w:val="none" w:color="000000" w:sz="0" w:space="0"/>
          <w:bottom w:val="none" w:color="000000" w:sz="0" w:space="0"/>
          <w:right w:val="none" w:color="000000" w:sz="0" w:space="0"/>
        </w:pBdr>
        <w:spacing w:before="0" w:beforeAutospacing="0" w:after="0" w:afterAutospacing="0" w:line="360" w:lineRule="auto"/>
        <w:jc w:val="center"/>
        <w:rPr>
          <w:rStyle w:val="39"/>
          <w:rFonts w:ascii="Times New Roman" w:hAnsi="Times New Roman"/>
          <w:snapToGrid w:val="0"/>
          <w:color w:val="auto"/>
          <w:spacing w:val="15"/>
          <w:sz w:val="21"/>
          <w:szCs w:val="21"/>
          <w:shd w:val="clear" w:color="auto" w:fill="FFFFFF"/>
        </w:rPr>
      </w:pPr>
      <w:r>
        <w:rPr>
          <w:rStyle w:val="39"/>
          <w:rFonts w:ascii="Times New Roman" w:hAnsi="Times New Roman"/>
          <w:snapToGrid w:val="0"/>
          <w:color w:val="auto"/>
          <w:spacing w:val="15"/>
          <w:sz w:val="21"/>
          <w:szCs w:val="21"/>
          <w:shd w:val="clear" w:color="auto" w:fill="FFFFFF"/>
        </w:rPr>
        <w:t>预付款保函</w:t>
      </w:r>
    </w:p>
    <w:p w14:paraId="11CC70A0">
      <w:pPr>
        <w:pStyle w:val="38"/>
        <w:pBdr>
          <w:top w:val="none" w:color="000000" w:sz="0" w:space="0"/>
          <w:left w:val="none" w:color="000000" w:sz="0" w:space="0"/>
          <w:bottom w:val="none" w:color="000000" w:sz="0" w:space="0"/>
          <w:right w:val="none" w:color="000000" w:sz="0" w:space="0"/>
        </w:pBdr>
        <w:spacing w:before="0" w:beforeAutospacing="0" w:after="0" w:afterAutospacing="0" w:line="360" w:lineRule="auto"/>
        <w:jc w:val="center"/>
        <w:rPr>
          <w:rStyle w:val="39"/>
          <w:rFonts w:ascii="Times New Roman" w:hAnsi="Times New Roman"/>
          <w:snapToGrid w:val="0"/>
          <w:color w:val="auto"/>
          <w:spacing w:val="15"/>
          <w:sz w:val="21"/>
          <w:szCs w:val="21"/>
          <w:shd w:val="clear" w:color="auto" w:fill="FFFFFF"/>
        </w:rPr>
      </w:pPr>
      <w:r>
        <w:rPr>
          <w:rStyle w:val="39"/>
          <w:rFonts w:ascii="Times New Roman" w:hAnsi="Times New Roman"/>
          <w:snapToGrid w:val="0"/>
          <w:color w:val="auto"/>
          <w:spacing w:val="15"/>
          <w:sz w:val="21"/>
          <w:szCs w:val="21"/>
          <w:shd w:val="clear" w:color="auto" w:fill="FFFFFF"/>
        </w:rPr>
        <w:t>（独立保函）</w:t>
      </w:r>
    </w:p>
    <w:p w14:paraId="45039D27">
      <w:pPr>
        <w:pStyle w:val="38"/>
        <w:pBdr>
          <w:top w:val="none" w:color="000000" w:sz="0" w:space="0"/>
          <w:left w:val="none" w:color="000000" w:sz="0" w:space="0"/>
          <w:bottom w:val="none" w:color="000000" w:sz="0" w:space="0"/>
          <w:right w:val="none" w:color="000000" w:sz="0" w:space="0"/>
        </w:pBdr>
        <w:spacing w:before="0" w:beforeAutospacing="0" w:after="0" w:afterAutospacing="0" w:line="360" w:lineRule="auto"/>
        <w:jc w:val="right"/>
        <w:rPr>
          <w:rFonts w:ascii="Times New Roman" w:hAnsi="Times New Roman"/>
          <w:snapToGrid w:val="0"/>
          <w:color w:val="auto"/>
          <w:spacing w:val="15"/>
          <w:sz w:val="21"/>
          <w:szCs w:val="21"/>
          <w:shd w:val="clear" w:color="auto" w:fill="FFFFFF"/>
        </w:rPr>
      </w:pPr>
      <w:r>
        <w:rPr>
          <w:rFonts w:ascii="Times New Roman" w:hAnsi="Times New Roman"/>
          <w:snapToGrid w:val="0"/>
          <w:color w:val="auto"/>
          <w:spacing w:val="15"/>
          <w:sz w:val="21"/>
          <w:szCs w:val="21"/>
          <w:shd w:val="clear" w:color="auto" w:fill="FFFFFF"/>
        </w:rPr>
        <w:t>编号：          </w:t>
      </w:r>
    </w:p>
    <w:p w14:paraId="03A35CBC">
      <w:pPr>
        <w:pStyle w:val="38"/>
        <w:pBdr>
          <w:top w:val="none" w:color="000000" w:sz="0" w:space="0"/>
          <w:left w:val="none" w:color="000000" w:sz="0" w:space="0"/>
          <w:bottom w:val="none" w:color="000000" w:sz="0" w:space="0"/>
          <w:right w:val="none" w:color="000000" w:sz="0" w:space="0"/>
        </w:pBdr>
        <w:spacing w:before="0" w:beforeAutospacing="0" w:after="0" w:afterAutospacing="0" w:line="360" w:lineRule="auto"/>
        <w:ind w:firstLine="480" w:firstLineChars="200"/>
        <w:jc w:val="both"/>
        <w:rPr>
          <w:rFonts w:ascii="Times New Roman" w:hAnsi="Times New Roman"/>
          <w:snapToGrid w:val="0"/>
          <w:color w:val="auto"/>
          <w:spacing w:val="15"/>
          <w:sz w:val="21"/>
          <w:szCs w:val="21"/>
          <w:shd w:val="clear" w:color="auto" w:fill="FFFFFF"/>
        </w:rPr>
      </w:pPr>
      <w:r>
        <w:rPr>
          <w:rFonts w:ascii="Times New Roman" w:hAnsi="Times New Roman"/>
          <w:snapToGrid w:val="0"/>
          <w:color w:val="auto"/>
          <w:spacing w:val="15"/>
          <w:sz w:val="21"/>
          <w:szCs w:val="21"/>
          <w:shd w:val="clear" w:color="auto" w:fill="FFFFFF"/>
        </w:rPr>
        <w:t>申请人：                      地址：</w:t>
      </w:r>
    </w:p>
    <w:p w14:paraId="0EAFF6D3">
      <w:pPr>
        <w:pStyle w:val="38"/>
        <w:pBdr>
          <w:top w:val="none" w:color="000000" w:sz="0" w:space="0"/>
          <w:left w:val="none" w:color="000000" w:sz="0" w:space="0"/>
          <w:bottom w:val="none" w:color="000000" w:sz="0" w:space="0"/>
          <w:right w:val="none" w:color="000000" w:sz="0" w:space="0"/>
        </w:pBdr>
        <w:spacing w:before="0" w:beforeAutospacing="0" w:after="0" w:afterAutospacing="0" w:line="360" w:lineRule="auto"/>
        <w:ind w:firstLine="480" w:firstLineChars="200"/>
        <w:jc w:val="both"/>
        <w:rPr>
          <w:rFonts w:ascii="Times New Roman" w:hAnsi="Times New Roman"/>
          <w:snapToGrid w:val="0"/>
          <w:color w:val="auto"/>
          <w:spacing w:val="15"/>
          <w:sz w:val="21"/>
          <w:szCs w:val="21"/>
          <w:shd w:val="clear" w:color="auto" w:fill="FFFFFF"/>
        </w:rPr>
      </w:pPr>
      <w:r>
        <w:rPr>
          <w:rFonts w:ascii="Times New Roman" w:hAnsi="Times New Roman"/>
          <w:snapToGrid w:val="0"/>
          <w:color w:val="auto"/>
          <w:spacing w:val="15"/>
          <w:sz w:val="21"/>
          <w:szCs w:val="21"/>
          <w:shd w:val="clear" w:color="auto" w:fill="FFFFFF"/>
        </w:rPr>
        <w:t>受益人：                      地址：</w:t>
      </w:r>
    </w:p>
    <w:p w14:paraId="7670B12A">
      <w:pPr>
        <w:pStyle w:val="38"/>
        <w:pBdr>
          <w:top w:val="none" w:color="000000" w:sz="0" w:space="0"/>
          <w:left w:val="none" w:color="000000" w:sz="0" w:space="0"/>
          <w:bottom w:val="none" w:color="000000" w:sz="0" w:space="0"/>
          <w:right w:val="none" w:color="000000" w:sz="0" w:space="0"/>
        </w:pBdr>
        <w:spacing w:before="0" w:beforeAutospacing="0" w:after="0" w:afterAutospacing="0" w:line="360" w:lineRule="auto"/>
        <w:ind w:firstLine="480" w:firstLineChars="200"/>
        <w:jc w:val="both"/>
        <w:rPr>
          <w:rFonts w:ascii="Times New Roman" w:hAnsi="Times New Roman"/>
          <w:snapToGrid w:val="0"/>
          <w:color w:val="auto"/>
          <w:spacing w:val="15"/>
          <w:sz w:val="21"/>
          <w:szCs w:val="21"/>
          <w:shd w:val="clear" w:color="auto" w:fill="FFFFFF"/>
        </w:rPr>
      </w:pPr>
      <w:r>
        <w:rPr>
          <w:rFonts w:ascii="Times New Roman" w:hAnsi="Times New Roman"/>
          <w:snapToGrid w:val="0"/>
          <w:color w:val="auto"/>
          <w:spacing w:val="15"/>
          <w:sz w:val="21"/>
          <w:szCs w:val="21"/>
          <w:shd w:val="clear" w:color="auto" w:fill="FFFFFF"/>
        </w:rPr>
        <w:t>开立人：                      地址：</w:t>
      </w:r>
    </w:p>
    <w:p w14:paraId="2BCB627A">
      <w:pPr>
        <w:pStyle w:val="38"/>
        <w:pBdr>
          <w:top w:val="none" w:color="000000" w:sz="0" w:space="0"/>
          <w:left w:val="none" w:color="000000" w:sz="0" w:space="0"/>
          <w:bottom w:val="none" w:color="000000" w:sz="0" w:space="0"/>
          <w:right w:val="none" w:color="000000" w:sz="0" w:space="0"/>
        </w:pBdr>
        <w:spacing w:before="0" w:beforeAutospacing="0" w:after="0" w:afterAutospacing="0" w:line="360" w:lineRule="auto"/>
        <w:ind w:firstLine="480" w:firstLineChars="200"/>
        <w:jc w:val="both"/>
        <w:rPr>
          <w:rFonts w:ascii="Times New Roman" w:hAnsi="Times New Roman"/>
          <w:snapToGrid w:val="0"/>
          <w:color w:val="auto"/>
          <w:spacing w:val="15"/>
          <w:sz w:val="21"/>
          <w:szCs w:val="21"/>
          <w:shd w:val="clear" w:color="auto" w:fill="FFFFFF"/>
        </w:rPr>
      </w:pPr>
      <w:r>
        <w:rPr>
          <w:rFonts w:ascii="Times New Roman" w:hAnsi="Times New Roman"/>
          <w:snapToGrid w:val="0"/>
          <w:color w:val="auto"/>
          <w:spacing w:val="15"/>
          <w:sz w:val="21"/>
          <w:szCs w:val="21"/>
          <w:shd w:val="clear" w:color="auto" w:fill="FFFFFF"/>
        </w:rPr>
        <w:t>受益人名称：</w:t>
      </w:r>
    </w:p>
    <w:p w14:paraId="5A31200A">
      <w:pPr>
        <w:pStyle w:val="38"/>
        <w:pBdr>
          <w:top w:val="none" w:color="000000" w:sz="0" w:space="0"/>
          <w:left w:val="none" w:color="000000" w:sz="0" w:space="0"/>
          <w:bottom w:val="none" w:color="000000" w:sz="0" w:space="0"/>
          <w:right w:val="none" w:color="000000" w:sz="0" w:space="0"/>
        </w:pBdr>
        <w:spacing w:before="0" w:beforeAutospacing="0" w:after="0" w:afterAutospacing="0" w:line="360" w:lineRule="auto"/>
        <w:ind w:firstLine="480"/>
        <w:jc w:val="both"/>
        <w:rPr>
          <w:rFonts w:ascii="Times New Roman" w:hAnsi="Times New Roman"/>
          <w:snapToGrid w:val="0"/>
          <w:color w:val="auto"/>
          <w:spacing w:val="15"/>
          <w:sz w:val="21"/>
          <w:szCs w:val="21"/>
          <w:shd w:val="clear" w:color="auto" w:fill="FFFFFF"/>
        </w:rPr>
      </w:pPr>
      <w:r>
        <w:rPr>
          <w:rFonts w:ascii="Times New Roman" w:hAnsi="Times New Roman"/>
          <w:snapToGrid w:val="0"/>
          <w:color w:val="auto"/>
          <w:spacing w:val="15"/>
          <w:sz w:val="21"/>
          <w:szCs w:val="21"/>
          <w:shd w:val="clear" w:color="auto" w:fill="FFFFFF"/>
        </w:rPr>
        <w:t>鉴于</w:t>
      </w:r>
      <w:r>
        <w:rPr>
          <w:rFonts w:ascii="Times New Roman" w:hAnsi="Times New Roman"/>
          <w:snapToGrid w:val="0"/>
          <w:color w:val="auto"/>
          <w:spacing w:val="15"/>
          <w:sz w:val="21"/>
          <w:szCs w:val="21"/>
          <w:u w:val="single"/>
          <w:shd w:val="clear" w:color="auto" w:fill="FFFFFF"/>
        </w:rPr>
        <w:t>     </w:t>
      </w:r>
      <w:r>
        <w:rPr>
          <w:rFonts w:ascii="Times New Roman" w:hAnsi="Times New Roman"/>
          <w:snapToGrid w:val="0"/>
          <w:color w:val="auto"/>
          <w:spacing w:val="15"/>
          <w:sz w:val="21"/>
          <w:szCs w:val="21"/>
          <w:shd w:val="clear" w:color="auto" w:fill="FFFFFF"/>
        </w:rPr>
        <w:t>（以下简称“受益人”）与</w:t>
      </w:r>
      <w:r>
        <w:rPr>
          <w:rFonts w:ascii="Times New Roman" w:hAnsi="Times New Roman"/>
          <w:snapToGrid w:val="0"/>
          <w:color w:val="auto"/>
          <w:spacing w:val="15"/>
          <w:sz w:val="21"/>
          <w:szCs w:val="21"/>
          <w:u w:val="single"/>
          <w:shd w:val="clear" w:color="auto" w:fill="FFFFFF"/>
        </w:rPr>
        <w:t>      </w:t>
      </w:r>
      <w:r>
        <w:rPr>
          <w:rFonts w:ascii="Times New Roman" w:hAnsi="Times New Roman"/>
          <w:snapToGrid w:val="0"/>
          <w:color w:val="auto"/>
          <w:spacing w:val="15"/>
          <w:sz w:val="21"/>
          <w:szCs w:val="21"/>
          <w:shd w:val="clear" w:color="auto" w:fill="FFFFFF"/>
        </w:rPr>
        <w:t>（以下简称“申请人”）于</w:t>
      </w:r>
      <w:r>
        <w:rPr>
          <w:rFonts w:ascii="Times New Roman" w:hAnsi="Times New Roman"/>
          <w:snapToGrid w:val="0"/>
          <w:color w:val="auto"/>
          <w:spacing w:val="15"/>
          <w:sz w:val="21"/>
          <w:szCs w:val="21"/>
          <w:u w:val="single"/>
          <w:shd w:val="clear" w:color="auto" w:fill="FFFFFF"/>
        </w:rPr>
        <w:t>   </w:t>
      </w:r>
      <w:r>
        <w:rPr>
          <w:rFonts w:ascii="Times New Roman" w:hAnsi="Times New Roman"/>
          <w:snapToGrid w:val="0"/>
          <w:color w:val="auto"/>
          <w:spacing w:val="15"/>
          <w:sz w:val="21"/>
          <w:szCs w:val="21"/>
          <w:shd w:val="clear" w:color="auto" w:fill="FFFFFF"/>
        </w:rPr>
        <w:t>年</w:t>
      </w:r>
      <w:r>
        <w:rPr>
          <w:rFonts w:ascii="Times New Roman" w:hAnsi="Times New Roman"/>
          <w:snapToGrid w:val="0"/>
          <w:color w:val="auto"/>
          <w:spacing w:val="15"/>
          <w:sz w:val="21"/>
          <w:szCs w:val="21"/>
          <w:u w:val="single"/>
          <w:shd w:val="clear" w:color="auto" w:fill="FFFFFF"/>
        </w:rPr>
        <w:t>   </w:t>
      </w:r>
      <w:r>
        <w:rPr>
          <w:rFonts w:ascii="Times New Roman" w:hAnsi="Times New Roman"/>
          <w:snapToGrid w:val="0"/>
          <w:color w:val="auto"/>
          <w:spacing w:val="15"/>
          <w:sz w:val="21"/>
          <w:szCs w:val="21"/>
          <w:shd w:val="clear" w:color="auto" w:fill="FFFFFF"/>
        </w:rPr>
        <w:t>月</w:t>
      </w:r>
      <w:r>
        <w:rPr>
          <w:rFonts w:ascii="Times New Roman" w:hAnsi="Times New Roman"/>
          <w:snapToGrid w:val="0"/>
          <w:color w:val="auto"/>
          <w:spacing w:val="15"/>
          <w:sz w:val="21"/>
          <w:szCs w:val="21"/>
          <w:u w:val="single"/>
          <w:shd w:val="clear" w:color="auto" w:fill="FFFFFF"/>
        </w:rPr>
        <w:t>  </w:t>
      </w:r>
      <w:r>
        <w:rPr>
          <w:rFonts w:ascii="Times New Roman" w:hAnsi="Times New Roman"/>
          <w:snapToGrid w:val="0"/>
          <w:color w:val="auto"/>
          <w:spacing w:val="15"/>
          <w:sz w:val="21"/>
          <w:szCs w:val="21"/>
          <w:shd w:val="clear" w:color="auto" w:fill="FFFFFF"/>
        </w:rPr>
        <w:t>日就</w:t>
      </w:r>
      <w:r>
        <w:rPr>
          <w:rFonts w:ascii="Times New Roman" w:hAnsi="Times New Roman"/>
          <w:snapToGrid w:val="0"/>
          <w:color w:val="auto"/>
          <w:spacing w:val="15"/>
          <w:sz w:val="21"/>
          <w:szCs w:val="21"/>
          <w:u w:val="single"/>
          <w:shd w:val="clear" w:color="auto" w:fill="FFFFFF"/>
        </w:rPr>
        <w:t>           </w:t>
      </w:r>
      <w:r>
        <w:rPr>
          <w:rFonts w:ascii="Times New Roman" w:hAnsi="Times New Roman"/>
          <w:snapToGrid w:val="0"/>
          <w:color w:val="auto"/>
          <w:spacing w:val="15"/>
          <w:sz w:val="21"/>
          <w:szCs w:val="21"/>
          <w:shd w:val="clear" w:color="auto" w:fill="FFFFFF"/>
        </w:rPr>
        <w:t>工程（以下简称“本工程”）施工和有关事项协商一致共同签订《</w:t>
      </w:r>
      <w:r>
        <w:rPr>
          <w:rFonts w:ascii="Times New Roman" w:hAnsi="Times New Roman"/>
          <w:snapToGrid w:val="0"/>
          <w:color w:val="auto"/>
          <w:spacing w:val="15"/>
          <w:sz w:val="21"/>
          <w:szCs w:val="21"/>
          <w:u w:val="single"/>
          <w:shd w:val="clear" w:color="auto" w:fill="FFFFFF"/>
        </w:rPr>
        <w:t xml:space="preserve">        </w:t>
      </w:r>
      <w:r>
        <w:rPr>
          <w:rFonts w:ascii="Times New Roman" w:hAnsi="Times New Roman"/>
          <w:snapToGrid w:val="0"/>
          <w:color w:val="auto"/>
          <w:spacing w:val="15"/>
          <w:sz w:val="21"/>
          <w:szCs w:val="21"/>
          <w:shd w:val="clear" w:color="auto" w:fill="FFFFFF"/>
        </w:rPr>
        <w:t>》（以下简称“基础合同”），我方（即“开立人”）根据主合同了解到申请人为主合同项下之承包人，受益人为主合同项下之发包人，基于申请人的请求，我方同意就申请人按照合同约定正确和合理地为合同目的使用预付款，向贵方提供不可撤销、不可转让的见索即付独立保函（以下简称“本保函”）。</w:t>
      </w:r>
    </w:p>
    <w:p w14:paraId="00CA610A">
      <w:pPr>
        <w:pStyle w:val="38"/>
        <w:pBdr>
          <w:top w:val="none" w:color="000000" w:sz="0" w:space="0"/>
          <w:left w:val="none" w:color="000000" w:sz="0" w:space="0"/>
          <w:bottom w:val="none" w:color="000000" w:sz="0" w:space="0"/>
          <w:right w:val="none" w:color="000000" w:sz="0" w:space="0"/>
        </w:pBdr>
        <w:spacing w:before="0" w:beforeAutospacing="0" w:after="0" w:afterAutospacing="0" w:line="360" w:lineRule="auto"/>
        <w:ind w:firstLine="480"/>
        <w:jc w:val="both"/>
        <w:rPr>
          <w:rFonts w:ascii="Times New Roman" w:hAnsi="Times New Roman"/>
          <w:snapToGrid w:val="0"/>
          <w:color w:val="auto"/>
          <w:spacing w:val="15"/>
          <w:sz w:val="21"/>
          <w:szCs w:val="21"/>
          <w:shd w:val="clear" w:color="auto" w:fill="FFFFFF"/>
        </w:rPr>
      </w:pPr>
      <w:r>
        <w:rPr>
          <w:rFonts w:ascii="Times New Roman" w:hAnsi="Times New Roman"/>
          <w:snapToGrid w:val="0"/>
          <w:color w:val="auto"/>
          <w:spacing w:val="15"/>
          <w:sz w:val="21"/>
          <w:szCs w:val="21"/>
          <w:shd w:val="clear" w:color="auto" w:fill="FFFFFF"/>
        </w:rPr>
        <w:t>一、本保函担保范围：申请人未按照合同约定正确和合理地为合同目的使用预付款，应当向贵方承担的违约责任和赔偿因此造成的损失、利息、律师费、诉讼费用等实现债权的费用。</w:t>
      </w:r>
    </w:p>
    <w:p w14:paraId="172346C6">
      <w:pPr>
        <w:pStyle w:val="38"/>
        <w:pBdr>
          <w:top w:val="none" w:color="000000" w:sz="0" w:space="0"/>
          <w:left w:val="none" w:color="000000" w:sz="0" w:space="0"/>
          <w:bottom w:val="none" w:color="000000" w:sz="0" w:space="0"/>
          <w:right w:val="none" w:color="000000" w:sz="0" w:space="0"/>
        </w:pBdr>
        <w:spacing w:before="0" w:beforeAutospacing="0" w:after="0" w:afterAutospacing="0" w:line="360" w:lineRule="auto"/>
        <w:ind w:firstLine="480"/>
        <w:jc w:val="both"/>
        <w:rPr>
          <w:rFonts w:ascii="Times New Roman" w:hAnsi="Times New Roman"/>
          <w:snapToGrid w:val="0"/>
          <w:color w:val="auto"/>
          <w:spacing w:val="15"/>
          <w:sz w:val="21"/>
          <w:szCs w:val="21"/>
          <w:shd w:val="clear" w:color="auto" w:fill="FFFFFF"/>
        </w:rPr>
      </w:pPr>
      <w:r>
        <w:rPr>
          <w:rFonts w:ascii="Times New Roman" w:hAnsi="Times New Roman"/>
          <w:snapToGrid w:val="0"/>
          <w:color w:val="auto"/>
          <w:spacing w:val="15"/>
          <w:sz w:val="21"/>
          <w:szCs w:val="21"/>
          <w:shd w:val="clear" w:color="auto" w:fill="FFFFFF"/>
        </w:rPr>
        <w:t>二、本保函担保金额最高不超过人民币（大写）</w:t>
      </w:r>
      <w:r>
        <w:rPr>
          <w:rFonts w:ascii="Times New Roman" w:hAnsi="Times New Roman"/>
          <w:snapToGrid w:val="0"/>
          <w:color w:val="auto"/>
          <w:spacing w:val="15"/>
          <w:sz w:val="21"/>
          <w:szCs w:val="21"/>
          <w:u w:val="single"/>
          <w:shd w:val="clear" w:color="auto" w:fill="FFFFFF"/>
        </w:rPr>
        <w:t>          </w:t>
      </w:r>
      <w:r>
        <w:rPr>
          <w:rFonts w:ascii="Times New Roman" w:hAnsi="Times New Roman"/>
          <w:snapToGrid w:val="0"/>
          <w:color w:val="auto"/>
          <w:spacing w:val="15"/>
          <w:sz w:val="21"/>
          <w:szCs w:val="21"/>
          <w:shd w:val="clear" w:color="auto" w:fill="FFFFFF"/>
        </w:rPr>
        <w:t>元（¥</w:t>
      </w:r>
      <w:r>
        <w:rPr>
          <w:rFonts w:ascii="Times New Roman" w:hAnsi="Times New Roman"/>
          <w:snapToGrid w:val="0"/>
          <w:color w:val="auto"/>
          <w:spacing w:val="15"/>
          <w:sz w:val="21"/>
          <w:szCs w:val="21"/>
          <w:u w:val="single"/>
          <w:shd w:val="clear" w:color="auto" w:fill="FFFFFF"/>
        </w:rPr>
        <w:t>      </w:t>
      </w:r>
      <w:r>
        <w:rPr>
          <w:rFonts w:ascii="Times New Roman" w:hAnsi="Times New Roman"/>
          <w:snapToGrid w:val="0"/>
          <w:color w:val="auto"/>
          <w:spacing w:val="15"/>
          <w:sz w:val="21"/>
          <w:szCs w:val="21"/>
          <w:shd w:val="clear" w:color="auto" w:fill="FFFFFF"/>
        </w:rPr>
        <w:t>元）。</w:t>
      </w:r>
    </w:p>
    <w:p w14:paraId="3490DE71">
      <w:pPr>
        <w:pStyle w:val="38"/>
        <w:pBdr>
          <w:top w:val="none" w:color="000000" w:sz="0" w:space="0"/>
          <w:left w:val="none" w:color="000000" w:sz="0" w:space="0"/>
          <w:bottom w:val="none" w:color="000000" w:sz="0" w:space="0"/>
          <w:right w:val="none" w:color="000000" w:sz="0" w:space="0"/>
        </w:pBdr>
        <w:spacing w:before="0" w:beforeAutospacing="0" w:after="0" w:afterAutospacing="0" w:line="360" w:lineRule="auto"/>
        <w:ind w:firstLine="480"/>
        <w:jc w:val="both"/>
        <w:rPr>
          <w:rFonts w:ascii="Times New Roman" w:hAnsi="Times New Roman"/>
          <w:snapToGrid w:val="0"/>
          <w:color w:val="auto"/>
          <w:spacing w:val="15"/>
          <w:sz w:val="21"/>
          <w:szCs w:val="21"/>
          <w:shd w:val="clear" w:color="auto" w:fill="FFFFFF"/>
        </w:rPr>
      </w:pPr>
      <w:r>
        <w:rPr>
          <w:rFonts w:ascii="Times New Roman" w:hAnsi="Times New Roman"/>
          <w:snapToGrid w:val="0"/>
          <w:color w:val="auto"/>
          <w:spacing w:val="15"/>
          <w:sz w:val="21"/>
          <w:szCs w:val="21"/>
          <w:shd w:val="clear" w:color="auto" w:fill="FFFFFF"/>
        </w:rPr>
        <w:t>三、本保函有效期自开立之日起至发包人全额扣回预付款后   日止，最迟不超过于</w:t>
      </w:r>
      <w:r>
        <w:rPr>
          <w:rFonts w:ascii="Times New Roman" w:hAnsi="Times New Roman"/>
          <w:snapToGrid w:val="0"/>
          <w:color w:val="auto"/>
          <w:spacing w:val="15"/>
          <w:sz w:val="21"/>
          <w:szCs w:val="21"/>
          <w:u w:val="single"/>
          <w:shd w:val="clear" w:color="auto" w:fill="FFFFFF"/>
        </w:rPr>
        <w:t>   </w:t>
      </w:r>
      <w:r>
        <w:rPr>
          <w:rFonts w:ascii="Times New Roman" w:hAnsi="Times New Roman"/>
          <w:snapToGrid w:val="0"/>
          <w:color w:val="auto"/>
          <w:spacing w:val="15"/>
          <w:sz w:val="21"/>
          <w:szCs w:val="21"/>
          <w:shd w:val="clear" w:color="auto" w:fill="FFFFFF"/>
        </w:rPr>
        <w:t>年</w:t>
      </w:r>
      <w:r>
        <w:rPr>
          <w:rFonts w:ascii="Times New Roman" w:hAnsi="Times New Roman"/>
          <w:snapToGrid w:val="0"/>
          <w:color w:val="auto"/>
          <w:spacing w:val="15"/>
          <w:sz w:val="21"/>
          <w:szCs w:val="21"/>
          <w:u w:val="single"/>
          <w:shd w:val="clear" w:color="auto" w:fill="FFFFFF"/>
        </w:rPr>
        <w:t>   </w:t>
      </w:r>
      <w:r>
        <w:rPr>
          <w:rFonts w:ascii="Times New Roman" w:hAnsi="Times New Roman"/>
          <w:snapToGrid w:val="0"/>
          <w:color w:val="auto"/>
          <w:spacing w:val="15"/>
          <w:sz w:val="21"/>
          <w:szCs w:val="21"/>
          <w:shd w:val="clear" w:color="auto" w:fill="FFFFFF"/>
        </w:rPr>
        <w:t>月</w:t>
      </w:r>
      <w:r>
        <w:rPr>
          <w:rFonts w:ascii="Times New Roman" w:hAnsi="Times New Roman"/>
          <w:snapToGrid w:val="0"/>
          <w:color w:val="auto"/>
          <w:spacing w:val="15"/>
          <w:sz w:val="21"/>
          <w:szCs w:val="21"/>
          <w:u w:val="single"/>
          <w:shd w:val="clear" w:color="auto" w:fill="FFFFFF"/>
        </w:rPr>
        <w:t>  </w:t>
      </w:r>
      <w:r>
        <w:rPr>
          <w:rFonts w:ascii="Times New Roman" w:hAnsi="Times New Roman"/>
          <w:snapToGrid w:val="0"/>
          <w:color w:val="auto"/>
          <w:spacing w:val="15"/>
          <w:sz w:val="21"/>
          <w:szCs w:val="21"/>
          <w:shd w:val="clear" w:color="auto" w:fill="FFFFFF"/>
        </w:rPr>
        <w:t>日。</w:t>
      </w:r>
    </w:p>
    <w:p w14:paraId="63DE130F">
      <w:pPr>
        <w:pStyle w:val="38"/>
        <w:pBdr>
          <w:top w:val="none" w:color="000000" w:sz="0" w:space="0"/>
          <w:left w:val="none" w:color="000000" w:sz="0" w:space="0"/>
          <w:bottom w:val="none" w:color="000000" w:sz="0" w:space="0"/>
          <w:right w:val="none" w:color="000000" w:sz="0" w:space="0"/>
        </w:pBdr>
        <w:spacing w:before="0" w:beforeAutospacing="0" w:after="0" w:afterAutospacing="0" w:line="360" w:lineRule="auto"/>
        <w:ind w:firstLine="480"/>
        <w:jc w:val="both"/>
        <w:rPr>
          <w:rFonts w:ascii="Times New Roman" w:hAnsi="Times New Roman"/>
          <w:snapToGrid w:val="0"/>
          <w:color w:val="auto"/>
          <w:spacing w:val="15"/>
          <w:sz w:val="21"/>
          <w:szCs w:val="21"/>
          <w:shd w:val="clear" w:color="auto" w:fill="FFFFFF"/>
        </w:rPr>
      </w:pPr>
      <w:r>
        <w:rPr>
          <w:rFonts w:ascii="Times New Roman" w:hAnsi="Times New Roman"/>
          <w:snapToGrid w:val="0"/>
          <w:color w:val="auto"/>
          <w:spacing w:val="15"/>
          <w:sz w:val="21"/>
          <w:szCs w:val="21"/>
          <w:shd w:val="clear" w:color="auto" w:fill="FFFFFF"/>
        </w:rPr>
        <w:t>四、我方承诺，在收到受益人发来的书面付款通知后的</w:t>
      </w:r>
      <w:r>
        <w:rPr>
          <w:rFonts w:ascii="Times New Roman" w:hAnsi="Times New Roman"/>
          <w:snapToGrid w:val="0"/>
          <w:color w:val="auto"/>
          <w:spacing w:val="15"/>
          <w:sz w:val="21"/>
          <w:szCs w:val="21"/>
          <w:u w:val="single"/>
          <w:shd w:val="clear" w:color="auto" w:fill="FFFFFF"/>
        </w:rPr>
        <w:t> </w:t>
      </w:r>
      <w:r>
        <w:rPr>
          <w:rFonts w:ascii="Times New Roman" w:hAnsi="Times New Roman"/>
          <w:snapToGrid w:val="0"/>
          <w:color w:val="auto"/>
          <w:spacing w:val="15"/>
          <w:sz w:val="21"/>
          <w:szCs w:val="21"/>
          <w:shd w:val="clear" w:color="auto" w:fill="FFFFFF"/>
        </w:rPr>
        <w:t>日内无条件支付，前述书面付款通知即为付款要求之单据，且应满足以下要求：</w:t>
      </w:r>
    </w:p>
    <w:p w14:paraId="3E60BF4B">
      <w:pPr>
        <w:pStyle w:val="38"/>
        <w:pBdr>
          <w:top w:val="none" w:color="000000" w:sz="0" w:space="0"/>
          <w:left w:val="none" w:color="000000" w:sz="0" w:space="0"/>
          <w:bottom w:val="none" w:color="000000" w:sz="0" w:space="0"/>
          <w:right w:val="none" w:color="000000" w:sz="0" w:space="0"/>
        </w:pBdr>
        <w:spacing w:before="0" w:beforeAutospacing="0" w:after="0" w:afterAutospacing="0" w:line="360" w:lineRule="auto"/>
        <w:ind w:firstLine="480"/>
        <w:jc w:val="both"/>
        <w:rPr>
          <w:rFonts w:ascii="Times New Roman" w:hAnsi="Times New Roman"/>
          <w:snapToGrid w:val="0"/>
          <w:color w:val="auto"/>
          <w:spacing w:val="15"/>
          <w:sz w:val="21"/>
          <w:szCs w:val="21"/>
          <w:shd w:val="clear" w:color="auto" w:fill="FFFFFF"/>
        </w:rPr>
      </w:pPr>
      <w:r>
        <w:rPr>
          <w:rFonts w:ascii="Times New Roman" w:hAnsi="Times New Roman"/>
          <w:snapToGrid w:val="0"/>
          <w:color w:val="auto"/>
          <w:spacing w:val="15"/>
          <w:sz w:val="21"/>
          <w:szCs w:val="21"/>
          <w:shd w:val="clear" w:color="auto" w:fill="FFFFFF"/>
        </w:rPr>
        <w:t>（1）付款通知到达的日期在本保函的有效期内；</w:t>
      </w:r>
    </w:p>
    <w:p w14:paraId="4D46898A">
      <w:pPr>
        <w:pStyle w:val="38"/>
        <w:pBdr>
          <w:top w:val="none" w:color="000000" w:sz="0" w:space="0"/>
          <w:left w:val="none" w:color="000000" w:sz="0" w:space="0"/>
          <w:bottom w:val="none" w:color="000000" w:sz="0" w:space="0"/>
          <w:right w:val="none" w:color="000000" w:sz="0" w:space="0"/>
        </w:pBdr>
        <w:spacing w:before="0" w:beforeAutospacing="0" w:after="0" w:afterAutospacing="0" w:line="360" w:lineRule="auto"/>
        <w:ind w:firstLine="480"/>
        <w:jc w:val="both"/>
        <w:rPr>
          <w:rFonts w:ascii="Times New Roman" w:hAnsi="Times New Roman"/>
          <w:snapToGrid w:val="0"/>
          <w:color w:val="auto"/>
          <w:spacing w:val="15"/>
          <w:sz w:val="21"/>
          <w:szCs w:val="21"/>
          <w:shd w:val="clear" w:color="auto" w:fill="FFFFFF"/>
        </w:rPr>
      </w:pPr>
      <w:r>
        <w:rPr>
          <w:rFonts w:ascii="Times New Roman" w:hAnsi="Times New Roman"/>
          <w:snapToGrid w:val="0"/>
          <w:color w:val="auto"/>
          <w:spacing w:val="15"/>
          <w:sz w:val="21"/>
          <w:szCs w:val="21"/>
          <w:shd w:val="clear" w:color="auto" w:fill="FFFFFF"/>
        </w:rPr>
        <w:t>（2）载明要求支付的金额；</w:t>
      </w:r>
    </w:p>
    <w:p w14:paraId="3C0AD426">
      <w:pPr>
        <w:pStyle w:val="38"/>
        <w:pBdr>
          <w:top w:val="none" w:color="000000" w:sz="0" w:space="0"/>
          <w:left w:val="none" w:color="000000" w:sz="0" w:space="0"/>
          <w:bottom w:val="none" w:color="000000" w:sz="0" w:space="0"/>
          <w:right w:val="none" w:color="000000" w:sz="0" w:space="0"/>
        </w:pBdr>
        <w:spacing w:before="0" w:beforeAutospacing="0" w:after="0" w:afterAutospacing="0" w:line="360" w:lineRule="auto"/>
        <w:ind w:firstLine="480"/>
        <w:jc w:val="both"/>
        <w:rPr>
          <w:rFonts w:ascii="Times New Roman" w:hAnsi="Times New Roman"/>
          <w:snapToGrid w:val="0"/>
          <w:color w:val="auto"/>
          <w:spacing w:val="15"/>
          <w:sz w:val="21"/>
          <w:szCs w:val="21"/>
          <w:shd w:val="clear" w:color="auto" w:fill="FFFFFF"/>
        </w:rPr>
      </w:pPr>
      <w:r>
        <w:rPr>
          <w:rFonts w:ascii="Times New Roman" w:hAnsi="Times New Roman"/>
          <w:snapToGrid w:val="0"/>
          <w:color w:val="auto"/>
          <w:spacing w:val="15"/>
          <w:sz w:val="21"/>
          <w:szCs w:val="21"/>
          <w:shd w:val="clear" w:color="auto" w:fill="FFFFFF"/>
        </w:rPr>
        <w:t>（3）载明申请人违反合同义务的条款和内容；</w:t>
      </w:r>
    </w:p>
    <w:p w14:paraId="5B7026D2">
      <w:pPr>
        <w:pStyle w:val="38"/>
        <w:pBdr>
          <w:top w:val="none" w:color="000000" w:sz="0" w:space="0"/>
          <w:left w:val="none" w:color="000000" w:sz="0" w:space="0"/>
          <w:bottom w:val="none" w:color="000000" w:sz="0" w:space="0"/>
          <w:right w:val="none" w:color="000000" w:sz="0" w:space="0"/>
        </w:pBdr>
        <w:spacing w:before="0" w:beforeAutospacing="0" w:after="0" w:afterAutospacing="0" w:line="360" w:lineRule="auto"/>
        <w:ind w:firstLine="480"/>
        <w:jc w:val="both"/>
        <w:rPr>
          <w:rFonts w:ascii="Times New Roman" w:hAnsi="Times New Roman"/>
          <w:snapToGrid w:val="0"/>
          <w:color w:val="auto"/>
          <w:spacing w:val="15"/>
          <w:sz w:val="21"/>
          <w:szCs w:val="21"/>
          <w:shd w:val="clear" w:color="auto" w:fill="FFFFFF"/>
        </w:rPr>
      </w:pPr>
      <w:r>
        <w:rPr>
          <w:rFonts w:ascii="Times New Roman" w:hAnsi="Times New Roman"/>
          <w:snapToGrid w:val="0"/>
          <w:color w:val="auto"/>
          <w:spacing w:val="15"/>
          <w:sz w:val="21"/>
          <w:szCs w:val="21"/>
          <w:shd w:val="clear" w:color="auto" w:fill="FFFFFF"/>
        </w:rPr>
        <w:t>（4）声明不存在合同文件约定或我国法律规定免除申请人或开立人支付责任的情形；</w:t>
      </w:r>
    </w:p>
    <w:p w14:paraId="5462C180">
      <w:pPr>
        <w:pStyle w:val="38"/>
        <w:pBdr>
          <w:top w:val="none" w:color="000000" w:sz="0" w:space="0"/>
          <w:left w:val="none" w:color="000000" w:sz="0" w:space="0"/>
          <w:bottom w:val="none" w:color="000000" w:sz="0" w:space="0"/>
          <w:right w:val="none" w:color="000000" w:sz="0" w:space="0"/>
        </w:pBdr>
        <w:spacing w:before="0" w:beforeAutospacing="0" w:after="0" w:afterAutospacing="0" w:line="360" w:lineRule="auto"/>
        <w:ind w:firstLine="480"/>
        <w:jc w:val="both"/>
        <w:rPr>
          <w:rFonts w:ascii="Times New Roman" w:hAnsi="Times New Roman"/>
          <w:snapToGrid w:val="0"/>
          <w:color w:val="auto"/>
          <w:spacing w:val="15"/>
          <w:sz w:val="21"/>
          <w:szCs w:val="21"/>
          <w:shd w:val="clear" w:color="auto" w:fill="FFFFFF"/>
        </w:rPr>
      </w:pPr>
      <w:r>
        <w:rPr>
          <w:rFonts w:ascii="Times New Roman" w:hAnsi="Times New Roman"/>
          <w:snapToGrid w:val="0"/>
          <w:color w:val="auto"/>
          <w:spacing w:val="15"/>
          <w:sz w:val="21"/>
          <w:szCs w:val="21"/>
          <w:shd w:val="clear" w:color="auto" w:fill="FFFFFF"/>
        </w:rPr>
        <w:t>（5）付款通知应在本保函有效期内到达的地址是：</w:t>
      </w:r>
      <w:r>
        <w:rPr>
          <w:rFonts w:ascii="Times New Roman" w:hAnsi="Times New Roman"/>
          <w:snapToGrid w:val="0"/>
          <w:color w:val="auto"/>
          <w:spacing w:val="15"/>
          <w:sz w:val="21"/>
          <w:szCs w:val="21"/>
          <w:u w:val="single"/>
          <w:shd w:val="clear" w:color="auto" w:fill="FFFFFF"/>
        </w:rPr>
        <w:t>             </w:t>
      </w:r>
      <w:r>
        <w:rPr>
          <w:rFonts w:ascii="Times New Roman" w:hAnsi="Times New Roman"/>
          <w:snapToGrid w:val="0"/>
          <w:color w:val="auto"/>
          <w:spacing w:val="15"/>
          <w:sz w:val="21"/>
          <w:szCs w:val="21"/>
          <w:shd w:val="clear" w:color="auto" w:fill="FFFFFF"/>
        </w:rPr>
        <w:t>。</w:t>
      </w:r>
    </w:p>
    <w:p w14:paraId="7199C9C1">
      <w:pPr>
        <w:pStyle w:val="38"/>
        <w:pBdr>
          <w:top w:val="none" w:color="000000" w:sz="0" w:space="0"/>
          <w:left w:val="none" w:color="000000" w:sz="0" w:space="0"/>
          <w:bottom w:val="none" w:color="000000" w:sz="0" w:space="0"/>
          <w:right w:val="none" w:color="000000" w:sz="0" w:space="0"/>
        </w:pBdr>
        <w:spacing w:before="0" w:beforeAutospacing="0" w:after="0" w:afterAutospacing="0" w:line="360" w:lineRule="auto"/>
        <w:ind w:firstLine="480"/>
        <w:jc w:val="both"/>
        <w:rPr>
          <w:rFonts w:ascii="Times New Roman" w:hAnsi="Times New Roman"/>
          <w:snapToGrid w:val="0"/>
          <w:color w:val="auto"/>
          <w:spacing w:val="15"/>
          <w:sz w:val="21"/>
          <w:szCs w:val="21"/>
          <w:shd w:val="clear" w:color="auto" w:fill="FFFFFF"/>
        </w:rPr>
      </w:pPr>
      <w:r>
        <w:rPr>
          <w:rFonts w:ascii="Times New Roman" w:hAnsi="Times New Roman"/>
          <w:snapToGrid w:val="0"/>
          <w:color w:val="auto"/>
          <w:spacing w:val="15"/>
          <w:sz w:val="21"/>
          <w:szCs w:val="21"/>
          <w:shd w:val="clear" w:color="auto" w:fill="FFFFFF"/>
        </w:rPr>
        <w:t>受益人发出的书面付款通知应由其为鉴明受益人法定代表人（负责人）或授权代理人签字并加盖公章。</w:t>
      </w:r>
    </w:p>
    <w:p w14:paraId="15FBD33A">
      <w:pPr>
        <w:pStyle w:val="38"/>
        <w:pBdr>
          <w:top w:val="none" w:color="000000" w:sz="0" w:space="0"/>
          <w:left w:val="none" w:color="000000" w:sz="0" w:space="0"/>
          <w:bottom w:val="none" w:color="000000" w:sz="0" w:space="0"/>
          <w:right w:val="none" w:color="000000" w:sz="0" w:space="0"/>
        </w:pBdr>
        <w:spacing w:before="0" w:beforeAutospacing="0" w:after="0" w:afterAutospacing="0" w:line="360" w:lineRule="auto"/>
        <w:ind w:firstLine="480"/>
        <w:jc w:val="both"/>
        <w:rPr>
          <w:rFonts w:ascii="Times New Roman" w:hAnsi="Times New Roman"/>
          <w:snapToGrid w:val="0"/>
          <w:color w:val="auto"/>
          <w:spacing w:val="15"/>
          <w:sz w:val="21"/>
          <w:szCs w:val="21"/>
          <w:shd w:val="clear" w:color="auto" w:fill="FFFFFF"/>
        </w:rPr>
      </w:pPr>
      <w:r>
        <w:rPr>
          <w:rFonts w:ascii="Times New Roman" w:hAnsi="Times New Roman"/>
          <w:snapToGrid w:val="0"/>
          <w:color w:val="auto"/>
          <w:spacing w:val="15"/>
          <w:sz w:val="21"/>
          <w:szCs w:val="21"/>
          <w:shd w:val="clear" w:color="auto" w:fill="FFFFFF"/>
        </w:rPr>
        <w:t>五、本保函项下的权利不得转让，不得设定担保。贵方未经我方书面同意转 让本保函或其项下任何权利，对我方不发生法律效力。</w:t>
      </w:r>
    </w:p>
    <w:p w14:paraId="029170AB">
      <w:pPr>
        <w:pStyle w:val="38"/>
        <w:pBdr>
          <w:top w:val="none" w:color="000000" w:sz="0" w:space="0"/>
          <w:left w:val="none" w:color="000000" w:sz="0" w:space="0"/>
          <w:bottom w:val="none" w:color="000000" w:sz="0" w:space="0"/>
          <w:right w:val="none" w:color="000000" w:sz="0" w:space="0"/>
        </w:pBdr>
        <w:spacing w:before="0" w:beforeAutospacing="0" w:after="0" w:afterAutospacing="0" w:line="360" w:lineRule="auto"/>
        <w:ind w:firstLine="480"/>
        <w:jc w:val="both"/>
        <w:rPr>
          <w:rFonts w:ascii="Times New Roman" w:hAnsi="Times New Roman"/>
          <w:snapToGrid w:val="0"/>
          <w:color w:val="auto"/>
          <w:spacing w:val="15"/>
          <w:sz w:val="21"/>
          <w:szCs w:val="21"/>
          <w:shd w:val="clear" w:color="auto" w:fill="FFFFFF"/>
        </w:rPr>
      </w:pPr>
      <w:r>
        <w:rPr>
          <w:rFonts w:ascii="Times New Roman" w:hAnsi="Times New Roman"/>
          <w:snapToGrid w:val="0"/>
          <w:color w:val="auto"/>
          <w:spacing w:val="15"/>
          <w:sz w:val="21"/>
          <w:szCs w:val="21"/>
          <w:shd w:val="clear" w:color="auto" w:fill="FFFFFF"/>
        </w:rPr>
        <w:t>六、与本保函有关的基础合同不成立、不生效、无效、被撤销、被解除，不影响本保函的独立有效。</w:t>
      </w:r>
    </w:p>
    <w:p w14:paraId="6296BA9F">
      <w:pPr>
        <w:pStyle w:val="38"/>
        <w:pBdr>
          <w:top w:val="none" w:color="000000" w:sz="0" w:space="0"/>
          <w:left w:val="none" w:color="000000" w:sz="0" w:space="0"/>
          <w:bottom w:val="none" w:color="000000" w:sz="0" w:space="0"/>
          <w:right w:val="none" w:color="000000" w:sz="0" w:space="0"/>
        </w:pBdr>
        <w:spacing w:before="0" w:beforeAutospacing="0" w:after="0" w:afterAutospacing="0" w:line="360" w:lineRule="auto"/>
        <w:ind w:firstLine="480"/>
        <w:jc w:val="both"/>
        <w:rPr>
          <w:rFonts w:ascii="Times New Roman" w:hAnsi="Times New Roman"/>
          <w:snapToGrid w:val="0"/>
          <w:color w:val="auto"/>
          <w:spacing w:val="15"/>
          <w:sz w:val="21"/>
          <w:szCs w:val="21"/>
          <w:shd w:val="clear" w:color="auto" w:fill="FFFFFF"/>
        </w:rPr>
      </w:pPr>
      <w:r>
        <w:rPr>
          <w:rFonts w:ascii="Times New Roman" w:hAnsi="Times New Roman"/>
          <w:snapToGrid w:val="0"/>
          <w:color w:val="auto"/>
          <w:spacing w:val="15"/>
          <w:sz w:val="21"/>
          <w:szCs w:val="21"/>
          <w:shd w:val="clear" w:color="auto" w:fill="FFFFFF"/>
        </w:rPr>
        <w:t>七、贵方应在本保函到期后的七日内将本保函正本退回我方注销，但是不论贵方是否按此要求将本保函正本退回我方，我方在本保函项下的义务和责任均在保函有效期到期后自动消灭。</w:t>
      </w:r>
    </w:p>
    <w:p w14:paraId="0B65B3F4">
      <w:pPr>
        <w:pStyle w:val="38"/>
        <w:pBdr>
          <w:top w:val="none" w:color="000000" w:sz="0" w:space="0"/>
          <w:left w:val="none" w:color="000000" w:sz="0" w:space="0"/>
          <w:bottom w:val="none" w:color="000000" w:sz="0" w:space="0"/>
          <w:right w:val="none" w:color="000000" w:sz="0" w:space="0"/>
        </w:pBdr>
        <w:spacing w:before="0" w:beforeAutospacing="0" w:after="0" w:afterAutospacing="0" w:line="360" w:lineRule="auto"/>
        <w:ind w:firstLine="480"/>
        <w:jc w:val="both"/>
        <w:rPr>
          <w:rFonts w:ascii="Times New Roman" w:hAnsi="Times New Roman"/>
          <w:snapToGrid w:val="0"/>
          <w:color w:val="auto"/>
          <w:spacing w:val="15"/>
          <w:sz w:val="21"/>
          <w:szCs w:val="21"/>
          <w:shd w:val="clear" w:color="auto" w:fill="FFFFFF"/>
        </w:rPr>
      </w:pPr>
      <w:r>
        <w:rPr>
          <w:rFonts w:ascii="Times New Roman" w:hAnsi="Times New Roman"/>
          <w:snapToGrid w:val="0"/>
          <w:color w:val="auto"/>
          <w:spacing w:val="15"/>
          <w:sz w:val="21"/>
          <w:szCs w:val="21"/>
          <w:shd w:val="clear" w:color="auto" w:fill="FFFFFF"/>
        </w:rPr>
        <w:t>八、本保函适用的法律为中华人民共和国法律，争议裁判管辖地为中华人民共和国     。</w:t>
      </w:r>
    </w:p>
    <w:p w14:paraId="34E909C8">
      <w:pPr>
        <w:pStyle w:val="38"/>
        <w:pBdr>
          <w:top w:val="none" w:color="000000" w:sz="0" w:space="0"/>
          <w:left w:val="none" w:color="000000" w:sz="0" w:space="0"/>
          <w:bottom w:val="none" w:color="000000" w:sz="0" w:space="0"/>
          <w:right w:val="none" w:color="000000" w:sz="0" w:space="0"/>
        </w:pBdr>
        <w:spacing w:before="0" w:beforeAutospacing="0" w:after="0" w:afterAutospacing="0" w:line="360" w:lineRule="auto"/>
        <w:ind w:firstLine="480"/>
        <w:jc w:val="both"/>
        <w:rPr>
          <w:rFonts w:ascii="Times New Roman" w:hAnsi="Times New Roman"/>
          <w:snapToGrid w:val="0"/>
          <w:color w:val="auto"/>
          <w:spacing w:val="15"/>
          <w:sz w:val="21"/>
          <w:szCs w:val="21"/>
          <w:shd w:val="clear" w:color="auto" w:fill="FFFFFF"/>
        </w:rPr>
      </w:pPr>
      <w:r>
        <w:rPr>
          <w:rFonts w:ascii="Times New Roman" w:hAnsi="Times New Roman"/>
          <w:snapToGrid w:val="0"/>
          <w:color w:val="auto"/>
          <w:spacing w:val="15"/>
          <w:sz w:val="21"/>
          <w:szCs w:val="21"/>
          <w:shd w:val="clear" w:color="auto" w:fill="FFFFFF"/>
        </w:rPr>
        <w:t>九、本保函自我方法定代表人或授权代表签字并加盖公章之日起生效。</w:t>
      </w:r>
    </w:p>
    <w:p w14:paraId="5BFAF482">
      <w:pPr>
        <w:pStyle w:val="38"/>
        <w:pBdr>
          <w:top w:val="none" w:color="000000" w:sz="0" w:space="0"/>
          <w:left w:val="none" w:color="000000" w:sz="0" w:space="0"/>
          <w:bottom w:val="none" w:color="000000" w:sz="0" w:space="0"/>
          <w:right w:val="none" w:color="000000" w:sz="0" w:space="0"/>
        </w:pBdr>
        <w:spacing w:before="0" w:beforeAutospacing="0" w:after="0" w:afterAutospacing="0" w:line="360" w:lineRule="auto"/>
        <w:ind w:firstLine="480"/>
        <w:jc w:val="both"/>
        <w:rPr>
          <w:rFonts w:ascii="Times New Roman" w:hAnsi="Times New Roman"/>
          <w:snapToGrid w:val="0"/>
          <w:color w:val="auto"/>
          <w:spacing w:val="15"/>
          <w:sz w:val="21"/>
          <w:szCs w:val="21"/>
          <w:shd w:val="clear" w:color="auto" w:fill="FFFFFF"/>
        </w:rPr>
      </w:pPr>
      <w:r>
        <w:rPr>
          <w:rFonts w:ascii="Times New Roman" w:hAnsi="Times New Roman"/>
          <w:snapToGrid w:val="0"/>
          <w:color w:val="auto"/>
          <w:spacing w:val="15"/>
          <w:sz w:val="21"/>
          <w:szCs w:val="21"/>
          <w:shd w:val="clear" w:color="auto" w:fill="FFFFFF"/>
        </w:rPr>
        <w:t>开 立 人：                    （公章）</w:t>
      </w:r>
    </w:p>
    <w:p w14:paraId="40B24E5F">
      <w:pPr>
        <w:pStyle w:val="38"/>
        <w:pBdr>
          <w:top w:val="none" w:color="000000" w:sz="0" w:space="0"/>
          <w:left w:val="none" w:color="000000" w:sz="0" w:space="0"/>
          <w:bottom w:val="none" w:color="000000" w:sz="0" w:space="0"/>
          <w:right w:val="none" w:color="000000" w:sz="0" w:space="0"/>
        </w:pBdr>
        <w:spacing w:before="0" w:beforeAutospacing="0" w:after="0" w:afterAutospacing="0" w:line="360" w:lineRule="auto"/>
        <w:ind w:firstLine="480"/>
        <w:jc w:val="both"/>
        <w:rPr>
          <w:rFonts w:ascii="Times New Roman" w:hAnsi="Times New Roman"/>
          <w:snapToGrid w:val="0"/>
          <w:color w:val="auto"/>
          <w:spacing w:val="15"/>
          <w:sz w:val="21"/>
          <w:szCs w:val="21"/>
          <w:shd w:val="clear" w:color="auto" w:fill="FFFFFF"/>
        </w:rPr>
      </w:pPr>
      <w:r>
        <w:rPr>
          <w:rFonts w:ascii="Times New Roman" w:hAnsi="Times New Roman"/>
          <w:snapToGrid w:val="0"/>
          <w:color w:val="auto"/>
          <w:spacing w:val="15"/>
          <w:sz w:val="21"/>
          <w:szCs w:val="21"/>
          <w:shd w:val="clear" w:color="auto" w:fill="FFFFFF"/>
        </w:rPr>
        <w:t>法定代表人（或授权代表）：           （签字）</w:t>
      </w:r>
    </w:p>
    <w:p w14:paraId="4A3A5652">
      <w:pPr>
        <w:pStyle w:val="38"/>
        <w:pBdr>
          <w:top w:val="none" w:color="000000" w:sz="0" w:space="0"/>
          <w:left w:val="none" w:color="000000" w:sz="0" w:space="0"/>
          <w:bottom w:val="none" w:color="000000" w:sz="0" w:space="0"/>
          <w:right w:val="none" w:color="000000" w:sz="0" w:space="0"/>
        </w:pBdr>
        <w:spacing w:before="0" w:beforeAutospacing="0" w:after="0" w:afterAutospacing="0" w:line="360" w:lineRule="auto"/>
        <w:ind w:firstLine="480"/>
        <w:jc w:val="both"/>
        <w:rPr>
          <w:rFonts w:ascii="Times New Roman" w:hAnsi="Times New Roman"/>
          <w:snapToGrid w:val="0"/>
          <w:color w:val="auto"/>
          <w:spacing w:val="15"/>
          <w:sz w:val="21"/>
          <w:szCs w:val="21"/>
          <w:shd w:val="clear" w:color="auto" w:fill="FFFFFF"/>
        </w:rPr>
      </w:pPr>
      <w:r>
        <w:rPr>
          <w:rFonts w:ascii="Times New Roman" w:hAnsi="Times New Roman"/>
          <w:snapToGrid w:val="0"/>
          <w:color w:val="auto"/>
          <w:spacing w:val="15"/>
          <w:sz w:val="21"/>
          <w:szCs w:val="21"/>
          <w:shd w:val="clear" w:color="auto" w:fill="FFFFFF"/>
        </w:rPr>
        <w:t>地    址：                               邮政编码：                </w:t>
      </w:r>
    </w:p>
    <w:p w14:paraId="14DF8836">
      <w:pPr>
        <w:pStyle w:val="38"/>
        <w:pBdr>
          <w:top w:val="none" w:color="000000" w:sz="0" w:space="0"/>
          <w:left w:val="none" w:color="000000" w:sz="0" w:space="0"/>
          <w:bottom w:val="none" w:color="000000" w:sz="0" w:space="0"/>
          <w:right w:val="none" w:color="000000" w:sz="0" w:space="0"/>
        </w:pBdr>
        <w:spacing w:before="0" w:beforeAutospacing="0" w:after="0" w:afterAutospacing="0" w:line="360" w:lineRule="auto"/>
        <w:ind w:firstLine="480"/>
        <w:jc w:val="both"/>
        <w:rPr>
          <w:rFonts w:ascii="Times New Roman" w:hAnsi="Times New Roman"/>
          <w:snapToGrid w:val="0"/>
          <w:color w:val="auto"/>
          <w:spacing w:val="15"/>
          <w:sz w:val="21"/>
          <w:szCs w:val="21"/>
          <w:shd w:val="clear" w:color="auto" w:fill="FFFFFF"/>
        </w:rPr>
      </w:pPr>
      <w:r>
        <w:rPr>
          <w:rFonts w:ascii="Times New Roman" w:hAnsi="Times New Roman"/>
          <w:snapToGrid w:val="0"/>
          <w:color w:val="auto"/>
          <w:spacing w:val="15"/>
          <w:sz w:val="21"/>
          <w:szCs w:val="21"/>
          <w:shd w:val="clear" w:color="auto" w:fill="FFFFFF"/>
        </w:rPr>
        <w:t>电    话：                </w:t>
      </w:r>
    </w:p>
    <w:p w14:paraId="54FFDF4B">
      <w:pPr>
        <w:pStyle w:val="38"/>
        <w:pBdr>
          <w:top w:val="none" w:color="000000" w:sz="0" w:space="0"/>
          <w:left w:val="none" w:color="000000" w:sz="0" w:space="0"/>
          <w:bottom w:val="none" w:color="000000" w:sz="0" w:space="0"/>
          <w:right w:val="none" w:color="000000" w:sz="0" w:space="0"/>
        </w:pBdr>
        <w:spacing w:before="0" w:beforeAutospacing="0" w:after="0" w:afterAutospacing="0" w:line="360" w:lineRule="auto"/>
        <w:ind w:firstLine="480"/>
        <w:jc w:val="both"/>
        <w:rPr>
          <w:rFonts w:ascii="Times New Roman" w:hAnsi="Times New Roman"/>
          <w:snapToGrid w:val="0"/>
          <w:color w:val="auto"/>
          <w:spacing w:val="15"/>
          <w:sz w:val="21"/>
          <w:szCs w:val="21"/>
          <w:shd w:val="clear" w:color="auto" w:fill="FFFFFF"/>
        </w:rPr>
      </w:pPr>
      <w:r>
        <w:rPr>
          <w:rFonts w:ascii="Times New Roman" w:hAnsi="Times New Roman"/>
          <w:snapToGrid w:val="0"/>
          <w:color w:val="auto"/>
          <w:spacing w:val="15"/>
          <w:sz w:val="21"/>
          <w:szCs w:val="21"/>
          <w:shd w:val="clear" w:color="auto" w:fill="FFFFFF"/>
        </w:rPr>
        <w:t>传    真：                </w:t>
      </w:r>
    </w:p>
    <w:p w14:paraId="44B67FD8">
      <w:pPr>
        <w:pStyle w:val="38"/>
        <w:pBdr>
          <w:top w:val="none" w:color="000000" w:sz="0" w:space="0"/>
          <w:left w:val="none" w:color="000000" w:sz="0" w:space="0"/>
          <w:bottom w:val="none" w:color="000000" w:sz="0" w:space="0"/>
          <w:right w:val="none" w:color="000000" w:sz="0" w:space="0"/>
        </w:pBdr>
        <w:spacing w:before="0" w:beforeAutospacing="0" w:after="0" w:afterAutospacing="0" w:line="360" w:lineRule="auto"/>
        <w:jc w:val="both"/>
        <w:rPr>
          <w:rFonts w:ascii="Times New Roman" w:hAnsi="Times New Roman"/>
          <w:snapToGrid w:val="0"/>
          <w:color w:val="auto"/>
          <w:spacing w:val="15"/>
          <w:sz w:val="21"/>
          <w:szCs w:val="21"/>
          <w:shd w:val="clear" w:color="auto" w:fill="FFFFFF"/>
        </w:rPr>
      </w:pPr>
      <w:r>
        <w:rPr>
          <w:rFonts w:ascii="Times New Roman" w:hAnsi="Times New Roman"/>
          <w:snapToGrid w:val="0"/>
          <w:color w:val="auto"/>
          <w:spacing w:val="15"/>
          <w:sz w:val="21"/>
          <w:szCs w:val="21"/>
          <w:shd w:val="clear" w:color="auto" w:fill="FFFFFF"/>
        </w:rPr>
        <w:t>  开立时间：      年      月        日</w:t>
      </w:r>
    </w:p>
    <w:p w14:paraId="0C41E845">
      <w:pPr>
        <w:pStyle w:val="38"/>
        <w:pBdr>
          <w:top w:val="none" w:color="000000" w:sz="0" w:space="0"/>
          <w:left w:val="none" w:color="000000" w:sz="0" w:space="0"/>
          <w:bottom w:val="none" w:color="000000" w:sz="0" w:space="0"/>
          <w:right w:val="none" w:color="000000" w:sz="0" w:space="0"/>
        </w:pBdr>
        <w:spacing w:before="0" w:beforeAutospacing="0" w:after="0" w:afterAutospacing="0" w:line="360" w:lineRule="auto"/>
        <w:jc w:val="center"/>
        <w:rPr>
          <w:rFonts w:ascii="Times New Roman" w:hAnsi="Times New Roman"/>
          <w:snapToGrid w:val="0"/>
          <w:color w:val="auto"/>
          <w:sz w:val="21"/>
          <w:szCs w:val="21"/>
        </w:rPr>
      </w:pPr>
    </w:p>
    <w:p w14:paraId="748059D4">
      <w:pPr>
        <w:pStyle w:val="38"/>
        <w:pBdr>
          <w:top w:val="none" w:color="000000" w:sz="0" w:space="0"/>
          <w:left w:val="none" w:color="000000" w:sz="0" w:space="0"/>
          <w:bottom w:val="none" w:color="000000" w:sz="0" w:space="0"/>
          <w:right w:val="none" w:color="000000" w:sz="0" w:space="0"/>
        </w:pBdr>
        <w:spacing w:before="0" w:beforeAutospacing="0" w:after="0" w:afterAutospacing="0" w:line="360" w:lineRule="auto"/>
        <w:jc w:val="both"/>
        <w:rPr>
          <w:rFonts w:ascii="Times New Roman" w:hAnsi="Times New Roman"/>
          <w:snapToGrid w:val="0"/>
          <w:color w:val="auto"/>
          <w:spacing w:val="15"/>
          <w:sz w:val="21"/>
          <w:szCs w:val="21"/>
          <w:shd w:val="clear" w:color="auto" w:fill="FFFFFF"/>
        </w:rPr>
      </w:pPr>
    </w:p>
    <w:p w14:paraId="5E47308A">
      <w:pPr>
        <w:pStyle w:val="38"/>
        <w:pBdr>
          <w:top w:val="none" w:color="000000" w:sz="0" w:space="0"/>
          <w:left w:val="none" w:color="000000" w:sz="0" w:space="0"/>
          <w:bottom w:val="none" w:color="000000" w:sz="0" w:space="0"/>
          <w:right w:val="none" w:color="000000" w:sz="0" w:space="0"/>
        </w:pBdr>
        <w:spacing w:before="0" w:beforeAutospacing="0" w:after="0" w:afterAutospacing="0" w:line="360" w:lineRule="auto"/>
        <w:jc w:val="both"/>
        <w:rPr>
          <w:rFonts w:ascii="Times New Roman" w:hAnsi="Times New Roman"/>
          <w:snapToGrid w:val="0"/>
          <w:color w:val="auto"/>
          <w:spacing w:val="15"/>
          <w:sz w:val="21"/>
          <w:szCs w:val="21"/>
          <w:shd w:val="clear" w:color="auto" w:fill="FFFFFF"/>
        </w:rPr>
      </w:pPr>
    </w:p>
    <w:p w14:paraId="7B57FF25">
      <w:pPr>
        <w:pStyle w:val="38"/>
        <w:pBdr>
          <w:top w:val="none" w:color="000000" w:sz="0" w:space="0"/>
          <w:left w:val="none" w:color="000000" w:sz="0" w:space="0"/>
          <w:bottom w:val="none" w:color="000000" w:sz="0" w:space="0"/>
          <w:right w:val="none" w:color="000000" w:sz="0" w:space="0"/>
        </w:pBdr>
        <w:spacing w:before="0" w:beforeAutospacing="0" w:after="0" w:afterAutospacing="0" w:line="360" w:lineRule="auto"/>
        <w:jc w:val="both"/>
        <w:rPr>
          <w:rFonts w:ascii="Times New Roman" w:hAnsi="Times New Roman"/>
          <w:snapToGrid w:val="0"/>
          <w:color w:val="auto"/>
          <w:spacing w:val="15"/>
          <w:sz w:val="21"/>
          <w:szCs w:val="21"/>
          <w:shd w:val="clear" w:color="auto" w:fill="FFFFFF"/>
        </w:rPr>
      </w:pPr>
    </w:p>
    <w:p w14:paraId="7ABEA854">
      <w:pPr>
        <w:pStyle w:val="38"/>
        <w:pBdr>
          <w:top w:val="none" w:color="000000" w:sz="0" w:space="0"/>
          <w:left w:val="none" w:color="000000" w:sz="0" w:space="0"/>
          <w:bottom w:val="none" w:color="000000" w:sz="0" w:space="0"/>
          <w:right w:val="none" w:color="000000" w:sz="0" w:space="0"/>
        </w:pBdr>
        <w:spacing w:before="0" w:beforeAutospacing="0" w:after="0" w:afterAutospacing="0" w:line="360" w:lineRule="auto"/>
        <w:jc w:val="both"/>
        <w:rPr>
          <w:rFonts w:ascii="Times New Roman" w:hAnsi="Times New Roman"/>
          <w:snapToGrid w:val="0"/>
          <w:color w:val="auto"/>
          <w:spacing w:val="15"/>
          <w:sz w:val="21"/>
          <w:szCs w:val="21"/>
          <w:shd w:val="clear" w:color="auto" w:fill="FFFFFF"/>
        </w:rPr>
      </w:pPr>
    </w:p>
    <w:p w14:paraId="2CA89F3C">
      <w:pPr>
        <w:pStyle w:val="38"/>
        <w:pBdr>
          <w:top w:val="none" w:color="000000" w:sz="0" w:space="0"/>
          <w:left w:val="none" w:color="000000" w:sz="0" w:space="0"/>
          <w:bottom w:val="none" w:color="000000" w:sz="0" w:space="0"/>
          <w:right w:val="none" w:color="000000" w:sz="0" w:space="0"/>
        </w:pBdr>
        <w:spacing w:before="0" w:beforeAutospacing="0" w:after="0" w:afterAutospacing="0" w:line="360" w:lineRule="auto"/>
        <w:jc w:val="both"/>
        <w:rPr>
          <w:rFonts w:ascii="Times New Roman" w:hAnsi="Times New Roman"/>
          <w:snapToGrid w:val="0"/>
          <w:color w:val="auto"/>
          <w:spacing w:val="15"/>
          <w:sz w:val="21"/>
          <w:szCs w:val="21"/>
          <w:shd w:val="clear" w:color="auto" w:fill="FFFFFF"/>
        </w:rPr>
      </w:pPr>
    </w:p>
    <w:p w14:paraId="1DDE22C0">
      <w:pPr>
        <w:pStyle w:val="38"/>
        <w:pBdr>
          <w:top w:val="none" w:color="000000" w:sz="0" w:space="0"/>
          <w:left w:val="none" w:color="000000" w:sz="0" w:space="0"/>
          <w:bottom w:val="none" w:color="000000" w:sz="0" w:space="0"/>
          <w:right w:val="none" w:color="000000" w:sz="0" w:space="0"/>
        </w:pBdr>
        <w:spacing w:before="0" w:beforeAutospacing="0" w:after="0" w:afterAutospacing="0" w:line="360" w:lineRule="auto"/>
        <w:jc w:val="both"/>
        <w:rPr>
          <w:rFonts w:ascii="Times New Roman" w:hAnsi="Times New Roman"/>
          <w:snapToGrid w:val="0"/>
          <w:color w:val="auto"/>
          <w:spacing w:val="15"/>
          <w:sz w:val="21"/>
          <w:szCs w:val="21"/>
          <w:shd w:val="clear" w:color="auto" w:fill="FFFFFF"/>
        </w:rPr>
      </w:pPr>
    </w:p>
    <w:p w14:paraId="4B482286">
      <w:pPr>
        <w:pStyle w:val="38"/>
        <w:pBdr>
          <w:top w:val="none" w:color="000000" w:sz="0" w:space="0"/>
          <w:left w:val="none" w:color="000000" w:sz="0" w:space="0"/>
          <w:bottom w:val="none" w:color="000000" w:sz="0" w:space="0"/>
          <w:right w:val="none" w:color="000000" w:sz="0" w:space="0"/>
        </w:pBdr>
        <w:spacing w:before="0" w:beforeAutospacing="0" w:after="0" w:afterAutospacing="0" w:line="360" w:lineRule="auto"/>
        <w:jc w:val="both"/>
        <w:rPr>
          <w:rFonts w:ascii="Times New Roman" w:hAnsi="Times New Roman"/>
          <w:snapToGrid w:val="0"/>
          <w:color w:val="auto"/>
          <w:spacing w:val="15"/>
          <w:sz w:val="21"/>
          <w:szCs w:val="21"/>
          <w:shd w:val="clear" w:color="auto" w:fill="FFFFFF"/>
        </w:rPr>
      </w:pPr>
    </w:p>
    <w:p w14:paraId="66CE8F38">
      <w:pPr>
        <w:pStyle w:val="38"/>
        <w:pBdr>
          <w:top w:val="none" w:color="000000" w:sz="0" w:space="0"/>
          <w:left w:val="none" w:color="000000" w:sz="0" w:space="0"/>
          <w:bottom w:val="none" w:color="000000" w:sz="0" w:space="0"/>
          <w:right w:val="none" w:color="000000" w:sz="0" w:space="0"/>
        </w:pBdr>
        <w:spacing w:before="0" w:beforeAutospacing="0" w:after="0" w:afterAutospacing="0" w:line="360" w:lineRule="auto"/>
        <w:jc w:val="both"/>
        <w:rPr>
          <w:rFonts w:ascii="Times New Roman" w:hAnsi="Times New Roman"/>
          <w:snapToGrid w:val="0"/>
          <w:color w:val="auto"/>
          <w:spacing w:val="15"/>
          <w:sz w:val="21"/>
          <w:szCs w:val="21"/>
          <w:shd w:val="clear" w:color="auto" w:fill="FFFFFF"/>
        </w:rPr>
      </w:pPr>
    </w:p>
    <w:p w14:paraId="50960F8E">
      <w:pPr>
        <w:pStyle w:val="38"/>
        <w:pBdr>
          <w:top w:val="none" w:color="000000" w:sz="0" w:space="0"/>
          <w:left w:val="none" w:color="000000" w:sz="0" w:space="0"/>
          <w:bottom w:val="none" w:color="000000" w:sz="0" w:space="0"/>
          <w:right w:val="none" w:color="000000" w:sz="0" w:space="0"/>
        </w:pBdr>
        <w:spacing w:before="0" w:beforeAutospacing="0" w:after="0" w:afterAutospacing="0" w:line="360" w:lineRule="auto"/>
        <w:jc w:val="both"/>
        <w:rPr>
          <w:rFonts w:ascii="Times New Roman" w:hAnsi="Times New Roman"/>
          <w:snapToGrid w:val="0"/>
          <w:color w:val="auto"/>
          <w:spacing w:val="15"/>
          <w:sz w:val="21"/>
          <w:szCs w:val="21"/>
          <w:shd w:val="clear" w:color="auto" w:fill="FFFFFF"/>
        </w:rPr>
      </w:pPr>
    </w:p>
    <w:p w14:paraId="62ABC2F2">
      <w:pPr>
        <w:pStyle w:val="38"/>
        <w:pBdr>
          <w:top w:val="none" w:color="000000" w:sz="0" w:space="0"/>
          <w:left w:val="none" w:color="000000" w:sz="0" w:space="0"/>
          <w:bottom w:val="none" w:color="000000" w:sz="0" w:space="0"/>
          <w:right w:val="none" w:color="000000" w:sz="0" w:space="0"/>
        </w:pBdr>
        <w:spacing w:before="0" w:beforeAutospacing="0" w:after="0" w:afterAutospacing="0" w:line="360" w:lineRule="auto"/>
        <w:jc w:val="both"/>
        <w:rPr>
          <w:rFonts w:ascii="Times New Roman" w:hAnsi="Times New Roman"/>
          <w:snapToGrid w:val="0"/>
          <w:color w:val="auto"/>
          <w:spacing w:val="15"/>
          <w:sz w:val="21"/>
          <w:szCs w:val="21"/>
          <w:shd w:val="clear" w:color="auto" w:fill="FFFFFF"/>
        </w:rPr>
      </w:pPr>
    </w:p>
    <w:p w14:paraId="0325BD3A">
      <w:pPr>
        <w:pStyle w:val="38"/>
        <w:pBdr>
          <w:top w:val="none" w:color="000000" w:sz="0" w:space="0"/>
          <w:left w:val="none" w:color="000000" w:sz="0" w:space="0"/>
          <w:bottom w:val="none" w:color="000000" w:sz="0" w:space="0"/>
          <w:right w:val="none" w:color="000000" w:sz="0" w:space="0"/>
        </w:pBdr>
        <w:spacing w:before="0" w:beforeAutospacing="0" w:after="0" w:afterAutospacing="0" w:line="360" w:lineRule="auto"/>
        <w:jc w:val="both"/>
        <w:rPr>
          <w:rFonts w:ascii="Times New Roman" w:hAnsi="Times New Roman"/>
          <w:snapToGrid w:val="0"/>
          <w:color w:val="auto"/>
          <w:spacing w:val="15"/>
          <w:sz w:val="21"/>
          <w:szCs w:val="21"/>
          <w:shd w:val="clear" w:color="auto" w:fill="FFFFFF"/>
        </w:rPr>
      </w:pPr>
    </w:p>
    <w:p w14:paraId="4127F784">
      <w:pPr>
        <w:pStyle w:val="38"/>
        <w:pBdr>
          <w:top w:val="none" w:color="000000" w:sz="0" w:space="0"/>
          <w:left w:val="none" w:color="000000" w:sz="0" w:space="0"/>
          <w:bottom w:val="none" w:color="000000" w:sz="0" w:space="0"/>
          <w:right w:val="none" w:color="000000" w:sz="0" w:space="0"/>
        </w:pBdr>
        <w:spacing w:before="0" w:beforeAutospacing="0" w:after="0" w:afterAutospacing="0" w:line="360" w:lineRule="auto"/>
        <w:jc w:val="both"/>
        <w:rPr>
          <w:rFonts w:ascii="Times New Roman" w:hAnsi="Times New Roman"/>
          <w:snapToGrid w:val="0"/>
          <w:color w:val="auto"/>
          <w:spacing w:val="15"/>
          <w:sz w:val="21"/>
          <w:szCs w:val="21"/>
          <w:shd w:val="clear" w:color="auto" w:fill="FFFFFF"/>
        </w:rPr>
      </w:pPr>
    </w:p>
    <w:p w14:paraId="2EB2269A">
      <w:pPr>
        <w:pStyle w:val="38"/>
        <w:pBdr>
          <w:top w:val="none" w:color="000000" w:sz="0" w:space="0"/>
          <w:left w:val="none" w:color="000000" w:sz="0" w:space="0"/>
          <w:bottom w:val="none" w:color="000000" w:sz="0" w:space="0"/>
          <w:right w:val="none" w:color="000000" w:sz="0" w:space="0"/>
        </w:pBdr>
        <w:spacing w:before="0" w:beforeAutospacing="0" w:after="0" w:afterAutospacing="0" w:line="360" w:lineRule="auto"/>
        <w:jc w:val="both"/>
        <w:rPr>
          <w:rFonts w:ascii="Times New Roman" w:hAnsi="Times New Roman"/>
          <w:snapToGrid w:val="0"/>
          <w:color w:val="auto"/>
          <w:spacing w:val="15"/>
          <w:sz w:val="21"/>
          <w:szCs w:val="21"/>
          <w:shd w:val="clear" w:color="auto" w:fill="FFFFFF"/>
        </w:rPr>
      </w:pPr>
    </w:p>
    <w:p w14:paraId="40C6C320">
      <w:pPr>
        <w:rPr>
          <w:rStyle w:val="39"/>
          <w:rFonts w:ascii="Times New Roman" w:hAnsi="Times New Roman"/>
          <w:snapToGrid w:val="0"/>
          <w:color w:val="auto"/>
          <w:spacing w:val="15"/>
          <w:sz w:val="21"/>
          <w:szCs w:val="21"/>
          <w:shd w:val="clear" w:color="auto" w:fill="FFFFFF"/>
        </w:rPr>
      </w:pPr>
      <w:r>
        <w:rPr>
          <w:rStyle w:val="39"/>
          <w:rFonts w:ascii="Times New Roman" w:hAnsi="Times New Roman"/>
          <w:snapToGrid w:val="0"/>
          <w:color w:val="auto"/>
          <w:spacing w:val="15"/>
          <w:sz w:val="21"/>
          <w:szCs w:val="21"/>
          <w:shd w:val="clear" w:color="auto" w:fill="FFFFFF"/>
        </w:rPr>
        <w:br w:type="page"/>
      </w:r>
    </w:p>
    <w:p w14:paraId="0638A9DA">
      <w:pPr>
        <w:pStyle w:val="38"/>
        <w:pBdr>
          <w:top w:val="none" w:color="000000" w:sz="0" w:space="0"/>
          <w:left w:val="none" w:color="000000" w:sz="0" w:space="0"/>
          <w:bottom w:val="none" w:color="000000" w:sz="0" w:space="0"/>
          <w:right w:val="none" w:color="000000" w:sz="0" w:space="0"/>
        </w:pBdr>
        <w:spacing w:before="0" w:beforeAutospacing="0" w:after="0" w:afterAutospacing="0" w:line="360" w:lineRule="auto"/>
        <w:jc w:val="center"/>
        <w:rPr>
          <w:rStyle w:val="39"/>
          <w:rFonts w:ascii="Times New Roman" w:hAnsi="Times New Roman"/>
          <w:snapToGrid w:val="0"/>
          <w:color w:val="auto"/>
          <w:spacing w:val="15"/>
          <w:sz w:val="21"/>
          <w:szCs w:val="21"/>
          <w:shd w:val="clear" w:color="auto" w:fill="FFFFFF"/>
        </w:rPr>
      </w:pPr>
      <w:r>
        <w:rPr>
          <w:rStyle w:val="39"/>
          <w:rFonts w:ascii="Times New Roman" w:hAnsi="Times New Roman"/>
          <w:snapToGrid w:val="0"/>
          <w:color w:val="auto"/>
          <w:spacing w:val="15"/>
          <w:sz w:val="21"/>
          <w:szCs w:val="21"/>
          <w:shd w:val="clear" w:color="auto" w:fill="FFFFFF"/>
        </w:rPr>
        <w:t>预付款保函</w:t>
      </w:r>
    </w:p>
    <w:p w14:paraId="4628EE55">
      <w:pPr>
        <w:pStyle w:val="38"/>
        <w:pBdr>
          <w:top w:val="none" w:color="000000" w:sz="0" w:space="0"/>
          <w:left w:val="none" w:color="000000" w:sz="0" w:space="0"/>
          <w:bottom w:val="none" w:color="000000" w:sz="0" w:space="0"/>
          <w:right w:val="none" w:color="000000" w:sz="0" w:space="0"/>
        </w:pBdr>
        <w:spacing w:before="0" w:beforeAutospacing="0" w:after="0" w:afterAutospacing="0" w:line="360" w:lineRule="auto"/>
        <w:jc w:val="center"/>
        <w:rPr>
          <w:rStyle w:val="39"/>
          <w:rFonts w:ascii="Times New Roman" w:hAnsi="Times New Roman"/>
          <w:snapToGrid w:val="0"/>
          <w:color w:val="auto"/>
          <w:spacing w:val="15"/>
          <w:sz w:val="21"/>
          <w:szCs w:val="21"/>
          <w:shd w:val="clear" w:color="auto" w:fill="FFFFFF"/>
        </w:rPr>
      </w:pPr>
      <w:r>
        <w:rPr>
          <w:rStyle w:val="39"/>
          <w:rFonts w:ascii="Times New Roman" w:hAnsi="Times New Roman"/>
          <w:snapToGrid w:val="0"/>
          <w:color w:val="auto"/>
          <w:spacing w:val="15"/>
          <w:sz w:val="21"/>
          <w:szCs w:val="21"/>
          <w:shd w:val="clear" w:color="auto" w:fill="FFFFFF"/>
        </w:rPr>
        <w:t>（非独立保函）</w:t>
      </w:r>
    </w:p>
    <w:p w14:paraId="426A1C41">
      <w:pPr>
        <w:pStyle w:val="38"/>
        <w:pBdr>
          <w:top w:val="none" w:color="000000" w:sz="0" w:space="0"/>
          <w:left w:val="none" w:color="000000" w:sz="0" w:space="0"/>
          <w:bottom w:val="none" w:color="000000" w:sz="0" w:space="0"/>
          <w:right w:val="none" w:color="000000" w:sz="0" w:space="0"/>
        </w:pBdr>
        <w:spacing w:before="0" w:beforeAutospacing="0" w:after="0" w:afterAutospacing="0" w:line="360" w:lineRule="auto"/>
        <w:jc w:val="right"/>
        <w:rPr>
          <w:rFonts w:ascii="Times New Roman" w:hAnsi="Times New Roman"/>
          <w:snapToGrid w:val="0"/>
          <w:color w:val="auto"/>
          <w:spacing w:val="15"/>
          <w:sz w:val="21"/>
          <w:szCs w:val="21"/>
          <w:shd w:val="clear" w:color="auto" w:fill="FFFFFF"/>
        </w:rPr>
      </w:pPr>
      <w:r>
        <w:rPr>
          <w:rFonts w:ascii="Times New Roman" w:hAnsi="Times New Roman"/>
          <w:snapToGrid w:val="0"/>
          <w:color w:val="auto"/>
          <w:spacing w:val="15"/>
          <w:sz w:val="21"/>
          <w:szCs w:val="21"/>
          <w:shd w:val="clear" w:color="auto" w:fill="FFFFFF"/>
        </w:rPr>
        <w:t>编号：          </w:t>
      </w:r>
    </w:p>
    <w:p w14:paraId="5290060A">
      <w:pPr>
        <w:pStyle w:val="38"/>
        <w:pBdr>
          <w:top w:val="none" w:color="000000" w:sz="0" w:space="0"/>
          <w:left w:val="none" w:color="000000" w:sz="0" w:space="0"/>
          <w:bottom w:val="none" w:color="000000" w:sz="0" w:space="0"/>
          <w:right w:val="none" w:color="000000" w:sz="0" w:space="0"/>
        </w:pBdr>
        <w:spacing w:before="0" w:beforeAutospacing="0" w:after="0" w:afterAutospacing="0" w:line="360" w:lineRule="auto"/>
        <w:jc w:val="both"/>
        <w:rPr>
          <w:rFonts w:ascii="Times New Roman" w:hAnsi="Times New Roman"/>
          <w:snapToGrid w:val="0"/>
          <w:color w:val="auto"/>
          <w:sz w:val="21"/>
          <w:szCs w:val="21"/>
        </w:rPr>
      </w:pPr>
    </w:p>
    <w:p w14:paraId="66420543">
      <w:pPr>
        <w:pStyle w:val="38"/>
        <w:pBdr>
          <w:top w:val="none" w:color="000000" w:sz="0" w:space="0"/>
          <w:left w:val="none" w:color="000000" w:sz="0" w:space="0"/>
          <w:bottom w:val="none" w:color="000000" w:sz="0" w:space="0"/>
          <w:right w:val="none" w:color="000000" w:sz="0" w:space="0"/>
        </w:pBdr>
        <w:spacing w:before="0" w:beforeAutospacing="0" w:after="0" w:afterAutospacing="0" w:line="360" w:lineRule="auto"/>
        <w:jc w:val="both"/>
        <w:rPr>
          <w:rFonts w:ascii="Times New Roman" w:hAnsi="Times New Roman"/>
          <w:snapToGrid w:val="0"/>
          <w:color w:val="auto"/>
          <w:spacing w:val="15"/>
          <w:sz w:val="21"/>
          <w:szCs w:val="21"/>
          <w:shd w:val="clear" w:color="auto" w:fill="FFFFFF"/>
        </w:rPr>
      </w:pPr>
      <w:r>
        <w:rPr>
          <w:rFonts w:ascii="Times New Roman" w:hAnsi="Times New Roman"/>
          <w:snapToGrid w:val="0"/>
          <w:color w:val="auto"/>
          <w:spacing w:val="15"/>
          <w:sz w:val="21"/>
          <w:szCs w:val="21"/>
          <w:shd w:val="clear" w:color="auto" w:fill="FFFFFF"/>
        </w:rPr>
        <w:t>担保权人/发包人：                    地址：</w:t>
      </w:r>
    </w:p>
    <w:p w14:paraId="183DCE25">
      <w:pPr>
        <w:pStyle w:val="38"/>
        <w:pBdr>
          <w:top w:val="none" w:color="000000" w:sz="0" w:space="0"/>
          <w:left w:val="none" w:color="000000" w:sz="0" w:space="0"/>
          <w:bottom w:val="none" w:color="000000" w:sz="0" w:space="0"/>
          <w:right w:val="none" w:color="000000" w:sz="0" w:space="0"/>
        </w:pBdr>
        <w:spacing w:before="0" w:beforeAutospacing="0" w:after="0" w:afterAutospacing="0" w:line="360" w:lineRule="auto"/>
        <w:jc w:val="both"/>
        <w:rPr>
          <w:rFonts w:ascii="Times New Roman" w:hAnsi="Times New Roman"/>
          <w:snapToGrid w:val="0"/>
          <w:color w:val="auto"/>
          <w:spacing w:val="15"/>
          <w:sz w:val="21"/>
          <w:szCs w:val="21"/>
          <w:shd w:val="clear" w:color="auto" w:fill="FFFFFF"/>
        </w:rPr>
      </w:pPr>
      <w:r>
        <w:rPr>
          <w:rFonts w:ascii="Times New Roman" w:hAnsi="Times New Roman"/>
          <w:snapToGrid w:val="0"/>
          <w:color w:val="auto"/>
          <w:spacing w:val="15"/>
          <w:sz w:val="21"/>
          <w:szCs w:val="21"/>
          <w:shd w:val="clear" w:color="auto" w:fill="FFFFFF"/>
        </w:rPr>
        <w:t>承包人：                            地址：</w:t>
      </w:r>
    </w:p>
    <w:p w14:paraId="31E2D952">
      <w:pPr>
        <w:pStyle w:val="38"/>
        <w:pBdr>
          <w:top w:val="none" w:color="000000" w:sz="0" w:space="0"/>
          <w:left w:val="none" w:color="000000" w:sz="0" w:space="0"/>
          <w:bottom w:val="none" w:color="000000" w:sz="0" w:space="0"/>
          <w:right w:val="none" w:color="000000" w:sz="0" w:space="0"/>
        </w:pBdr>
        <w:spacing w:before="0" w:beforeAutospacing="0" w:after="0" w:afterAutospacing="0" w:line="360" w:lineRule="auto"/>
        <w:jc w:val="both"/>
        <w:rPr>
          <w:rFonts w:ascii="Times New Roman" w:hAnsi="Times New Roman"/>
          <w:snapToGrid w:val="0"/>
          <w:color w:val="auto"/>
          <w:spacing w:val="15"/>
          <w:sz w:val="21"/>
          <w:szCs w:val="21"/>
          <w:shd w:val="clear" w:color="auto" w:fill="FFFFFF"/>
        </w:rPr>
      </w:pPr>
      <w:r>
        <w:rPr>
          <w:rFonts w:ascii="Times New Roman" w:hAnsi="Times New Roman"/>
          <w:snapToGrid w:val="0"/>
          <w:color w:val="auto"/>
          <w:spacing w:val="15"/>
          <w:sz w:val="21"/>
          <w:szCs w:val="21"/>
          <w:shd w:val="clear" w:color="auto" w:fill="FFFFFF"/>
        </w:rPr>
        <w:t>保证人：                            地址：</w:t>
      </w:r>
    </w:p>
    <w:p w14:paraId="71A75530">
      <w:pPr>
        <w:pStyle w:val="38"/>
        <w:pBdr>
          <w:top w:val="none" w:color="000000" w:sz="0" w:space="0"/>
          <w:left w:val="none" w:color="000000" w:sz="0" w:space="0"/>
          <w:bottom w:val="none" w:color="000000" w:sz="0" w:space="0"/>
          <w:right w:val="none" w:color="000000" w:sz="0" w:space="0"/>
        </w:pBdr>
        <w:spacing w:before="0" w:beforeAutospacing="0" w:after="0" w:afterAutospacing="0" w:line="360" w:lineRule="auto"/>
        <w:jc w:val="both"/>
        <w:rPr>
          <w:rFonts w:ascii="Times New Roman" w:hAnsi="Times New Roman"/>
          <w:snapToGrid w:val="0"/>
          <w:color w:val="auto"/>
          <w:spacing w:val="15"/>
          <w:sz w:val="21"/>
          <w:szCs w:val="21"/>
          <w:shd w:val="clear" w:color="auto" w:fill="FFFFFF"/>
        </w:rPr>
      </w:pPr>
      <w:r>
        <w:rPr>
          <w:rFonts w:ascii="Times New Roman" w:hAnsi="Times New Roman"/>
          <w:snapToGrid w:val="0"/>
          <w:color w:val="auto"/>
          <w:spacing w:val="15"/>
          <w:sz w:val="21"/>
          <w:szCs w:val="21"/>
          <w:shd w:val="clear" w:color="auto" w:fill="FFFFFF"/>
        </w:rPr>
        <w:t>（发包人名称）：</w:t>
      </w:r>
    </w:p>
    <w:p w14:paraId="160AE4E9">
      <w:pPr>
        <w:pStyle w:val="38"/>
        <w:pBdr>
          <w:top w:val="none" w:color="000000" w:sz="0" w:space="0"/>
          <w:left w:val="none" w:color="000000" w:sz="0" w:space="0"/>
          <w:bottom w:val="none" w:color="000000" w:sz="0" w:space="0"/>
          <w:right w:val="none" w:color="000000" w:sz="0" w:space="0"/>
        </w:pBdr>
        <w:spacing w:before="0" w:beforeAutospacing="0" w:after="0" w:afterAutospacing="0" w:line="360" w:lineRule="auto"/>
        <w:ind w:firstLine="480"/>
        <w:jc w:val="both"/>
        <w:rPr>
          <w:rFonts w:ascii="Times New Roman" w:hAnsi="Times New Roman"/>
          <w:snapToGrid w:val="0"/>
          <w:color w:val="auto"/>
          <w:spacing w:val="15"/>
          <w:sz w:val="21"/>
          <w:szCs w:val="21"/>
          <w:shd w:val="clear" w:color="auto" w:fill="FFFFFF"/>
        </w:rPr>
      </w:pPr>
      <w:r>
        <w:rPr>
          <w:rFonts w:ascii="Times New Roman" w:hAnsi="Times New Roman"/>
          <w:snapToGrid w:val="0"/>
          <w:color w:val="auto"/>
          <w:spacing w:val="15"/>
          <w:sz w:val="21"/>
          <w:szCs w:val="21"/>
          <w:shd w:val="clear" w:color="auto" w:fill="FFFFFF"/>
        </w:rPr>
        <w:t>鉴于</w:t>
      </w:r>
      <w:r>
        <w:rPr>
          <w:rFonts w:ascii="Times New Roman" w:hAnsi="Times New Roman"/>
          <w:snapToGrid w:val="0"/>
          <w:color w:val="auto"/>
          <w:spacing w:val="15"/>
          <w:sz w:val="21"/>
          <w:szCs w:val="21"/>
          <w:u w:val="single"/>
          <w:shd w:val="clear" w:color="auto" w:fill="FFFFFF"/>
        </w:rPr>
        <w:t>   </w:t>
      </w:r>
      <w:r>
        <w:rPr>
          <w:rFonts w:ascii="Times New Roman" w:hAnsi="Times New Roman"/>
          <w:snapToGrid w:val="0"/>
          <w:color w:val="auto"/>
          <w:spacing w:val="15"/>
          <w:sz w:val="21"/>
          <w:szCs w:val="21"/>
          <w:shd w:val="clear" w:color="auto" w:fill="FFFFFF"/>
        </w:rPr>
        <w:t>（以下简称“发包人”）与</w:t>
      </w:r>
      <w:r>
        <w:rPr>
          <w:rFonts w:ascii="Times New Roman" w:hAnsi="Times New Roman"/>
          <w:snapToGrid w:val="0"/>
          <w:color w:val="auto"/>
          <w:spacing w:val="15"/>
          <w:sz w:val="21"/>
          <w:szCs w:val="21"/>
          <w:u w:val="single"/>
          <w:shd w:val="clear" w:color="auto" w:fill="FFFFFF"/>
        </w:rPr>
        <w:t>     </w:t>
      </w:r>
      <w:r>
        <w:rPr>
          <w:rFonts w:ascii="Times New Roman" w:hAnsi="Times New Roman"/>
          <w:snapToGrid w:val="0"/>
          <w:color w:val="auto"/>
          <w:spacing w:val="15"/>
          <w:sz w:val="21"/>
          <w:szCs w:val="21"/>
          <w:shd w:val="clear" w:color="auto" w:fill="FFFFFF"/>
        </w:rPr>
        <w:t> （以下简称“承包人”）于</w:t>
      </w:r>
      <w:r>
        <w:rPr>
          <w:rFonts w:ascii="Times New Roman" w:hAnsi="Times New Roman"/>
          <w:snapToGrid w:val="0"/>
          <w:color w:val="auto"/>
          <w:spacing w:val="15"/>
          <w:sz w:val="21"/>
          <w:szCs w:val="21"/>
          <w:u w:val="single"/>
          <w:shd w:val="clear" w:color="auto" w:fill="FFFFFF"/>
        </w:rPr>
        <w:t>   </w:t>
      </w:r>
      <w:r>
        <w:rPr>
          <w:rFonts w:ascii="Times New Roman" w:hAnsi="Times New Roman"/>
          <w:snapToGrid w:val="0"/>
          <w:color w:val="auto"/>
          <w:spacing w:val="15"/>
          <w:sz w:val="21"/>
          <w:szCs w:val="21"/>
          <w:shd w:val="clear" w:color="auto" w:fill="FFFFFF"/>
        </w:rPr>
        <w:t>年</w:t>
      </w:r>
      <w:r>
        <w:rPr>
          <w:rFonts w:ascii="Times New Roman" w:hAnsi="Times New Roman"/>
          <w:snapToGrid w:val="0"/>
          <w:color w:val="auto"/>
          <w:spacing w:val="15"/>
          <w:sz w:val="21"/>
          <w:szCs w:val="21"/>
          <w:u w:val="single"/>
          <w:shd w:val="clear" w:color="auto" w:fill="FFFFFF"/>
        </w:rPr>
        <w:t>  </w:t>
      </w:r>
      <w:r>
        <w:rPr>
          <w:rFonts w:ascii="Times New Roman" w:hAnsi="Times New Roman"/>
          <w:snapToGrid w:val="0"/>
          <w:color w:val="auto"/>
          <w:spacing w:val="15"/>
          <w:sz w:val="21"/>
          <w:szCs w:val="21"/>
          <w:shd w:val="clear" w:color="auto" w:fill="FFFFFF"/>
        </w:rPr>
        <w:t>月</w:t>
      </w:r>
      <w:r>
        <w:rPr>
          <w:rFonts w:ascii="Times New Roman" w:hAnsi="Times New Roman"/>
          <w:snapToGrid w:val="0"/>
          <w:color w:val="auto"/>
          <w:spacing w:val="15"/>
          <w:sz w:val="21"/>
          <w:szCs w:val="21"/>
          <w:u w:val="single"/>
          <w:shd w:val="clear" w:color="auto" w:fill="FFFFFF"/>
        </w:rPr>
        <w:t>  </w:t>
      </w:r>
      <w:r>
        <w:rPr>
          <w:rFonts w:ascii="Times New Roman" w:hAnsi="Times New Roman"/>
          <w:snapToGrid w:val="0"/>
          <w:color w:val="auto"/>
          <w:spacing w:val="15"/>
          <w:sz w:val="21"/>
          <w:szCs w:val="21"/>
          <w:shd w:val="clear" w:color="auto" w:fill="FFFFFF"/>
        </w:rPr>
        <w:t>日就</w:t>
      </w:r>
      <w:r>
        <w:rPr>
          <w:rFonts w:ascii="Times New Roman" w:hAnsi="Times New Roman"/>
          <w:snapToGrid w:val="0"/>
          <w:color w:val="auto"/>
          <w:spacing w:val="15"/>
          <w:sz w:val="21"/>
          <w:szCs w:val="21"/>
          <w:u w:val="single"/>
          <w:shd w:val="clear" w:color="auto" w:fill="FFFFFF"/>
        </w:rPr>
        <w:t>           </w:t>
      </w:r>
      <w:r>
        <w:rPr>
          <w:rFonts w:ascii="Times New Roman" w:hAnsi="Times New Roman"/>
          <w:snapToGrid w:val="0"/>
          <w:color w:val="auto"/>
          <w:spacing w:val="15"/>
          <w:sz w:val="21"/>
          <w:szCs w:val="21"/>
          <w:shd w:val="clear" w:color="auto" w:fill="FFFFFF"/>
        </w:rPr>
        <w:t>工程（以下简称“本工程”）施工和有关事项协商一致共同签订《</w:t>
      </w:r>
      <w:r>
        <w:rPr>
          <w:rFonts w:ascii="Times New Roman" w:hAnsi="Times New Roman"/>
          <w:snapToGrid w:val="0"/>
          <w:color w:val="auto"/>
          <w:spacing w:val="15"/>
          <w:sz w:val="21"/>
          <w:szCs w:val="21"/>
          <w:u w:val="single"/>
          <w:shd w:val="clear" w:color="auto" w:fill="FFFFFF"/>
        </w:rPr>
        <w:t xml:space="preserve">        </w:t>
      </w:r>
      <w:r>
        <w:rPr>
          <w:rFonts w:ascii="Times New Roman" w:hAnsi="Times New Roman"/>
          <w:snapToGrid w:val="0"/>
          <w:color w:val="auto"/>
          <w:spacing w:val="15"/>
          <w:sz w:val="21"/>
          <w:szCs w:val="21"/>
          <w:shd w:val="clear" w:color="auto" w:fill="FFFFFF"/>
        </w:rPr>
        <w:t>》（以下简称“主合同”），我方即保证人基于承包人的请求，同意就承包人按照合同约定正确和合理地为合同目的使用预付款，不将预付款挪作他用，向贵方提供如下保证担保（以下简称“本保证担保”）。</w:t>
      </w:r>
    </w:p>
    <w:p w14:paraId="7790FFF9">
      <w:pPr>
        <w:pStyle w:val="38"/>
        <w:pBdr>
          <w:top w:val="none" w:color="000000" w:sz="0" w:space="0"/>
          <w:left w:val="none" w:color="000000" w:sz="0" w:space="0"/>
          <w:bottom w:val="none" w:color="000000" w:sz="0" w:space="0"/>
          <w:right w:val="none" w:color="000000" w:sz="0" w:space="0"/>
        </w:pBdr>
        <w:spacing w:before="0" w:beforeAutospacing="0" w:after="0" w:afterAutospacing="0" w:line="360" w:lineRule="auto"/>
        <w:ind w:firstLine="480"/>
        <w:jc w:val="both"/>
        <w:rPr>
          <w:rStyle w:val="39"/>
          <w:rFonts w:ascii="Times New Roman" w:hAnsi="Times New Roman"/>
          <w:snapToGrid w:val="0"/>
          <w:color w:val="auto"/>
          <w:spacing w:val="15"/>
          <w:sz w:val="21"/>
          <w:szCs w:val="21"/>
          <w:shd w:val="clear" w:color="auto" w:fill="FFFFFF"/>
        </w:rPr>
      </w:pPr>
      <w:r>
        <w:rPr>
          <w:rStyle w:val="39"/>
          <w:rFonts w:ascii="Times New Roman" w:hAnsi="Times New Roman"/>
          <w:snapToGrid w:val="0"/>
          <w:color w:val="auto"/>
          <w:spacing w:val="15"/>
          <w:sz w:val="21"/>
          <w:szCs w:val="21"/>
          <w:shd w:val="clear" w:color="auto" w:fill="FFFFFF"/>
        </w:rPr>
        <w:t>一、保证担保的范围及保证担保金额</w:t>
      </w:r>
    </w:p>
    <w:p w14:paraId="1A005CDF">
      <w:pPr>
        <w:pStyle w:val="38"/>
        <w:pBdr>
          <w:top w:val="none" w:color="000000" w:sz="0" w:space="0"/>
          <w:left w:val="none" w:color="000000" w:sz="0" w:space="0"/>
          <w:bottom w:val="none" w:color="000000" w:sz="0" w:space="0"/>
          <w:right w:val="none" w:color="000000" w:sz="0" w:space="0"/>
        </w:pBdr>
        <w:spacing w:before="0" w:beforeAutospacing="0" w:after="0" w:afterAutospacing="0" w:line="360" w:lineRule="auto"/>
        <w:ind w:firstLine="480"/>
        <w:jc w:val="both"/>
        <w:rPr>
          <w:rFonts w:ascii="Times New Roman" w:hAnsi="Times New Roman"/>
          <w:snapToGrid w:val="0"/>
          <w:color w:val="auto"/>
          <w:spacing w:val="15"/>
          <w:sz w:val="21"/>
          <w:szCs w:val="21"/>
          <w:shd w:val="clear" w:color="auto" w:fill="FFFFFF"/>
        </w:rPr>
      </w:pPr>
      <w:r>
        <w:rPr>
          <w:rFonts w:ascii="Times New Roman" w:hAnsi="Times New Roman"/>
          <w:snapToGrid w:val="0"/>
          <w:color w:val="auto"/>
          <w:spacing w:val="15"/>
          <w:sz w:val="21"/>
          <w:szCs w:val="21"/>
          <w:shd w:val="clear" w:color="auto" w:fill="FFFFFF"/>
        </w:rPr>
        <w:t>1.保证担保范围：申请人未按照合同约定正确和合理地为合同目的使用预付款，应当向贵方承担的违约责任和赔偿因此造成的损失、利息、律师费、诉讼费用等实现债权的费用。</w:t>
      </w:r>
    </w:p>
    <w:p w14:paraId="5B4114D0">
      <w:pPr>
        <w:pStyle w:val="38"/>
        <w:pBdr>
          <w:top w:val="none" w:color="000000" w:sz="0" w:space="0"/>
          <w:left w:val="none" w:color="000000" w:sz="0" w:space="0"/>
          <w:bottom w:val="none" w:color="000000" w:sz="0" w:space="0"/>
          <w:right w:val="none" w:color="000000" w:sz="0" w:space="0"/>
        </w:pBdr>
        <w:spacing w:before="0" w:beforeAutospacing="0" w:after="0" w:afterAutospacing="0" w:line="360" w:lineRule="auto"/>
        <w:ind w:firstLine="480"/>
        <w:jc w:val="both"/>
        <w:rPr>
          <w:rFonts w:ascii="Times New Roman" w:hAnsi="Times New Roman"/>
          <w:snapToGrid w:val="0"/>
          <w:color w:val="auto"/>
          <w:spacing w:val="15"/>
          <w:sz w:val="21"/>
          <w:szCs w:val="21"/>
          <w:shd w:val="clear" w:color="auto" w:fill="FFFFFF"/>
        </w:rPr>
      </w:pPr>
      <w:r>
        <w:rPr>
          <w:rFonts w:ascii="Times New Roman" w:hAnsi="Times New Roman"/>
          <w:snapToGrid w:val="0"/>
          <w:color w:val="auto"/>
          <w:spacing w:val="15"/>
          <w:sz w:val="21"/>
          <w:szCs w:val="21"/>
          <w:shd w:val="clear" w:color="auto" w:fill="FFFFFF"/>
        </w:rPr>
        <w:t>2.保证担保金额最高不超过人民币（大写）</w:t>
      </w:r>
      <w:r>
        <w:rPr>
          <w:rFonts w:ascii="Times New Roman" w:hAnsi="Times New Roman"/>
          <w:snapToGrid w:val="0"/>
          <w:color w:val="auto"/>
          <w:spacing w:val="15"/>
          <w:sz w:val="21"/>
          <w:szCs w:val="21"/>
          <w:u w:val="single"/>
          <w:shd w:val="clear" w:color="auto" w:fill="FFFFFF"/>
        </w:rPr>
        <w:t>          </w:t>
      </w:r>
      <w:r>
        <w:rPr>
          <w:rFonts w:ascii="Times New Roman" w:hAnsi="Times New Roman"/>
          <w:snapToGrid w:val="0"/>
          <w:color w:val="auto"/>
          <w:spacing w:val="15"/>
          <w:sz w:val="21"/>
          <w:szCs w:val="21"/>
          <w:shd w:val="clear" w:color="auto" w:fill="FFFFFF"/>
        </w:rPr>
        <w:t>元（¥</w:t>
      </w:r>
      <w:r>
        <w:rPr>
          <w:rFonts w:ascii="Times New Roman" w:hAnsi="Times New Roman"/>
          <w:snapToGrid w:val="0"/>
          <w:color w:val="auto"/>
          <w:spacing w:val="15"/>
          <w:sz w:val="21"/>
          <w:szCs w:val="21"/>
          <w:u w:val="single"/>
          <w:shd w:val="clear" w:color="auto" w:fill="FFFFFF"/>
        </w:rPr>
        <w:t>       元</w:t>
      </w:r>
      <w:r>
        <w:rPr>
          <w:rFonts w:ascii="Times New Roman" w:hAnsi="Times New Roman"/>
          <w:snapToGrid w:val="0"/>
          <w:color w:val="auto"/>
          <w:spacing w:val="15"/>
          <w:sz w:val="21"/>
          <w:szCs w:val="21"/>
          <w:shd w:val="clear" w:color="auto" w:fill="FFFFFF"/>
        </w:rPr>
        <w:t>）。</w:t>
      </w:r>
    </w:p>
    <w:p w14:paraId="55722391">
      <w:pPr>
        <w:pStyle w:val="38"/>
        <w:pBdr>
          <w:top w:val="none" w:color="000000" w:sz="0" w:space="0"/>
          <w:left w:val="none" w:color="000000" w:sz="0" w:space="0"/>
          <w:bottom w:val="none" w:color="000000" w:sz="0" w:space="0"/>
          <w:right w:val="none" w:color="000000" w:sz="0" w:space="0"/>
        </w:pBdr>
        <w:spacing w:before="0" w:beforeAutospacing="0" w:after="0" w:afterAutospacing="0" w:line="360" w:lineRule="auto"/>
        <w:ind w:firstLine="480"/>
        <w:jc w:val="both"/>
        <w:rPr>
          <w:rStyle w:val="39"/>
          <w:rFonts w:ascii="Times New Roman" w:hAnsi="Times New Roman"/>
          <w:snapToGrid w:val="0"/>
          <w:color w:val="auto"/>
          <w:spacing w:val="15"/>
          <w:sz w:val="21"/>
          <w:szCs w:val="21"/>
          <w:shd w:val="clear" w:color="auto" w:fill="FFFFFF"/>
        </w:rPr>
      </w:pPr>
      <w:r>
        <w:rPr>
          <w:rStyle w:val="39"/>
          <w:rFonts w:ascii="Times New Roman" w:hAnsi="Times New Roman"/>
          <w:snapToGrid w:val="0"/>
          <w:color w:val="auto"/>
          <w:spacing w:val="15"/>
          <w:sz w:val="21"/>
          <w:szCs w:val="21"/>
          <w:shd w:val="clear" w:color="auto" w:fill="FFFFFF"/>
        </w:rPr>
        <w:t>二、保证担保的方式及保证期间</w:t>
      </w:r>
    </w:p>
    <w:p w14:paraId="591E7C21">
      <w:pPr>
        <w:pStyle w:val="38"/>
        <w:pBdr>
          <w:top w:val="none" w:color="000000" w:sz="0" w:space="0"/>
          <w:left w:val="none" w:color="000000" w:sz="0" w:space="0"/>
          <w:bottom w:val="none" w:color="000000" w:sz="0" w:space="0"/>
          <w:right w:val="none" w:color="000000" w:sz="0" w:space="0"/>
        </w:pBdr>
        <w:spacing w:before="0" w:beforeAutospacing="0" w:after="0" w:afterAutospacing="0" w:line="360" w:lineRule="auto"/>
        <w:ind w:firstLine="480"/>
        <w:jc w:val="both"/>
        <w:rPr>
          <w:rFonts w:ascii="Times New Roman" w:hAnsi="Times New Roman"/>
          <w:snapToGrid w:val="0"/>
          <w:color w:val="auto"/>
          <w:spacing w:val="15"/>
          <w:sz w:val="21"/>
          <w:szCs w:val="21"/>
          <w:shd w:val="clear" w:color="auto" w:fill="FFFFFF"/>
        </w:rPr>
      </w:pPr>
      <w:r>
        <w:rPr>
          <w:rFonts w:ascii="Times New Roman" w:hAnsi="Times New Roman"/>
          <w:snapToGrid w:val="0"/>
          <w:color w:val="auto"/>
          <w:spacing w:val="15"/>
          <w:sz w:val="21"/>
          <w:szCs w:val="21"/>
          <w:shd w:val="clear" w:color="auto" w:fill="FFFFFF"/>
        </w:rPr>
        <w:t>1.保证担保方式：连带责任保证。</w:t>
      </w:r>
    </w:p>
    <w:p w14:paraId="55BAC617">
      <w:pPr>
        <w:pStyle w:val="38"/>
        <w:pBdr>
          <w:top w:val="none" w:color="000000" w:sz="0" w:space="0"/>
          <w:left w:val="none" w:color="000000" w:sz="0" w:space="0"/>
          <w:bottom w:val="none" w:color="000000" w:sz="0" w:space="0"/>
          <w:right w:val="none" w:color="000000" w:sz="0" w:space="0"/>
        </w:pBdr>
        <w:spacing w:before="0" w:beforeAutospacing="0" w:after="0" w:afterAutospacing="0" w:line="360" w:lineRule="auto"/>
        <w:ind w:firstLine="480"/>
        <w:jc w:val="both"/>
        <w:rPr>
          <w:rFonts w:ascii="Times New Roman" w:hAnsi="Times New Roman"/>
          <w:snapToGrid w:val="0"/>
          <w:color w:val="auto"/>
          <w:spacing w:val="15"/>
          <w:sz w:val="21"/>
          <w:szCs w:val="21"/>
          <w:shd w:val="clear" w:color="auto" w:fill="FFFFFF"/>
        </w:rPr>
      </w:pPr>
      <w:r>
        <w:rPr>
          <w:rFonts w:ascii="Times New Roman" w:hAnsi="Times New Roman"/>
          <w:snapToGrid w:val="0"/>
          <w:color w:val="auto"/>
          <w:spacing w:val="15"/>
          <w:sz w:val="21"/>
          <w:szCs w:val="21"/>
          <w:shd w:val="clear" w:color="auto" w:fill="FFFFFF"/>
        </w:rPr>
        <w:t>2.保证期间：自出具之日起至发包人全额扣回预付款后</w:t>
      </w:r>
      <w:r>
        <w:rPr>
          <w:rFonts w:ascii="Times New Roman" w:hAnsi="Times New Roman"/>
          <w:snapToGrid w:val="0"/>
          <w:color w:val="auto"/>
          <w:spacing w:val="15"/>
          <w:sz w:val="21"/>
          <w:szCs w:val="21"/>
          <w:u w:val="single"/>
          <w:shd w:val="clear" w:color="auto" w:fill="FFFFFF"/>
        </w:rPr>
        <w:t>   </w:t>
      </w:r>
      <w:r>
        <w:rPr>
          <w:rFonts w:ascii="Times New Roman" w:hAnsi="Times New Roman"/>
          <w:snapToGrid w:val="0"/>
          <w:color w:val="auto"/>
          <w:spacing w:val="15"/>
          <w:sz w:val="21"/>
          <w:szCs w:val="21"/>
          <w:shd w:val="clear" w:color="auto" w:fill="FFFFFF"/>
        </w:rPr>
        <w:t>日止，最迟不超过</w:t>
      </w:r>
      <w:r>
        <w:rPr>
          <w:rFonts w:ascii="Times New Roman" w:hAnsi="Times New Roman"/>
          <w:snapToGrid w:val="0"/>
          <w:color w:val="auto"/>
          <w:spacing w:val="15"/>
          <w:sz w:val="21"/>
          <w:szCs w:val="21"/>
          <w:u w:val="single"/>
          <w:shd w:val="clear" w:color="auto" w:fill="FFFFFF"/>
        </w:rPr>
        <w:t>   </w:t>
      </w:r>
      <w:r>
        <w:rPr>
          <w:rFonts w:ascii="Times New Roman" w:hAnsi="Times New Roman"/>
          <w:snapToGrid w:val="0"/>
          <w:color w:val="auto"/>
          <w:spacing w:val="15"/>
          <w:sz w:val="21"/>
          <w:szCs w:val="21"/>
          <w:shd w:val="clear" w:color="auto" w:fill="FFFFFF"/>
        </w:rPr>
        <w:t>年</w:t>
      </w:r>
      <w:r>
        <w:rPr>
          <w:rFonts w:ascii="Times New Roman" w:hAnsi="Times New Roman"/>
          <w:snapToGrid w:val="0"/>
          <w:color w:val="auto"/>
          <w:spacing w:val="15"/>
          <w:sz w:val="21"/>
          <w:szCs w:val="21"/>
          <w:u w:val="single"/>
          <w:shd w:val="clear" w:color="auto" w:fill="FFFFFF"/>
        </w:rPr>
        <w:t>  </w:t>
      </w:r>
      <w:r>
        <w:rPr>
          <w:rFonts w:ascii="Times New Roman" w:hAnsi="Times New Roman"/>
          <w:snapToGrid w:val="0"/>
          <w:color w:val="auto"/>
          <w:spacing w:val="15"/>
          <w:sz w:val="21"/>
          <w:szCs w:val="21"/>
          <w:shd w:val="clear" w:color="auto" w:fill="FFFFFF"/>
        </w:rPr>
        <w:t>月</w:t>
      </w:r>
      <w:r>
        <w:rPr>
          <w:rFonts w:ascii="Times New Roman" w:hAnsi="Times New Roman"/>
          <w:snapToGrid w:val="0"/>
          <w:color w:val="auto"/>
          <w:spacing w:val="15"/>
          <w:sz w:val="21"/>
          <w:szCs w:val="21"/>
          <w:u w:val="single"/>
          <w:shd w:val="clear" w:color="auto" w:fill="FFFFFF"/>
        </w:rPr>
        <w:t>  </w:t>
      </w:r>
      <w:r>
        <w:rPr>
          <w:rFonts w:ascii="Times New Roman" w:hAnsi="Times New Roman"/>
          <w:snapToGrid w:val="0"/>
          <w:color w:val="auto"/>
          <w:spacing w:val="15"/>
          <w:sz w:val="21"/>
          <w:szCs w:val="21"/>
          <w:shd w:val="clear" w:color="auto" w:fill="FFFFFF"/>
        </w:rPr>
        <w:t>日。</w:t>
      </w:r>
    </w:p>
    <w:p w14:paraId="24885A45">
      <w:pPr>
        <w:pStyle w:val="38"/>
        <w:pBdr>
          <w:top w:val="none" w:color="000000" w:sz="0" w:space="0"/>
          <w:left w:val="none" w:color="000000" w:sz="0" w:space="0"/>
          <w:bottom w:val="none" w:color="000000" w:sz="0" w:space="0"/>
          <w:right w:val="none" w:color="000000" w:sz="0" w:space="0"/>
        </w:pBdr>
        <w:spacing w:before="0" w:beforeAutospacing="0" w:after="0" w:afterAutospacing="0" w:line="360" w:lineRule="auto"/>
        <w:ind w:firstLine="480"/>
        <w:jc w:val="both"/>
        <w:rPr>
          <w:rStyle w:val="39"/>
          <w:rFonts w:ascii="Times New Roman" w:hAnsi="Times New Roman"/>
          <w:snapToGrid w:val="0"/>
          <w:color w:val="auto"/>
          <w:spacing w:val="15"/>
          <w:sz w:val="21"/>
          <w:szCs w:val="21"/>
          <w:shd w:val="clear" w:color="auto" w:fill="FFFFFF"/>
        </w:rPr>
      </w:pPr>
      <w:r>
        <w:rPr>
          <w:rStyle w:val="39"/>
          <w:rFonts w:ascii="Times New Roman" w:hAnsi="Times New Roman"/>
          <w:snapToGrid w:val="0"/>
          <w:color w:val="auto"/>
          <w:spacing w:val="15"/>
          <w:sz w:val="21"/>
          <w:szCs w:val="21"/>
          <w:shd w:val="clear" w:color="auto" w:fill="FFFFFF"/>
        </w:rPr>
        <w:t>三、承担保证担保责任的形式</w:t>
      </w:r>
    </w:p>
    <w:p w14:paraId="7B9CEE1E">
      <w:pPr>
        <w:pStyle w:val="38"/>
        <w:pBdr>
          <w:top w:val="none" w:color="000000" w:sz="0" w:space="0"/>
          <w:left w:val="none" w:color="000000" w:sz="0" w:space="0"/>
          <w:bottom w:val="none" w:color="000000" w:sz="0" w:space="0"/>
          <w:right w:val="none" w:color="000000" w:sz="0" w:space="0"/>
        </w:pBdr>
        <w:spacing w:before="0" w:beforeAutospacing="0" w:after="0" w:afterAutospacing="0" w:line="360" w:lineRule="auto"/>
        <w:ind w:firstLine="480"/>
        <w:jc w:val="both"/>
        <w:rPr>
          <w:rFonts w:ascii="Times New Roman" w:hAnsi="Times New Roman"/>
          <w:snapToGrid w:val="0"/>
          <w:color w:val="auto"/>
          <w:spacing w:val="15"/>
          <w:sz w:val="21"/>
          <w:szCs w:val="21"/>
          <w:shd w:val="clear" w:color="auto" w:fill="FFFFFF"/>
        </w:rPr>
      </w:pPr>
      <w:r>
        <w:rPr>
          <w:rFonts w:ascii="Times New Roman" w:hAnsi="Times New Roman"/>
          <w:snapToGrid w:val="0"/>
          <w:color w:val="auto"/>
          <w:spacing w:val="15"/>
          <w:sz w:val="21"/>
          <w:szCs w:val="21"/>
          <w:shd w:val="clear" w:color="auto" w:fill="FFFFFF"/>
        </w:rPr>
        <w:t>发生应承担保证责任情形的，我方在保证金额内向贵方支付，并赔偿因此给贵方造成的损失，以及利息和律师费、诉讼费用等实现债权的费用。</w:t>
      </w:r>
    </w:p>
    <w:p w14:paraId="3B4B6BEA">
      <w:pPr>
        <w:pStyle w:val="38"/>
        <w:pBdr>
          <w:top w:val="none" w:color="000000" w:sz="0" w:space="0"/>
          <w:left w:val="none" w:color="000000" w:sz="0" w:space="0"/>
          <w:bottom w:val="none" w:color="000000" w:sz="0" w:space="0"/>
          <w:right w:val="none" w:color="000000" w:sz="0" w:space="0"/>
        </w:pBdr>
        <w:spacing w:before="0" w:beforeAutospacing="0" w:after="0" w:afterAutospacing="0" w:line="360" w:lineRule="auto"/>
        <w:ind w:firstLine="480"/>
        <w:jc w:val="both"/>
        <w:rPr>
          <w:rStyle w:val="39"/>
          <w:rFonts w:ascii="Times New Roman" w:hAnsi="Times New Roman"/>
          <w:snapToGrid w:val="0"/>
          <w:color w:val="auto"/>
          <w:spacing w:val="15"/>
          <w:sz w:val="21"/>
          <w:szCs w:val="21"/>
          <w:shd w:val="clear" w:color="auto" w:fill="FFFFFF"/>
        </w:rPr>
      </w:pPr>
      <w:r>
        <w:rPr>
          <w:rStyle w:val="39"/>
          <w:rFonts w:ascii="Times New Roman" w:hAnsi="Times New Roman"/>
          <w:snapToGrid w:val="0"/>
          <w:color w:val="auto"/>
          <w:spacing w:val="15"/>
          <w:sz w:val="21"/>
          <w:szCs w:val="21"/>
          <w:shd w:val="clear" w:color="auto" w:fill="FFFFFF"/>
        </w:rPr>
        <w:t>四、代偿的安排</w:t>
      </w:r>
    </w:p>
    <w:p w14:paraId="42557D81">
      <w:pPr>
        <w:pStyle w:val="38"/>
        <w:pBdr>
          <w:top w:val="none" w:color="000000" w:sz="0" w:space="0"/>
          <w:left w:val="none" w:color="000000" w:sz="0" w:space="0"/>
          <w:bottom w:val="none" w:color="000000" w:sz="0" w:space="0"/>
          <w:right w:val="none" w:color="000000" w:sz="0" w:space="0"/>
        </w:pBdr>
        <w:spacing w:before="0" w:beforeAutospacing="0" w:after="0" w:afterAutospacing="0" w:line="360" w:lineRule="auto"/>
        <w:ind w:firstLine="480"/>
        <w:jc w:val="both"/>
        <w:rPr>
          <w:rFonts w:ascii="Times New Roman" w:hAnsi="Times New Roman"/>
          <w:snapToGrid w:val="0"/>
          <w:color w:val="auto"/>
          <w:spacing w:val="15"/>
          <w:sz w:val="21"/>
          <w:szCs w:val="21"/>
          <w:shd w:val="clear" w:color="auto" w:fill="FFFFFF"/>
        </w:rPr>
      </w:pPr>
      <w:r>
        <w:rPr>
          <w:rFonts w:ascii="Times New Roman" w:hAnsi="Times New Roman"/>
          <w:snapToGrid w:val="0"/>
          <w:color w:val="auto"/>
          <w:spacing w:val="15"/>
          <w:sz w:val="21"/>
          <w:szCs w:val="21"/>
          <w:shd w:val="clear" w:color="auto" w:fill="FFFFFF"/>
        </w:rPr>
        <w:t>1.贵方要求我方承担保证责任的，应向我方发出书面索赔通知及承包人未履行主合同约定义务的证明材料。索赔通知应写明要求索赔的金额，支付款项应到达的帐号，并附有说明承包人违反主合同造成贵方损失情况的证明材料。</w:t>
      </w:r>
    </w:p>
    <w:p w14:paraId="126F66EA">
      <w:pPr>
        <w:pStyle w:val="38"/>
        <w:pBdr>
          <w:top w:val="none" w:color="000000" w:sz="0" w:space="0"/>
          <w:left w:val="none" w:color="000000" w:sz="0" w:space="0"/>
          <w:bottom w:val="none" w:color="000000" w:sz="0" w:space="0"/>
          <w:right w:val="none" w:color="000000" w:sz="0" w:space="0"/>
        </w:pBdr>
        <w:spacing w:before="0" w:beforeAutospacing="0" w:after="0" w:afterAutospacing="0" w:line="360" w:lineRule="auto"/>
        <w:ind w:firstLine="480"/>
        <w:jc w:val="both"/>
        <w:rPr>
          <w:rFonts w:ascii="Times New Roman" w:hAnsi="Times New Roman"/>
          <w:snapToGrid w:val="0"/>
          <w:color w:val="auto"/>
          <w:spacing w:val="15"/>
          <w:sz w:val="21"/>
          <w:szCs w:val="21"/>
          <w:shd w:val="clear" w:color="auto" w:fill="FFFFFF"/>
        </w:rPr>
      </w:pPr>
      <w:r>
        <w:rPr>
          <w:rFonts w:ascii="Times New Roman" w:hAnsi="Times New Roman"/>
          <w:snapToGrid w:val="0"/>
          <w:color w:val="auto"/>
          <w:spacing w:val="15"/>
          <w:sz w:val="21"/>
          <w:szCs w:val="21"/>
          <w:shd w:val="clear" w:color="auto" w:fill="FFFFFF"/>
        </w:rPr>
        <w:t>2.我方收到贵方的书面索赔通知及相应证明材料后，在    工作日内进行核定后按照本保函的承诺承担保证责任。</w:t>
      </w:r>
    </w:p>
    <w:p w14:paraId="4036B4E6">
      <w:pPr>
        <w:pStyle w:val="38"/>
        <w:pBdr>
          <w:top w:val="none" w:color="000000" w:sz="0" w:space="0"/>
          <w:left w:val="none" w:color="000000" w:sz="0" w:space="0"/>
          <w:bottom w:val="none" w:color="000000" w:sz="0" w:space="0"/>
          <w:right w:val="none" w:color="000000" w:sz="0" w:space="0"/>
        </w:pBdr>
        <w:spacing w:before="0" w:beforeAutospacing="0" w:after="0" w:afterAutospacing="0" w:line="360" w:lineRule="auto"/>
        <w:ind w:firstLine="480"/>
        <w:jc w:val="both"/>
        <w:rPr>
          <w:rStyle w:val="39"/>
          <w:rFonts w:ascii="Times New Roman" w:hAnsi="Times New Roman"/>
          <w:snapToGrid w:val="0"/>
          <w:color w:val="auto"/>
          <w:spacing w:val="15"/>
          <w:sz w:val="21"/>
          <w:szCs w:val="21"/>
          <w:shd w:val="clear" w:color="auto" w:fill="FFFFFF"/>
        </w:rPr>
      </w:pPr>
      <w:r>
        <w:rPr>
          <w:rStyle w:val="39"/>
          <w:rFonts w:ascii="Times New Roman" w:hAnsi="Times New Roman"/>
          <w:snapToGrid w:val="0"/>
          <w:color w:val="auto"/>
          <w:spacing w:val="15"/>
          <w:sz w:val="21"/>
          <w:szCs w:val="21"/>
          <w:shd w:val="clear" w:color="auto" w:fill="FFFFFF"/>
        </w:rPr>
        <w:t>五、保证担保责任的解除</w:t>
      </w:r>
    </w:p>
    <w:p w14:paraId="15384A07">
      <w:pPr>
        <w:pStyle w:val="38"/>
        <w:pBdr>
          <w:top w:val="none" w:color="000000" w:sz="0" w:space="0"/>
          <w:left w:val="none" w:color="000000" w:sz="0" w:space="0"/>
          <w:bottom w:val="none" w:color="000000" w:sz="0" w:space="0"/>
          <w:right w:val="none" w:color="000000" w:sz="0" w:space="0"/>
        </w:pBdr>
        <w:spacing w:before="0" w:beforeAutospacing="0" w:after="0" w:afterAutospacing="0" w:line="360" w:lineRule="auto"/>
        <w:ind w:firstLine="480"/>
        <w:jc w:val="both"/>
        <w:rPr>
          <w:rFonts w:ascii="Times New Roman" w:hAnsi="Times New Roman"/>
          <w:snapToGrid w:val="0"/>
          <w:color w:val="auto"/>
          <w:spacing w:val="15"/>
          <w:sz w:val="21"/>
          <w:szCs w:val="21"/>
          <w:shd w:val="clear" w:color="auto" w:fill="FFFFFF"/>
        </w:rPr>
      </w:pPr>
      <w:r>
        <w:rPr>
          <w:rFonts w:ascii="Times New Roman" w:hAnsi="Times New Roman"/>
          <w:snapToGrid w:val="0"/>
          <w:color w:val="auto"/>
          <w:spacing w:val="15"/>
          <w:sz w:val="21"/>
          <w:szCs w:val="21"/>
          <w:shd w:val="clear" w:color="auto" w:fill="FFFFFF"/>
        </w:rPr>
        <w:t>1.保证期间届满贵方未向我方书面主张保证责任的，自保证期间届满次日起，我方解除保证责任。</w:t>
      </w:r>
    </w:p>
    <w:p w14:paraId="6B81AFB3">
      <w:pPr>
        <w:pStyle w:val="38"/>
        <w:pBdr>
          <w:top w:val="none" w:color="000000" w:sz="0" w:space="0"/>
          <w:left w:val="none" w:color="000000" w:sz="0" w:space="0"/>
          <w:bottom w:val="none" w:color="000000" w:sz="0" w:space="0"/>
          <w:right w:val="none" w:color="000000" w:sz="0" w:space="0"/>
        </w:pBdr>
        <w:spacing w:before="0" w:beforeAutospacing="0" w:after="0" w:afterAutospacing="0" w:line="360" w:lineRule="auto"/>
        <w:ind w:firstLine="480"/>
        <w:jc w:val="both"/>
        <w:rPr>
          <w:rFonts w:ascii="Times New Roman" w:hAnsi="Times New Roman"/>
          <w:snapToGrid w:val="0"/>
          <w:color w:val="auto"/>
          <w:spacing w:val="15"/>
          <w:sz w:val="21"/>
          <w:szCs w:val="21"/>
          <w:shd w:val="clear" w:color="auto" w:fill="FFFFFF"/>
        </w:rPr>
      </w:pPr>
      <w:r>
        <w:rPr>
          <w:rFonts w:ascii="Times New Roman" w:hAnsi="Times New Roman"/>
          <w:snapToGrid w:val="0"/>
          <w:color w:val="auto"/>
          <w:spacing w:val="15"/>
          <w:sz w:val="21"/>
          <w:szCs w:val="21"/>
          <w:shd w:val="clear" w:color="auto" w:fill="FFFFFF"/>
        </w:rPr>
        <w:t>2.我方按照本保证担保向贵方履行了保证担保责任后，自我方向贵方支付的金额达到最高保证担保金额之日起，保证担保责任解除。</w:t>
      </w:r>
    </w:p>
    <w:p w14:paraId="1A14EA01">
      <w:pPr>
        <w:pStyle w:val="38"/>
        <w:pBdr>
          <w:top w:val="none" w:color="000000" w:sz="0" w:space="0"/>
          <w:left w:val="none" w:color="000000" w:sz="0" w:space="0"/>
          <w:bottom w:val="none" w:color="000000" w:sz="0" w:space="0"/>
          <w:right w:val="none" w:color="000000" w:sz="0" w:space="0"/>
        </w:pBdr>
        <w:spacing w:before="0" w:beforeAutospacing="0" w:after="0" w:afterAutospacing="0" w:line="360" w:lineRule="auto"/>
        <w:ind w:firstLine="480"/>
        <w:jc w:val="both"/>
        <w:rPr>
          <w:rFonts w:ascii="Times New Roman" w:hAnsi="Times New Roman"/>
          <w:snapToGrid w:val="0"/>
          <w:color w:val="auto"/>
          <w:spacing w:val="15"/>
          <w:sz w:val="21"/>
          <w:szCs w:val="21"/>
          <w:shd w:val="clear" w:color="auto" w:fill="FFFFFF"/>
        </w:rPr>
      </w:pPr>
      <w:r>
        <w:rPr>
          <w:rFonts w:ascii="Times New Roman" w:hAnsi="Times New Roman"/>
          <w:snapToGrid w:val="0"/>
          <w:color w:val="auto"/>
          <w:spacing w:val="15"/>
          <w:sz w:val="21"/>
          <w:szCs w:val="21"/>
          <w:shd w:val="clear" w:color="auto" w:fill="FFFFFF"/>
        </w:rPr>
        <w:t>3.按照法律法规的规定应解除我方保证担保责任的其它情形的，我方在本保证担保项下的保证担保责任亦解除。</w:t>
      </w:r>
    </w:p>
    <w:p w14:paraId="65FB3758">
      <w:pPr>
        <w:pStyle w:val="38"/>
        <w:pBdr>
          <w:top w:val="none" w:color="000000" w:sz="0" w:space="0"/>
          <w:left w:val="none" w:color="000000" w:sz="0" w:space="0"/>
          <w:bottom w:val="none" w:color="000000" w:sz="0" w:space="0"/>
          <w:right w:val="none" w:color="000000" w:sz="0" w:space="0"/>
        </w:pBdr>
        <w:spacing w:before="0" w:beforeAutospacing="0" w:after="0" w:afterAutospacing="0" w:line="360" w:lineRule="auto"/>
        <w:ind w:firstLine="480"/>
        <w:jc w:val="both"/>
        <w:rPr>
          <w:rFonts w:ascii="Times New Roman" w:hAnsi="Times New Roman"/>
          <w:snapToGrid w:val="0"/>
          <w:color w:val="auto"/>
          <w:spacing w:val="15"/>
          <w:sz w:val="21"/>
          <w:szCs w:val="21"/>
          <w:shd w:val="clear" w:color="auto" w:fill="FFFFFF"/>
        </w:rPr>
      </w:pPr>
      <w:r>
        <w:rPr>
          <w:rFonts w:ascii="Times New Roman" w:hAnsi="Times New Roman"/>
          <w:snapToGrid w:val="0"/>
          <w:color w:val="auto"/>
          <w:spacing w:val="15"/>
          <w:sz w:val="21"/>
          <w:szCs w:val="21"/>
          <w:shd w:val="clear" w:color="auto" w:fill="FFFFFF"/>
        </w:rPr>
        <w:t>4.我方解除保证责任后，贵方应按上述约定，自我方保证担保责任解除之日起七日内，将本保证担保原件返还我方。但是不论贵方是否按此要求将本保证担保原件退回我方，我方在本保证担保项下的义务和责任均自保证担保责任解除之日自动消灭。</w:t>
      </w:r>
    </w:p>
    <w:p w14:paraId="76AE4E10">
      <w:pPr>
        <w:pStyle w:val="38"/>
        <w:pBdr>
          <w:top w:val="none" w:color="000000" w:sz="0" w:space="0"/>
          <w:left w:val="none" w:color="000000" w:sz="0" w:space="0"/>
          <w:bottom w:val="none" w:color="000000" w:sz="0" w:space="0"/>
          <w:right w:val="none" w:color="000000" w:sz="0" w:space="0"/>
        </w:pBdr>
        <w:spacing w:before="0" w:beforeAutospacing="0" w:after="0" w:afterAutospacing="0" w:line="360" w:lineRule="auto"/>
        <w:ind w:firstLine="480"/>
        <w:jc w:val="both"/>
        <w:rPr>
          <w:rStyle w:val="39"/>
          <w:rFonts w:ascii="Times New Roman" w:hAnsi="Times New Roman"/>
          <w:snapToGrid w:val="0"/>
          <w:color w:val="auto"/>
          <w:spacing w:val="15"/>
          <w:sz w:val="21"/>
          <w:szCs w:val="21"/>
          <w:shd w:val="clear" w:color="auto" w:fill="FFFFFF"/>
        </w:rPr>
      </w:pPr>
      <w:r>
        <w:rPr>
          <w:rStyle w:val="39"/>
          <w:rFonts w:ascii="Times New Roman" w:hAnsi="Times New Roman"/>
          <w:snapToGrid w:val="0"/>
          <w:color w:val="auto"/>
          <w:spacing w:val="15"/>
          <w:sz w:val="21"/>
          <w:szCs w:val="21"/>
          <w:shd w:val="clear" w:color="auto" w:fill="FFFFFF"/>
        </w:rPr>
        <w:t>六、免责条款</w:t>
      </w:r>
    </w:p>
    <w:p w14:paraId="537E1205">
      <w:pPr>
        <w:pStyle w:val="38"/>
        <w:pBdr>
          <w:top w:val="none" w:color="000000" w:sz="0" w:space="0"/>
          <w:left w:val="none" w:color="000000" w:sz="0" w:space="0"/>
          <w:bottom w:val="none" w:color="000000" w:sz="0" w:space="0"/>
          <w:right w:val="none" w:color="000000" w:sz="0" w:space="0"/>
        </w:pBdr>
        <w:spacing w:before="0" w:beforeAutospacing="0" w:after="0" w:afterAutospacing="0" w:line="360" w:lineRule="auto"/>
        <w:ind w:firstLine="480"/>
        <w:jc w:val="both"/>
        <w:rPr>
          <w:rFonts w:ascii="Times New Roman" w:hAnsi="Times New Roman"/>
          <w:snapToGrid w:val="0"/>
          <w:color w:val="auto"/>
          <w:spacing w:val="15"/>
          <w:sz w:val="21"/>
          <w:szCs w:val="21"/>
          <w:shd w:val="clear" w:color="auto" w:fill="FFFFFF"/>
        </w:rPr>
      </w:pPr>
      <w:r>
        <w:rPr>
          <w:rFonts w:ascii="Times New Roman" w:hAnsi="Times New Roman"/>
          <w:snapToGrid w:val="0"/>
          <w:color w:val="auto"/>
          <w:spacing w:val="15"/>
          <w:sz w:val="21"/>
          <w:szCs w:val="21"/>
          <w:shd w:val="clear" w:color="auto" w:fill="FFFFFF"/>
        </w:rPr>
        <w:t>1.因贵方原因致使发生应承担保证责任情形的，我方不承担保证担保责任。</w:t>
      </w:r>
    </w:p>
    <w:p w14:paraId="18A00B44">
      <w:pPr>
        <w:pStyle w:val="38"/>
        <w:pBdr>
          <w:top w:val="none" w:color="000000" w:sz="0" w:space="0"/>
          <w:left w:val="none" w:color="000000" w:sz="0" w:space="0"/>
          <w:bottom w:val="none" w:color="000000" w:sz="0" w:space="0"/>
          <w:right w:val="none" w:color="000000" w:sz="0" w:space="0"/>
        </w:pBdr>
        <w:spacing w:before="0" w:beforeAutospacing="0" w:after="0" w:afterAutospacing="0" w:line="360" w:lineRule="auto"/>
        <w:ind w:firstLine="480"/>
        <w:jc w:val="both"/>
        <w:rPr>
          <w:rFonts w:ascii="Times New Roman" w:hAnsi="Times New Roman"/>
          <w:snapToGrid w:val="0"/>
          <w:color w:val="auto"/>
          <w:spacing w:val="15"/>
          <w:sz w:val="21"/>
          <w:szCs w:val="21"/>
          <w:shd w:val="clear" w:color="auto" w:fill="FFFFFF"/>
        </w:rPr>
      </w:pPr>
      <w:r>
        <w:rPr>
          <w:rFonts w:ascii="Times New Roman" w:hAnsi="Times New Roman"/>
          <w:snapToGrid w:val="0"/>
          <w:color w:val="auto"/>
          <w:spacing w:val="15"/>
          <w:sz w:val="21"/>
          <w:szCs w:val="21"/>
          <w:shd w:val="clear" w:color="auto" w:fill="FFFFFF"/>
        </w:rPr>
        <w:t>2.依照法律规定或贵方与承包人的另行约定，免除承包人部分或全部义务的，我方亦免除其相应的保证担保责任。</w:t>
      </w:r>
    </w:p>
    <w:p w14:paraId="2FA966AA">
      <w:pPr>
        <w:pStyle w:val="38"/>
        <w:pBdr>
          <w:top w:val="none" w:color="000000" w:sz="0" w:space="0"/>
          <w:left w:val="none" w:color="000000" w:sz="0" w:space="0"/>
          <w:bottom w:val="none" w:color="000000" w:sz="0" w:space="0"/>
          <w:right w:val="none" w:color="000000" w:sz="0" w:space="0"/>
        </w:pBdr>
        <w:spacing w:before="0" w:beforeAutospacing="0" w:after="0" w:afterAutospacing="0" w:line="360" w:lineRule="auto"/>
        <w:ind w:firstLine="480"/>
        <w:jc w:val="both"/>
        <w:rPr>
          <w:rFonts w:ascii="Times New Roman" w:hAnsi="Times New Roman"/>
          <w:snapToGrid w:val="0"/>
          <w:color w:val="auto"/>
          <w:spacing w:val="15"/>
          <w:sz w:val="21"/>
          <w:szCs w:val="21"/>
          <w:shd w:val="clear" w:color="auto" w:fill="FFFFFF"/>
        </w:rPr>
      </w:pPr>
      <w:r>
        <w:rPr>
          <w:rFonts w:ascii="Times New Roman" w:hAnsi="Times New Roman"/>
          <w:snapToGrid w:val="0"/>
          <w:color w:val="auto"/>
          <w:spacing w:val="15"/>
          <w:sz w:val="21"/>
          <w:szCs w:val="21"/>
          <w:shd w:val="clear" w:color="auto" w:fill="FFFFFF"/>
        </w:rPr>
        <w:t>3.因不可抗力造成发生应承担保证责任情形的，我方不承担保证担保责任。</w:t>
      </w:r>
    </w:p>
    <w:p w14:paraId="303CC783">
      <w:pPr>
        <w:pStyle w:val="38"/>
        <w:pBdr>
          <w:top w:val="none" w:color="000000" w:sz="0" w:space="0"/>
          <w:left w:val="none" w:color="000000" w:sz="0" w:space="0"/>
          <w:bottom w:val="none" w:color="000000" w:sz="0" w:space="0"/>
          <w:right w:val="none" w:color="000000" w:sz="0" w:space="0"/>
        </w:pBdr>
        <w:spacing w:before="0" w:beforeAutospacing="0" w:after="0" w:afterAutospacing="0" w:line="360" w:lineRule="auto"/>
        <w:ind w:firstLine="480"/>
        <w:jc w:val="both"/>
        <w:rPr>
          <w:rStyle w:val="39"/>
          <w:rFonts w:ascii="Times New Roman" w:hAnsi="Times New Roman"/>
          <w:snapToGrid w:val="0"/>
          <w:color w:val="auto"/>
          <w:spacing w:val="15"/>
          <w:sz w:val="21"/>
          <w:szCs w:val="21"/>
          <w:shd w:val="clear" w:color="auto" w:fill="FFFFFF"/>
        </w:rPr>
      </w:pPr>
      <w:r>
        <w:rPr>
          <w:rStyle w:val="39"/>
          <w:rFonts w:ascii="Times New Roman" w:hAnsi="Times New Roman"/>
          <w:snapToGrid w:val="0"/>
          <w:color w:val="auto"/>
          <w:spacing w:val="15"/>
          <w:sz w:val="21"/>
          <w:szCs w:val="21"/>
          <w:shd w:val="clear" w:color="auto" w:fill="FFFFFF"/>
        </w:rPr>
        <w:t>七、其他</w:t>
      </w:r>
    </w:p>
    <w:p w14:paraId="3A302D8F">
      <w:pPr>
        <w:pStyle w:val="38"/>
        <w:pBdr>
          <w:top w:val="none" w:color="000000" w:sz="0" w:space="0"/>
          <w:left w:val="none" w:color="000000" w:sz="0" w:space="0"/>
          <w:bottom w:val="none" w:color="000000" w:sz="0" w:space="0"/>
          <w:right w:val="none" w:color="000000" w:sz="0" w:space="0"/>
        </w:pBdr>
        <w:spacing w:before="0" w:beforeAutospacing="0" w:after="0" w:afterAutospacing="0" w:line="360" w:lineRule="auto"/>
        <w:ind w:firstLine="480"/>
        <w:jc w:val="both"/>
        <w:rPr>
          <w:rFonts w:ascii="Times New Roman" w:hAnsi="Times New Roman"/>
          <w:snapToGrid w:val="0"/>
          <w:color w:val="auto"/>
          <w:spacing w:val="15"/>
          <w:sz w:val="21"/>
          <w:szCs w:val="21"/>
          <w:shd w:val="clear" w:color="auto" w:fill="FFFFFF"/>
        </w:rPr>
      </w:pPr>
      <w:r>
        <w:rPr>
          <w:rFonts w:ascii="Times New Roman" w:hAnsi="Times New Roman"/>
          <w:snapToGrid w:val="0"/>
          <w:color w:val="auto"/>
          <w:spacing w:val="15"/>
          <w:sz w:val="21"/>
          <w:szCs w:val="21"/>
          <w:shd w:val="clear" w:color="auto" w:fill="FFFFFF"/>
        </w:rPr>
        <w:t>1.本保证担保项下的权利不得转让，不得设定担保。贵方未经我方书面同意转让本保证担保或其项下任何权利，对我方不发生法律效力。</w:t>
      </w:r>
    </w:p>
    <w:p w14:paraId="21BB42C3">
      <w:pPr>
        <w:pStyle w:val="38"/>
        <w:pBdr>
          <w:top w:val="none" w:color="000000" w:sz="0" w:space="0"/>
          <w:left w:val="none" w:color="000000" w:sz="0" w:space="0"/>
          <w:bottom w:val="none" w:color="000000" w:sz="0" w:space="0"/>
          <w:right w:val="none" w:color="000000" w:sz="0" w:space="0"/>
        </w:pBdr>
        <w:spacing w:before="0" w:beforeAutospacing="0" w:after="0" w:afterAutospacing="0" w:line="360" w:lineRule="auto"/>
        <w:ind w:firstLine="480"/>
        <w:jc w:val="both"/>
        <w:rPr>
          <w:rFonts w:ascii="Times New Roman" w:hAnsi="Times New Roman"/>
          <w:snapToGrid w:val="0"/>
          <w:color w:val="auto"/>
          <w:spacing w:val="15"/>
          <w:sz w:val="21"/>
          <w:szCs w:val="21"/>
          <w:shd w:val="clear" w:color="auto" w:fill="FFFFFF"/>
        </w:rPr>
      </w:pPr>
      <w:r>
        <w:rPr>
          <w:rFonts w:ascii="Times New Roman" w:hAnsi="Times New Roman"/>
          <w:snapToGrid w:val="0"/>
          <w:color w:val="auto"/>
          <w:spacing w:val="15"/>
          <w:sz w:val="21"/>
          <w:szCs w:val="21"/>
          <w:shd w:val="clear" w:color="auto" w:fill="FFFFFF"/>
        </w:rPr>
        <w:t>2.本保证担保适用的法律为中华人民共和国法律，争议裁判管辖地为中华人民共和国     。</w:t>
      </w:r>
    </w:p>
    <w:p w14:paraId="59960C5B">
      <w:pPr>
        <w:pStyle w:val="38"/>
        <w:pBdr>
          <w:top w:val="none" w:color="000000" w:sz="0" w:space="0"/>
          <w:left w:val="none" w:color="000000" w:sz="0" w:space="0"/>
          <w:bottom w:val="none" w:color="000000" w:sz="0" w:space="0"/>
          <w:right w:val="none" w:color="000000" w:sz="0" w:space="0"/>
        </w:pBdr>
        <w:spacing w:before="0" w:beforeAutospacing="0" w:after="0" w:afterAutospacing="0" w:line="360" w:lineRule="auto"/>
        <w:ind w:firstLine="480"/>
        <w:jc w:val="both"/>
        <w:rPr>
          <w:rFonts w:ascii="Times New Roman" w:hAnsi="Times New Roman"/>
          <w:snapToGrid w:val="0"/>
          <w:color w:val="auto"/>
          <w:spacing w:val="15"/>
          <w:sz w:val="21"/>
          <w:szCs w:val="21"/>
          <w:shd w:val="clear" w:color="auto" w:fill="FFFFFF"/>
        </w:rPr>
      </w:pPr>
      <w:r>
        <w:rPr>
          <w:rFonts w:ascii="Times New Roman" w:hAnsi="Times New Roman"/>
          <w:snapToGrid w:val="0"/>
          <w:color w:val="auto"/>
          <w:spacing w:val="15"/>
          <w:sz w:val="21"/>
          <w:szCs w:val="21"/>
          <w:shd w:val="clear" w:color="auto" w:fill="FFFFFF"/>
        </w:rPr>
        <w:t>3.本保证担保自我方法定代表人或授权代表签字并加盖公章之日起生效。</w:t>
      </w:r>
    </w:p>
    <w:p w14:paraId="50CF249F">
      <w:pPr>
        <w:pStyle w:val="38"/>
        <w:pBdr>
          <w:top w:val="none" w:color="000000" w:sz="0" w:space="0"/>
          <w:left w:val="none" w:color="000000" w:sz="0" w:space="0"/>
          <w:bottom w:val="none" w:color="000000" w:sz="0" w:space="0"/>
          <w:right w:val="none" w:color="000000" w:sz="0" w:space="0"/>
        </w:pBdr>
        <w:spacing w:before="0" w:beforeAutospacing="0" w:after="0" w:afterAutospacing="0" w:line="360" w:lineRule="auto"/>
        <w:ind w:firstLine="480"/>
        <w:jc w:val="both"/>
        <w:rPr>
          <w:rFonts w:ascii="Times New Roman" w:hAnsi="Times New Roman"/>
          <w:snapToGrid w:val="0"/>
          <w:color w:val="auto"/>
          <w:sz w:val="21"/>
          <w:szCs w:val="21"/>
        </w:rPr>
      </w:pPr>
    </w:p>
    <w:p w14:paraId="7E779A3F">
      <w:pPr>
        <w:pStyle w:val="38"/>
        <w:pBdr>
          <w:top w:val="none" w:color="000000" w:sz="0" w:space="0"/>
          <w:left w:val="none" w:color="000000" w:sz="0" w:space="0"/>
          <w:bottom w:val="none" w:color="000000" w:sz="0" w:space="0"/>
          <w:right w:val="none" w:color="000000" w:sz="0" w:space="0"/>
        </w:pBdr>
        <w:spacing w:before="0" w:beforeAutospacing="0" w:after="0" w:afterAutospacing="0" w:line="360" w:lineRule="auto"/>
        <w:ind w:firstLine="480"/>
        <w:jc w:val="both"/>
        <w:rPr>
          <w:rFonts w:ascii="Times New Roman" w:hAnsi="Times New Roman"/>
          <w:snapToGrid w:val="0"/>
          <w:color w:val="auto"/>
          <w:spacing w:val="15"/>
          <w:sz w:val="21"/>
          <w:szCs w:val="21"/>
          <w:shd w:val="clear" w:color="auto" w:fill="FFFFFF"/>
        </w:rPr>
      </w:pPr>
      <w:r>
        <w:rPr>
          <w:rFonts w:ascii="Times New Roman" w:hAnsi="Times New Roman"/>
          <w:snapToGrid w:val="0"/>
          <w:color w:val="auto"/>
          <w:spacing w:val="15"/>
          <w:sz w:val="21"/>
          <w:szCs w:val="21"/>
          <w:shd w:val="clear" w:color="auto" w:fill="FFFFFF"/>
        </w:rPr>
        <w:t>保 证 人：                       （公章）</w:t>
      </w:r>
    </w:p>
    <w:p w14:paraId="14974EC3">
      <w:pPr>
        <w:pStyle w:val="38"/>
        <w:pBdr>
          <w:top w:val="none" w:color="000000" w:sz="0" w:space="0"/>
          <w:left w:val="none" w:color="000000" w:sz="0" w:space="0"/>
          <w:bottom w:val="none" w:color="000000" w:sz="0" w:space="0"/>
          <w:right w:val="none" w:color="000000" w:sz="0" w:space="0"/>
        </w:pBdr>
        <w:spacing w:before="0" w:beforeAutospacing="0" w:after="0" w:afterAutospacing="0" w:line="360" w:lineRule="auto"/>
        <w:ind w:firstLine="480"/>
        <w:jc w:val="both"/>
        <w:rPr>
          <w:rFonts w:ascii="Times New Roman" w:hAnsi="Times New Roman"/>
          <w:snapToGrid w:val="0"/>
          <w:color w:val="auto"/>
          <w:spacing w:val="15"/>
          <w:sz w:val="21"/>
          <w:szCs w:val="21"/>
          <w:shd w:val="clear" w:color="auto" w:fill="FFFFFF"/>
        </w:rPr>
      </w:pPr>
      <w:r>
        <w:rPr>
          <w:rFonts w:ascii="Times New Roman" w:hAnsi="Times New Roman"/>
          <w:snapToGrid w:val="0"/>
          <w:color w:val="auto"/>
          <w:spacing w:val="15"/>
          <w:sz w:val="21"/>
          <w:szCs w:val="21"/>
          <w:shd w:val="clear" w:color="auto" w:fill="FFFFFF"/>
        </w:rPr>
        <w:t>法定代表人（或授权代表）：               （签字）</w:t>
      </w:r>
    </w:p>
    <w:p w14:paraId="070DB16D">
      <w:pPr>
        <w:pStyle w:val="38"/>
        <w:pBdr>
          <w:top w:val="none" w:color="000000" w:sz="0" w:space="0"/>
          <w:left w:val="none" w:color="000000" w:sz="0" w:space="0"/>
          <w:bottom w:val="none" w:color="000000" w:sz="0" w:space="0"/>
          <w:right w:val="none" w:color="000000" w:sz="0" w:space="0"/>
        </w:pBdr>
        <w:spacing w:before="0" w:beforeAutospacing="0" w:after="0" w:afterAutospacing="0" w:line="360" w:lineRule="auto"/>
        <w:ind w:firstLine="480"/>
        <w:jc w:val="both"/>
        <w:rPr>
          <w:rFonts w:ascii="Times New Roman" w:hAnsi="Times New Roman"/>
          <w:snapToGrid w:val="0"/>
          <w:color w:val="auto"/>
          <w:spacing w:val="15"/>
          <w:sz w:val="21"/>
          <w:szCs w:val="21"/>
          <w:shd w:val="clear" w:color="auto" w:fill="FFFFFF"/>
        </w:rPr>
      </w:pPr>
      <w:r>
        <w:rPr>
          <w:rFonts w:ascii="Times New Roman" w:hAnsi="Times New Roman"/>
          <w:snapToGrid w:val="0"/>
          <w:color w:val="auto"/>
          <w:spacing w:val="15"/>
          <w:sz w:val="21"/>
          <w:szCs w:val="21"/>
          <w:shd w:val="clear" w:color="auto" w:fill="FFFFFF"/>
        </w:rPr>
        <w:t>地    址：                                  </w:t>
      </w:r>
    </w:p>
    <w:p w14:paraId="3833F469">
      <w:pPr>
        <w:pStyle w:val="38"/>
        <w:pBdr>
          <w:top w:val="none" w:color="000000" w:sz="0" w:space="0"/>
          <w:left w:val="none" w:color="000000" w:sz="0" w:space="0"/>
          <w:bottom w:val="none" w:color="000000" w:sz="0" w:space="0"/>
          <w:right w:val="none" w:color="000000" w:sz="0" w:space="0"/>
        </w:pBdr>
        <w:spacing w:before="0" w:beforeAutospacing="0" w:after="0" w:afterAutospacing="0" w:line="360" w:lineRule="auto"/>
        <w:ind w:firstLine="480"/>
        <w:jc w:val="both"/>
        <w:rPr>
          <w:rFonts w:ascii="Times New Roman" w:hAnsi="Times New Roman"/>
          <w:snapToGrid w:val="0"/>
          <w:color w:val="auto"/>
          <w:spacing w:val="15"/>
          <w:sz w:val="21"/>
          <w:szCs w:val="21"/>
          <w:shd w:val="clear" w:color="auto" w:fill="FFFFFF"/>
        </w:rPr>
      </w:pPr>
      <w:r>
        <w:rPr>
          <w:rFonts w:ascii="Times New Roman" w:hAnsi="Times New Roman"/>
          <w:snapToGrid w:val="0"/>
          <w:color w:val="auto"/>
          <w:spacing w:val="15"/>
          <w:sz w:val="21"/>
          <w:szCs w:val="21"/>
          <w:shd w:val="clear" w:color="auto" w:fill="FFFFFF"/>
        </w:rPr>
        <w:t>邮政编码：                </w:t>
      </w:r>
    </w:p>
    <w:p w14:paraId="7B77FEFB">
      <w:pPr>
        <w:pStyle w:val="38"/>
        <w:pBdr>
          <w:top w:val="none" w:color="000000" w:sz="0" w:space="0"/>
          <w:left w:val="none" w:color="000000" w:sz="0" w:space="0"/>
          <w:bottom w:val="none" w:color="000000" w:sz="0" w:space="0"/>
          <w:right w:val="none" w:color="000000" w:sz="0" w:space="0"/>
        </w:pBdr>
        <w:spacing w:before="0" w:beforeAutospacing="0" w:after="0" w:afterAutospacing="0" w:line="360" w:lineRule="auto"/>
        <w:ind w:firstLine="480"/>
        <w:jc w:val="both"/>
        <w:rPr>
          <w:rFonts w:ascii="Times New Roman" w:hAnsi="Times New Roman"/>
          <w:snapToGrid w:val="0"/>
          <w:color w:val="auto"/>
          <w:spacing w:val="15"/>
          <w:sz w:val="21"/>
          <w:szCs w:val="21"/>
          <w:shd w:val="clear" w:color="auto" w:fill="FFFFFF"/>
        </w:rPr>
      </w:pPr>
      <w:r>
        <w:rPr>
          <w:rFonts w:ascii="Times New Roman" w:hAnsi="Times New Roman"/>
          <w:snapToGrid w:val="0"/>
          <w:color w:val="auto"/>
          <w:spacing w:val="15"/>
          <w:sz w:val="21"/>
          <w:szCs w:val="21"/>
          <w:shd w:val="clear" w:color="auto" w:fill="FFFFFF"/>
        </w:rPr>
        <w:t>电    话：                </w:t>
      </w:r>
    </w:p>
    <w:p w14:paraId="7698BC3A">
      <w:pPr>
        <w:pStyle w:val="38"/>
        <w:spacing w:before="0" w:beforeAutospacing="0" w:after="0" w:afterAutospacing="0" w:line="360" w:lineRule="auto"/>
        <w:ind w:firstLine="480"/>
        <w:jc w:val="both"/>
        <w:rPr>
          <w:rFonts w:ascii="Times New Roman" w:hAnsi="Times New Roman"/>
          <w:snapToGrid w:val="0"/>
          <w:color w:val="auto"/>
          <w:spacing w:val="15"/>
          <w:sz w:val="21"/>
          <w:szCs w:val="21"/>
          <w:shd w:val="clear" w:color="auto" w:fill="FFFFFF"/>
        </w:rPr>
      </w:pPr>
    </w:p>
    <w:p w14:paraId="15EFC169">
      <w:pPr>
        <w:snapToGrid w:val="0"/>
        <w:spacing w:line="360" w:lineRule="auto"/>
        <w:ind w:firstLine="240" w:firstLineChars="100"/>
        <w:rPr>
          <w:snapToGrid w:val="0"/>
          <w:spacing w:val="15"/>
          <w:kern w:val="0"/>
          <w:szCs w:val="21"/>
          <w:shd w:val="clear" w:color="auto" w:fill="FFFFFF"/>
        </w:rPr>
      </w:pPr>
      <w:r>
        <w:rPr>
          <w:snapToGrid w:val="0"/>
          <w:spacing w:val="15"/>
          <w:kern w:val="0"/>
          <w:szCs w:val="21"/>
          <w:shd w:val="clear" w:color="auto" w:fill="FFFFFF"/>
        </w:rPr>
        <w:t>开立时间：      年      月        日</w:t>
      </w:r>
    </w:p>
    <w:p w14:paraId="389F1CCA">
      <w:pPr>
        <w:rPr>
          <w:rFonts w:hint="eastAsia" w:ascii="Times New Roman" w:hAnsi="Times New Roman"/>
          <w:sz w:val="21"/>
          <w:szCs w:val="21"/>
        </w:rPr>
      </w:pPr>
      <w:r>
        <w:rPr>
          <w:rFonts w:hint="eastAsia" w:ascii="Times New Roman" w:hAnsi="Times New Roman"/>
          <w:sz w:val="21"/>
          <w:szCs w:val="21"/>
        </w:rPr>
        <w:br w:type="page"/>
      </w:r>
    </w:p>
    <w:p w14:paraId="1590BC80">
      <w:pPr>
        <w:pStyle w:val="4"/>
        <w:spacing w:before="0" w:after="0" w:line="360" w:lineRule="exact"/>
        <w:ind w:firstLine="422" w:firstLineChars="200"/>
        <w:rPr>
          <w:rFonts w:ascii="宋体" w:hAnsi="宋体" w:cs="宋体"/>
          <w:sz w:val="22"/>
          <w:szCs w:val="22"/>
        </w:rPr>
      </w:pPr>
      <w:r>
        <w:rPr>
          <w:rFonts w:hint="eastAsia" w:ascii="Times New Roman" w:hAnsi="Times New Roman"/>
          <w:sz w:val="21"/>
          <w:szCs w:val="21"/>
        </w:rPr>
        <w:t>附件11：</w:t>
      </w:r>
    </w:p>
    <w:tbl>
      <w:tblPr>
        <w:tblStyle w:val="17"/>
        <w:tblW w:w="8880" w:type="dxa"/>
        <w:tblInd w:w="93" w:type="dxa"/>
        <w:tblLayout w:type="fixed"/>
        <w:tblCellMar>
          <w:top w:w="0" w:type="dxa"/>
          <w:left w:w="108" w:type="dxa"/>
          <w:bottom w:w="0" w:type="dxa"/>
          <w:right w:w="108" w:type="dxa"/>
        </w:tblCellMar>
      </w:tblPr>
      <w:tblGrid>
        <w:gridCol w:w="773"/>
        <w:gridCol w:w="3909"/>
        <w:gridCol w:w="1081"/>
        <w:gridCol w:w="1526"/>
        <w:gridCol w:w="1591"/>
      </w:tblGrid>
      <w:tr w14:paraId="347F04B8">
        <w:tblPrEx>
          <w:tblCellMar>
            <w:top w:w="0" w:type="dxa"/>
            <w:left w:w="108" w:type="dxa"/>
            <w:bottom w:w="0" w:type="dxa"/>
            <w:right w:w="108" w:type="dxa"/>
          </w:tblCellMar>
        </w:tblPrEx>
        <w:trPr>
          <w:trHeight w:val="930" w:hRule="atLeast"/>
        </w:trPr>
        <w:tc>
          <w:tcPr>
            <w:tcW w:w="8880" w:type="dxa"/>
            <w:gridSpan w:val="5"/>
            <w:tcBorders>
              <w:top w:val="nil"/>
              <w:left w:val="nil"/>
              <w:bottom w:val="nil"/>
              <w:right w:val="nil"/>
            </w:tcBorders>
            <w:shd w:val="clear" w:color="auto" w:fill="FFFFFF"/>
            <w:noWrap w:val="0"/>
            <w:vAlign w:val="center"/>
          </w:tcPr>
          <w:p w14:paraId="2C18FF5A">
            <w:pPr>
              <w:widowControl/>
              <w:jc w:val="center"/>
              <w:rPr>
                <w:rFonts w:ascii="宋体" w:hAnsi="宋体" w:cs="宋体"/>
                <w:b/>
                <w:bCs/>
                <w:color w:val="FF0000"/>
                <w:sz w:val="22"/>
                <w:szCs w:val="22"/>
              </w:rPr>
            </w:pPr>
            <w:r>
              <w:rPr>
                <w:rFonts w:hint="eastAsia" w:ascii="宋体" w:hAnsi="宋体" w:cs="宋体"/>
                <w:b/>
                <w:bCs/>
                <w:kern w:val="0"/>
                <w:sz w:val="22"/>
                <w:szCs w:val="22"/>
              </w:rPr>
              <w:t>暂估价一览表</w:t>
            </w:r>
          </w:p>
        </w:tc>
      </w:tr>
      <w:tr w14:paraId="54061BCD">
        <w:tblPrEx>
          <w:tblCellMar>
            <w:top w:w="0" w:type="dxa"/>
            <w:left w:w="108" w:type="dxa"/>
            <w:bottom w:w="0" w:type="dxa"/>
            <w:right w:w="108" w:type="dxa"/>
          </w:tblCellMar>
        </w:tblPrEx>
        <w:trPr>
          <w:trHeight w:val="449" w:hRule="atLeast"/>
        </w:trPr>
        <w:tc>
          <w:tcPr>
            <w:tcW w:w="5763" w:type="dxa"/>
            <w:gridSpan w:val="3"/>
            <w:tcBorders>
              <w:top w:val="nil"/>
              <w:left w:val="nil"/>
              <w:bottom w:val="nil"/>
              <w:right w:val="nil"/>
            </w:tcBorders>
            <w:shd w:val="clear" w:color="auto" w:fill="FFFFFF"/>
            <w:noWrap w:val="0"/>
            <w:vAlign w:val="bottom"/>
          </w:tcPr>
          <w:p w14:paraId="777CAF89">
            <w:pPr>
              <w:widowControl/>
              <w:rPr>
                <w:rFonts w:ascii="宋体" w:hAnsi="宋体" w:cs="宋体"/>
                <w:color w:val="000000"/>
                <w:sz w:val="22"/>
                <w:szCs w:val="22"/>
              </w:rPr>
            </w:pPr>
            <w:r>
              <w:rPr>
                <w:rFonts w:hint="eastAsia" w:ascii="宋体" w:hAnsi="宋体" w:cs="宋体"/>
                <w:color w:val="000000"/>
                <w:kern w:val="0"/>
                <w:sz w:val="22"/>
                <w:szCs w:val="22"/>
              </w:rPr>
              <w:t>单位工程名称：</w:t>
            </w:r>
          </w:p>
        </w:tc>
        <w:tc>
          <w:tcPr>
            <w:tcW w:w="3117" w:type="dxa"/>
            <w:gridSpan w:val="2"/>
            <w:tcBorders>
              <w:top w:val="nil"/>
              <w:left w:val="nil"/>
              <w:bottom w:val="nil"/>
              <w:right w:val="nil"/>
            </w:tcBorders>
            <w:shd w:val="clear" w:color="auto" w:fill="FFFFFF"/>
            <w:noWrap w:val="0"/>
            <w:vAlign w:val="bottom"/>
          </w:tcPr>
          <w:p w14:paraId="3DE4CC3C">
            <w:pPr>
              <w:widowControl/>
              <w:jc w:val="right"/>
              <w:rPr>
                <w:rFonts w:ascii="宋体" w:hAnsi="宋体" w:cs="宋体"/>
                <w:color w:val="000000"/>
                <w:sz w:val="22"/>
                <w:szCs w:val="22"/>
              </w:rPr>
            </w:pPr>
            <w:r>
              <w:rPr>
                <w:rFonts w:hint="eastAsia" w:ascii="宋体" w:hAnsi="宋体" w:cs="宋体"/>
                <w:color w:val="000000"/>
                <w:kern w:val="0"/>
                <w:sz w:val="22"/>
                <w:szCs w:val="22"/>
              </w:rPr>
              <w:t>第1页 共1页</w:t>
            </w:r>
          </w:p>
        </w:tc>
      </w:tr>
      <w:tr w14:paraId="5573EAEA">
        <w:tblPrEx>
          <w:tblCellMar>
            <w:top w:w="0" w:type="dxa"/>
            <w:left w:w="108" w:type="dxa"/>
            <w:bottom w:w="0" w:type="dxa"/>
            <w:right w:w="108" w:type="dxa"/>
          </w:tblCellMar>
        </w:tblPrEx>
        <w:trPr>
          <w:trHeight w:val="609" w:hRule="atLeast"/>
        </w:trPr>
        <w:tc>
          <w:tcPr>
            <w:tcW w:w="773" w:type="dxa"/>
            <w:tcBorders>
              <w:top w:val="single" w:color="000000" w:sz="4" w:space="0"/>
              <w:left w:val="single" w:color="000000" w:sz="4" w:space="0"/>
              <w:bottom w:val="nil"/>
              <w:right w:val="nil"/>
            </w:tcBorders>
            <w:shd w:val="clear" w:color="auto" w:fill="FFFFFF"/>
            <w:noWrap w:val="0"/>
            <w:vAlign w:val="center"/>
          </w:tcPr>
          <w:p w14:paraId="312AF7B4">
            <w:pPr>
              <w:widowControl/>
              <w:jc w:val="center"/>
              <w:rPr>
                <w:rFonts w:ascii="宋体" w:hAnsi="宋体" w:cs="宋体"/>
                <w:color w:val="000000"/>
                <w:sz w:val="22"/>
                <w:szCs w:val="22"/>
              </w:rPr>
            </w:pPr>
            <w:r>
              <w:rPr>
                <w:rFonts w:hint="eastAsia" w:ascii="宋体" w:hAnsi="宋体" w:cs="宋体"/>
                <w:color w:val="000000"/>
                <w:kern w:val="0"/>
                <w:sz w:val="22"/>
                <w:szCs w:val="22"/>
              </w:rPr>
              <w:t>序号</w:t>
            </w:r>
          </w:p>
        </w:tc>
        <w:tc>
          <w:tcPr>
            <w:tcW w:w="3909" w:type="dxa"/>
            <w:tcBorders>
              <w:top w:val="single" w:color="000000" w:sz="4" w:space="0"/>
              <w:left w:val="single" w:color="000000" w:sz="4" w:space="0"/>
              <w:bottom w:val="nil"/>
              <w:right w:val="nil"/>
            </w:tcBorders>
            <w:shd w:val="clear" w:color="auto" w:fill="FFFFFF"/>
            <w:noWrap w:val="0"/>
            <w:vAlign w:val="center"/>
          </w:tcPr>
          <w:p w14:paraId="690530FB">
            <w:pPr>
              <w:widowControl/>
              <w:jc w:val="center"/>
              <w:rPr>
                <w:rFonts w:ascii="宋体" w:hAnsi="宋体" w:cs="宋体"/>
                <w:color w:val="000000"/>
                <w:sz w:val="22"/>
                <w:szCs w:val="22"/>
              </w:rPr>
            </w:pPr>
            <w:r>
              <w:rPr>
                <w:rFonts w:hint="eastAsia" w:ascii="宋体" w:hAnsi="宋体" w:cs="宋体"/>
                <w:color w:val="000000"/>
                <w:kern w:val="0"/>
                <w:sz w:val="22"/>
                <w:szCs w:val="22"/>
              </w:rPr>
              <w:t>材料名称、规格、型号</w:t>
            </w:r>
          </w:p>
        </w:tc>
        <w:tc>
          <w:tcPr>
            <w:tcW w:w="1081" w:type="dxa"/>
            <w:tcBorders>
              <w:top w:val="single" w:color="000000" w:sz="4" w:space="0"/>
              <w:left w:val="single" w:color="000000" w:sz="4" w:space="0"/>
              <w:bottom w:val="nil"/>
              <w:right w:val="nil"/>
            </w:tcBorders>
            <w:shd w:val="clear" w:color="auto" w:fill="FFFFFF"/>
            <w:noWrap w:val="0"/>
            <w:vAlign w:val="center"/>
          </w:tcPr>
          <w:p w14:paraId="13DDFF2D">
            <w:pPr>
              <w:widowControl/>
              <w:jc w:val="center"/>
              <w:rPr>
                <w:rFonts w:ascii="宋体" w:hAnsi="宋体" w:cs="宋体"/>
                <w:color w:val="000000"/>
                <w:sz w:val="22"/>
                <w:szCs w:val="22"/>
              </w:rPr>
            </w:pPr>
            <w:r>
              <w:rPr>
                <w:rFonts w:hint="eastAsia" w:ascii="宋体" w:hAnsi="宋体" w:cs="宋体"/>
                <w:color w:val="000000"/>
                <w:kern w:val="0"/>
                <w:sz w:val="22"/>
                <w:szCs w:val="22"/>
              </w:rPr>
              <w:t>计量单位</w:t>
            </w:r>
          </w:p>
        </w:tc>
        <w:tc>
          <w:tcPr>
            <w:tcW w:w="1526" w:type="dxa"/>
            <w:tcBorders>
              <w:top w:val="single" w:color="000000" w:sz="4" w:space="0"/>
              <w:left w:val="single" w:color="000000" w:sz="4" w:space="0"/>
              <w:bottom w:val="nil"/>
              <w:right w:val="nil"/>
            </w:tcBorders>
            <w:shd w:val="clear" w:color="auto" w:fill="FFFFFF"/>
            <w:noWrap w:val="0"/>
            <w:vAlign w:val="center"/>
          </w:tcPr>
          <w:p w14:paraId="3CC6DD6E">
            <w:pPr>
              <w:widowControl/>
              <w:jc w:val="center"/>
              <w:rPr>
                <w:rFonts w:ascii="宋体" w:hAnsi="宋体" w:cs="宋体"/>
                <w:color w:val="000000"/>
                <w:sz w:val="22"/>
                <w:szCs w:val="22"/>
              </w:rPr>
            </w:pPr>
            <w:r>
              <w:rPr>
                <w:rFonts w:hint="eastAsia" w:ascii="宋体" w:hAnsi="宋体" w:cs="宋体"/>
                <w:color w:val="000000"/>
                <w:kern w:val="0"/>
                <w:sz w:val="22"/>
                <w:szCs w:val="22"/>
              </w:rPr>
              <w:t>合价(元)</w:t>
            </w:r>
          </w:p>
        </w:tc>
        <w:tc>
          <w:tcPr>
            <w:tcW w:w="1591" w:type="dxa"/>
            <w:tcBorders>
              <w:top w:val="single" w:color="000000" w:sz="4" w:space="0"/>
              <w:left w:val="single" w:color="000000" w:sz="4" w:space="0"/>
              <w:bottom w:val="nil"/>
              <w:right w:val="single" w:color="000000" w:sz="4" w:space="0"/>
            </w:tcBorders>
            <w:shd w:val="clear" w:color="auto" w:fill="FFFFFF"/>
            <w:noWrap w:val="0"/>
            <w:vAlign w:val="center"/>
          </w:tcPr>
          <w:p w14:paraId="6BA66C44">
            <w:pPr>
              <w:widowControl/>
              <w:jc w:val="center"/>
              <w:rPr>
                <w:rFonts w:ascii="宋体" w:hAnsi="宋体" w:cs="宋体"/>
                <w:color w:val="000000"/>
                <w:sz w:val="22"/>
                <w:szCs w:val="22"/>
              </w:rPr>
            </w:pPr>
            <w:r>
              <w:rPr>
                <w:rFonts w:hint="eastAsia" w:ascii="宋体" w:hAnsi="宋体" w:cs="宋体"/>
                <w:color w:val="000000"/>
                <w:kern w:val="0"/>
                <w:sz w:val="22"/>
                <w:szCs w:val="22"/>
              </w:rPr>
              <w:t>备注</w:t>
            </w:r>
          </w:p>
        </w:tc>
      </w:tr>
      <w:tr w14:paraId="251FE922">
        <w:tblPrEx>
          <w:tblCellMar>
            <w:top w:w="0" w:type="dxa"/>
            <w:left w:w="108" w:type="dxa"/>
            <w:bottom w:w="0" w:type="dxa"/>
            <w:right w:w="108" w:type="dxa"/>
          </w:tblCellMar>
        </w:tblPrEx>
        <w:trPr>
          <w:trHeight w:val="485" w:hRule="atLeast"/>
        </w:trPr>
        <w:tc>
          <w:tcPr>
            <w:tcW w:w="773" w:type="dxa"/>
            <w:tcBorders>
              <w:top w:val="single" w:color="000000" w:sz="4" w:space="0"/>
              <w:left w:val="single" w:color="000000" w:sz="4" w:space="0"/>
              <w:bottom w:val="nil"/>
              <w:right w:val="nil"/>
            </w:tcBorders>
            <w:shd w:val="clear" w:color="auto" w:fill="FFFFFF"/>
            <w:noWrap w:val="0"/>
            <w:vAlign w:val="center"/>
          </w:tcPr>
          <w:p w14:paraId="445BDFA7">
            <w:pPr>
              <w:widowControl/>
              <w:jc w:val="center"/>
              <w:rPr>
                <w:rFonts w:ascii="宋体" w:hAnsi="宋体" w:cs="宋体"/>
                <w:color w:val="000000"/>
                <w:sz w:val="22"/>
                <w:szCs w:val="22"/>
              </w:rPr>
            </w:pPr>
          </w:p>
        </w:tc>
        <w:tc>
          <w:tcPr>
            <w:tcW w:w="3909" w:type="dxa"/>
            <w:tcBorders>
              <w:top w:val="single" w:color="000000" w:sz="4" w:space="0"/>
              <w:left w:val="single" w:color="000000" w:sz="4" w:space="0"/>
              <w:bottom w:val="nil"/>
              <w:right w:val="nil"/>
            </w:tcBorders>
            <w:shd w:val="clear" w:color="auto" w:fill="FFFFFF"/>
            <w:noWrap w:val="0"/>
            <w:vAlign w:val="center"/>
          </w:tcPr>
          <w:p w14:paraId="1E9E813D">
            <w:pPr>
              <w:widowControl/>
              <w:rPr>
                <w:rFonts w:ascii="宋体" w:hAnsi="宋体" w:cs="宋体"/>
                <w:color w:val="000000"/>
                <w:sz w:val="22"/>
                <w:szCs w:val="22"/>
              </w:rPr>
            </w:pPr>
          </w:p>
        </w:tc>
        <w:tc>
          <w:tcPr>
            <w:tcW w:w="1081" w:type="dxa"/>
            <w:tcBorders>
              <w:top w:val="single" w:color="000000" w:sz="4" w:space="0"/>
              <w:left w:val="single" w:color="000000" w:sz="4" w:space="0"/>
              <w:bottom w:val="nil"/>
              <w:right w:val="nil"/>
            </w:tcBorders>
            <w:shd w:val="clear" w:color="auto" w:fill="FFFFFF"/>
            <w:noWrap w:val="0"/>
            <w:vAlign w:val="center"/>
          </w:tcPr>
          <w:p w14:paraId="6A768407">
            <w:pPr>
              <w:widowControl/>
              <w:jc w:val="center"/>
              <w:rPr>
                <w:rFonts w:ascii="宋体" w:hAnsi="宋体" w:cs="宋体"/>
                <w:color w:val="000000"/>
                <w:sz w:val="22"/>
                <w:szCs w:val="22"/>
              </w:rPr>
            </w:pPr>
          </w:p>
        </w:tc>
        <w:tc>
          <w:tcPr>
            <w:tcW w:w="1526" w:type="dxa"/>
            <w:tcBorders>
              <w:top w:val="single" w:color="000000" w:sz="4" w:space="0"/>
              <w:left w:val="single" w:color="000000" w:sz="4" w:space="0"/>
              <w:bottom w:val="nil"/>
              <w:right w:val="nil"/>
            </w:tcBorders>
            <w:shd w:val="clear" w:color="auto" w:fill="FFFFFF"/>
            <w:noWrap/>
            <w:vAlign w:val="center"/>
          </w:tcPr>
          <w:p w14:paraId="6A0A581B">
            <w:pPr>
              <w:widowControl/>
              <w:jc w:val="center"/>
              <w:rPr>
                <w:rFonts w:ascii="宋体" w:hAnsi="宋体" w:cs="宋体"/>
                <w:color w:val="000000"/>
                <w:sz w:val="22"/>
                <w:szCs w:val="22"/>
              </w:rPr>
            </w:pPr>
          </w:p>
        </w:tc>
        <w:tc>
          <w:tcPr>
            <w:tcW w:w="1591" w:type="dxa"/>
            <w:tcBorders>
              <w:top w:val="single" w:color="000000" w:sz="4" w:space="0"/>
              <w:left w:val="single" w:color="000000" w:sz="4" w:space="0"/>
              <w:bottom w:val="nil"/>
              <w:right w:val="single" w:color="000000" w:sz="4" w:space="0"/>
            </w:tcBorders>
            <w:shd w:val="clear" w:color="auto" w:fill="FFFFFF"/>
            <w:noWrap w:val="0"/>
            <w:vAlign w:val="center"/>
          </w:tcPr>
          <w:p w14:paraId="4B4CE862">
            <w:pPr>
              <w:widowControl/>
              <w:rPr>
                <w:rFonts w:ascii="宋体" w:hAnsi="宋体" w:cs="宋体"/>
                <w:color w:val="000000"/>
                <w:sz w:val="22"/>
                <w:szCs w:val="22"/>
              </w:rPr>
            </w:pPr>
          </w:p>
        </w:tc>
      </w:tr>
      <w:tr w14:paraId="7015A233">
        <w:tblPrEx>
          <w:tblCellMar>
            <w:top w:w="0" w:type="dxa"/>
            <w:left w:w="108" w:type="dxa"/>
            <w:bottom w:w="0" w:type="dxa"/>
            <w:right w:w="108" w:type="dxa"/>
          </w:tblCellMar>
        </w:tblPrEx>
        <w:trPr>
          <w:trHeight w:val="485" w:hRule="atLeast"/>
        </w:trPr>
        <w:tc>
          <w:tcPr>
            <w:tcW w:w="773" w:type="dxa"/>
            <w:tcBorders>
              <w:top w:val="single" w:color="000000" w:sz="4" w:space="0"/>
              <w:left w:val="single" w:color="000000" w:sz="4" w:space="0"/>
              <w:bottom w:val="nil"/>
              <w:right w:val="nil"/>
            </w:tcBorders>
            <w:shd w:val="clear" w:color="auto" w:fill="FFFFFF"/>
            <w:noWrap w:val="0"/>
            <w:vAlign w:val="center"/>
          </w:tcPr>
          <w:p w14:paraId="7CADC086">
            <w:pPr>
              <w:widowControl/>
              <w:jc w:val="center"/>
              <w:rPr>
                <w:rFonts w:ascii="宋体" w:hAnsi="宋体" w:cs="宋体"/>
                <w:color w:val="000000"/>
                <w:sz w:val="22"/>
                <w:szCs w:val="22"/>
              </w:rPr>
            </w:pPr>
          </w:p>
        </w:tc>
        <w:tc>
          <w:tcPr>
            <w:tcW w:w="3909" w:type="dxa"/>
            <w:tcBorders>
              <w:top w:val="single" w:color="000000" w:sz="4" w:space="0"/>
              <w:left w:val="single" w:color="000000" w:sz="4" w:space="0"/>
              <w:bottom w:val="nil"/>
              <w:right w:val="nil"/>
            </w:tcBorders>
            <w:shd w:val="clear" w:color="auto" w:fill="FFFFFF"/>
            <w:noWrap w:val="0"/>
            <w:vAlign w:val="center"/>
          </w:tcPr>
          <w:p w14:paraId="3A04189F">
            <w:pPr>
              <w:widowControl/>
              <w:rPr>
                <w:rFonts w:ascii="宋体" w:hAnsi="宋体" w:cs="宋体"/>
                <w:color w:val="000000"/>
                <w:sz w:val="22"/>
                <w:szCs w:val="22"/>
              </w:rPr>
            </w:pPr>
          </w:p>
        </w:tc>
        <w:tc>
          <w:tcPr>
            <w:tcW w:w="1081" w:type="dxa"/>
            <w:tcBorders>
              <w:top w:val="single" w:color="000000" w:sz="4" w:space="0"/>
              <w:left w:val="single" w:color="000000" w:sz="4" w:space="0"/>
              <w:bottom w:val="nil"/>
              <w:right w:val="nil"/>
            </w:tcBorders>
            <w:shd w:val="clear" w:color="auto" w:fill="FFFFFF"/>
            <w:noWrap w:val="0"/>
            <w:vAlign w:val="center"/>
          </w:tcPr>
          <w:p w14:paraId="117B0E6F">
            <w:pPr>
              <w:widowControl/>
              <w:jc w:val="center"/>
              <w:rPr>
                <w:rFonts w:ascii="宋体" w:hAnsi="宋体" w:cs="宋体"/>
                <w:color w:val="000000"/>
                <w:sz w:val="22"/>
                <w:szCs w:val="22"/>
              </w:rPr>
            </w:pPr>
          </w:p>
        </w:tc>
        <w:tc>
          <w:tcPr>
            <w:tcW w:w="1526" w:type="dxa"/>
            <w:tcBorders>
              <w:top w:val="single" w:color="000000" w:sz="4" w:space="0"/>
              <w:left w:val="single" w:color="000000" w:sz="4" w:space="0"/>
              <w:bottom w:val="nil"/>
              <w:right w:val="nil"/>
            </w:tcBorders>
            <w:shd w:val="clear" w:color="auto" w:fill="FFFFFF"/>
            <w:noWrap/>
            <w:vAlign w:val="center"/>
          </w:tcPr>
          <w:p w14:paraId="182B2637">
            <w:pPr>
              <w:widowControl/>
              <w:jc w:val="right"/>
              <w:rPr>
                <w:rFonts w:ascii="宋体" w:hAnsi="宋体" w:cs="宋体"/>
                <w:color w:val="000000"/>
                <w:sz w:val="22"/>
                <w:szCs w:val="22"/>
              </w:rPr>
            </w:pPr>
          </w:p>
        </w:tc>
        <w:tc>
          <w:tcPr>
            <w:tcW w:w="1591" w:type="dxa"/>
            <w:tcBorders>
              <w:top w:val="single" w:color="000000" w:sz="4" w:space="0"/>
              <w:left w:val="single" w:color="000000" w:sz="4" w:space="0"/>
              <w:bottom w:val="nil"/>
              <w:right w:val="single" w:color="000000" w:sz="4" w:space="0"/>
            </w:tcBorders>
            <w:shd w:val="clear" w:color="auto" w:fill="FFFFFF"/>
            <w:noWrap w:val="0"/>
            <w:vAlign w:val="center"/>
          </w:tcPr>
          <w:p w14:paraId="6CCA5E4D">
            <w:pPr>
              <w:widowControl/>
              <w:rPr>
                <w:rFonts w:ascii="宋体" w:hAnsi="宋体" w:cs="宋体"/>
                <w:color w:val="000000"/>
                <w:sz w:val="22"/>
                <w:szCs w:val="22"/>
              </w:rPr>
            </w:pPr>
          </w:p>
        </w:tc>
      </w:tr>
      <w:tr w14:paraId="4AA3C147">
        <w:tblPrEx>
          <w:tblCellMar>
            <w:top w:w="0" w:type="dxa"/>
            <w:left w:w="108" w:type="dxa"/>
            <w:bottom w:w="0" w:type="dxa"/>
            <w:right w:w="108" w:type="dxa"/>
          </w:tblCellMar>
        </w:tblPrEx>
        <w:trPr>
          <w:trHeight w:val="485" w:hRule="atLeast"/>
        </w:trPr>
        <w:tc>
          <w:tcPr>
            <w:tcW w:w="773" w:type="dxa"/>
            <w:tcBorders>
              <w:top w:val="single" w:color="000000" w:sz="4" w:space="0"/>
              <w:left w:val="single" w:color="000000" w:sz="4" w:space="0"/>
              <w:bottom w:val="nil"/>
              <w:right w:val="nil"/>
            </w:tcBorders>
            <w:shd w:val="clear" w:color="auto" w:fill="FFFFFF"/>
            <w:noWrap w:val="0"/>
            <w:vAlign w:val="center"/>
          </w:tcPr>
          <w:p w14:paraId="2F81A2F0">
            <w:pPr>
              <w:widowControl/>
              <w:jc w:val="center"/>
              <w:rPr>
                <w:rFonts w:ascii="宋体" w:hAnsi="宋体" w:cs="宋体"/>
                <w:color w:val="000000"/>
                <w:sz w:val="16"/>
                <w:szCs w:val="16"/>
              </w:rPr>
            </w:pPr>
          </w:p>
        </w:tc>
        <w:tc>
          <w:tcPr>
            <w:tcW w:w="3909" w:type="dxa"/>
            <w:tcBorders>
              <w:top w:val="single" w:color="000000" w:sz="4" w:space="0"/>
              <w:left w:val="single" w:color="000000" w:sz="4" w:space="0"/>
              <w:bottom w:val="nil"/>
              <w:right w:val="nil"/>
            </w:tcBorders>
            <w:shd w:val="clear" w:color="auto" w:fill="FFFFFF"/>
            <w:noWrap w:val="0"/>
            <w:vAlign w:val="center"/>
          </w:tcPr>
          <w:p w14:paraId="1F35F2F5">
            <w:pPr>
              <w:widowControl/>
              <w:rPr>
                <w:rFonts w:ascii="宋体" w:hAnsi="宋体" w:cs="宋体"/>
                <w:color w:val="000000"/>
                <w:sz w:val="16"/>
                <w:szCs w:val="16"/>
              </w:rPr>
            </w:pPr>
          </w:p>
        </w:tc>
        <w:tc>
          <w:tcPr>
            <w:tcW w:w="1081" w:type="dxa"/>
            <w:tcBorders>
              <w:top w:val="single" w:color="000000" w:sz="4" w:space="0"/>
              <w:left w:val="single" w:color="000000" w:sz="4" w:space="0"/>
              <w:bottom w:val="nil"/>
              <w:right w:val="nil"/>
            </w:tcBorders>
            <w:shd w:val="clear" w:color="auto" w:fill="FFFFFF"/>
            <w:noWrap w:val="0"/>
            <w:vAlign w:val="center"/>
          </w:tcPr>
          <w:p w14:paraId="23B899F5">
            <w:pPr>
              <w:widowControl/>
              <w:jc w:val="center"/>
              <w:rPr>
                <w:rFonts w:ascii="宋体" w:hAnsi="宋体" w:cs="宋体"/>
                <w:color w:val="000000"/>
                <w:sz w:val="16"/>
                <w:szCs w:val="16"/>
              </w:rPr>
            </w:pPr>
          </w:p>
        </w:tc>
        <w:tc>
          <w:tcPr>
            <w:tcW w:w="1526" w:type="dxa"/>
            <w:tcBorders>
              <w:top w:val="single" w:color="000000" w:sz="4" w:space="0"/>
              <w:left w:val="single" w:color="000000" w:sz="4" w:space="0"/>
              <w:bottom w:val="nil"/>
              <w:right w:val="nil"/>
            </w:tcBorders>
            <w:shd w:val="clear" w:color="auto" w:fill="FFFFFF"/>
            <w:noWrap/>
            <w:vAlign w:val="center"/>
          </w:tcPr>
          <w:p w14:paraId="27C0A385">
            <w:pPr>
              <w:widowControl/>
              <w:jc w:val="right"/>
              <w:rPr>
                <w:rFonts w:ascii="宋体" w:hAnsi="宋体" w:cs="宋体"/>
                <w:color w:val="000000"/>
                <w:sz w:val="16"/>
                <w:szCs w:val="16"/>
              </w:rPr>
            </w:pPr>
          </w:p>
        </w:tc>
        <w:tc>
          <w:tcPr>
            <w:tcW w:w="1591" w:type="dxa"/>
            <w:tcBorders>
              <w:top w:val="single" w:color="000000" w:sz="4" w:space="0"/>
              <w:left w:val="single" w:color="000000" w:sz="4" w:space="0"/>
              <w:bottom w:val="nil"/>
              <w:right w:val="single" w:color="000000" w:sz="4" w:space="0"/>
            </w:tcBorders>
            <w:shd w:val="clear" w:color="auto" w:fill="FFFFFF"/>
            <w:noWrap w:val="0"/>
            <w:vAlign w:val="center"/>
          </w:tcPr>
          <w:p w14:paraId="040B07AF">
            <w:pPr>
              <w:widowControl/>
              <w:rPr>
                <w:rFonts w:ascii="宋体" w:hAnsi="宋体" w:cs="宋体"/>
                <w:color w:val="000000"/>
                <w:sz w:val="16"/>
                <w:szCs w:val="16"/>
              </w:rPr>
            </w:pPr>
          </w:p>
        </w:tc>
      </w:tr>
      <w:tr w14:paraId="53365113">
        <w:tblPrEx>
          <w:tblCellMar>
            <w:top w:w="0" w:type="dxa"/>
            <w:left w:w="108" w:type="dxa"/>
            <w:bottom w:w="0" w:type="dxa"/>
            <w:right w:w="108" w:type="dxa"/>
          </w:tblCellMar>
        </w:tblPrEx>
        <w:trPr>
          <w:trHeight w:val="485" w:hRule="atLeast"/>
        </w:trPr>
        <w:tc>
          <w:tcPr>
            <w:tcW w:w="773" w:type="dxa"/>
            <w:tcBorders>
              <w:top w:val="single" w:color="000000" w:sz="4" w:space="0"/>
              <w:left w:val="single" w:color="000000" w:sz="4" w:space="0"/>
              <w:bottom w:val="nil"/>
              <w:right w:val="nil"/>
            </w:tcBorders>
            <w:shd w:val="clear" w:color="auto" w:fill="FFFFFF"/>
            <w:noWrap w:val="0"/>
            <w:vAlign w:val="center"/>
          </w:tcPr>
          <w:p w14:paraId="0F9E6877">
            <w:pPr>
              <w:widowControl/>
              <w:jc w:val="center"/>
              <w:rPr>
                <w:rFonts w:ascii="宋体" w:hAnsi="宋体" w:cs="宋体"/>
                <w:color w:val="000000"/>
                <w:sz w:val="16"/>
                <w:szCs w:val="16"/>
              </w:rPr>
            </w:pPr>
          </w:p>
        </w:tc>
        <w:tc>
          <w:tcPr>
            <w:tcW w:w="3909" w:type="dxa"/>
            <w:tcBorders>
              <w:top w:val="single" w:color="000000" w:sz="4" w:space="0"/>
              <w:left w:val="single" w:color="000000" w:sz="4" w:space="0"/>
              <w:bottom w:val="nil"/>
              <w:right w:val="nil"/>
            </w:tcBorders>
            <w:shd w:val="clear" w:color="auto" w:fill="FFFFFF"/>
            <w:noWrap w:val="0"/>
            <w:vAlign w:val="center"/>
          </w:tcPr>
          <w:p w14:paraId="4C9A9F6A">
            <w:pPr>
              <w:widowControl/>
              <w:rPr>
                <w:rFonts w:ascii="宋体" w:hAnsi="宋体" w:cs="宋体"/>
                <w:color w:val="000000"/>
                <w:sz w:val="16"/>
                <w:szCs w:val="16"/>
              </w:rPr>
            </w:pPr>
          </w:p>
        </w:tc>
        <w:tc>
          <w:tcPr>
            <w:tcW w:w="1081" w:type="dxa"/>
            <w:tcBorders>
              <w:top w:val="single" w:color="000000" w:sz="4" w:space="0"/>
              <w:left w:val="single" w:color="000000" w:sz="4" w:space="0"/>
              <w:bottom w:val="nil"/>
              <w:right w:val="nil"/>
            </w:tcBorders>
            <w:shd w:val="clear" w:color="auto" w:fill="FFFFFF"/>
            <w:noWrap w:val="0"/>
            <w:vAlign w:val="center"/>
          </w:tcPr>
          <w:p w14:paraId="3C03FD1E">
            <w:pPr>
              <w:widowControl/>
              <w:jc w:val="center"/>
              <w:rPr>
                <w:rFonts w:ascii="宋体" w:hAnsi="宋体" w:cs="宋体"/>
                <w:color w:val="000000"/>
                <w:sz w:val="16"/>
                <w:szCs w:val="16"/>
              </w:rPr>
            </w:pPr>
          </w:p>
        </w:tc>
        <w:tc>
          <w:tcPr>
            <w:tcW w:w="1526" w:type="dxa"/>
            <w:tcBorders>
              <w:top w:val="single" w:color="000000" w:sz="4" w:space="0"/>
              <w:left w:val="single" w:color="000000" w:sz="4" w:space="0"/>
              <w:bottom w:val="nil"/>
              <w:right w:val="nil"/>
            </w:tcBorders>
            <w:shd w:val="clear" w:color="auto" w:fill="FFFFFF"/>
            <w:noWrap/>
            <w:vAlign w:val="center"/>
          </w:tcPr>
          <w:p w14:paraId="7057D181">
            <w:pPr>
              <w:widowControl/>
              <w:jc w:val="right"/>
              <w:rPr>
                <w:rFonts w:ascii="宋体" w:hAnsi="宋体" w:cs="宋体"/>
                <w:color w:val="000000"/>
                <w:sz w:val="16"/>
                <w:szCs w:val="16"/>
              </w:rPr>
            </w:pPr>
          </w:p>
        </w:tc>
        <w:tc>
          <w:tcPr>
            <w:tcW w:w="1591" w:type="dxa"/>
            <w:tcBorders>
              <w:top w:val="single" w:color="000000" w:sz="4" w:space="0"/>
              <w:left w:val="single" w:color="000000" w:sz="4" w:space="0"/>
              <w:bottom w:val="nil"/>
              <w:right w:val="single" w:color="000000" w:sz="4" w:space="0"/>
            </w:tcBorders>
            <w:shd w:val="clear" w:color="auto" w:fill="FFFFFF"/>
            <w:noWrap w:val="0"/>
            <w:vAlign w:val="center"/>
          </w:tcPr>
          <w:p w14:paraId="31E588CD">
            <w:pPr>
              <w:widowControl/>
              <w:rPr>
                <w:rFonts w:ascii="宋体" w:hAnsi="宋体" w:cs="宋体"/>
                <w:color w:val="000000"/>
                <w:sz w:val="16"/>
                <w:szCs w:val="16"/>
              </w:rPr>
            </w:pPr>
          </w:p>
        </w:tc>
      </w:tr>
      <w:tr w14:paraId="54B27B19">
        <w:tblPrEx>
          <w:tblCellMar>
            <w:top w:w="0" w:type="dxa"/>
            <w:left w:w="108" w:type="dxa"/>
            <w:bottom w:w="0" w:type="dxa"/>
            <w:right w:w="108" w:type="dxa"/>
          </w:tblCellMar>
        </w:tblPrEx>
        <w:trPr>
          <w:trHeight w:val="485" w:hRule="atLeast"/>
        </w:trPr>
        <w:tc>
          <w:tcPr>
            <w:tcW w:w="773" w:type="dxa"/>
            <w:tcBorders>
              <w:top w:val="single" w:color="000000" w:sz="4" w:space="0"/>
              <w:left w:val="single" w:color="000000" w:sz="4" w:space="0"/>
              <w:bottom w:val="nil"/>
              <w:right w:val="nil"/>
            </w:tcBorders>
            <w:shd w:val="clear" w:color="auto" w:fill="FFFFFF"/>
            <w:noWrap w:val="0"/>
            <w:vAlign w:val="center"/>
          </w:tcPr>
          <w:p w14:paraId="5CD3EC14">
            <w:pPr>
              <w:widowControl/>
              <w:jc w:val="center"/>
              <w:rPr>
                <w:rFonts w:ascii="宋体" w:hAnsi="宋体" w:cs="宋体"/>
                <w:color w:val="000000"/>
                <w:sz w:val="16"/>
                <w:szCs w:val="16"/>
              </w:rPr>
            </w:pPr>
          </w:p>
        </w:tc>
        <w:tc>
          <w:tcPr>
            <w:tcW w:w="3909" w:type="dxa"/>
            <w:tcBorders>
              <w:top w:val="single" w:color="000000" w:sz="4" w:space="0"/>
              <w:left w:val="single" w:color="000000" w:sz="4" w:space="0"/>
              <w:bottom w:val="nil"/>
              <w:right w:val="nil"/>
            </w:tcBorders>
            <w:shd w:val="clear" w:color="auto" w:fill="FFFFFF"/>
            <w:noWrap w:val="0"/>
            <w:vAlign w:val="center"/>
          </w:tcPr>
          <w:p w14:paraId="65609F5C">
            <w:pPr>
              <w:widowControl/>
              <w:rPr>
                <w:rFonts w:ascii="宋体" w:hAnsi="宋体" w:cs="宋体"/>
                <w:color w:val="000000"/>
                <w:sz w:val="16"/>
                <w:szCs w:val="16"/>
              </w:rPr>
            </w:pPr>
          </w:p>
        </w:tc>
        <w:tc>
          <w:tcPr>
            <w:tcW w:w="1081" w:type="dxa"/>
            <w:tcBorders>
              <w:top w:val="single" w:color="000000" w:sz="4" w:space="0"/>
              <w:left w:val="single" w:color="000000" w:sz="4" w:space="0"/>
              <w:bottom w:val="nil"/>
              <w:right w:val="nil"/>
            </w:tcBorders>
            <w:shd w:val="clear" w:color="auto" w:fill="FFFFFF"/>
            <w:noWrap w:val="0"/>
            <w:vAlign w:val="center"/>
          </w:tcPr>
          <w:p w14:paraId="35AD7651">
            <w:pPr>
              <w:widowControl/>
              <w:jc w:val="center"/>
              <w:rPr>
                <w:rFonts w:ascii="宋体" w:hAnsi="宋体" w:cs="宋体"/>
                <w:color w:val="000000"/>
                <w:sz w:val="16"/>
                <w:szCs w:val="16"/>
              </w:rPr>
            </w:pPr>
            <w:r>
              <w:rPr>
                <w:rFonts w:hint="eastAsia" w:ascii="宋体" w:hAnsi="宋体" w:cs="宋体"/>
                <w:color w:val="000000"/>
                <w:kern w:val="0"/>
                <w:sz w:val="16"/>
                <w:szCs w:val="16"/>
              </w:rPr>
              <w:t>　</w:t>
            </w:r>
          </w:p>
        </w:tc>
        <w:tc>
          <w:tcPr>
            <w:tcW w:w="1526" w:type="dxa"/>
            <w:tcBorders>
              <w:top w:val="single" w:color="000000" w:sz="4" w:space="0"/>
              <w:left w:val="single" w:color="000000" w:sz="4" w:space="0"/>
              <w:bottom w:val="nil"/>
              <w:right w:val="nil"/>
            </w:tcBorders>
            <w:shd w:val="clear" w:color="auto" w:fill="FFFFFF"/>
            <w:noWrap/>
            <w:vAlign w:val="center"/>
          </w:tcPr>
          <w:p w14:paraId="549D14A4">
            <w:pPr>
              <w:widowControl/>
              <w:jc w:val="right"/>
              <w:rPr>
                <w:rFonts w:ascii="宋体" w:hAnsi="宋体" w:cs="宋体"/>
                <w:color w:val="000000"/>
                <w:sz w:val="16"/>
                <w:szCs w:val="16"/>
              </w:rPr>
            </w:pPr>
            <w:r>
              <w:rPr>
                <w:rFonts w:hint="eastAsia" w:ascii="宋体" w:hAnsi="宋体" w:cs="宋体"/>
                <w:color w:val="000000"/>
                <w:kern w:val="0"/>
                <w:sz w:val="16"/>
                <w:szCs w:val="16"/>
              </w:rPr>
              <w:t>　</w:t>
            </w:r>
          </w:p>
        </w:tc>
        <w:tc>
          <w:tcPr>
            <w:tcW w:w="1591" w:type="dxa"/>
            <w:tcBorders>
              <w:top w:val="single" w:color="000000" w:sz="4" w:space="0"/>
              <w:left w:val="single" w:color="000000" w:sz="4" w:space="0"/>
              <w:bottom w:val="nil"/>
              <w:right w:val="single" w:color="000000" w:sz="4" w:space="0"/>
            </w:tcBorders>
            <w:shd w:val="clear" w:color="auto" w:fill="FFFFFF"/>
            <w:noWrap w:val="0"/>
            <w:vAlign w:val="center"/>
          </w:tcPr>
          <w:p w14:paraId="399C4F30">
            <w:pPr>
              <w:widowControl/>
              <w:rPr>
                <w:rFonts w:ascii="宋体" w:hAnsi="宋体" w:cs="宋体"/>
                <w:color w:val="000000"/>
                <w:sz w:val="16"/>
                <w:szCs w:val="16"/>
              </w:rPr>
            </w:pPr>
            <w:r>
              <w:rPr>
                <w:rFonts w:hint="eastAsia" w:ascii="宋体" w:hAnsi="宋体" w:cs="宋体"/>
                <w:color w:val="000000"/>
                <w:kern w:val="0"/>
                <w:sz w:val="16"/>
                <w:szCs w:val="16"/>
              </w:rPr>
              <w:t>　</w:t>
            </w:r>
          </w:p>
        </w:tc>
      </w:tr>
      <w:tr w14:paraId="64F89445">
        <w:tblPrEx>
          <w:tblCellMar>
            <w:top w:w="0" w:type="dxa"/>
            <w:left w:w="108" w:type="dxa"/>
            <w:bottom w:w="0" w:type="dxa"/>
            <w:right w:w="108" w:type="dxa"/>
          </w:tblCellMar>
        </w:tblPrEx>
        <w:trPr>
          <w:trHeight w:val="485" w:hRule="atLeast"/>
        </w:trPr>
        <w:tc>
          <w:tcPr>
            <w:tcW w:w="773" w:type="dxa"/>
            <w:tcBorders>
              <w:top w:val="single" w:color="000000" w:sz="4" w:space="0"/>
              <w:left w:val="single" w:color="000000" w:sz="4" w:space="0"/>
              <w:bottom w:val="nil"/>
              <w:right w:val="nil"/>
            </w:tcBorders>
            <w:shd w:val="clear" w:color="auto" w:fill="FFFFFF"/>
            <w:noWrap w:val="0"/>
            <w:vAlign w:val="center"/>
          </w:tcPr>
          <w:p w14:paraId="17ABCC65">
            <w:pPr>
              <w:widowControl/>
              <w:jc w:val="center"/>
              <w:rPr>
                <w:rFonts w:ascii="宋体" w:hAnsi="宋体" w:cs="宋体"/>
                <w:color w:val="000000"/>
                <w:sz w:val="16"/>
                <w:szCs w:val="16"/>
              </w:rPr>
            </w:pPr>
          </w:p>
        </w:tc>
        <w:tc>
          <w:tcPr>
            <w:tcW w:w="3909" w:type="dxa"/>
            <w:tcBorders>
              <w:top w:val="single" w:color="000000" w:sz="4" w:space="0"/>
              <w:left w:val="single" w:color="000000" w:sz="4" w:space="0"/>
              <w:bottom w:val="nil"/>
              <w:right w:val="nil"/>
            </w:tcBorders>
            <w:shd w:val="clear" w:color="auto" w:fill="FFFFFF"/>
            <w:noWrap w:val="0"/>
            <w:vAlign w:val="center"/>
          </w:tcPr>
          <w:p w14:paraId="1374F9F5">
            <w:pPr>
              <w:widowControl/>
              <w:rPr>
                <w:rFonts w:ascii="宋体" w:hAnsi="宋体" w:cs="宋体"/>
                <w:color w:val="000000"/>
                <w:sz w:val="16"/>
                <w:szCs w:val="16"/>
              </w:rPr>
            </w:pPr>
          </w:p>
        </w:tc>
        <w:tc>
          <w:tcPr>
            <w:tcW w:w="1081" w:type="dxa"/>
            <w:tcBorders>
              <w:top w:val="single" w:color="000000" w:sz="4" w:space="0"/>
              <w:left w:val="single" w:color="000000" w:sz="4" w:space="0"/>
              <w:bottom w:val="nil"/>
              <w:right w:val="nil"/>
            </w:tcBorders>
            <w:shd w:val="clear" w:color="auto" w:fill="FFFFFF"/>
            <w:noWrap w:val="0"/>
            <w:vAlign w:val="center"/>
          </w:tcPr>
          <w:p w14:paraId="1F640E99">
            <w:pPr>
              <w:widowControl/>
              <w:jc w:val="center"/>
              <w:rPr>
                <w:rFonts w:ascii="宋体" w:hAnsi="宋体" w:cs="宋体"/>
                <w:color w:val="000000"/>
                <w:sz w:val="16"/>
                <w:szCs w:val="16"/>
              </w:rPr>
            </w:pPr>
            <w:r>
              <w:rPr>
                <w:rFonts w:hint="eastAsia" w:ascii="宋体" w:hAnsi="宋体" w:cs="宋体"/>
                <w:color w:val="000000"/>
                <w:kern w:val="0"/>
                <w:sz w:val="16"/>
                <w:szCs w:val="16"/>
              </w:rPr>
              <w:t>　</w:t>
            </w:r>
          </w:p>
        </w:tc>
        <w:tc>
          <w:tcPr>
            <w:tcW w:w="1526" w:type="dxa"/>
            <w:tcBorders>
              <w:top w:val="single" w:color="000000" w:sz="4" w:space="0"/>
              <w:left w:val="single" w:color="000000" w:sz="4" w:space="0"/>
              <w:bottom w:val="nil"/>
              <w:right w:val="nil"/>
            </w:tcBorders>
            <w:shd w:val="clear" w:color="auto" w:fill="FFFFFF"/>
            <w:noWrap/>
            <w:vAlign w:val="center"/>
          </w:tcPr>
          <w:p w14:paraId="5B764237">
            <w:pPr>
              <w:widowControl/>
              <w:jc w:val="right"/>
              <w:rPr>
                <w:rFonts w:ascii="宋体" w:hAnsi="宋体" w:cs="宋体"/>
                <w:color w:val="000000"/>
                <w:sz w:val="16"/>
                <w:szCs w:val="16"/>
              </w:rPr>
            </w:pPr>
            <w:r>
              <w:rPr>
                <w:rFonts w:hint="eastAsia" w:ascii="宋体" w:hAnsi="宋体" w:cs="宋体"/>
                <w:color w:val="000000"/>
                <w:kern w:val="0"/>
                <w:sz w:val="16"/>
                <w:szCs w:val="16"/>
              </w:rPr>
              <w:t>　</w:t>
            </w:r>
          </w:p>
        </w:tc>
        <w:tc>
          <w:tcPr>
            <w:tcW w:w="1591" w:type="dxa"/>
            <w:tcBorders>
              <w:top w:val="single" w:color="000000" w:sz="4" w:space="0"/>
              <w:left w:val="single" w:color="000000" w:sz="4" w:space="0"/>
              <w:bottom w:val="nil"/>
              <w:right w:val="single" w:color="000000" w:sz="4" w:space="0"/>
            </w:tcBorders>
            <w:shd w:val="clear" w:color="auto" w:fill="FFFFFF"/>
            <w:noWrap w:val="0"/>
            <w:vAlign w:val="center"/>
          </w:tcPr>
          <w:p w14:paraId="310DFDE0">
            <w:pPr>
              <w:widowControl/>
              <w:rPr>
                <w:rFonts w:ascii="宋体" w:hAnsi="宋体" w:cs="宋体"/>
                <w:color w:val="000000"/>
                <w:sz w:val="16"/>
                <w:szCs w:val="16"/>
              </w:rPr>
            </w:pPr>
            <w:r>
              <w:rPr>
                <w:rFonts w:hint="eastAsia" w:ascii="宋体" w:hAnsi="宋体" w:cs="宋体"/>
                <w:color w:val="000000"/>
                <w:kern w:val="0"/>
                <w:sz w:val="16"/>
                <w:szCs w:val="16"/>
              </w:rPr>
              <w:t>　</w:t>
            </w:r>
          </w:p>
        </w:tc>
      </w:tr>
      <w:tr w14:paraId="57C38AF9">
        <w:tblPrEx>
          <w:tblCellMar>
            <w:top w:w="0" w:type="dxa"/>
            <w:left w:w="108" w:type="dxa"/>
            <w:bottom w:w="0" w:type="dxa"/>
            <w:right w:w="108" w:type="dxa"/>
          </w:tblCellMar>
        </w:tblPrEx>
        <w:trPr>
          <w:trHeight w:val="485" w:hRule="atLeast"/>
        </w:trPr>
        <w:tc>
          <w:tcPr>
            <w:tcW w:w="773" w:type="dxa"/>
            <w:tcBorders>
              <w:top w:val="single" w:color="000000" w:sz="4" w:space="0"/>
              <w:left w:val="single" w:color="000000" w:sz="4" w:space="0"/>
              <w:bottom w:val="nil"/>
              <w:right w:val="nil"/>
            </w:tcBorders>
            <w:shd w:val="clear" w:color="auto" w:fill="FFFFFF"/>
            <w:noWrap w:val="0"/>
            <w:vAlign w:val="center"/>
          </w:tcPr>
          <w:p w14:paraId="0A28B810">
            <w:pPr>
              <w:widowControl/>
              <w:jc w:val="center"/>
              <w:rPr>
                <w:rFonts w:ascii="宋体" w:hAnsi="宋体" w:cs="宋体"/>
                <w:color w:val="000000"/>
                <w:sz w:val="16"/>
                <w:szCs w:val="16"/>
              </w:rPr>
            </w:pPr>
          </w:p>
        </w:tc>
        <w:tc>
          <w:tcPr>
            <w:tcW w:w="3909" w:type="dxa"/>
            <w:tcBorders>
              <w:top w:val="single" w:color="000000" w:sz="4" w:space="0"/>
              <w:left w:val="single" w:color="000000" w:sz="4" w:space="0"/>
              <w:bottom w:val="nil"/>
              <w:right w:val="nil"/>
            </w:tcBorders>
            <w:shd w:val="clear" w:color="auto" w:fill="FFFFFF"/>
            <w:noWrap w:val="0"/>
            <w:vAlign w:val="center"/>
          </w:tcPr>
          <w:p w14:paraId="64B28E9E">
            <w:pPr>
              <w:widowControl/>
              <w:rPr>
                <w:rFonts w:ascii="宋体" w:hAnsi="宋体" w:cs="宋体"/>
                <w:color w:val="000000"/>
                <w:sz w:val="16"/>
                <w:szCs w:val="16"/>
              </w:rPr>
            </w:pPr>
            <w:r>
              <w:rPr>
                <w:rFonts w:hint="eastAsia" w:ascii="宋体" w:hAnsi="宋体" w:cs="宋体"/>
                <w:color w:val="000000"/>
                <w:kern w:val="0"/>
                <w:sz w:val="16"/>
                <w:szCs w:val="16"/>
              </w:rPr>
              <w:t>　</w:t>
            </w:r>
          </w:p>
        </w:tc>
        <w:tc>
          <w:tcPr>
            <w:tcW w:w="1081" w:type="dxa"/>
            <w:tcBorders>
              <w:top w:val="single" w:color="000000" w:sz="4" w:space="0"/>
              <w:left w:val="single" w:color="000000" w:sz="4" w:space="0"/>
              <w:bottom w:val="nil"/>
              <w:right w:val="nil"/>
            </w:tcBorders>
            <w:shd w:val="clear" w:color="auto" w:fill="FFFFFF"/>
            <w:noWrap w:val="0"/>
            <w:vAlign w:val="center"/>
          </w:tcPr>
          <w:p w14:paraId="6B36DDAB">
            <w:pPr>
              <w:widowControl/>
              <w:jc w:val="center"/>
              <w:rPr>
                <w:rFonts w:ascii="宋体" w:hAnsi="宋体" w:cs="宋体"/>
                <w:color w:val="000000"/>
                <w:sz w:val="16"/>
                <w:szCs w:val="16"/>
              </w:rPr>
            </w:pPr>
            <w:r>
              <w:rPr>
                <w:rFonts w:hint="eastAsia" w:ascii="宋体" w:hAnsi="宋体" w:cs="宋体"/>
                <w:color w:val="000000"/>
                <w:kern w:val="0"/>
                <w:sz w:val="16"/>
                <w:szCs w:val="16"/>
              </w:rPr>
              <w:t>　</w:t>
            </w:r>
          </w:p>
        </w:tc>
        <w:tc>
          <w:tcPr>
            <w:tcW w:w="1526" w:type="dxa"/>
            <w:tcBorders>
              <w:top w:val="single" w:color="000000" w:sz="4" w:space="0"/>
              <w:left w:val="single" w:color="000000" w:sz="4" w:space="0"/>
              <w:bottom w:val="nil"/>
              <w:right w:val="nil"/>
            </w:tcBorders>
            <w:shd w:val="clear" w:color="auto" w:fill="FFFFFF"/>
            <w:noWrap/>
            <w:vAlign w:val="center"/>
          </w:tcPr>
          <w:p w14:paraId="77F5FB72">
            <w:pPr>
              <w:widowControl/>
              <w:jc w:val="right"/>
              <w:rPr>
                <w:rFonts w:ascii="宋体" w:hAnsi="宋体" w:cs="宋体"/>
                <w:color w:val="000000"/>
                <w:sz w:val="16"/>
                <w:szCs w:val="16"/>
              </w:rPr>
            </w:pPr>
            <w:r>
              <w:rPr>
                <w:rFonts w:hint="eastAsia" w:ascii="宋体" w:hAnsi="宋体" w:cs="宋体"/>
                <w:color w:val="000000"/>
                <w:kern w:val="0"/>
                <w:sz w:val="16"/>
                <w:szCs w:val="16"/>
              </w:rPr>
              <w:t>　</w:t>
            </w:r>
          </w:p>
        </w:tc>
        <w:tc>
          <w:tcPr>
            <w:tcW w:w="1591" w:type="dxa"/>
            <w:tcBorders>
              <w:top w:val="single" w:color="000000" w:sz="4" w:space="0"/>
              <w:left w:val="single" w:color="000000" w:sz="4" w:space="0"/>
              <w:bottom w:val="nil"/>
              <w:right w:val="single" w:color="000000" w:sz="4" w:space="0"/>
            </w:tcBorders>
            <w:shd w:val="clear" w:color="auto" w:fill="FFFFFF"/>
            <w:noWrap w:val="0"/>
            <w:vAlign w:val="center"/>
          </w:tcPr>
          <w:p w14:paraId="36F1C744">
            <w:pPr>
              <w:widowControl/>
              <w:rPr>
                <w:rFonts w:ascii="宋体" w:hAnsi="宋体" w:cs="宋体"/>
                <w:color w:val="000000"/>
                <w:sz w:val="16"/>
                <w:szCs w:val="16"/>
              </w:rPr>
            </w:pPr>
            <w:r>
              <w:rPr>
                <w:rFonts w:hint="eastAsia" w:ascii="宋体" w:hAnsi="宋体" w:cs="宋体"/>
                <w:color w:val="000000"/>
                <w:kern w:val="0"/>
                <w:sz w:val="16"/>
                <w:szCs w:val="16"/>
              </w:rPr>
              <w:t>　</w:t>
            </w:r>
          </w:p>
        </w:tc>
      </w:tr>
      <w:tr w14:paraId="34F65EDB">
        <w:tblPrEx>
          <w:tblCellMar>
            <w:top w:w="0" w:type="dxa"/>
            <w:left w:w="108" w:type="dxa"/>
            <w:bottom w:w="0" w:type="dxa"/>
            <w:right w:w="108" w:type="dxa"/>
          </w:tblCellMar>
        </w:tblPrEx>
        <w:trPr>
          <w:trHeight w:val="485" w:hRule="atLeast"/>
        </w:trPr>
        <w:tc>
          <w:tcPr>
            <w:tcW w:w="773" w:type="dxa"/>
            <w:tcBorders>
              <w:top w:val="single" w:color="000000" w:sz="4" w:space="0"/>
              <w:left w:val="single" w:color="000000" w:sz="4" w:space="0"/>
              <w:bottom w:val="nil"/>
              <w:right w:val="nil"/>
            </w:tcBorders>
            <w:shd w:val="clear" w:color="auto" w:fill="FFFFFF"/>
            <w:noWrap w:val="0"/>
            <w:vAlign w:val="center"/>
          </w:tcPr>
          <w:p w14:paraId="60BFD898">
            <w:pPr>
              <w:widowControl/>
              <w:jc w:val="center"/>
              <w:rPr>
                <w:rFonts w:ascii="宋体" w:hAnsi="宋体" w:cs="宋体"/>
                <w:color w:val="000000"/>
                <w:sz w:val="16"/>
                <w:szCs w:val="16"/>
              </w:rPr>
            </w:pPr>
          </w:p>
        </w:tc>
        <w:tc>
          <w:tcPr>
            <w:tcW w:w="3909" w:type="dxa"/>
            <w:tcBorders>
              <w:top w:val="single" w:color="000000" w:sz="4" w:space="0"/>
              <w:left w:val="single" w:color="000000" w:sz="4" w:space="0"/>
              <w:bottom w:val="nil"/>
              <w:right w:val="nil"/>
            </w:tcBorders>
            <w:shd w:val="clear" w:color="auto" w:fill="FFFFFF"/>
            <w:noWrap w:val="0"/>
            <w:vAlign w:val="center"/>
          </w:tcPr>
          <w:p w14:paraId="16195826">
            <w:pPr>
              <w:widowControl/>
              <w:rPr>
                <w:rFonts w:ascii="宋体" w:hAnsi="宋体" w:cs="宋体"/>
                <w:color w:val="000000"/>
                <w:sz w:val="16"/>
                <w:szCs w:val="16"/>
              </w:rPr>
            </w:pPr>
            <w:r>
              <w:rPr>
                <w:rFonts w:hint="eastAsia" w:ascii="宋体" w:hAnsi="宋体" w:cs="宋体"/>
                <w:color w:val="000000"/>
                <w:kern w:val="0"/>
                <w:sz w:val="16"/>
                <w:szCs w:val="16"/>
              </w:rPr>
              <w:t>　</w:t>
            </w:r>
          </w:p>
        </w:tc>
        <w:tc>
          <w:tcPr>
            <w:tcW w:w="1081" w:type="dxa"/>
            <w:tcBorders>
              <w:top w:val="single" w:color="000000" w:sz="4" w:space="0"/>
              <w:left w:val="single" w:color="000000" w:sz="4" w:space="0"/>
              <w:bottom w:val="nil"/>
              <w:right w:val="nil"/>
            </w:tcBorders>
            <w:shd w:val="clear" w:color="auto" w:fill="FFFFFF"/>
            <w:noWrap w:val="0"/>
            <w:vAlign w:val="center"/>
          </w:tcPr>
          <w:p w14:paraId="7FFD05F6">
            <w:pPr>
              <w:widowControl/>
              <w:jc w:val="center"/>
              <w:rPr>
                <w:rFonts w:ascii="宋体" w:hAnsi="宋体" w:cs="宋体"/>
                <w:color w:val="000000"/>
                <w:sz w:val="16"/>
                <w:szCs w:val="16"/>
              </w:rPr>
            </w:pPr>
            <w:r>
              <w:rPr>
                <w:rFonts w:hint="eastAsia" w:ascii="宋体" w:hAnsi="宋体" w:cs="宋体"/>
                <w:color w:val="000000"/>
                <w:kern w:val="0"/>
                <w:sz w:val="16"/>
                <w:szCs w:val="16"/>
              </w:rPr>
              <w:t>　</w:t>
            </w:r>
          </w:p>
        </w:tc>
        <w:tc>
          <w:tcPr>
            <w:tcW w:w="1526" w:type="dxa"/>
            <w:tcBorders>
              <w:top w:val="single" w:color="000000" w:sz="4" w:space="0"/>
              <w:left w:val="single" w:color="000000" w:sz="4" w:space="0"/>
              <w:bottom w:val="nil"/>
              <w:right w:val="nil"/>
            </w:tcBorders>
            <w:shd w:val="clear" w:color="auto" w:fill="FFFFFF"/>
            <w:noWrap/>
            <w:vAlign w:val="center"/>
          </w:tcPr>
          <w:p w14:paraId="5F337391">
            <w:pPr>
              <w:widowControl/>
              <w:jc w:val="right"/>
              <w:rPr>
                <w:rFonts w:ascii="宋体" w:hAnsi="宋体" w:cs="宋体"/>
                <w:color w:val="000000"/>
                <w:sz w:val="16"/>
                <w:szCs w:val="16"/>
              </w:rPr>
            </w:pPr>
            <w:r>
              <w:rPr>
                <w:rFonts w:hint="eastAsia" w:ascii="宋体" w:hAnsi="宋体" w:cs="宋体"/>
                <w:color w:val="000000"/>
                <w:kern w:val="0"/>
                <w:sz w:val="16"/>
                <w:szCs w:val="16"/>
              </w:rPr>
              <w:t>　</w:t>
            </w:r>
          </w:p>
        </w:tc>
        <w:tc>
          <w:tcPr>
            <w:tcW w:w="1591" w:type="dxa"/>
            <w:tcBorders>
              <w:top w:val="single" w:color="000000" w:sz="4" w:space="0"/>
              <w:left w:val="single" w:color="000000" w:sz="4" w:space="0"/>
              <w:bottom w:val="nil"/>
              <w:right w:val="single" w:color="000000" w:sz="4" w:space="0"/>
            </w:tcBorders>
            <w:shd w:val="clear" w:color="auto" w:fill="FFFFFF"/>
            <w:noWrap w:val="0"/>
            <w:vAlign w:val="center"/>
          </w:tcPr>
          <w:p w14:paraId="61037FF9">
            <w:pPr>
              <w:widowControl/>
              <w:rPr>
                <w:rFonts w:ascii="宋体" w:hAnsi="宋体" w:cs="宋体"/>
                <w:color w:val="000000"/>
                <w:sz w:val="16"/>
                <w:szCs w:val="16"/>
              </w:rPr>
            </w:pPr>
            <w:r>
              <w:rPr>
                <w:rFonts w:hint="eastAsia" w:ascii="宋体" w:hAnsi="宋体" w:cs="宋体"/>
                <w:color w:val="000000"/>
                <w:kern w:val="0"/>
                <w:sz w:val="16"/>
                <w:szCs w:val="16"/>
              </w:rPr>
              <w:t>　</w:t>
            </w:r>
          </w:p>
        </w:tc>
      </w:tr>
      <w:tr w14:paraId="35040BFF">
        <w:tblPrEx>
          <w:tblCellMar>
            <w:top w:w="0" w:type="dxa"/>
            <w:left w:w="108" w:type="dxa"/>
            <w:bottom w:w="0" w:type="dxa"/>
            <w:right w:w="108" w:type="dxa"/>
          </w:tblCellMar>
        </w:tblPrEx>
        <w:trPr>
          <w:trHeight w:val="485" w:hRule="atLeast"/>
        </w:trPr>
        <w:tc>
          <w:tcPr>
            <w:tcW w:w="773" w:type="dxa"/>
            <w:tcBorders>
              <w:top w:val="single" w:color="000000" w:sz="4" w:space="0"/>
              <w:left w:val="single" w:color="000000" w:sz="4" w:space="0"/>
              <w:bottom w:val="nil"/>
              <w:right w:val="nil"/>
            </w:tcBorders>
            <w:shd w:val="clear" w:color="auto" w:fill="FFFFFF"/>
            <w:noWrap w:val="0"/>
            <w:vAlign w:val="center"/>
          </w:tcPr>
          <w:p w14:paraId="130CEC2D">
            <w:pPr>
              <w:widowControl/>
              <w:jc w:val="center"/>
              <w:rPr>
                <w:rFonts w:ascii="宋体" w:hAnsi="宋体" w:cs="宋体"/>
                <w:color w:val="000000"/>
                <w:sz w:val="16"/>
                <w:szCs w:val="16"/>
              </w:rPr>
            </w:pPr>
            <w:r>
              <w:rPr>
                <w:rFonts w:hint="eastAsia" w:ascii="宋体" w:hAnsi="宋体" w:cs="宋体"/>
                <w:color w:val="000000"/>
                <w:kern w:val="0"/>
                <w:sz w:val="16"/>
                <w:szCs w:val="16"/>
              </w:rPr>
              <w:t>　</w:t>
            </w:r>
          </w:p>
        </w:tc>
        <w:tc>
          <w:tcPr>
            <w:tcW w:w="3909" w:type="dxa"/>
            <w:tcBorders>
              <w:top w:val="single" w:color="000000" w:sz="4" w:space="0"/>
              <w:left w:val="single" w:color="000000" w:sz="4" w:space="0"/>
              <w:bottom w:val="nil"/>
              <w:right w:val="nil"/>
            </w:tcBorders>
            <w:shd w:val="clear" w:color="auto" w:fill="FFFFFF"/>
            <w:noWrap w:val="0"/>
            <w:vAlign w:val="center"/>
          </w:tcPr>
          <w:p w14:paraId="3010DA91">
            <w:pPr>
              <w:widowControl/>
              <w:rPr>
                <w:rFonts w:ascii="宋体" w:hAnsi="宋体" w:cs="宋体"/>
                <w:color w:val="000000"/>
                <w:sz w:val="16"/>
                <w:szCs w:val="16"/>
              </w:rPr>
            </w:pPr>
            <w:r>
              <w:rPr>
                <w:rFonts w:hint="eastAsia" w:ascii="宋体" w:hAnsi="宋体" w:cs="宋体"/>
                <w:color w:val="000000"/>
                <w:kern w:val="0"/>
                <w:sz w:val="16"/>
                <w:szCs w:val="16"/>
              </w:rPr>
              <w:t>　</w:t>
            </w:r>
          </w:p>
        </w:tc>
        <w:tc>
          <w:tcPr>
            <w:tcW w:w="1081" w:type="dxa"/>
            <w:tcBorders>
              <w:top w:val="single" w:color="000000" w:sz="4" w:space="0"/>
              <w:left w:val="single" w:color="000000" w:sz="4" w:space="0"/>
              <w:bottom w:val="nil"/>
              <w:right w:val="nil"/>
            </w:tcBorders>
            <w:shd w:val="clear" w:color="auto" w:fill="FFFFFF"/>
            <w:noWrap w:val="0"/>
            <w:vAlign w:val="center"/>
          </w:tcPr>
          <w:p w14:paraId="2A665BC6">
            <w:pPr>
              <w:widowControl/>
              <w:jc w:val="center"/>
              <w:rPr>
                <w:rFonts w:ascii="宋体" w:hAnsi="宋体" w:cs="宋体"/>
                <w:color w:val="000000"/>
                <w:sz w:val="16"/>
                <w:szCs w:val="16"/>
              </w:rPr>
            </w:pPr>
            <w:r>
              <w:rPr>
                <w:rFonts w:hint="eastAsia" w:ascii="宋体" w:hAnsi="宋体" w:cs="宋体"/>
                <w:color w:val="000000"/>
                <w:kern w:val="0"/>
                <w:sz w:val="16"/>
                <w:szCs w:val="16"/>
              </w:rPr>
              <w:t>　</w:t>
            </w:r>
          </w:p>
        </w:tc>
        <w:tc>
          <w:tcPr>
            <w:tcW w:w="1526" w:type="dxa"/>
            <w:tcBorders>
              <w:top w:val="single" w:color="000000" w:sz="4" w:space="0"/>
              <w:left w:val="single" w:color="000000" w:sz="4" w:space="0"/>
              <w:bottom w:val="nil"/>
              <w:right w:val="nil"/>
            </w:tcBorders>
            <w:shd w:val="clear" w:color="auto" w:fill="FFFFFF"/>
            <w:noWrap/>
            <w:vAlign w:val="center"/>
          </w:tcPr>
          <w:p w14:paraId="62AD0555">
            <w:pPr>
              <w:widowControl/>
              <w:jc w:val="right"/>
              <w:rPr>
                <w:rFonts w:ascii="宋体" w:hAnsi="宋体" w:cs="宋体"/>
                <w:color w:val="000000"/>
                <w:sz w:val="16"/>
                <w:szCs w:val="16"/>
              </w:rPr>
            </w:pPr>
            <w:r>
              <w:rPr>
                <w:rFonts w:hint="eastAsia" w:ascii="宋体" w:hAnsi="宋体" w:cs="宋体"/>
                <w:color w:val="000000"/>
                <w:kern w:val="0"/>
                <w:sz w:val="16"/>
                <w:szCs w:val="16"/>
              </w:rPr>
              <w:t>　</w:t>
            </w:r>
          </w:p>
        </w:tc>
        <w:tc>
          <w:tcPr>
            <w:tcW w:w="1591" w:type="dxa"/>
            <w:tcBorders>
              <w:top w:val="single" w:color="000000" w:sz="4" w:space="0"/>
              <w:left w:val="single" w:color="000000" w:sz="4" w:space="0"/>
              <w:bottom w:val="nil"/>
              <w:right w:val="single" w:color="000000" w:sz="4" w:space="0"/>
            </w:tcBorders>
            <w:shd w:val="clear" w:color="auto" w:fill="FFFFFF"/>
            <w:noWrap w:val="0"/>
            <w:vAlign w:val="center"/>
          </w:tcPr>
          <w:p w14:paraId="3D06BB2A">
            <w:pPr>
              <w:widowControl/>
              <w:rPr>
                <w:rFonts w:ascii="宋体" w:hAnsi="宋体" w:cs="宋体"/>
                <w:color w:val="000000"/>
                <w:sz w:val="16"/>
                <w:szCs w:val="16"/>
              </w:rPr>
            </w:pPr>
            <w:r>
              <w:rPr>
                <w:rFonts w:hint="eastAsia" w:ascii="宋体" w:hAnsi="宋体" w:cs="宋体"/>
                <w:color w:val="000000"/>
                <w:kern w:val="0"/>
                <w:sz w:val="16"/>
                <w:szCs w:val="16"/>
              </w:rPr>
              <w:t>　</w:t>
            </w:r>
          </w:p>
        </w:tc>
      </w:tr>
      <w:tr w14:paraId="0559274F">
        <w:tblPrEx>
          <w:tblCellMar>
            <w:top w:w="0" w:type="dxa"/>
            <w:left w:w="108" w:type="dxa"/>
            <w:bottom w:w="0" w:type="dxa"/>
            <w:right w:w="108" w:type="dxa"/>
          </w:tblCellMar>
        </w:tblPrEx>
        <w:trPr>
          <w:trHeight w:val="485" w:hRule="atLeast"/>
        </w:trPr>
        <w:tc>
          <w:tcPr>
            <w:tcW w:w="773" w:type="dxa"/>
            <w:tcBorders>
              <w:top w:val="single" w:color="000000" w:sz="4" w:space="0"/>
              <w:left w:val="single" w:color="000000" w:sz="4" w:space="0"/>
              <w:bottom w:val="nil"/>
              <w:right w:val="nil"/>
            </w:tcBorders>
            <w:shd w:val="clear" w:color="auto" w:fill="FFFFFF"/>
            <w:noWrap w:val="0"/>
            <w:vAlign w:val="center"/>
          </w:tcPr>
          <w:p w14:paraId="74DE1528">
            <w:pPr>
              <w:widowControl/>
              <w:jc w:val="center"/>
              <w:rPr>
                <w:rFonts w:ascii="宋体" w:hAnsi="宋体" w:cs="宋体"/>
                <w:color w:val="000000"/>
                <w:sz w:val="16"/>
                <w:szCs w:val="16"/>
              </w:rPr>
            </w:pPr>
            <w:r>
              <w:rPr>
                <w:rFonts w:hint="eastAsia" w:ascii="宋体" w:hAnsi="宋体" w:cs="宋体"/>
                <w:color w:val="000000"/>
                <w:kern w:val="0"/>
                <w:sz w:val="16"/>
                <w:szCs w:val="16"/>
              </w:rPr>
              <w:t>　</w:t>
            </w:r>
          </w:p>
        </w:tc>
        <w:tc>
          <w:tcPr>
            <w:tcW w:w="3909" w:type="dxa"/>
            <w:tcBorders>
              <w:top w:val="single" w:color="000000" w:sz="4" w:space="0"/>
              <w:left w:val="single" w:color="000000" w:sz="4" w:space="0"/>
              <w:bottom w:val="nil"/>
              <w:right w:val="nil"/>
            </w:tcBorders>
            <w:shd w:val="clear" w:color="auto" w:fill="FFFFFF"/>
            <w:noWrap w:val="0"/>
            <w:vAlign w:val="center"/>
          </w:tcPr>
          <w:p w14:paraId="3BF5D123">
            <w:pPr>
              <w:widowControl/>
              <w:rPr>
                <w:rFonts w:ascii="宋体" w:hAnsi="宋体" w:cs="宋体"/>
                <w:color w:val="000000"/>
                <w:sz w:val="16"/>
                <w:szCs w:val="16"/>
              </w:rPr>
            </w:pPr>
            <w:r>
              <w:rPr>
                <w:rFonts w:hint="eastAsia" w:ascii="宋体" w:hAnsi="宋体" w:cs="宋体"/>
                <w:color w:val="000000"/>
                <w:kern w:val="0"/>
                <w:sz w:val="16"/>
                <w:szCs w:val="16"/>
              </w:rPr>
              <w:t>　</w:t>
            </w:r>
          </w:p>
        </w:tc>
        <w:tc>
          <w:tcPr>
            <w:tcW w:w="1081" w:type="dxa"/>
            <w:tcBorders>
              <w:top w:val="single" w:color="000000" w:sz="4" w:space="0"/>
              <w:left w:val="single" w:color="000000" w:sz="4" w:space="0"/>
              <w:bottom w:val="nil"/>
              <w:right w:val="nil"/>
            </w:tcBorders>
            <w:shd w:val="clear" w:color="auto" w:fill="FFFFFF"/>
            <w:noWrap w:val="0"/>
            <w:vAlign w:val="center"/>
          </w:tcPr>
          <w:p w14:paraId="7E9962F1">
            <w:pPr>
              <w:widowControl/>
              <w:jc w:val="center"/>
              <w:rPr>
                <w:rFonts w:ascii="宋体" w:hAnsi="宋体" w:cs="宋体"/>
                <w:color w:val="000000"/>
                <w:sz w:val="16"/>
                <w:szCs w:val="16"/>
              </w:rPr>
            </w:pPr>
            <w:r>
              <w:rPr>
                <w:rFonts w:hint="eastAsia" w:ascii="宋体" w:hAnsi="宋体" w:cs="宋体"/>
                <w:color w:val="000000"/>
                <w:kern w:val="0"/>
                <w:sz w:val="16"/>
                <w:szCs w:val="16"/>
              </w:rPr>
              <w:t>　</w:t>
            </w:r>
          </w:p>
        </w:tc>
        <w:tc>
          <w:tcPr>
            <w:tcW w:w="1526" w:type="dxa"/>
            <w:tcBorders>
              <w:top w:val="single" w:color="000000" w:sz="4" w:space="0"/>
              <w:left w:val="single" w:color="000000" w:sz="4" w:space="0"/>
              <w:bottom w:val="nil"/>
              <w:right w:val="nil"/>
            </w:tcBorders>
            <w:shd w:val="clear" w:color="auto" w:fill="FFFFFF"/>
            <w:noWrap/>
            <w:vAlign w:val="center"/>
          </w:tcPr>
          <w:p w14:paraId="1386812D">
            <w:pPr>
              <w:widowControl/>
              <w:jc w:val="right"/>
              <w:rPr>
                <w:rFonts w:ascii="宋体" w:hAnsi="宋体" w:cs="宋体"/>
                <w:color w:val="000000"/>
                <w:sz w:val="16"/>
                <w:szCs w:val="16"/>
              </w:rPr>
            </w:pPr>
            <w:r>
              <w:rPr>
                <w:rFonts w:hint="eastAsia" w:ascii="宋体" w:hAnsi="宋体" w:cs="宋体"/>
                <w:color w:val="000000"/>
                <w:kern w:val="0"/>
                <w:sz w:val="16"/>
                <w:szCs w:val="16"/>
              </w:rPr>
              <w:t>　</w:t>
            </w:r>
          </w:p>
        </w:tc>
        <w:tc>
          <w:tcPr>
            <w:tcW w:w="1591" w:type="dxa"/>
            <w:tcBorders>
              <w:top w:val="single" w:color="000000" w:sz="4" w:space="0"/>
              <w:left w:val="single" w:color="000000" w:sz="4" w:space="0"/>
              <w:bottom w:val="nil"/>
              <w:right w:val="single" w:color="000000" w:sz="4" w:space="0"/>
            </w:tcBorders>
            <w:shd w:val="clear" w:color="auto" w:fill="FFFFFF"/>
            <w:noWrap w:val="0"/>
            <w:vAlign w:val="center"/>
          </w:tcPr>
          <w:p w14:paraId="1BBBCD04">
            <w:pPr>
              <w:widowControl/>
              <w:rPr>
                <w:rFonts w:ascii="宋体" w:hAnsi="宋体" w:cs="宋体"/>
                <w:color w:val="000000"/>
                <w:sz w:val="16"/>
                <w:szCs w:val="16"/>
              </w:rPr>
            </w:pPr>
            <w:r>
              <w:rPr>
                <w:rFonts w:hint="eastAsia" w:ascii="宋体" w:hAnsi="宋体" w:cs="宋体"/>
                <w:color w:val="000000"/>
                <w:kern w:val="0"/>
                <w:sz w:val="16"/>
                <w:szCs w:val="16"/>
              </w:rPr>
              <w:t>　</w:t>
            </w:r>
          </w:p>
        </w:tc>
      </w:tr>
      <w:tr w14:paraId="5BB8E891">
        <w:tblPrEx>
          <w:tblCellMar>
            <w:top w:w="0" w:type="dxa"/>
            <w:left w:w="108" w:type="dxa"/>
            <w:bottom w:w="0" w:type="dxa"/>
            <w:right w:w="108" w:type="dxa"/>
          </w:tblCellMar>
        </w:tblPrEx>
        <w:trPr>
          <w:trHeight w:val="485" w:hRule="atLeast"/>
        </w:trPr>
        <w:tc>
          <w:tcPr>
            <w:tcW w:w="773" w:type="dxa"/>
            <w:tcBorders>
              <w:top w:val="single" w:color="000000" w:sz="4" w:space="0"/>
              <w:left w:val="single" w:color="000000" w:sz="4" w:space="0"/>
              <w:bottom w:val="nil"/>
              <w:right w:val="nil"/>
            </w:tcBorders>
            <w:shd w:val="clear" w:color="auto" w:fill="FFFFFF"/>
            <w:noWrap w:val="0"/>
            <w:vAlign w:val="center"/>
          </w:tcPr>
          <w:p w14:paraId="4FE7BD98">
            <w:pPr>
              <w:widowControl/>
              <w:jc w:val="center"/>
              <w:rPr>
                <w:rFonts w:ascii="宋体" w:hAnsi="宋体" w:cs="宋体"/>
                <w:color w:val="000000"/>
                <w:sz w:val="16"/>
                <w:szCs w:val="16"/>
              </w:rPr>
            </w:pPr>
            <w:r>
              <w:rPr>
                <w:rFonts w:hint="eastAsia" w:ascii="宋体" w:hAnsi="宋体" w:cs="宋体"/>
                <w:color w:val="000000"/>
                <w:kern w:val="0"/>
                <w:sz w:val="16"/>
                <w:szCs w:val="16"/>
              </w:rPr>
              <w:t>　</w:t>
            </w:r>
          </w:p>
        </w:tc>
        <w:tc>
          <w:tcPr>
            <w:tcW w:w="3909" w:type="dxa"/>
            <w:tcBorders>
              <w:top w:val="single" w:color="000000" w:sz="4" w:space="0"/>
              <w:left w:val="single" w:color="000000" w:sz="4" w:space="0"/>
              <w:bottom w:val="nil"/>
              <w:right w:val="nil"/>
            </w:tcBorders>
            <w:shd w:val="clear" w:color="auto" w:fill="FFFFFF"/>
            <w:noWrap w:val="0"/>
            <w:vAlign w:val="center"/>
          </w:tcPr>
          <w:p w14:paraId="1632C2A5">
            <w:pPr>
              <w:widowControl/>
              <w:rPr>
                <w:rFonts w:ascii="宋体" w:hAnsi="宋体" w:cs="宋体"/>
                <w:color w:val="000000"/>
                <w:sz w:val="16"/>
                <w:szCs w:val="16"/>
              </w:rPr>
            </w:pPr>
            <w:r>
              <w:rPr>
                <w:rFonts w:hint="eastAsia" w:ascii="宋体" w:hAnsi="宋体" w:cs="宋体"/>
                <w:color w:val="000000"/>
                <w:kern w:val="0"/>
                <w:sz w:val="16"/>
                <w:szCs w:val="16"/>
              </w:rPr>
              <w:t>　</w:t>
            </w:r>
          </w:p>
        </w:tc>
        <w:tc>
          <w:tcPr>
            <w:tcW w:w="1081" w:type="dxa"/>
            <w:tcBorders>
              <w:top w:val="single" w:color="000000" w:sz="4" w:space="0"/>
              <w:left w:val="single" w:color="000000" w:sz="4" w:space="0"/>
              <w:bottom w:val="nil"/>
              <w:right w:val="nil"/>
            </w:tcBorders>
            <w:shd w:val="clear" w:color="auto" w:fill="FFFFFF"/>
            <w:noWrap w:val="0"/>
            <w:vAlign w:val="center"/>
          </w:tcPr>
          <w:p w14:paraId="0C6EBE5D">
            <w:pPr>
              <w:widowControl/>
              <w:jc w:val="center"/>
              <w:rPr>
                <w:rFonts w:ascii="宋体" w:hAnsi="宋体" w:cs="宋体"/>
                <w:color w:val="000000"/>
                <w:sz w:val="16"/>
                <w:szCs w:val="16"/>
              </w:rPr>
            </w:pPr>
            <w:r>
              <w:rPr>
                <w:rFonts w:hint="eastAsia" w:ascii="宋体" w:hAnsi="宋体" w:cs="宋体"/>
                <w:color w:val="000000"/>
                <w:kern w:val="0"/>
                <w:sz w:val="16"/>
                <w:szCs w:val="16"/>
              </w:rPr>
              <w:t>　</w:t>
            </w:r>
          </w:p>
        </w:tc>
        <w:tc>
          <w:tcPr>
            <w:tcW w:w="1526" w:type="dxa"/>
            <w:tcBorders>
              <w:top w:val="single" w:color="000000" w:sz="4" w:space="0"/>
              <w:left w:val="single" w:color="000000" w:sz="4" w:space="0"/>
              <w:bottom w:val="nil"/>
              <w:right w:val="nil"/>
            </w:tcBorders>
            <w:shd w:val="clear" w:color="auto" w:fill="FFFFFF"/>
            <w:noWrap/>
            <w:vAlign w:val="center"/>
          </w:tcPr>
          <w:p w14:paraId="6C74F078">
            <w:pPr>
              <w:widowControl/>
              <w:jc w:val="right"/>
              <w:rPr>
                <w:rFonts w:ascii="宋体" w:hAnsi="宋体" w:cs="宋体"/>
                <w:color w:val="000000"/>
                <w:sz w:val="16"/>
                <w:szCs w:val="16"/>
              </w:rPr>
            </w:pPr>
            <w:r>
              <w:rPr>
                <w:rFonts w:hint="eastAsia" w:ascii="宋体" w:hAnsi="宋体" w:cs="宋体"/>
                <w:color w:val="000000"/>
                <w:kern w:val="0"/>
                <w:sz w:val="16"/>
                <w:szCs w:val="16"/>
              </w:rPr>
              <w:t>　</w:t>
            </w:r>
          </w:p>
        </w:tc>
        <w:tc>
          <w:tcPr>
            <w:tcW w:w="1591" w:type="dxa"/>
            <w:tcBorders>
              <w:top w:val="single" w:color="000000" w:sz="4" w:space="0"/>
              <w:left w:val="single" w:color="000000" w:sz="4" w:space="0"/>
              <w:bottom w:val="nil"/>
              <w:right w:val="single" w:color="000000" w:sz="4" w:space="0"/>
            </w:tcBorders>
            <w:shd w:val="clear" w:color="auto" w:fill="FFFFFF"/>
            <w:noWrap w:val="0"/>
            <w:vAlign w:val="center"/>
          </w:tcPr>
          <w:p w14:paraId="46CADA48">
            <w:pPr>
              <w:widowControl/>
              <w:rPr>
                <w:rFonts w:ascii="宋体" w:hAnsi="宋体" w:cs="宋体"/>
                <w:color w:val="000000"/>
                <w:sz w:val="16"/>
                <w:szCs w:val="16"/>
              </w:rPr>
            </w:pPr>
            <w:r>
              <w:rPr>
                <w:rFonts w:hint="eastAsia" w:ascii="宋体" w:hAnsi="宋体" w:cs="宋体"/>
                <w:color w:val="000000"/>
                <w:kern w:val="0"/>
                <w:sz w:val="16"/>
                <w:szCs w:val="16"/>
              </w:rPr>
              <w:t>　</w:t>
            </w:r>
          </w:p>
        </w:tc>
      </w:tr>
      <w:tr w14:paraId="10404A2A">
        <w:tblPrEx>
          <w:tblCellMar>
            <w:top w:w="0" w:type="dxa"/>
            <w:left w:w="108" w:type="dxa"/>
            <w:bottom w:w="0" w:type="dxa"/>
            <w:right w:w="108" w:type="dxa"/>
          </w:tblCellMar>
        </w:tblPrEx>
        <w:trPr>
          <w:trHeight w:val="485" w:hRule="atLeast"/>
        </w:trPr>
        <w:tc>
          <w:tcPr>
            <w:tcW w:w="773" w:type="dxa"/>
            <w:tcBorders>
              <w:top w:val="single" w:color="000000" w:sz="4" w:space="0"/>
              <w:left w:val="single" w:color="000000" w:sz="4" w:space="0"/>
              <w:bottom w:val="nil"/>
              <w:right w:val="nil"/>
            </w:tcBorders>
            <w:shd w:val="clear" w:color="auto" w:fill="FFFFFF"/>
            <w:noWrap w:val="0"/>
            <w:vAlign w:val="center"/>
          </w:tcPr>
          <w:p w14:paraId="554577DD">
            <w:pPr>
              <w:widowControl/>
              <w:jc w:val="center"/>
              <w:rPr>
                <w:rFonts w:ascii="宋体" w:hAnsi="宋体" w:cs="宋体"/>
                <w:color w:val="000000"/>
                <w:sz w:val="16"/>
                <w:szCs w:val="16"/>
              </w:rPr>
            </w:pPr>
            <w:r>
              <w:rPr>
                <w:rFonts w:hint="eastAsia" w:ascii="宋体" w:hAnsi="宋体" w:cs="宋体"/>
                <w:color w:val="000000"/>
                <w:kern w:val="0"/>
                <w:sz w:val="16"/>
                <w:szCs w:val="16"/>
              </w:rPr>
              <w:t>　</w:t>
            </w:r>
          </w:p>
        </w:tc>
        <w:tc>
          <w:tcPr>
            <w:tcW w:w="3909" w:type="dxa"/>
            <w:tcBorders>
              <w:top w:val="single" w:color="000000" w:sz="4" w:space="0"/>
              <w:left w:val="single" w:color="000000" w:sz="4" w:space="0"/>
              <w:bottom w:val="nil"/>
              <w:right w:val="nil"/>
            </w:tcBorders>
            <w:shd w:val="clear" w:color="auto" w:fill="FFFFFF"/>
            <w:noWrap w:val="0"/>
            <w:vAlign w:val="center"/>
          </w:tcPr>
          <w:p w14:paraId="26DC5423">
            <w:pPr>
              <w:widowControl/>
              <w:rPr>
                <w:rFonts w:ascii="宋体" w:hAnsi="宋体" w:cs="宋体"/>
                <w:color w:val="000000"/>
                <w:sz w:val="16"/>
                <w:szCs w:val="16"/>
              </w:rPr>
            </w:pPr>
            <w:r>
              <w:rPr>
                <w:rFonts w:hint="eastAsia" w:ascii="宋体" w:hAnsi="宋体" w:cs="宋体"/>
                <w:color w:val="000000"/>
                <w:kern w:val="0"/>
                <w:sz w:val="16"/>
                <w:szCs w:val="16"/>
              </w:rPr>
              <w:t>　</w:t>
            </w:r>
          </w:p>
        </w:tc>
        <w:tc>
          <w:tcPr>
            <w:tcW w:w="1081" w:type="dxa"/>
            <w:tcBorders>
              <w:top w:val="single" w:color="000000" w:sz="4" w:space="0"/>
              <w:left w:val="single" w:color="000000" w:sz="4" w:space="0"/>
              <w:bottom w:val="nil"/>
              <w:right w:val="nil"/>
            </w:tcBorders>
            <w:shd w:val="clear" w:color="auto" w:fill="FFFFFF"/>
            <w:noWrap w:val="0"/>
            <w:vAlign w:val="center"/>
          </w:tcPr>
          <w:p w14:paraId="5590C8E3">
            <w:pPr>
              <w:widowControl/>
              <w:jc w:val="center"/>
              <w:rPr>
                <w:rFonts w:ascii="宋体" w:hAnsi="宋体" w:cs="宋体"/>
                <w:color w:val="000000"/>
                <w:sz w:val="16"/>
                <w:szCs w:val="16"/>
              </w:rPr>
            </w:pPr>
            <w:r>
              <w:rPr>
                <w:rFonts w:hint="eastAsia" w:ascii="宋体" w:hAnsi="宋体" w:cs="宋体"/>
                <w:color w:val="000000"/>
                <w:kern w:val="0"/>
                <w:sz w:val="16"/>
                <w:szCs w:val="16"/>
              </w:rPr>
              <w:t>　</w:t>
            </w:r>
          </w:p>
        </w:tc>
        <w:tc>
          <w:tcPr>
            <w:tcW w:w="1526" w:type="dxa"/>
            <w:tcBorders>
              <w:top w:val="single" w:color="000000" w:sz="4" w:space="0"/>
              <w:left w:val="single" w:color="000000" w:sz="4" w:space="0"/>
              <w:bottom w:val="nil"/>
              <w:right w:val="nil"/>
            </w:tcBorders>
            <w:shd w:val="clear" w:color="auto" w:fill="FFFFFF"/>
            <w:noWrap/>
            <w:vAlign w:val="center"/>
          </w:tcPr>
          <w:p w14:paraId="45010824">
            <w:pPr>
              <w:widowControl/>
              <w:jc w:val="right"/>
              <w:rPr>
                <w:rFonts w:ascii="宋体" w:hAnsi="宋体" w:cs="宋体"/>
                <w:color w:val="000000"/>
                <w:sz w:val="16"/>
                <w:szCs w:val="16"/>
              </w:rPr>
            </w:pPr>
            <w:r>
              <w:rPr>
                <w:rFonts w:hint="eastAsia" w:ascii="宋体" w:hAnsi="宋体" w:cs="宋体"/>
                <w:color w:val="000000"/>
                <w:kern w:val="0"/>
                <w:sz w:val="16"/>
                <w:szCs w:val="16"/>
              </w:rPr>
              <w:t>　</w:t>
            </w:r>
          </w:p>
        </w:tc>
        <w:tc>
          <w:tcPr>
            <w:tcW w:w="1591" w:type="dxa"/>
            <w:tcBorders>
              <w:top w:val="single" w:color="000000" w:sz="4" w:space="0"/>
              <w:left w:val="single" w:color="000000" w:sz="4" w:space="0"/>
              <w:bottom w:val="nil"/>
              <w:right w:val="single" w:color="000000" w:sz="4" w:space="0"/>
            </w:tcBorders>
            <w:shd w:val="clear" w:color="auto" w:fill="FFFFFF"/>
            <w:noWrap w:val="0"/>
            <w:vAlign w:val="center"/>
          </w:tcPr>
          <w:p w14:paraId="75ED80B0">
            <w:pPr>
              <w:widowControl/>
              <w:rPr>
                <w:rFonts w:ascii="宋体" w:hAnsi="宋体" w:cs="宋体"/>
                <w:color w:val="000000"/>
                <w:sz w:val="16"/>
                <w:szCs w:val="16"/>
              </w:rPr>
            </w:pPr>
            <w:r>
              <w:rPr>
                <w:rFonts w:hint="eastAsia" w:ascii="宋体" w:hAnsi="宋体" w:cs="宋体"/>
                <w:color w:val="000000"/>
                <w:kern w:val="0"/>
                <w:sz w:val="16"/>
                <w:szCs w:val="16"/>
              </w:rPr>
              <w:t>　</w:t>
            </w:r>
          </w:p>
        </w:tc>
      </w:tr>
      <w:tr w14:paraId="20FC0C2B">
        <w:tblPrEx>
          <w:tblCellMar>
            <w:top w:w="0" w:type="dxa"/>
            <w:left w:w="108" w:type="dxa"/>
            <w:bottom w:w="0" w:type="dxa"/>
            <w:right w:w="108" w:type="dxa"/>
          </w:tblCellMar>
        </w:tblPrEx>
        <w:trPr>
          <w:trHeight w:val="485" w:hRule="atLeast"/>
        </w:trPr>
        <w:tc>
          <w:tcPr>
            <w:tcW w:w="773" w:type="dxa"/>
            <w:tcBorders>
              <w:top w:val="single" w:color="000000" w:sz="4" w:space="0"/>
              <w:left w:val="single" w:color="000000" w:sz="4" w:space="0"/>
              <w:bottom w:val="nil"/>
              <w:right w:val="nil"/>
            </w:tcBorders>
            <w:shd w:val="clear" w:color="auto" w:fill="FFFFFF"/>
            <w:noWrap w:val="0"/>
            <w:vAlign w:val="center"/>
          </w:tcPr>
          <w:p w14:paraId="4DE9512D">
            <w:pPr>
              <w:widowControl/>
              <w:jc w:val="center"/>
              <w:rPr>
                <w:rFonts w:ascii="宋体" w:hAnsi="宋体" w:cs="宋体"/>
                <w:color w:val="000000"/>
                <w:sz w:val="16"/>
                <w:szCs w:val="16"/>
              </w:rPr>
            </w:pPr>
            <w:r>
              <w:rPr>
                <w:rFonts w:hint="eastAsia" w:ascii="宋体" w:hAnsi="宋体" w:cs="宋体"/>
                <w:color w:val="000000"/>
                <w:kern w:val="0"/>
                <w:sz w:val="16"/>
                <w:szCs w:val="16"/>
              </w:rPr>
              <w:t>　</w:t>
            </w:r>
          </w:p>
        </w:tc>
        <w:tc>
          <w:tcPr>
            <w:tcW w:w="3909" w:type="dxa"/>
            <w:tcBorders>
              <w:top w:val="single" w:color="000000" w:sz="4" w:space="0"/>
              <w:left w:val="single" w:color="000000" w:sz="4" w:space="0"/>
              <w:bottom w:val="nil"/>
              <w:right w:val="nil"/>
            </w:tcBorders>
            <w:shd w:val="clear" w:color="auto" w:fill="FFFFFF"/>
            <w:noWrap w:val="0"/>
            <w:vAlign w:val="center"/>
          </w:tcPr>
          <w:p w14:paraId="5E196B6D">
            <w:pPr>
              <w:widowControl/>
              <w:rPr>
                <w:rFonts w:ascii="宋体" w:hAnsi="宋体" w:cs="宋体"/>
                <w:color w:val="000000"/>
                <w:sz w:val="16"/>
                <w:szCs w:val="16"/>
              </w:rPr>
            </w:pPr>
            <w:r>
              <w:rPr>
                <w:rFonts w:hint="eastAsia" w:ascii="宋体" w:hAnsi="宋体" w:cs="宋体"/>
                <w:color w:val="000000"/>
                <w:kern w:val="0"/>
                <w:sz w:val="16"/>
                <w:szCs w:val="16"/>
              </w:rPr>
              <w:t>　</w:t>
            </w:r>
          </w:p>
        </w:tc>
        <w:tc>
          <w:tcPr>
            <w:tcW w:w="1081" w:type="dxa"/>
            <w:tcBorders>
              <w:top w:val="single" w:color="000000" w:sz="4" w:space="0"/>
              <w:left w:val="single" w:color="000000" w:sz="4" w:space="0"/>
              <w:bottom w:val="nil"/>
              <w:right w:val="nil"/>
            </w:tcBorders>
            <w:shd w:val="clear" w:color="auto" w:fill="FFFFFF"/>
            <w:noWrap w:val="0"/>
            <w:vAlign w:val="center"/>
          </w:tcPr>
          <w:p w14:paraId="49C78064">
            <w:pPr>
              <w:widowControl/>
              <w:jc w:val="center"/>
              <w:rPr>
                <w:rFonts w:ascii="宋体" w:hAnsi="宋体" w:cs="宋体"/>
                <w:color w:val="000000"/>
                <w:sz w:val="16"/>
                <w:szCs w:val="16"/>
              </w:rPr>
            </w:pPr>
            <w:r>
              <w:rPr>
                <w:rFonts w:hint="eastAsia" w:ascii="宋体" w:hAnsi="宋体" w:cs="宋体"/>
                <w:color w:val="000000"/>
                <w:kern w:val="0"/>
                <w:sz w:val="16"/>
                <w:szCs w:val="16"/>
              </w:rPr>
              <w:t>　</w:t>
            </w:r>
          </w:p>
        </w:tc>
        <w:tc>
          <w:tcPr>
            <w:tcW w:w="1526" w:type="dxa"/>
            <w:tcBorders>
              <w:top w:val="single" w:color="000000" w:sz="4" w:space="0"/>
              <w:left w:val="single" w:color="000000" w:sz="4" w:space="0"/>
              <w:bottom w:val="nil"/>
              <w:right w:val="nil"/>
            </w:tcBorders>
            <w:shd w:val="clear" w:color="auto" w:fill="FFFFFF"/>
            <w:noWrap/>
            <w:vAlign w:val="center"/>
          </w:tcPr>
          <w:p w14:paraId="23611406">
            <w:pPr>
              <w:widowControl/>
              <w:jc w:val="right"/>
              <w:rPr>
                <w:rFonts w:ascii="宋体" w:hAnsi="宋体" w:cs="宋体"/>
                <w:color w:val="000000"/>
                <w:sz w:val="16"/>
                <w:szCs w:val="16"/>
              </w:rPr>
            </w:pPr>
            <w:r>
              <w:rPr>
                <w:rFonts w:hint="eastAsia" w:ascii="宋体" w:hAnsi="宋体" w:cs="宋体"/>
                <w:color w:val="000000"/>
                <w:kern w:val="0"/>
                <w:sz w:val="16"/>
                <w:szCs w:val="16"/>
              </w:rPr>
              <w:t>　</w:t>
            </w:r>
          </w:p>
        </w:tc>
        <w:tc>
          <w:tcPr>
            <w:tcW w:w="1591" w:type="dxa"/>
            <w:tcBorders>
              <w:top w:val="single" w:color="000000" w:sz="4" w:space="0"/>
              <w:left w:val="single" w:color="000000" w:sz="4" w:space="0"/>
              <w:bottom w:val="nil"/>
              <w:right w:val="single" w:color="000000" w:sz="4" w:space="0"/>
            </w:tcBorders>
            <w:shd w:val="clear" w:color="auto" w:fill="FFFFFF"/>
            <w:noWrap w:val="0"/>
            <w:vAlign w:val="center"/>
          </w:tcPr>
          <w:p w14:paraId="5FF7DF09">
            <w:pPr>
              <w:widowControl/>
              <w:rPr>
                <w:rFonts w:ascii="宋体" w:hAnsi="宋体" w:cs="宋体"/>
                <w:color w:val="000000"/>
                <w:sz w:val="16"/>
                <w:szCs w:val="16"/>
              </w:rPr>
            </w:pPr>
            <w:r>
              <w:rPr>
                <w:rFonts w:hint="eastAsia" w:ascii="宋体" w:hAnsi="宋体" w:cs="宋体"/>
                <w:color w:val="000000"/>
                <w:kern w:val="0"/>
                <w:sz w:val="16"/>
                <w:szCs w:val="16"/>
              </w:rPr>
              <w:t>　</w:t>
            </w:r>
          </w:p>
        </w:tc>
      </w:tr>
      <w:tr w14:paraId="1B923FF7">
        <w:tblPrEx>
          <w:tblCellMar>
            <w:top w:w="0" w:type="dxa"/>
            <w:left w:w="108" w:type="dxa"/>
            <w:bottom w:w="0" w:type="dxa"/>
            <w:right w:w="108" w:type="dxa"/>
          </w:tblCellMar>
        </w:tblPrEx>
        <w:trPr>
          <w:trHeight w:val="485" w:hRule="atLeast"/>
        </w:trPr>
        <w:tc>
          <w:tcPr>
            <w:tcW w:w="773" w:type="dxa"/>
            <w:tcBorders>
              <w:top w:val="single" w:color="000000" w:sz="4" w:space="0"/>
              <w:left w:val="single" w:color="000000" w:sz="4" w:space="0"/>
              <w:bottom w:val="nil"/>
              <w:right w:val="nil"/>
            </w:tcBorders>
            <w:shd w:val="clear" w:color="auto" w:fill="FFFFFF"/>
            <w:noWrap w:val="0"/>
            <w:vAlign w:val="center"/>
          </w:tcPr>
          <w:p w14:paraId="63B45AD8">
            <w:pPr>
              <w:widowControl/>
              <w:jc w:val="center"/>
              <w:rPr>
                <w:rFonts w:ascii="宋体" w:hAnsi="宋体" w:cs="宋体"/>
                <w:color w:val="000000"/>
                <w:sz w:val="16"/>
                <w:szCs w:val="16"/>
              </w:rPr>
            </w:pPr>
            <w:r>
              <w:rPr>
                <w:rFonts w:hint="eastAsia" w:ascii="宋体" w:hAnsi="宋体" w:cs="宋体"/>
                <w:color w:val="000000"/>
                <w:kern w:val="0"/>
                <w:sz w:val="16"/>
                <w:szCs w:val="16"/>
              </w:rPr>
              <w:t>　</w:t>
            </w:r>
          </w:p>
        </w:tc>
        <w:tc>
          <w:tcPr>
            <w:tcW w:w="3909" w:type="dxa"/>
            <w:tcBorders>
              <w:top w:val="single" w:color="000000" w:sz="4" w:space="0"/>
              <w:left w:val="single" w:color="000000" w:sz="4" w:space="0"/>
              <w:bottom w:val="nil"/>
              <w:right w:val="nil"/>
            </w:tcBorders>
            <w:shd w:val="clear" w:color="auto" w:fill="FFFFFF"/>
            <w:noWrap w:val="0"/>
            <w:vAlign w:val="center"/>
          </w:tcPr>
          <w:p w14:paraId="18BE7781">
            <w:pPr>
              <w:widowControl/>
              <w:rPr>
                <w:rFonts w:ascii="宋体" w:hAnsi="宋体" w:cs="宋体"/>
                <w:color w:val="000000"/>
                <w:sz w:val="16"/>
                <w:szCs w:val="16"/>
              </w:rPr>
            </w:pPr>
            <w:r>
              <w:rPr>
                <w:rFonts w:hint="eastAsia" w:ascii="宋体" w:hAnsi="宋体" w:cs="宋体"/>
                <w:color w:val="000000"/>
                <w:kern w:val="0"/>
                <w:sz w:val="16"/>
                <w:szCs w:val="16"/>
              </w:rPr>
              <w:t>　</w:t>
            </w:r>
          </w:p>
        </w:tc>
        <w:tc>
          <w:tcPr>
            <w:tcW w:w="1081" w:type="dxa"/>
            <w:tcBorders>
              <w:top w:val="single" w:color="000000" w:sz="4" w:space="0"/>
              <w:left w:val="single" w:color="000000" w:sz="4" w:space="0"/>
              <w:bottom w:val="nil"/>
              <w:right w:val="nil"/>
            </w:tcBorders>
            <w:shd w:val="clear" w:color="auto" w:fill="FFFFFF"/>
            <w:noWrap w:val="0"/>
            <w:vAlign w:val="center"/>
          </w:tcPr>
          <w:p w14:paraId="63536BE5">
            <w:pPr>
              <w:widowControl/>
              <w:jc w:val="center"/>
              <w:rPr>
                <w:rFonts w:ascii="宋体" w:hAnsi="宋体" w:cs="宋体"/>
                <w:color w:val="000000"/>
                <w:sz w:val="16"/>
                <w:szCs w:val="16"/>
              </w:rPr>
            </w:pPr>
            <w:r>
              <w:rPr>
                <w:rFonts w:hint="eastAsia" w:ascii="宋体" w:hAnsi="宋体" w:cs="宋体"/>
                <w:color w:val="000000"/>
                <w:kern w:val="0"/>
                <w:sz w:val="16"/>
                <w:szCs w:val="16"/>
              </w:rPr>
              <w:t>　</w:t>
            </w:r>
          </w:p>
        </w:tc>
        <w:tc>
          <w:tcPr>
            <w:tcW w:w="1526" w:type="dxa"/>
            <w:tcBorders>
              <w:top w:val="single" w:color="000000" w:sz="4" w:space="0"/>
              <w:left w:val="single" w:color="000000" w:sz="4" w:space="0"/>
              <w:bottom w:val="nil"/>
              <w:right w:val="nil"/>
            </w:tcBorders>
            <w:shd w:val="clear" w:color="auto" w:fill="FFFFFF"/>
            <w:noWrap/>
            <w:vAlign w:val="center"/>
          </w:tcPr>
          <w:p w14:paraId="26B36A1B">
            <w:pPr>
              <w:widowControl/>
              <w:jc w:val="right"/>
              <w:rPr>
                <w:rFonts w:ascii="宋体" w:hAnsi="宋体" w:cs="宋体"/>
                <w:color w:val="000000"/>
                <w:sz w:val="16"/>
                <w:szCs w:val="16"/>
              </w:rPr>
            </w:pPr>
            <w:r>
              <w:rPr>
                <w:rFonts w:hint="eastAsia" w:ascii="宋体" w:hAnsi="宋体" w:cs="宋体"/>
                <w:color w:val="000000"/>
                <w:kern w:val="0"/>
                <w:sz w:val="16"/>
                <w:szCs w:val="16"/>
              </w:rPr>
              <w:t>　</w:t>
            </w:r>
          </w:p>
        </w:tc>
        <w:tc>
          <w:tcPr>
            <w:tcW w:w="1591" w:type="dxa"/>
            <w:tcBorders>
              <w:top w:val="single" w:color="000000" w:sz="4" w:space="0"/>
              <w:left w:val="single" w:color="000000" w:sz="4" w:space="0"/>
              <w:bottom w:val="nil"/>
              <w:right w:val="single" w:color="000000" w:sz="4" w:space="0"/>
            </w:tcBorders>
            <w:shd w:val="clear" w:color="auto" w:fill="FFFFFF"/>
            <w:noWrap w:val="0"/>
            <w:vAlign w:val="center"/>
          </w:tcPr>
          <w:p w14:paraId="6623432F">
            <w:pPr>
              <w:widowControl/>
              <w:rPr>
                <w:rFonts w:ascii="宋体" w:hAnsi="宋体" w:cs="宋体"/>
                <w:color w:val="000000"/>
                <w:sz w:val="16"/>
                <w:szCs w:val="16"/>
              </w:rPr>
            </w:pPr>
            <w:r>
              <w:rPr>
                <w:rFonts w:hint="eastAsia" w:ascii="宋体" w:hAnsi="宋体" w:cs="宋体"/>
                <w:color w:val="000000"/>
                <w:kern w:val="0"/>
                <w:sz w:val="16"/>
                <w:szCs w:val="16"/>
              </w:rPr>
              <w:t>　</w:t>
            </w:r>
          </w:p>
        </w:tc>
      </w:tr>
      <w:tr w14:paraId="076A5C3F">
        <w:tblPrEx>
          <w:tblCellMar>
            <w:top w:w="0" w:type="dxa"/>
            <w:left w:w="108" w:type="dxa"/>
            <w:bottom w:w="0" w:type="dxa"/>
            <w:right w:w="108" w:type="dxa"/>
          </w:tblCellMar>
        </w:tblPrEx>
        <w:trPr>
          <w:trHeight w:val="495" w:hRule="atLeast"/>
        </w:trPr>
        <w:tc>
          <w:tcPr>
            <w:tcW w:w="773" w:type="dxa"/>
            <w:tcBorders>
              <w:top w:val="single" w:color="000000" w:sz="4" w:space="0"/>
              <w:left w:val="single" w:color="000000" w:sz="4" w:space="0"/>
              <w:bottom w:val="single" w:color="000000" w:sz="4" w:space="0"/>
              <w:right w:val="nil"/>
            </w:tcBorders>
            <w:shd w:val="clear" w:color="auto" w:fill="FFFFFF"/>
            <w:noWrap w:val="0"/>
            <w:vAlign w:val="center"/>
          </w:tcPr>
          <w:p w14:paraId="32500AFD">
            <w:pPr>
              <w:widowControl/>
              <w:jc w:val="center"/>
              <w:rPr>
                <w:rFonts w:ascii="宋体" w:hAnsi="宋体" w:cs="宋体"/>
                <w:color w:val="000000"/>
                <w:sz w:val="16"/>
                <w:szCs w:val="16"/>
              </w:rPr>
            </w:pPr>
            <w:r>
              <w:rPr>
                <w:rFonts w:hint="eastAsia" w:ascii="宋体" w:hAnsi="宋体" w:cs="宋体"/>
                <w:color w:val="000000"/>
                <w:kern w:val="0"/>
                <w:sz w:val="16"/>
                <w:szCs w:val="16"/>
              </w:rPr>
              <w:t>　</w:t>
            </w:r>
          </w:p>
        </w:tc>
        <w:tc>
          <w:tcPr>
            <w:tcW w:w="3909" w:type="dxa"/>
            <w:tcBorders>
              <w:top w:val="single" w:color="000000" w:sz="4" w:space="0"/>
              <w:left w:val="single" w:color="000000" w:sz="4" w:space="0"/>
              <w:bottom w:val="single" w:color="000000" w:sz="4" w:space="0"/>
              <w:right w:val="nil"/>
            </w:tcBorders>
            <w:shd w:val="clear" w:color="auto" w:fill="FFFFFF"/>
            <w:noWrap w:val="0"/>
            <w:vAlign w:val="center"/>
          </w:tcPr>
          <w:p w14:paraId="2735E4D9">
            <w:pPr>
              <w:widowControl/>
              <w:rPr>
                <w:rFonts w:ascii="宋体" w:hAnsi="宋体" w:cs="宋体"/>
                <w:color w:val="000000"/>
                <w:sz w:val="16"/>
                <w:szCs w:val="16"/>
              </w:rPr>
            </w:pPr>
            <w:r>
              <w:rPr>
                <w:rFonts w:hint="eastAsia" w:ascii="宋体" w:hAnsi="宋体" w:cs="宋体"/>
                <w:color w:val="000000"/>
                <w:kern w:val="0"/>
                <w:sz w:val="16"/>
                <w:szCs w:val="16"/>
              </w:rPr>
              <w:t>　</w:t>
            </w:r>
          </w:p>
        </w:tc>
        <w:tc>
          <w:tcPr>
            <w:tcW w:w="1081" w:type="dxa"/>
            <w:tcBorders>
              <w:top w:val="single" w:color="000000" w:sz="4" w:space="0"/>
              <w:left w:val="single" w:color="000000" w:sz="4" w:space="0"/>
              <w:bottom w:val="single" w:color="000000" w:sz="4" w:space="0"/>
              <w:right w:val="nil"/>
            </w:tcBorders>
            <w:shd w:val="clear" w:color="auto" w:fill="FFFFFF"/>
            <w:noWrap w:val="0"/>
            <w:vAlign w:val="center"/>
          </w:tcPr>
          <w:p w14:paraId="29F39E28">
            <w:pPr>
              <w:widowControl/>
              <w:jc w:val="center"/>
              <w:rPr>
                <w:rFonts w:ascii="宋体" w:hAnsi="宋体" w:cs="宋体"/>
                <w:color w:val="000000"/>
                <w:sz w:val="16"/>
                <w:szCs w:val="16"/>
              </w:rPr>
            </w:pPr>
            <w:r>
              <w:rPr>
                <w:rFonts w:hint="eastAsia" w:ascii="宋体" w:hAnsi="宋体" w:cs="宋体"/>
                <w:color w:val="000000"/>
                <w:kern w:val="0"/>
                <w:sz w:val="16"/>
                <w:szCs w:val="16"/>
              </w:rPr>
              <w:t>　</w:t>
            </w:r>
          </w:p>
        </w:tc>
        <w:tc>
          <w:tcPr>
            <w:tcW w:w="1526" w:type="dxa"/>
            <w:tcBorders>
              <w:top w:val="single" w:color="000000" w:sz="4" w:space="0"/>
              <w:left w:val="single" w:color="000000" w:sz="4" w:space="0"/>
              <w:bottom w:val="single" w:color="000000" w:sz="4" w:space="0"/>
              <w:right w:val="nil"/>
            </w:tcBorders>
            <w:shd w:val="clear" w:color="auto" w:fill="FFFFFF"/>
            <w:noWrap/>
            <w:vAlign w:val="center"/>
          </w:tcPr>
          <w:p w14:paraId="116A3B51">
            <w:pPr>
              <w:widowControl/>
              <w:jc w:val="right"/>
              <w:rPr>
                <w:rFonts w:ascii="宋体" w:hAnsi="宋体" w:cs="宋体"/>
                <w:color w:val="000000"/>
                <w:sz w:val="16"/>
                <w:szCs w:val="16"/>
              </w:rPr>
            </w:pPr>
            <w:r>
              <w:rPr>
                <w:rFonts w:hint="eastAsia" w:ascii="宋体" w:hAnsi="宋体" w:cs="宋体"/>
                <w:color w:val="000000"/>
                <w:kern w:val="0"/>
                <w:sz w:val="16"/>
                <w:szCs w:val="16"/>
              </w:rPr>
              <w:t>　</w:t>
            </w:r>
          </w:p>
        </w:tc>
        <w:tc>
          <w:tcPr>
            <w:tcW w:w="159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702DB66">
            <w:pPr>
              <w:widowControl/>
              <w:rPr>
                <w:rFonts w:ascii="宋体" w:hAnsi="宋体" w:cs="宋体"/>
                <w:color w:val="000000"/>
                <w:sz w:val="16"/>
                <w:szCs w:val="16"/>
              </w:rPr>
            </w:pPr>
            <w:r>
              <w:rPr>
                <w:rFonts w:hint="eastAsia" w:ascii="宋体" w:hAnsi="宋体" w:cs="宋体"/>
                <w:color w:val="000000"/>
                <w:kern w:val="0"/>
                <w:sz w:val="16"/>
                <w:szCs w:val="16"/>
              </w:rPr>
              <w:t>　</w:t>
            </w:r>
          </w:p>
        </w:tc>
      </w:tr>
      <w:tr w14:paraId="7EF28619">
        <w:tblPrEx>
          <w:tblCellMar>
            <w:top w:w="0" w:type="dxa"/>
            <w:left w:w="108" w:type="dxa"/>
            <w:bottom w:w="0" w:type="dxa"/>
            <w:right w:w="108" w:type="dxa"/>
          </w:tblCellMar>
        </w:tblPrEx>
        <w:trPr>
          <w:trHeight w:val="495" w:hRule="atLeast"/>
        </w:trPr>
        <w:tc>
          <w:tcPr>
            <w:tcW w:w="773" w:type="dxa"/>
            <w:tcBorders>
              <w:top w:val="single" w:color="000000" w:sz="4" w:space="0"/>
              <w:left w:val="single" w:color="000000" w:sz="4" w:space="0"/>
              <w:bottom w:val="single" w:color="000000" w:sz="4" w:space="0"/>
              <w:right w:val="nil"/>
            </w:tcBorders>
            <w:shd w:val="clear" w:color="auto" w:fill="FFFFFF"/>
            <w:noWrap w:val="0"/>
            <w:vAlign w:val="center"/>
          </w:tcPr>
          <w:p w14:paraId="7BFD8E0F">
            <w:pPr>
              <w:widowControl/>
              <w:jc w:val="center"/>
              <w:rPr>
                <w:rFonts w:hint="eastAsia" w:ascii="宋体" w:hAnsi="宋体" w:cs="宋体"/>
                <w:color w:val="000000"/>
                <w:kern w:val="0"/>
                <w:sz w:val="16"/>
                <w:szCs w:val="16"/>
              </w:rPr>
            </w:pPr>
          </w:p>
        </w:tc>
        <w:tc>
          <w:tcPr>
            <w:tcW w:w="3909" w:type="dxa"/>
            <w:tcBorders>
              <w:top w:val="single" w:color="000000" w:sz="4" w:space="0"/>
              <w:left w:val="single" w:color="000000" w:sz="4" w:space="0"/>
              <w:bottom w:val="single" w:color="000000" w:sz="4" w:space="0"/>
              <w:right w:val="nil"/>
            </w:tcBorders>
            <w:shd w:val="clear" w:color="auto" w:fill="FFFFFF"/>
            <w:noWrap w:val="0"/>
            <w:vAlign w:val="center"/>
          </w:tcPr>
          <w:p w14:paraId="1DCDB2EE">
            <w:pPr>
              <w:widowControl/>
              <w:rPr>
                <w:rFonts w:hint="eastAsia" w:ascii="宋体" w:hAnsi="宋体" w:cs="宋体"/>
                <w:color w:val="000000"/>
                <w:kern w:val="0"/>
                <w:sz w:val="16"/>
                <w:szCs w:val="16"/>
              </w:rPr>
            </w:pPr>
          </w:p>
        </w:tc>
        <w:tc>
          <w:tcPr>
            <w:tcW w:w="1081" w:type="dxa"/>
            <w:tcBorders>
              <w:top w:val="single" w:color="000000" w:sz="4" w:space="0"/>
              <w:left w:val="single" w:color="000000" w:sz="4" w:space="0"/>
              <w:bottom w:val="single" w:color="000000" w:sz="4" w:space="0"/>
              <w:right w:val="nil"/>
            </w:tcBorders>
            <w:shd w:val="clear" w:color="auto" w:fill="FFFFFF"/>
            <w:noWrap w:val="0"/>
            <w:vAlign w:val="center"/>
          </w:tcPr>
          <w:p w14:paraId="6E2D03E5">
            <w:pPr>
              <w:widowControl/>
              <w:jc w:val="center"/>
              <w:rPr>
                <w:rFonts w:hint="eastAsia" w:ascii="宋体" w:hAnsi="宋体" w:cs="宋体"/>
                <w:color w:val="000000"/>
                <w:kern w:val="0"/>
                <w:sz w:val="16"/>
                <w:szCs w:val="16"/>
              </w:rPr>
            </w:pPr>
          </w:p>
        </w:tc>
        <w:tc>
          <w:tcPr>
            <w:tcW w:w="1526" w:type="dxa"/>
            <w:tcBorders>
              <w:top w:val="single" w:color="000000" w:sz="4" w:space="0"/>
              <w:left w:val="single" w:color="000000" w:sz="4" w:space="0"/>
              <w:bottom w:val="single" w:color="000000" w:sz="4" w:space="0"/>
              <w:right w:val="nil"/>
            </w:tcBorders>
            <w:shd w:val="clear" w:color="auto" w:fill="FFFFFF"/>
            <w:noWrap/>
            <w:vAlign w:val="center"/>
          </w:tcPr>
          <w:p w14:paraId="31611C98">
            <w:pPr>
              <w:widowControl/>
              <w:jc w:val="right"/>
              <w:rPr>
                <w:rFonts w:hint="eastAsia" w:ascii="宋体" w:hAnsi="宋体" w:cs="宋体"/>
                <w:color w:val="000000"/>
                <w:kern w:val="0"/>
                <w:sz w:val="16"/>
                <w:szCs w:val="16"/>
              </w:rPr>
            </w:pPr>
          </w:p>
        </w:tc>
        <w:tc>
          <w:tcPr>
            <w:tcW w:w="159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15EC53A">
            <w:pPr>
              <w:widowControl/>
              <w:rPr>
                <w:rFonts w:hint="eastAsia" w:ascii="宋体" w:hAnsi="宋体" w:cs="宋体"/>
                <w:color w:val="000000"/>
                <w:kern w:val="0"/>
                <w:sz w:val="16"/>
                <w:szCs w:val="16"/>
              </w:rPr>
            </w:pPr>
          </w:p>
        </w:tc>
      </w:tr>
      <w:tr w14:paraId="6632EC33">
        <w:tblPrEx>
          <w:tblCellMar>
            <w:top w:w="0" w:type="dxa"/>
            <w:left w:w="108" w:type="dxa"/>
            <w:bottom w:w="0" w:type="dxa"/>
            <w:right w:w="108" w:type="dxa"/>
          </w:tblCellMar>
        </w:tblPrEx>
        <w:trPr>
          <w:trHeight w:val="495" w:hRule="atLeast"/>
        </w:trPr>
        <w:tc>
          <w:tcPr>
            <w:tcW w:w="773" w:type="dxa"/>
            <w:tcBorders>
              <w:top w:val="single" w:color="000000" w:sz="4" w:space="0"/>
              <w:left w:val="single" w:color="000000" w:sz="4" w:space="0"/>
              <w:bottom w:val="single" w:color="000000" w:sz="4" w:space="0"/>
              <w:right w:val="nil"/>
            </w:tcBorders>
            <w:shd w:val="clear" w:color="auto" w:fill="FFFFFF"/>
            <w:noWrap w:val="0"/>
            <w:vAlign w:val="center"/>
          </w:tcPr>
          <w:p w14:paraId="2C6F2EFF">
            <w:pPr>
              <w:widowControl/>
              <w:jc w:val="center"/>
              <w:rPr>
                <w:rFonts w:hint="eastAsia" w:ascii="宋体" w:hAnsi="宋体" w:cs="宋体"/>
                <w:color w:val="000000"/>
                <w:kern w:val="0"/>
                <w:sz w:val="16"/>
                <w:szCs w:val="16"/>
              </w:rPr>
            </w:pPr>
          </w:p>
        </w:tc>
        <w:tc>
          <w:tcPr>
            <w:tcW w:w="3909" w:type="dxa"/>
            <w:tcBorders>
              <w:top w:val="single" w:color="000000" w:sz="4" w:space="0"/>
              <w:left w:val="single" w:color="000000" w:sz="4" w:space="0"/>
              <w:bottom w:val="single" w:color="000000" w:sz="4" w:space="0"/>
              <w:right w:val="nil"/>
            </w:tcBorders>
            <w:shd w:val="clear" w:color="auto" w:fill="FFFFFF"/>
            <w:noWrap w:val="0"/>
            <w:vAlign w:val="center"/>
          </w:tcPr>
          <w:p w14:paraId="66DABF2E">
            <w:pPr>
              <w:widowControl/>
              <w:rPr>
                <w:rFonts w:hint="eastAsia" w:ascii="宋体" w:hAnsi="宋体" w:cs="宋体"/>
                <w:color w:val="000000"/>
                <w:kern w:val="0"/>
                <w:sz w:val="16"/>
                <w:szCs w:val="16"/>
              </w:rPr>
            </w:pPr>
          </w:p>
        </w:tc>
        <w:tc>
          <w:tcPr>
            <w:tcW w:w="1081" w:type="dxa"/>
            <w:tcBorders>
              <w:top w:val="single" w:color="000000" w:sz="4" w:space="0"/>
              <w:left w:val="single" w:color="000000" w:sz="4" w:space="0"/>
              <w:bottom w:val="single" w:color="000000" w:sz="4" w:space="0"/>
              <w:right w:val="nil"/>
            </w:tcBorders>
            <w:shd w:val="clear" w:color="auto" w:fill="FFFFFF"/>
            <w:noWrap w:val="0"/>
            <w:vAlign w:val="center"/>
          </w:tcPr>
          <w:p w14:paraId="6CA161A8">
            <w:pPr>
              <w:widowControl/>
              <w:jc w:val="center"/>
              <w:rPr>
                <w:rFonts w:hint="eastAsia" w:ascii="宋体" w:hAnsi="宋体" w:cs="宋体"/>
                <w:color w:val="000000"/>
                <w:kern w:val="0"/>
                <w:sz w:val="16"/>
                <w:szCs w:val="16"/>
              </w:rPr>
            </w:pPr>
          </w:p>
        </w:tc>
        <w:tc>
          <w:tcPr>
            <w:tcW w:w="1526" w:type="dxa"/>
            <w:tcBorders>
              <w:top w:val="single" w:color="000000" w:sz="4" w:space="0"/>
              <w:left w:val="single" w:color="000000" w:sz="4" w:space="0"/>
              <w:bottom w:val="single" w:color="000000" w:sz="4" w:space="0"/>
              <w:right w:val="nil"/>
            </w:tcBorders>
            <w:shd w:val="clear" w:color="auto" w:fill="FFFFFF"/>
            <w:noWrap/>
            <w:vAlign w:val="center"/>
          </w:tcPr>
          <w:p w14:paraId="60A5076C">
            <w:pPr>
              <w:widowControl/>
              <w:jc w:val="right"/>
              <w:rPr>
                <w:rFonts w:hint="eastAsia" w:ascii="宋体" w:hAnsi="宋体" w:cs="宋体"/>
                <w:color w:val="000000"/>
                <w:kern w:val="0"/>
                <w:sz w:val="16"/>
                <w:szCs w:val="16"/>
              </w:rPr>
            </w:pPr>
          </w:p>
        </w:tc>
        <w:tc>
          <w:tcPr>
            <w:tcW w:w="159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32F8A30">
            <w:pPr>
              <w:widowControl/>
              <w:rPr>
                <w:rFonts w:hint="eastAsia" w:ascii="宋体" w:hAnsi="宋体" w:cs="宋体"/>
                <w:color w:val="000000"/>
                <w:kern w:val="0"/>
                <w:sz w:val="16"/>
                <w:szCs w:val="16"/>
              </w:rPr>
            </w:pPr>
          </w:p>
        </w:tc>
      </w:tr>
      <w:tr w14:paraId="163AA2A3">
        <w:tblPrEx>
          <w:tblCellMar>
            <w:top w:w="0" w:type="dxa"/>
            <w:left w:w="108" w:type="dxa"/>
            <w:bottom w:w="0" w:type="dxa"/>
            <w:right w:w="108" w:type="dxa"/>
          </w:tblCellMar>
        </w:tblPrEx>
        <w:trPr>
          <w:trHeight w:val="495" w:hRule="atLeast"/>
        </w:trPr>
        <w:tc>
          <w:tcPr>
            <w:tcW w:w="773" w:type="dxa"/>
            <w:tcBorders>
              <w:top w:val="single" w:color="000000" w:sz="4" w:space="0"/>
              <w:left w:val="single" w:color="000000" w:sz="4" w:space="0"/>
              <w:bottom w:val="single" w:color="000000" w:sz="4" w:space="0"/>
              <w:right w:val="nil"/>
            </w:tcBorders>
            <w:shd w:val="clear" w:color="auto" w:fill="FFFFFF"/>
            <w:noWrap w:val="0"/>
            <w:vAlign w:val="center"/>
          </w:tcPr>
          <w:p w14:paraId="3E745B70">
            <w:pPr>
              <w:widowControl/>
              <w:jc w:val="center"/>
              <w:rPr>
                <w:rFonts w:hint="eastAsia" w:ascii="宋体" w:hAnsi="宋体" w:cs="宋体"/>
                <w:color w:val="000000"/>
                <w:kern w:val="0"/>
                <w:sz w:val="16"/>
                <w:szCs w:val="16"/>
              </w:rPr>
            </w:pPr>
          </w:p>
        </w:tc>
        <w:tc>
          <w:tcPr>
            <w:tcW w:w="3909" w:type="dxa"/>
            <w:tcBorders>
              <w:top w:val="single" w:color="000000" w:sz="4" w:space="0"/>
              <w:left w:val="single" w:color="000000" w:sz="4" w:space="0"/>
              <w:bottom w:val="single" w:color="000000" w:sz="4" w:space="0"/>
              <w:right w:val="nil"/>
            </w:tcBorders>
            <w:shd w:val="clear" w:color="auto" w:fill="FFFFFF"/>
            <w:noWrap w:val="0"/>
            <w:vAlign w:val="center"/>
          </w:tcPr>
          <w:p w14:paraId="268659A8">
            <w:pPr>
              <w:widowControl/>
              <w:rPr>
                <w:rFonts w:hint="eastAsia" w:ascii="宋体" w:hAnsi="宋体" w:cs="宋体"/>
                <w:color w:val="000000"/>
                <w:kern w:val="0"/>
                <w:sz w:val="16"/>
                <w:szCs w:val="16"/>
              </w:rPr>
            </w:pPr>
          </w:p>
        </w:tc>
        <w:tc>
          <w:tcPr>
            <w:tcW w:w="1081" w:type="dxa"/>
            <w:tcBorders>
              <w:top w:val="single" w:color="000000" w:sz="4" w:space="0"/>
              <w:left w:val="single" w:color="000000" w:sz="4" w:space="0"/>
              <w:bottom w:val="single" w:color="000000" w:sz="4" w:space="0"/>
              <w:right w:val="nil"/>
            </w:tcBorders>
            <w:shd w:val="clear" w:color="auto" w:fill="FFFFFF"/>
            <w:noWrap w:val="0"/>
            <w:vAlign w:val="center"/>
          </w:tcPr>
          <w:p w14:paraId="3C38F0BE">
            <w:pPr>
              <w:widowControl/>
              <w:jc w:val="center"/>
              <w:rPr>
                <w:rFonts w:hint="eastAsia" w:ascii="宋体" w:hAnsi="宋体" w:cs="宋体"/>
                <w:color w:val="000000"/>
                <w:kern w:val="0"/>
                <w:sz w:val="16"/>
                <w:szCs w:val="16"/>
              </w:rPr>
            </w:pPr>
          </w:p>
        </w:tc>
        <w:tc>
          <w:tcPr>
            <w:tcW w:w="1526" w:type="dxa"/>
            <w:tcBorders>
              <w:top w:val="single" w:color="000000" w:sz="4" w:space="0"/>
              <w:left w:val="single" w:color="000000" w:sz="4" w:space="0"/>
              <w:bottom w:val="single" w:color="000000" w:sz="4" w:space="0"/>
              <w:right w:val="nil"/>
            </w:tcBorders>
            <w:shd w:val="clear" w:color="auto" w:fill="FFFFFF"/>
            <w:noWrap/>
            <w:vAlign w:val="center"/>
          </w:tcPr>
          <w:p w14:paraId="6294C626">
            <w:pPr>
              <w:widowControl/>
              <w:jc w:val="right"/>
              <w:rPr>
                <w:rFonts w:hint="eastAsia" w:ascii="宋体" w:hAnsi="宋体" w:cs="宋体"/>
                <w:color w:val="000000"/>
                <w:kern w:val="0"/>
                <w:sz w:val="16"/>
                <w:szCs w:val="16"/>
              </w:rPr>
            </w:pPr>
          </w:p>
        </w:tc>
        <w:tc>
          <w:tcPr>
            <w:tcW w:w="159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305FDAA">
            <w:pPr>
              <w:widowControl/>
              <w:rPr>
                <w:rFonts w:hint="eastAsia" w:ascii="宋体" w:hAnsi="宋体" w:cs="宋体"/>
                <w:color w:val="000000"/>
                <w:kern w:val="0"/>
                <w:sz w:val="16"/>
                <w:szCs w:val="16"/>
              </w:rPr>
            </w:pPr>
          </w:p>
        </w:tc>
      </w:tr>
      <w:tr w14:paraId="25AD2C8C">
        <w:tblPrEx>
          <w:tblCellMar>
            <w:top w:w="0" w:type="dxa"/>
            <w:left w:w="108" w:type="dxa"/>
            <w:bottom w:w="0" w:type="dxa"/>
            <w:right w:w="108" w:type="dxa"/>
          </w:tblCellMar>
        </w:tblPrEx>
        <w:trPr>
          <w:trHeight w:val="495" w:hRule="atLeast"/>
        </w:trPr>
        <w:tc>
          <w:tcPr>
            <w:tcW w:w="773" w:type="dxa"/>
            <w:tcBorders>
              <w:top w:val="single" w:color="000000" w:sz="4" w:space="0"/>
              <w:left w:val="single" w:color="000000" w:sz="4" w:space="0"/>
              <w:bottom w:val="single" w:color="000000" w:sz="4" w:space="0"/>
              <w:right w:val="nil"/>
            </w:tcBorders>
            <w:shd w:val="clear" w:color="auto" w:fill="FFFFFF"/>
            <w:noWrap w:val="0"/>
            <w:vAlign w:val="center"/>
          </w:tcPr>
          <w:p w14:paraId="7A286DB7">
            <w:pPr>
              <w:widowControl/>
              <w:jc w:val="center"/>
              <w:rPr>
                <w:rFonts w:hint="eastAsia" w:ascii="宋体" w:hAnsi="宋体" w:cs="宋体"/>
                <w:color w:val="000000"/>
                <w:kern w:val="0"/>
                <w:sz w:val="16"/>
                <w:szCs w:val="16"/>
              </w:rPr>
            </w:pPr>
          </w:p>
        </w:tc>
        <w:tc>
          <w:tcPr>
            <w:tcW w:w="3909" w:type="dxa"/>
            <w:tcBorders>
              <w:top w:val="single" w:color="000000" w:sz="4" w:space="0"/>
              <w:left w:val="single" w:color="000000" w:sz="4" w:space="0"/>
              <w:bottom w:val="single" w:color="000000" w:sz="4" w:space="0"/>
              <w:right w:val="nil"/>
            </w:tcBorders>
            <w:shd w:val="clear" w:color="auto" w:fill="FFFFFF"/>
            <w:noWrap w:val="0"/>
            <w:vAlign w:val="center"/>
          </w:tcPr>
          <w:p w14:paraId="270ED8B7">
            <w:pPr>
              <w:widowControl/>
              <w:rPr>
                <w:rFonts w:hint="eastAsia" w:ascii="宋体" w:hAnsi="宋体" w:cs="宋体"/>
                <w:color w:val="000000"/>
                <w:kern w:val="0"/>
                <w:sz w:val="16"/>
                <w:szCs w:val="16"/>
              </w:rPr>
            </w:pPr>
          </w:p>
        </w:tc>
        <w:tc>
          <w:tcPr>
            <w:tcW w:w="1081" w:type="dxa"/>
            <w:tcBorders>
              <w:top w:val="single" w:color="000000" w:sz="4" w:space="0"/>
              <w:left w:val="single" w:color="000000" w:sz="4" w:space="0"/>
              <w:bottom w:val="single" w:color="000000" w:sz="4" w:space="0"/>
              <w:right w:val="nil"/>
            </w:tcBorders>
            <w:shd w:val="clear" w:color="auto" w:fill="FFFFFF"/>
            <w:noWrap w:val="0"/>
            <w:vAlign w:val="center"/>
          </w:tcPr>
          <w:p w14:paraId="3A4B84B0">
            <w:pPr>
              <w:widowControl/>
              <w:jc w:val="center"/>
              <w:rPr>
                <w:rFonts w:hint="eastAsia" w:ascii="宋体" w:hAnsi="宋体" w:cs="宋体"/>
                <w:color w:val="000000"/>
                <w:kern w:val="0"/>
                <w:sz w:val="16"/>
                <w:szCs w:val="16"/>
              </w:rPr>
            </w:pPr>
          </w:p>
        </w:tc>
        <w:tc>
          <w:tcPr>
            <w:tcW w:w="1526" w:type="dxa"/>
            <w:tcBorders>
              <w:top w:val="single" w:color="000000" w:sz="4" w:space="0"/>
              <w:left w:val="single" w:color="000000" w:sz="4" w:space="0"/>
              <w:bottom w:val="single" w:color="000000" w:sz="4" w:space="0"/>
              <w:right w:val="nil"/>
            </w:tcBorders>
            <w:shd w:val="clear" w:color="auto" w:fill="FFFFFF"/>
            <w:noWrap/>
            <w:vAlign w:val="center"/>
          </w:tcPr>
          <w:p w14:paraId="53B5229E">
            <w:pPr>
              <w:widowControl/>
              <w:jc w:val="right"/>
              <w:rPr>
                <w:rFonts w:hint="eastAsia" w:ascii="宋体" w:hAnsi="宋体" w:cs="宋体"/>
                <w:color w:val="000000"/>
                <w:kern w:val="0"/>
                <w:sz w:val="16"/>
                <w:szCs w:val="16"/>
              </w:rPr>
            </w:pPr>
          </w:p>
        </w:tc>
        <w:tc>
          <w:tcPr>
            <w:tcW w:w="159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E97E051">
            <w:pPr>
              <w:widowControl/>
              <w:rPr>
                <w:rFonts w:hint="eastAsia" w:ascii="宋体" w:hAnsi="宋体" w:cs="宋体"/>
                <w:color w:val="000000"/>
                <w:kern w:val="0"/>
                <w:sz w:val="16"/>
                <w:szCs w:val="16"/>
              </w:rPr>
            </w:pPr>
          </w:p>
        </w:tc>
      </w:tr>
      <w:tr w14:paraId="4474B3B8">
        <w:tblPrEx>
          <w:tblCellMar>
            <w:top w:w="0" w:type="dxa"/>
            <w:left w:w="108" w:type="dxa"/>
            <w:bottom w:w="0" w:type="dxa"/>
            <w:right w:w="108" w:type="dxa"/>
          </w:tblCellMar>
        </w:tblPrEx>
        <w:trPr>
          <w:trHeight w:val="495" w:hRule="atLeast"/>
        </w:trPr>
        <w:tc>
          <w:tcPr>
            <w:tcW w:w="773" w:type="dxa"/>
            <w:tcBorders>
              <w:top w:val="single" w:color="000000" w:sz="4" w:space="0"/>
              <w:left w:val="single" w:color="000000" w:sz="4" w:space="0"/>
              <w:bottom w:val="single" w:color="000000" w:sz="4" w:space="0"/>
              <w:right w:val="nil"/>
            </w:tcBorders>
            <w:shd w:val="clear" w:color="auto" w:fill="FFFFFF"/>
            <w:noWrap w:val="0"/>
            <w:vAlign w:val="center"/>
          </w:tcPr>
          <w:p w14:paraId="5587D858">
            <w:pPr>
              <w:widowControl/>
              <w:jc w:val="center"/>
              <w:rPr>
                <w:rFonts w:hint="eastAsia" w:ascii="宋体" w:hAnsi="宋体" w:cs="宋体"/>
                <w:color w:val="000000"/>
                <w:kern w:val="0"/>
                <w:sz w:val="16"/>
                <w:szCs w:val="16"/>
              </w:rPr>
            </w:pPr>
          </w:p>
        </w:tc>
        <w:tc>
          <w:tcPr>
            <w:tcW w:w="3909" w:type="dxa"/>
            <w:tcBorders>
              <w:top w:val="single" w:color="000000" w:sz="4" w:space="0"/>
              <w:left w:val="single" w:color="000000" w:sz="4" w:space="0"/>
              <w:bottom w:val="single" w:color="000000" w:sz="4" w:space="0"/>
              <w:right w:val="nil"/>
            </w:tcBorders>
            <w:shd w:val="clear" w:color="auto" w:fill="FFFFFF"/>
            <w:noWrap w:val="0"/>
            <w:vAlign w:val="center"/>
          </w:tcPr>
          <w:p w14:paraId="3A76794E">
            <w:pPr>
              <w:widowControl/>
              <w:rPr>
                <w:rFonts w:hint="eastAsia" w:ascii="宋体" w:hAnsi="宋体" w:cs="宋体"/>
                <w:color w:val="000000"/>
                <w:kern w:val="0"/>
                <w:sz w:val="16"/>
                <w:szCs w:val="16"/>
              </w:rPr>
            </w:pPr>
          </w:p>
        </w:tc>
        <w:tc>
          <w:tcPr>
            <w:tcW w:w="1081" w:type="dxa"/>
            <w:tcBorders>
              <w:top w:val="single" w:color="000000" w:sz="4" w:space="0"/>
              <w:left w:val="single" w:color="000000" w:sz="4" w:space="0"/>
              <w:bottom w:val="single" w:color="000000" w:sz="4" w:space="0"/>
              <w:right w:val="nil"/>
            </w:tcBorders>
            <w:shd w:val="clear" w:color="auto" w:fill="FFFFFF"/>
            <w:noWrap w:val="0"/>
            <w:vAlign w:val="center"/>
          </w:tcPr>
          <w:p w14:paraId="77179F33">
            <w:pPr>
              <w:widowControl/>
              <w:jc w:val="center"/>
              <w:rPr>
                <w:rFonts w:hint="eastAsia" w:ascii="宋体" w:hAnsi="宋体" w:cs="宋体"/>
                <w:color w:val="000000"/>
                <w:kern w:val="0"/>
                <w:sz w:val="16"/>
                <w:szCs w:val="16"/>
              </w:rPr>
            </w:pPr>
          </w:p>
        </w:tc>
        <w:tc>
          <w:tcPr>
            <w:tcW w:w="1526" w:type="dxa"/>
            <w:tcBorders>
              <w:top w:val="single" w:color="000000" w:sz="4" w:space="0"/>
              <w:left w:val="single" w:color="000000" w:sz="4" w:space="0"/>
              <w:bottom w:val="single" w:color="000000" w:sz="4" w:space="0"/>
              <w:right w:val="nil"/>
            </w:tcBorders>
            <w:shd w:val="clear" w:color="auto" w:fill="FFFFFF"/>
            <w:noWrap/>
            <w:vAlign w:val="center"/>
          </w:tcPr>
          <w:p w14:paraId="6D66D1AB">
            <w:pPr>
              <w:widowControl/>
              <w:jc w:val="right"/>
              <w:rPr>
                <w:rFonts w:hint="eastAsia" w:ascii="宋体" w:hAnsi="宋体" w:cs="宋体"/>
                <w:color w:val="000000"/>
                <w:kern w:val="0"/>
                <w:sz w:val="16"/>
                <w:szCs w:val="16"/>
              </w:rPr>
            </w:pPr>
          </w:p>
        </w:tc>
        <w:tc>
          <w:tcPr>
            <w:tcW w:w="159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A8E0DA1">
            <w:pPr>
              <w:widowControl/>
              <w:rPr>
                <w:rFonts w:hint="eastAsia" w:ascii="宋体" w:hAnsi="宋体" w:cs="宋体"/>
                <w:color w:val="000000"/>
                <w:kern w:val="0"/>
                <w:sz w:val="16"/>
                <w:szCs w:val="16"/>
              </w:rPr>
            </w:pPr>
          </w:p>
        </w:tc>
      </w:tr>
      <w:tr w14:paraId="77104E68">
        <w:tblPrEx>
          <w:tblCellMar>
            <w:top w:w="0" w:type="dxa"/>
            <w:left w:w="108" w:type="dxa"/>
            <w:bottom w:w="0" w:type="dxa"/>
            <w:right w:w="108" w:type="dxa"/>
          </w:tblCellMar>
        </w:tblPrEx>
        <w:trPr>
          <w:trHeight w:val="495" w:hRule="atLeast"/>
        </w:trPr>
        <w:tc>
          <w:tcPr>
            <w:tcW w:w="773" w:type="dxa"/>
            <w:tcBorders>
              <w:top w:val="single" w:color="000000" w:sz="4" w:space="0"/>
              <w:left w:val="single" w:color="000000" w:sz="4" w:space="0"/>
              <w:bottom w:val="single" w:color="000000" w:sz="4" w:space="0"/>
              <w:right w:val="nil"/>
            </w:tcBorders>
            <w:shd w:val="clear" w:color="auto" w:fill="FFFFFF"/>
            <w:noWrap w:val="0"/>
            <w:vAlign w:val="center"/>
          </w:tcPr>
          <w:p w14:paraId="645C0E15">
            <w:pPr>
              <w:widowControl/>
              <w:jc w:val="center"/>
              <w:rPr>
                <w:rFonts w:hint="eastAsia" w:ascii="宋体" w:hAnsi="宋体" w:cs="宋体"/>
                <w:color w:val="000000"/>
                <w:kern w:val="0"/>
                <w:sz w:val="16"/>
                <w:szCs w:val="16"/>
              </w:rPr>
            </w:pPr>
          </w:p>
        </w:tc>
        <w:tc>
          <w:tcPr>
            <w:tcW w:w="3909" w:type="dxa"/>
            <w:tcBorders>
              <w:top w:val="single" w:color="000000" w:sz="4" w:space="0"/>
              <w:left w:val="single" w:color="000000" w:sz="4" w:space="0"/>
              <w:bottom w:val="single" w:color="000000" w:sz="4" w:space="0"/>
              <w:right w:val="nil"/>
            </w:tcBorders>
            <w:shd w:val="clear" w:color="auto" w:fill="FFFFFF"/>
            <w:noWrap w:val="0"/>
            <w:vAlign w:val="center"/>
          </w:tcPr>
          <w:p w14:paraId="2DA4A54D">
            <w:pPr>
              <w:widowControl/>
              <w:rPr>
                <w:rFonts w:hint="eastAsia" w:ascii="宋体" w:hAnsi="宋体" w:cs="宋体"/>
                <w:color w:val="000000"/>
                <w:kern w:val="0"/>
                <w:sz w:val="16"/>
                <w:szCs w:val="16"/>
              </w:rPr>
            </w:pPr>
          </w:p>
        </w:tc>
        <w:tc>
          <w:tcPr>
            <w:tcW w:w="1081" w:type="dxa"/>
            <w:tcBorders>
              <w:top w:val="single" w:color="000000" w:sz="4" w:space="0"/>
              <w:left w:val="single" w:color="000000" w:sz="4" w:space="0"/>
              <w:bottom w:val="single" w:color="000000" w:sz="4" w:space="0"/>
              <w:right w:val="nil"/>
            </w:tcBorders>
            <w:shd w:val="clear" w:color="auto" w:fill="FFFFFF"/>
            <w:noWrap w:val="0"/>
            <w:vAlign w:val="center"/>
          </w:tcPr>
          <w:p w14:paraId="4C2AD46C">
            <w:pPr>
              <w:widowControl/>
              <w:jc w:val="center"/>
              <w:rPr>
                <w:rFonts w:hint="eastAsia" w:ascii="宋体" w:hAnsi="宋体" w:cs="宋体"/>
                <w:color w:val="000000"/>
                <w:kern w:val="0"/>
                <w:sz w:val="16"/>
                <w:szCs w:val="16"/>
              </w:rPr>
            </w:pPr>
          </w:p>
        </w:tc>
        <w:tc>
          <w:tcPr>
            <w:tcW w:w="1526" w:type="dxa"/>
            <w:tcBorders>
              <w:top w:val="single" w:color="000000" w:sz="4" w:space="0"/>
              <w:left w:val="single" w:color="000000" w:sz="4" w:space="0"/>
              <w:bottom w:val="single" w:color="000000" w:sz="4" w:space="0"/>
              <w:right w:val="nil"/>
            </w:tcBorders>
            <w:shd w:val="clear" w:color="auto" w:fill="FFFFFF"/>
            <w:noWrap/>
            <w:vAlign w:val="center"/>
          </w:tcPr>
          <w:p w14:paraId="60B5ADF0">
            <w:pPr>
              <w:widowControl/>
              <w:jc w:val="right"/>
              <w:rPr>
                <w:rFonts w:hint="eastAsia" w:ascii="宋体" w:hAnsi="宋体" w:cs="宋体"/>
                <w:color w:val="000000"/>
                <w:kern w:val="0"/>
                <w:sz w:val="16"/>
                <w:szCs w:val="16"/>
              </w:rPr>
            </w:pPr>
          </w:p>
        </w:tc>
        <w:tc>
          <w:tcPr>
            <w:tcW w:w="159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BD1E8F">
            <w:pPr>
              <w:widowControl/>
              <w:rPr>
                <w:rFonts w:hint="eastAsia" w:ascii="宋体" w:hAnsi="宋体" w:cs="宋体"/>
                <w:color w:val="000000"/>
                <w:kern w:val="0"/>
                <w:sz w:val="16"/>
                <w:szCs w:val="16"/>
              </w:rPr>
            </w:pPr>
          </w:p>
        </w:tc>
      </w:tr>
      <w:tr w14:paraId="760C6F46">
        <w:tblPrEx>
          <w:tblCellMar>
            <w:top w:w="0" w:type="dxa"/>
            <w:left w:w="108" w:type="dxa"/>
            <w:bottom w:w="0" w:type="dxa"/>
            <w:right w:w="108" w:type="dxa"/>
          </w:tblCellMar>
        </w:tblPrEx>
        <w:trPr>
          <w:trHeight w:val="495" w:hRule="atLeast"/>
        </w:trPr>
        <w:tc>
          <w:tcPr>
            <w:tcW w:w="773" w:type="dxa"/>
            <w:tcBorders>
              <w:top w:val="single" w:color="000000" w:sz="4" w:space="0"/>
              <w:left w:val="single" w:color="000000" w:sz="4" w:space="0"/>
              <w:bottom w:val="single" w:color="000000" w:sz="4" w:space="0"/>
              <w:right w:val="nil"/>
            </w:tcBorders>
            <w:shd w:val="clear" w:color="auto" w:fill="FFFFFF"/>
            <w:noWrap w:val="0"/>
            <w:vAlign w:val="center"/>
          </w:tcPr>
          <w:p w14:paraId="4FAE4B2C">
            <w:pPr>
              <w:widowControl/>
              <w:jc w:val="center"/>
              <w:rPr>
                <w:rFonts w:hint="eastAsia" w:ascii="宋体" w:hAnsi="宋体" w:cs="宋体"/>
                <w:color w:val="000000"/>
                <w:kern w:val="0"/>
                <w:sz w:val="16"/>
                <w:szCs w:val="16"/>
              </w:rPr>
            </w:pPr>
          </w:p>
        </w:tc>
        <w:tc>
          <w:tcPr>
            <w:tcW w:w="3909" w:type="dxa"/>
            <w:tcBorders>
              <w:top w:val="single" w:color="000000" w:sz="4" w:space="0"/>
              <w:left w:val="single" w:color="000000" w:sz="4" w:space="0"/>
              <w:bottom w:val="single" w:color="000000" w:sz="4" w:space="0"/>
              <w:right w:val="nil"/>
            </w:tcBorders>
            <w:shd w:val="clear" w:color="auto" w:fill="FFFFFF"/>
            <w:noWrap w:val="0"/>
            <w:vAlign w:val="center"/>
          </w:tcPr>
          <w:p w14:paraId="47ADEB73">
            <w:pPr>
              <w:widowControl/>
              <w:rPr>
                <w:rFonts w:hint="eastAsia" w:ascii="宋体" w:hAnsi="宋体" w:cs="宋体"/>
                <w:color w:val="000000"/>
                <w:kern w:val="0"/>
                <w:sz w:val="16"/>
                <w:szCs w:val="16"/>
              </w:rPr>
            </w:pPr>
          </w:p>
        </w:tc>
        <w:tc>
          <w:tcPr>
            <w:tcW w:w="1081" w:type="dxa"/>
            <w:tcBorders>
              <w:top w:val="single" w:color="000000" w:sz="4" w:space="0"/>
              <w:left w:val="single" w:color="000000" w:sz="4" w:space="0"/>
              <w:bottom w:val="single" w:color="000000" w:sz="4" w:space="0"/>
              <w:right w:val="nil"/>
            </w:tcBorders>
            <w:shd w:val="clear" w:color="auto" w:fill="FFFFFF"/>
            <w:noWrap w:val="0"/>
            <w:vAlign w:val="center"/>
          </w:tcPr>
          <w:p w14:paraId="792B7413">
            <w:pPr>
              <w:widowControl/>
              <w:jc w:val="center"/>
              <w:rPr>
                <w:rFonts w:hint="eastAsia" w:ascii="宋体" w:hAnsi="宋体" w:cs="宋体"/>
                <w:color w:val="000000"/>
                <w:kern w:val="0"/>
                <w:sz w:val="16"/>
                <w:szCs w:val="16"/>
              </w:rPr>
            </w:pPr>
          </w:p>
        </w:tc>
        <w:tc>
          <w:tcPr>
            <w:tcW w:w="1526" w:type="dxa"/>
            <w:tcBorders>
              <w:top w:val="single" w:color="000000" w:sz="4" w:space="0"/>
              <w:left w:val="single" w:color="000000" w:sz="4" w:space="0"/>
              <w:bottom w:val="single" w:color="000000" w:sz="4" w:space="0"/>
              <w:right w:val="nil"/>
            </w:tcBorders>
            <w:shd w:val="clear" w:color="auto" w:fill="FFFFFF"/>
            <w:noWrap/>
            <w:vAlign w:val="center"/>
          </w:tcPr>
          <w:p w14:paraId="72E46F9C">
            <w:pPr>
              <w:widowControl/>
              <w:jc w:val="right"/>
              <w:rPr>
                <w:rFonts w:hint="eastAsia" w:ascii="宋体" w:hAnsi="宋体" w:cs="宋体"/>
                <w:color w:val="000000"/>
                <w:kern w:val="0"/>
                <w:sz w:val="16"/>
                <w:szCs w:val="16"/>
              </w:rPr>
            </w:pPr>
          </w:p>
        </w:tc>
        <w:tc>
          <w:tcPr>
            <w:tcW w:w="159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9BB2815">
            <w:pPr>
              <w:widowControl/>
              <w:rPr>
                <w:rFonts w:hint="eastAsia" w:ascii="宋体" w:hAnsi="宋体" w:cs="宋体"/>
                <w:color w:val="000000"/>
                <w:kern w:val="0"/>
                <w:sz w:val="16"/>
                <w:szCs w:val="16"/>
              </w:rPr>
            </w:pPr>
          </w:p>
        </w:tc>
      </w:tr>
      <w:tr w14:paraId="789FD2DE">
        <w:tblPrEx>
          <w:tblCellMar>
            <w:top w:w="0" w:type="dxa"/>
            <w:left w:w="108" w:type="dxa"/>
            <w:bottom w:w="0" w:type="dxa"/>
            <w:right w:w="108" w:type="dxa"/>
          </w:tblCellMar>
        </w:tblPrEx>
        <w:trPr>
          <w:trHeight w:val="505" w:hRule="atLeast"/>
        </w:trPr>
        <w:tc>
          <w:tcPr>
            <w:tcW w:w="773" w:type="dxa"/>
            <w:tcBorders>
              <w:top w:val="single" w:color="000000" w:sz="4" w:space="0"/>
              <w:left w:val="single" w:color="000000" w:sz="4" w:space="0"/>
              <w:bottom w:val="single" w:color="auto" w:sz="4" w:space="0"/>
              <w:right w:val="nil"/>
            </w:tcBorders>
            <w:shd w:val="clear" w:color="auto" w:fill="FFFFFF"/>
            <w:noWrap w:val="0"/>
            <w:vAlign w:val="center"/>
          </w:tcPr>
          <w:p w14:paraId="0A42F8A9">
            <w:pPr>
              <w:widowControl/>
              <w:jc w:val="center"/>
              <w:rPr>
                <w:rFonts w:hint="eastAsia" w:ascii="宋体" w:hAnsi="宋体" w:cs="宋体"/>
                <w:color w:val="000000"/>
                <w:kern w:val="0"/>
                <w:sz w:val="16"/>
                <w:szCs w:val="16"/>
              </w:rPr>
            </w:pPr>
          </w:p>
        </w:tc>
        <w:tc>
          <w:tcPr>
            <w:tcW w:w="3909" w:type="dxa"/>
            <w:tcBorders>
              <w:top w:val="single" w:color="000000" w:sz="4" w:space="0"/>
              <w:left w:val="single" w:color="000000" w:sz="4" w:space="0"/>
              <w:bottom w:val="single" w:color="auto" w:sz="4" w:space="0"/>
              <w:right w:val="nil"/>
            </w:tcBorders>
            <w:shd w:val="clear" w:color="auto" w:fill="FFFFFF"/>
            <w:noWrap w:val="0"/>
            <w:vAlign w:val="center"/>
          </w:tcPr>
          <w:p w14:paraId="1D28F63A">
            <w:pPr>
              <w:widowControl/>
              <w:rPr>
                <w:rFonts w:hint="eastAsia" w:ascii="宋体" w:hAnsi="宋体" w:cs="宋体"/>
                <w:color w:val="000000"/>
                <w:kern w:val="0"/>
                <w:sz w:val="16"/>
                <w:szCs w:val="16"/>
              </w:rPr>
            </w:pPr>
          </w:p>
        </w:tc>
        <w:tc>
          <w:tcPr>
            <w:tcW w:w="1081" w:type="dxa"/>
            <w:tcBorders>
              <w:top w:val="single" w:color="000000" w:sz="4" w:space="0"/>
              <w:left w:val="single" w:color="000000" w:sz="4" w:space="0"/>
              <w:bottom w:val="single" w:color="auto" w:sz="4" w:space="0"/>
              <w:right w:val="nil"/>
            </w:tcBorders>
            <w:shd w:val="clear" w:color="auto" w:fill="FFFFFF"/>
            <w:noWrap w:val="0"/>
            <w:vAlign w:val="center"/>
          </w:tcPr>
          <w:p w14:paraId="45870B0C">
            <w:pPr>
              <w:widowControl/>
              <w:jc w:val="center"/>
              <w:rPr>
                <w:rFonts w:hint="eastAsia" w:ascii="宋体" w:hAnsi="宋体" w:cs="宋体"/>
                <w:color w:val="000000"/>
                <w:kern w:val="0"/>
                <w:sz w:val="16"/>
                <w:szCs w:val="16"/>
              </w:rPr>
            </w:pPr>
          </w:p>
        </w:tc>
        <w:tc>
          <w:tcPr>
            <w:tcW w:w="1526" w:type="dxa"/>
            <w:tcBorders>
              <w:top w:val="single" w:color="000000" w:sz="4" w:space="0"/>
              <w:left w:val="single" w:color="000000" w:sz="4" w:space="0"/>
              <w:bottom w:val="single" w:color="auto" w:sz="4" w:space="0"/>
              <w:right w:val="nil"/>
            </w:tcBorders>
            <w:shd w:val="clear" w:color="auto" w:fill="FFFFFF"/>
            <w:noWrap/>
            <w:vAlign w:val="center"/>
          </w:tcPr>
          <w:p w14:paraId="53DB59C7">
            <w:pPr>
              <w:widowControl/>
              <w:jc w:val="right"/>
              <w:rPr>
                <w:rFonts w:hint="eastAsia" w:ascii="宋体" w:hAnsi="宋体" w:cs="宋体"/>
                <w:color w:val="000000"/>
                <w:kern w:val="0"/>
                <w:sz w:val="16"/>
                <w:szCs w:val="16"/>
              </w:rPr>
            </w:pPr>
          </w:p>
        </w:tc>
        <w:tc>
          <w:tcPr>
            <w:tcW w:w="1591" w:type="dxa"/>
            <w:tcBorders>
              <w:top w:val="single" w:color="000000" w:sz="4" w:space="0"/>
              <w:left w:val="single" w:color="000000" w:sz="4" w:space="0"/>
              <w:bottom w:val="single" w:color="auto" w:sz="4" w:space="0"/>
              <w:right w:val="single" w:color="000000" w:sz="4" w:space="0"/>
            </w:tcBorders>
            <w:shd w:val="clear" w:color="auto" w:fill="FFFFFF"/>
            <w:noWrap w:val="0"/>
            <w:vAlign w:val="center"/>
          </w:tcPr>
          <w:p w14:paraId="2FB3C1AA">
            <w:pPr>
              <w:widowControl/>
              <w:rPr>
                <w:rFonts w:hint="eastAsia" w:ascii="宋体" w:hAnsi="宋体" w:cs="宋体"/>
                <w:color w:val="000000"/>
                <w:kern w:val="0"/>
                <w:sz w:val="16"/>
                <w:szCs w:val="16"/>
              </w:rPr>
            </w:pPr>
          </w:p>
        </w:tc>
      </w:tr>
    </w:tbl>
    <w:p w14:paraId="2421E3AF">
      <w:pPr>
        <w:pStyle w:val="29"/>
        <w:jc w:val="center"/>
        <w:rPr>
          <w:rFonts w:cs="Times New Roman"/>
          <w:sz w:val="32"/>
          <w:szCs w:val="32"/>
        </w:rPr>
      </w:pPr>
      <w:r>
        <w:rPr>
          <w:rFonts w:cs="Times New Roman"/>
          <w:sz w:val="32"/>
          <w:szCs w:val="32"/>
        </w:rPr>
        <w:t>第四部分    工程建设项目廉政责任书</w:t>
      </w:r>
    </w:p>
    <w:p w14:paraId="2DB7A88B">
      <w:pPr>
        <w:autoSpaceDE w:val="0"/>
        <w:autoSpaceDN w:val="0"/>
        <w:spacing w:line="360" w:lineRule="exact"/>
        <w:ind w:firstLine="482"/>
        <w:rPr>
          <w:szCs w:val="21"/>
        </w:rPr>
      </w:pPr>
    </w:p>
    <w:p w14:paraId="573FB18D">
      <w:pPr>
        <w:autoSpaceDE w:val="0"/>
        <w:autoSpaceDN w:val="0"/>
        <w:spacing w:line="440" w:lineRule="exact"/>
        <w:ind w:firstLine="482"/>
        <w:rPr>
          <w:szCs w:val="21"/>
          <w:u w:val="single"/>
        </w:rPr>
      </w:pPr>
      <w:r>
        <w:rPr>
          <w:szCs w:val="21"/>
        </w:rPr>
        <w:t>工程项目名称：</w:t>
      </w:r>
      <w:r>
        <w:rPr>
          <w:rFonts w:hint="eastAsia"/>
          <w:szCs w:val="21"/>
          <w:u w:val="single"/>
          <w:lang w:eastAsia="zh-CN"/>
        </w:rPr>
        <w:t>三门县失能失智敬老院项目</w:t>
      </w:r>
      <w:r>
        <w:rPr>
          <w:rFonts w:hint="eastAsia"/>
          <w:szCs w:val="21"/>
          <w:u w:val="single"/>
          <w:lang w:val="en-US" w:eastAsia="zh-CN"/>
        </w:rPr>
        <w:t xml:space="preserve">         </w:t>
      </w:r>
      <w:r>
        <w:rPr>
          <w:rFonts w:hint="eastAsia"/>
          <w:szCs w:val="21"/>
          <w:u w:val="single"/>
        </w:rPr>
        <w:t xml:space="preserve"> </w:t>
      </w:r>
    </w:p>
    <w:p w14:paraId="214FDA4B">
      <w:pPr>
        <w:autoSpaceDE w:val="0"/>
        <w:autoSpaceDN w:val="0"/>
        <w:spacing w:line="440" w:lineRule="exact"/>
        <w:ind w:firstLine="482"/>
        <w:rPr>
          <w:rFonts w:hint="eastAsia"/>
          <w:szCs w:val="21"/>
        </w:rPr>
      </w:pPr>
      <w:r>
        <w:rPr>
          <w:szCs w:val="21"/>
        </w:rPr>
        <w:t>工程项目地址：</w:t>
      </w:r>
      <w:r>
        <w:rPr>
          <w:rFonts w:hint="eastAsia"/>
          <w:szCs w:val="21"/>
          <w:u w:val="single"/>
        </w:rPr>
        <w:t xml:space="preserve">  </w:t>
      </w:r>
      <w:r>
        <w:rPr>
          <w:szCs w:val="21"/>
          <w:u w:val="single"/>
        </w:rPr>
        <w:t xml:space="preserve"> </w:t>
      </w:r>
      <w:r>
        <w:rPr>
          <w:rFonts w:hint="eastAsia"/>
          <w:szCs w:val="21"/>
          <w:u w:val="single"/>
          <w:lang w:eastAsia="zh-CN"/>
        </w:rPr>
        <w:t>三门县亭旁镇</w:t>
      </w:r>
      <w:r>
        <w:rPr>
          <w:rFonts w:hint="eastAsia"/>
          <w:szCs w:val="21"/>
          <w:u w:val="single"/>
          <w:lang w:val="en-US" w:eastAsia="zh-CN"/>
        </w:rPr>
        <w:t xml:space="preserve">                           </w:t>
      </w:r>
      <w:r>
        <w:rPr>
          <w:szCs w:val="21"/>
          <w:u w:val="single"/>
        </w:rPr>
        <w:t xml:space="preserve"> </w:t>
      </w:r>
      <w:r>
        <w:rPr>
          <w:rFonts w:hint="eastAsia"/>
          <w:szCs w:val="21"/>
          <w:u w:val="single"/>
        </w:rPr>
        <w:t xml:space="preserve"> </w:t>
      </w:r>
    </w:p>
    <w:p w14:paraId="50F30321">
      <w:pPr>
        <w:spacing w:line="440" w:lineRule="exact"/>
        <w:ind w:firstLine="420" w:firstLineChars="200"/>
        <w:rPr>
          <w:rFonts w:hint="eastAsia"/>
          <w:szCs w:val="21"/>
          <w:u w:val="single"/>
          <w:lang w:eastAsia="zh-CN"/>
        </w:rPr>
      </w:pPr>
      <w:r>
        <w:rPr>
          <w:szCs w:val="21"/>
        </w:rPr>
        <w:t>建设单位（甲方）：</w:t>
      </w:r>
      <w:r>
        <w:rPr>
          <w:rFonts w:hint="eastAsia"/>
          <w:szCs w:val="21"/>
          <w:u w:val="single"/>
          <w:lang w:eastAsia="zh-CN"/>
        </w:rPr>
        <w:t>三门县民政局</w:t>
      </w:r>
    </w:p>
    <w:p w14:paraId="76DFEF81">
      <w:pPr>
        <w:spacing w:line="440" w:lineRule="exact"/>
        <w:ind w:firstLine="420" w:firstLineChars="200"/>
        <w:rPr>
          <w:rFonts w:hint="eastAsia"/>
          <w:szCs w:val="21"/>
          <w:u w:val="single"/>
          <w:lang w:eastAsia="zh-CN"/>
        </w:rPr>
      </w:pPr>
      <w:r>
        <w:rPr>
          <w:rFonts w:hint="eastAsia"/>
          <w:szCs w:val="21"/>
          <w:u w:val="none"/>
          <w:lang w:eastAsia="zh-CN"/>
        </w:rPr>
        <w:t>代建单位：</w:t>
      </w:r>
      <w:r>
        <w:rPr>
          <w:rFonts w:hint="eastAsia"/>
          <w:szCs w:val="21"/>
          <w:u w:val="single"/>
          <w:lang w:val="en-US" w:eastAsia="zh-CN"/>
        </w:rPr>
        <w:t>三门县基础设施投资有限责任公司</w:t>
      </w:r>
    </w:p>
    <w:p w14:paraId="32237B62">
      <w:pPr>
        <w:autoSpaceDE w:val="0"/>
        <w:autoSpaceDN w:val="0"/>
        <w:spacing w:line="440" w:lineRule="exact"/>
        <w:ind w:firstLine="482"/>
        <w:rPr>
          <w:szCs w:val="21"/>
        </w:rPr>
      </w:pPr>
      <w:r>
        <w:rPr>
          <w:szCs w:val="21"/>
        </w:rPr>
        <w:t>施工单位（乙方）：</w:t>
      </w:r>
      <w:r>
        <w:rPr>
          <w:szCs w:val="21"/>
          <w:u w:val="single"/>
        </w:rPr>
        <w:t xml:space="preserve">             </w:t>
      </w:r>
      <w:r>
        <w:rPr>
          <w:rFonts w:hint="eastAsia"/>
          <w:szCs w:val="21"/>
          <w:u w:val="single"/>
        </w:rPr>
        <w:t xml:space="preserve">    </w:t>
      </w:r>
      <w:r>
        <w:rPr>
          <w:rFonts w:hint="eastAsia"/>
          <w:szCs w:val="21"/>
          <w:u w:val="single"/>
          <w:lang w:val="en-US" w:eastAsia="zh-CN"/>
        </w:rPr>
        <w:t xml:space="preserve">                      </w:t>
      </w:r>
      <w:r>
        <w:rPr>
          <w:rFonts w:hint="eastAsia"/>
          <w:szCs w:val="21"/>
          <w:u w:val="single"/>
        </w:rPr>
        <w:t xml:space="preserve"> </w:t>
      </w:r>
      <w:r>
        <w:rPr>
          <w:szCs w:val="21"/>
          <w:u w:val="single"/>
        </w:rPr>
        <w:t xml:space="preserve">      </w:t>
      </w:r>
    </w:p>
    <w:p w14:paraId="54F28AC9">
      <w:pPr>
        <w:autoSpaceDE w:val="0"/>
        <w:autoSpaceDN w:val="0"/>
        <w:spacing w:line="440" w:lineRule="exact"/>
        <w:ind w:firstLine="482"/>
        <w:rPr>
          <w:szCs w:val="21"/>
        </w:rPr>
      </w:pPr>
      <w:r>
        <w:rPr>
          <w:szCs w:val="21"/>
        </w:rPr>
        <w:t>为加强工程建设中的廉政建设，规范工程建设项目承发包双方的各项活动，防止发生各种谋取不正当利益的违法违纪行为，保护国家、集体和当事人的合法权益，根据国家有关工程建设的法律法规和廉政建设责任制规定，特订立本廉政责任书。</w:t>
      </w:r>
    </w:p>
    <w:p w14:paraId="72AB3D7D">
      <w:pPr>
        <w:autoSpaceDE w:val="0"/>
        <w:autoSpaceDN w:val="0"/>
        <w:spacing w:line="440" w:lineRule="exact"/>
        <w:rPr>
          <w:szCs w:val="21"/>
        </w:rPr>
      </w:pPr>
      <w:r>
        <w:rPr>
          <w:szCs w:val="21"/>
        </w:rPr>
        <w:t>　　第一条 甲乙双方的责任</w:t>
      </w:r>
    </w:p>
    <w:p w14:paraId="08053A09">
      <w:pPr>
        <w:pStyle w:val="7"/>
        <w:spacing w:line="440" w:lineRule="exact"/>
        <w:jc w:val="left"/>
        <w:rPr>
          <w:rFonts w:ascii="Times New Roman"/>
          <w:sz w:val="21"/>
          <w:szCs w:val="21"/>
        </w:rPr>
      </w:pPr>
      <w:r>
        <w:rPr>
          <w:rFonts w:ascii="Times New Roman"/>
          <w:sz w:val="21"/>
          <w:szCs w:val="21"/>
        </w:rPr>
        <w:t>　　（一）应严格遵守国家关于市场准入、项目招标投标、工程建设、施工安装和市场活动等有关法律、法规，相关政策，以及廉政建设的各项规定。</w:t>
      </w:r>
    </w:p>
    <w:p w14:paraId="0BDE9734">
      <w:pPr>
        <w:autoSpaceDE w:val="0"/>
        <w:autoSpaceDN w:val="0"/>
        <w:spacing w:line="440" w:lineRule="exact"/>
        <w:rPr>
          <w:szCs w:val="21"/>
        </w:rPr>
      </w:pPr>
      <w:r>
        <w:rPr>
          <w:szCs w:val="21"/>
        </w:rPr>
        <w:t>　　（二）严格执行建设工程项目承发包合同文件，自觉按合同办事。</w:t>
      </w:r>
    </w:p>
    <w:p w14:paraId="1807F091">
      <w:pPr>
        <w:pStyle w:val="7"/>
        <w:spacing w:line="440" w:lineRule="exact"/>
        <w:rPr>
          <w:rFonts w:ascii="Times New Roman"/>
          <w:sz w:val="21"/>
          <w:szCs w:val="21"/>
        </w:rPr>
      </w:pPr>
      <w:r>
        <w:rPr>
          <w:rFonts w:ascii="Times New Roman"/>
          <w:sz w:val="21"/>
          <w:szCs w:val="21"/>
        </w:rPr>
        <w:t>　　（三）业务活动必须坚持公开、公平、公正、诚信、透明的原则（除法律法规另有规定者外），不得为获取不正当的利益，损害国家、集体和对方利益，不得违反工程建设管理、施工安装的规章制度。</w:t>
      </w:r>
    </w:p>
    <w:p w14:paraId="5F9A02A5">
      <w:pPr>
        <w:pStyle w:val="7"/>
        <w:spacing w:line="440" w:lineRule="exact"/>
        <w:jc w:val="left"/>
        <w:rPr>
          <w:rFonts w:ascii="Times New Roman"/>
          <w:sz w:val="21"/>
          <w:szCs w:val="21"/>
        </w:rPr>
      </w:pPr>
      <w:r>
        <w:rPr>
          <w:rFonts w:ascii="Times New Roman"/>
          <w:sz w:val="21"/>
          <w:szCs w:val="21"/>
        </w:rPr>
        <w:t>　　（四）发现对方在业务活动中有违规、违纪、违法行为的，应及时提醒对方，情节严重的，应向其上级主管部门或纪检监察、司法等有关机关举报。</w:t>
      </w:r>
    </w:p>
    <w:p w14:paraId="4F869808">
      <w:pPr>
        <w:autoSpaceDE w:val="0"/>
        <w:autoSpaceDN w:val="0"/>
        <w:spacing w:line="440" w:lineRule="exact"/>
        <w:rPr>
          <w:szCs w:val="21"/>
        </w:rPr>
      </w:pPr>
      <w:r>
        <w:rPr>
          <w:szCs w:val="21"/>
        </w:rPr>
        <w:t>　　第二条 甲方的责任</w:t>
      </w:r>
    </w:p>
    <w:p w14:paraId="1C707A71">
      <w:pPr>
        <w:autoSpaceDE w:val="0"/>
        <w:autoSpaceDN w:val="0"/>
        <w:spacing w:line="440" w:lineRule="exact"/>
        <w:rPr>
          <w:szCs w:val="21"/>
        </w:rPr>
      </w:pPr>
      <w:r>
        <w:rPr>
          <w:szCs w:val="21"/>
        </w:rPr>
        <w:t>　　甲方的领导和从事该建设工程项目的工作人员，在工程建设的事前、事中、事后应遵守以下规定：</w:t>
      </w:r>
    </w:p>
    <w:p w14:paraId="44A541F1">
      <w:pPr>
        <w:autoSpaceDE w:val="0"/>
        <w:autoSpaceDN w:val="0"/>
        <w:spacing w:line="440" w:lineRule="exact"/>
        <w:rPr>
          <w:szCs w:val="21"/>
        </w:rPr>
      </w:pPr>
      <w:r>
        <w:rPr>
          <w:szCs w:val="21"/>
        </w:rPr>
        <w:t>　　（一）不准向乙方和相关单位索要或接受回扣、礼金、有价证券、贵重物品和好处费、感谢费等。</w:t>
      </w:r>
    </w:p>
    <w:p w14:paraId="3300326A">
      <w:pPr>
        <w:autoSpaceDE w:val="0"/>
        <w:autoSpaceDN w:val="0"/>
        <w:spacing w:line="440" w:lineRule="exact"/>
        <w:rPr>
          <w:szCs w:val="21"/>
        </w:rPr>
      </w:pPr>
      <w:r>
        <w:rPr>
          <w:szCs w:val="21"/>
        </w:rPr>
        <w:t>　　（二）不准在乙方和相关单位报销任何应由甲方或个人支付的费用。</w:t>
      </w:r>
    </w:p>
    <w:p w14:paraId="141B6F02">
      <w:pPr>
        <w:pStyle w:val="7"/>
        <w:spacing w:line="440" w:lineRule="exact"/>
        <w:jc w:val="left"/>
        <w:rPr>
          <w:rFonts w:ascii="Times New Roman"/>
          <w:sz w:val="21"/>
          <w:szCs w:val="21"/>
        </w:rPr>
      </w:pPr>
      <w:r>
        <w:rPr>
          <w:rFonts w:ascii="Times New Roman"/>
          <w:sz w:val="21"/>
          <w:szCs w:val="21"/>
        </w:rPr>
        <w:t>　　（三）不准要求、暗示和接受乙方和相关单位为个人装修住房、婚丧嫁娶、配偶子女的工作安排以及出国（境）、旅游等提供方便。</w:t>
      </w:r>
    </w:p>
    <w:p w14:paraId="370FE6A9">
      <w:pPr>
        <w:autoSpaceDE w:val="0"/>
        <w:autoSpaceDN w:val="0"/>
        <w:spacing w:line="440" w:lineRule="exact"/>
        <w:rPr>
          <w:szCs w:val="21"/>
        </w:rPr>
      </w:pPr>
      <w:r>
        <w:rPr>
          <w:szCs w:val="21"/>
        </w:rPr>
        <w:t>　　（四）不准参加有可能影响公正执行公务的乙方和相关单位的宴请和健身、娱乐等活动。</w:t>
      </w:r>
    </w:p>
    <w:p w14:paraId="4EDCC9BA">
      <w:pPr>
        <w:pStyle w:val="7"/>
        <w:spacing w:line="440" w:lineRule="exact"/>
        <w:jc w:val="left"/>
        <w:rPr>
          <w:rFonts w:ascii="Times New Roman"/>
          <w:sz w:val="21"/>
          <w:szCs w:val="21"/>
        </w:rPr>
      </w:pPr>
      <w:r>
        <w:rPr>
          <w:rFonts w:ascii="Times New Roman"/>
          <w:sz w:val="21"/>
          <w:szCs w:val="21"/>
        </w:rPr>
        <w:t>　　（五）不准向乙方介绍或为配偶、子女、亲属参与同甲方项目工程施工合同有关的设备、材料、工程分包、劳务等经济活动。不得以任何理由向乙方和相关单位推荐分包单位和要求乙方购买项目工程施工合同规定以外的材料、设备等。</w:t>
      </w:r>
    </w:p>
    <w:p w14:paraId="3A0AE46B">
      <w:pPr>
        <w:autoSpaceDE w:val="0"/>
        <w:autoSpaceDN w:val="0"/>
        <w:spacing w:line="440" w:lineRule="exact"/>
        <w:rPr>
          <w:szCs w:val="21"/>
        </w:rPr>
      </w:pPr>
      <w:r>
        <w:rPr>
          <w:szCs w:val="21"/>
        </w:rPr>
        <w:t>　　第三条 乙方的责任</w:t>
      </w:r>
    </w:p>
    <w:p w14:paraId="4CF17412">
      <w:pPr>
        <w:pStyle w:val="7"/>
        <w:spacing w:line="440" w:lineRule="exact"/>
        <w:jc w:val="left"/>
        <w:rPr>
          <w:rFonts w:ascii="Times New Roman"/>
          <w:sz w:val="21"/>
          <w:szCs w:val="21"/>
        </w:rPr>
      </w:pPr>
      <w:r>
        <w:rPr>
          <w:rFonts w:ascii="Times New Roman"/>
          <w:sz w:val="21"/>
          <w:szCs w:val="21"/>
        </w:rPr>
        <w:t>　　应与甲方保持正常的业务交往，按照有关法律法规和程序开展业务工作，严格执行工程建设的有关方针、政策，尤其是有关建筑施工安装的强制性标准和规范，并遵守以下规定：</w:t>
      </w:r>
    </w:p>
    <w:p w14:paraId="227B02AF">
      <w:pPr>
        <w:pStyle w:val="7"/>
        <w:spacing w:line="440" w:lineRule="exact"/>
        <w:jc w:val="left"/>
        <w:rPr>
          <w:rFonts w:ascii="Times New Roman"/>
          <w:sz w:val="21"/>
          <w:szCs w:val="21"/>
        </w:rPr>
      </w:pPr>
      <w:r>
        <w:rPr>
          <w:rFonts w:ascii="Times New Roman"/>
          <w:sz w:val="21"/>
          <w:szCs w:val="21"/>
        </w:rPr>
        <w:t>　　（一）不准以任何理由向甲方、相关单位及其工作人员索要、接受或赠送礼金、有价证券、贵重物品和回扣、好处费、感谢费等。</w:t>
      </w:r>
    </w:p>
    <w:p w14:paraId="20EAB1B0">
      <w:pPr>
        <w:autoSpaceDE w:val="0"/>
        <w:autoSpaceDN w:val="0"/>
        <w:spacing w:line="440" w:lineRule="exact"/>
        <w:rPr>
          <w:szCs w:val="21"/>
        </w:rPr>
      </w:pPr>
      <w:r>
        <w:rPr>
          <w:szCs w:val="21"/>
        </w:rPr>
        <w:t>　　（二）不准以任何理由为甲方和相关单位报销应由对方或个人支付的费用。</w:t>
      </w:r>
    </w:p>
    <w:p w14:paraId="082AC8D2">
      <w:pPr>
        <w:pStyle w:val="7"/>
        <w:spacing w:line="440" w:lineRule="exact"/>
        <w:jc w:val="left"/>
        <w:rPr>
          <w:rFonts w:ascii="Times New Roman"/>
          <w:sz w:val="21"/>
          <w:szCs w:val="21"/>
        </w:rPr>
      </w:pPr>
      <w:r>
        <w:rPr>
          <w:rFonts w:ascii="Times New Roman"/>
          <w:sz w:val="21"/>
          <w:szCs w:val="21"/>
        </w:rPr>
        <w:t>　　（三）不准接受或暗示为甲方、相关单位或个人装修住房、婚丧嫁娶、配偶子女的工作安排以及出国（境）、旅游等提供方便。</w:t>
      </w:r>
    </w:p>
    <w:p w14:paraId="74944719">
      <w:pPr>
        <w:pStyle w:val="7"/>
        <w:spacing w:line="440" w:lineRule="exact"/>
        <w:jc w:val="left"/>
        <w:rPr>
          <w:rFonts w:ascii="Times New Roman"/>
          <w:sz w:val="21"/>
          <w:szCs w:val="21"/>
        </w:rPr>
      </w:pPr>
      <w:r>
        <w:rPr>
          <w:rFonts w:ascii="Times New Roman"/>
          <w:sz w:val="21"/>
          <w:szCs w:val="21"/>
        </w:rPr>
        <w:t>　　（四）不准以任何理由为甲方、相关单位或个人组织有可能影响公正执行公务的宴请、健身、娱乐等活动。</w:t>
      </w:r>
    </w:p>
    <w:p w14:paraId="2FAA755F">
      <w:pPr>
        <w:autoSpaceDE w:val="0"/>
        <w:autoSpaceDN w:val="0"/>
        <w:spacing w:line="440" w:lineRule="exact"/>
        <w:rPr>
          <w:szCs w:val="21"/>
        </w:rPr>
      </w:pPr>
      <w:r>
        <w:rPr>
          <w:szCs w:val="21"/>
        </w:rPr>
        <w:t>　　第四条 违约责任</w:t>
      </w:r>
    </w:p>
    <w:p w14:paraId="380D4BB5">
      <w:pPr>
        <w:pStyle w:val="7"/>
        <w:spacing w:line="440" w:lineRule="exact"/>
        <w:jc w:val="left"/>
        <w:rPr>
          <w:rFonts w:ascii="Times New Roman"/>
          <w:sz w:val="21"/>
          <w:szCs w:val="21"/>
        </w:rPr>
      </w:pPr>
      <w:r>
        <w:rPr>
          <w:rFonts w:ascii="Times New Roman"/>
          <w:sz w:val="21"/>
          <w:szCs w:val="21"/>
        </w:rPr>
        <w:t>　　（一）甲方工作人员有违反本责任书第一、二条责任行为的，按照管理权限，依据有关法律法规和规定给予党纪、政纪处分或组织处理；涉嫌犯罪的，移交司法机关追究刑事责任；给乙方单位造成经济损失的，应予以赔偿。</w:t>
      </w:r>
    </w:p>
    <w:p w14:paraId="6A86009D">
      <w:pPr>
        <w:pStyle w:val="7"/>
        <w:spacing w:line="440" w:lineRule="exact"/>
        <w:jc w:val="left"/>
        <w:rPr>
          <w:rFonts w:ascii="Times New Roman"/>
          <w:sz w:val="21"/>
          <w:szCs w:val="21"/>
        </w:rPr>
      </w:pPr>
      <w:r>
        <w:rPr>
          <w:rFonts w:ascii="Times New Roman"/>
          <w:sz w:val="21"/>
          <w:szCs w:val="21"/>
        </w:rPr>
        <w:t>　　（二）乙方工作人员有违反本责任书第一、三条责任行为的，按照管理权限，依据有关法律法规和规定给予党纪、政纪处分或组织处理；涉嫌犯罪的，移交司法机关追究刑事责任；给甲方单位造成经济损失的，应予以赔偿。</w:t>
      </w:r>
    </w:p>
    <w:p w14:paraId="2A1CA7F0">
      <w:pPr>
        <w:autoSpaceDE w:val="0"/>
        <w:autoSpaceDN w:val="0"/>
        <w:spacing w:line="440" w:lineRule="exact"/>
        <w:rPr>
          <w:szCs w:val="21"/>
        </w:rPr>
      </w:pPr>
      <w:r>
        <w:rPr>
          <w:szCs w:val="21"/>
        </w:rPr>
        <w:t>　　第五条 本责任书作为工程施工合同的附件，与工程施工合同具有同等法律效力。经双方签署后立即生效。</w:t>
      </w:r>
    </w:p>
    <w:p w14:paraId="1E37D28A">
      <w:pPr>
        <w:autoSpaceDE w:val="0"/>
        <w:autoSpaceDN w:val="0"/>
        <w:spacing w:line="440" w:lineRule="exact"/>
        <w:rPr>
          <w:szCs w:val="21"/>
        </w:rPr>
      </w:pPr>
      <w:r>
        <w:rPr>
          <w:szCs w:val="21"/>
        </w:rPr>
        <w:t>　　第六条 本责任书的有效期为双方签署之日起至该工程项目竣工验收合格时止。</w:t>
      </w:r>
    </w:p>
    <w:p w14:paraId="6A836B8B">
      <w:pPr>
        <w:autoSpaceDE w:val="0"/>
        <w:autoSpaceDN w:val="0"/>
        <w:spacing w:line="440" w:lineRule="exact"/>
        <w:rPr>
          <w:szCs w:val="21"/>
        </w:rPr>
      </w:pPr>
      <w:r>
        <w:rPr>
          <w:szCs w:val="21"/>
        </w:rPr>
        <w:t>　　第七条 本责任书一式四份，由甲乙双方各执一份，送交甲乙双方的监督单位各一份。</w:t>
      </w:r>
    </w:p>
    <w:p w14:paraId="189F3947">
      <w:pPr>
        <w:autoSpaceDE w:val="0"/>
        <w:autoSpaceDN w:val="0"/>
        <w:spacing w:line="440" w:lineRule="exact"/>
        <w:ind w:firstLine="482"/>
        <w:rPr>
          <w:szCs w:val="21"/>
        </w:rPr>
      </w:pPr>
    </w:p>
    <w:p w14:paraId="6EF056B6">
      <w:pPr>
        <w:autoSpaceDE w:val="0"/>
        <w:autoSpaceDN w:val="0"/>
        <w:spacing w:line="440" w:lineRule="exact"/>
        <w:ind w:firstLine="482"/>
        <w:rPr>
          <w:szCs w:val="21"/>
        </w:rPr>
      </w:pPr>
      <w:r>
        <w:rPr>
          <w:szCs w:val="21"/>
        </w:rPr>
        <w:t>甲方单位：（盖章）　　　　　　　　       乙方单位：（盖章）</w:t>
      </w:r>
    </w:p>
    <w:p w14:paraId="51438292">
      <w:pPr>
        <w:autoSpaceDE w:val="0"/>
        <w:autoSpaceDN w:val="0"/>
        <w:spacing w:line="440" w:lineRule="exact"/>
        <w:ind w:firstLine="482"/>
        <w:rPr>
          <w:szCs w:val="21"/>
        </w:rPr>
      </w:pPr>
      <w:r>
        <w:rPr>
          <w:szCs w:val="21"/>
        </w:rPr>
        <w:t>法定代表人：　　　　　　　　　              法定代表人：</w:t>
      </w:r>
    </w:p>
    <w:p w14:paraId="6A5B3F45">
      <w:pPr>
        <w:autoSpaceDE w:val="0"/>
        <w:autoSpaceDN w:val="0"/>
        <w:spacing w:line="440" w:lineRule="exact"/>
        <w:ind w:firstLine="482"/>
        <w:rPr>
          <w:szCs w:val="21"/>
        </w:rPr>
      </w:pPr>
      <w:r>
        <w:rPr>
          <w:szCs w:val="21"/>
        </w:rPr>
        <w:t>地址：　　　　　　　　　　　　　            地址：</w:t>
      </w:r>
    </w:p>
    <w:p w14:paraId="62B9296D">
      <w:pPr>
        <w:autoSpaceDE w:val="0"/>
        <w:autoSpaceDN w:val="0"/>
        <w:spacing w:line="440" w:lineRule="exact"/>
        <w:ind w:firstLine="482"/>
        <w:rPr>
          <w:szCs w:val="21"/>
        </w:rPr>
      </w:pPr>
      <w:r>
        <w:rPr>
          <w:szCs w:val="21"/>
        </w:rPr>
        <w:t>电话：　　　　　　　　　　　　　　　      电话：</w:t>
      </w:r>
    </w:p>
    <w:p w14:paraId="44D51AA4">
      <w:pPr>
        <w:rPr>
          <w:rFonts w:hint="eastAsia"/>
        </w:rPr>
      </w:pPr>
      <w:r>
        <w:rPr>
          <w:rFonts w:hint="eastAsia"/>
        </w:rPr>
        <w:br w:type="page"/>
      </w:r>
    </w:p>
    <w:p w14:paraId="7F6CCC5E">
      <w:pPr>
        <w:pStyle w:val="21"/>
        <w:rPr>
          <w:rFonts w:hint="eastAsia"/>
        </w:rPr>
      </w:pPr>
    </w:p>
    <w:p w14:paraId="3CB73A3C">
      <w:pPr>
        <w:pStyle w:val="29"/>
        <w:jc w:val="center"/>
        <w:rPr>
          <w:rFonts w:cs="Times New Roman"/>
          <w:sz w:val="32"/>
          <w:szCs w:val="32"/>
        </w:rPr>
      </w:pPr>
      <w:bookmarkStart w:id="129" w:name="_Toc531360472"/>
      <w:bookmarkStart w:id="130" w:name="_Toc148964069"/>
      <w:r>
        <w:rPr>
          <w:rFonts w:cs="Times New Roman"/>
          <w:sz w:val="32"/>
          <w:szCs w:val="32"/>
        </w:rPr>
        <w:t>第</w:t>
      </w:r>
      <w:r>
        <w:rPr>
          <w:rFonts w:hint="eastAsia" w:cs="Times New Roman"/>
          <w:sz w:val="32"/>
          <w:szCs w:val="32"/>
        </w:rPr>
        <w:t>五</w:t>
      </w:r>
      <w:r>
        <w:rPr>
          <w:rFonts w:cs="Times New Roman"/>
          <w:sz w:val="32"/>
          <w:szCs w:val="32"/>
        </w:rPr>
        <w:t>部分    安全生产协议书</w:t>
      </w:r>
      <w:bookmarkEnd w:id="129"/>
      <w:bookmarkEnd w:id="130"/>
    </w:p>
    <w:p w14:paraId="2A7AAD95">
      <w:pPr>
        <w:pStyle w:val="31"/>
        <w:spacing w:line="360" w:lineRule="exact"/>
        <w:ind w:firstLine="420" w:firstLineChars="200"/>
        <w:rPr>
          <w:rFonts w:hint="eastAsia"/>
        </w:rPr>
      </w:pPr>
    </w:p>
    <w:p w14:paraId="2425017C">
      <w:pPr>
        <w:spacing w:line="440" w:lineRule="exact"/>
        <w:rPr>
          <w:rFonts w:hint="eastAsia"/>
          <w:szCs w:val="21"/>
          <w:u w:val="single"/>
          <w:lang w:eastAsia="zh-CN"/>
        </w:rPr>
      </w:pPr>
      <w:r>
        <w:rPr>
          <w:rFonts w:hint="eastAsia"/>
        </w:rPr>
        <w:t>甲方：</w:t>
      </w:r>
      <w:r>
        <w:rPr>
          <w:rFonts w:hint="eastAsia"/>
          <w:szCs w:val="21"/>
          <w:u w:val="single"/>
          <w:lang w:eastAsia="zh-CN"/>
        </w:rPr>
        <w:t>三门县民政局</w:t>
      </w:r>
    </w:p>
    <w:p w14:paraId="392D0F38">
      <w:pPr>
        <w:spacing w:line="440" w:lineRule="exact"/>
        <w:rPr>
          <w:rFonts w:hint="eastAsia"/>
          <w:szCs w:val="21"/>
          <w:u w:val="single"/>
          <w:lang w:eastAsia="zh-CN"/>
        </w:rPr>
      </w:pPr>
      <w:r>
        <w:rPr>
          <w:rFonts w:hint="eastAsia"/>
          <w:szCs w:val="21"/>
          <w:u w:val="none"/>
          <w:lang w:eastAsia="zh-CN"/>
        </w:rPr>
        <w:t>代建单位：</w:t>
      </w:r>
      <w:r>
        <w:rPr>
          <w:rFonts w:hint="eastAsia"/>
          <w:szCs w:val="21"/>
          <w:u w:val="single"/>
          <w:lang w:val="en-US" w:eastAsia="zh-CN"/>
        </w:rPr>
        <w:t>三门县基础设施投资有限责任公司</w:t>
      </w:r>
    </w:p>
    <w:p w14:paraId="47EAAE4E">
      <w:pPr>
        <w:pStyle w:val="31"/>
        <w:spacing w:line="360" w:lineRule="exact"/>
        <w:ind w:left="-420" w:leftChars="-200" w:right="-506" w:rightChars="-241" w:firstLine="420" w:firstLineChars="200"/>
        <w:rPr>
          <w:rFonts w:hint="eastAsia"/>
          <w:szCs w:val="21"/>
          <w:u w:val="single"/>
        </w:rPr>
      </w:pPr>
      <w:r>
        <w:rPr>
          <w:rFonts w:hint="eastAsia"/>
        </w:rPr>
        <w:t>乙方：</w:t>
      </w:r>
      <w:r>
        <w:rPr>
          <w:rFonts w:hint="eastAsia"/>
          <w:u w:val="single"/>
        </w:rPr>
        <w:t xml:space="preserve">  </w:t>
      </w:r>
      <w:r>
        <w:rPr>
          <w:szCs w:val="21"/>
          <w:u w:val="single"/>
        </w:rPr>
        <w:t xml:space="preserve">      </w:t>
      </w:r>
      <w:r>
        <w:rPr>
          <w:rFonts w:hint="eastAsia"/>
          <w:szCs w:val="21"/>
          <w:u w:val="single"/>
          <w:lang w:val="en-US" w:eastAsia="zh-CN"/>
        </w:rPr>
        <w:t xml:space="preserve">                                              </w:t>
      </w:r>
      <w:r>
        <w:rPr>
          <w:szCs w:val="21"/>
          <w:u w:val="single"/>
        </w:rPr>
        <w:t xml:space="preserve">           </w:t>
      </w:r>
      <w:r>
        <w:rPr>
          <w:rFonts w:hint="eastAsia"/>
          <w:szCs w:val="21"/>
          <w:u w:val="single"/>
        </w:rPr>
        <w:t xml:space="preserve"> </w:t>
      </w:r>
    </w:p>
    <w:p w14:paraId="6BA11377">
      <w:pPr>
        <w:pStyle w:val="31"/>
        <w:spacing w:line="360" w:lineRule="exact"/>
        <w:ind w:left="-420" w:leftChars="-200" w:right="-506" w:rightChars="-241" w:firstLine="420" w:firstLineChars="200"/>
        <w:rPr>
          <w:rFonts w:hint="eastAsia"/>
        </w:rPr>
      </w:pPr>
      <w:r>
        <w:rPr>
          <w:rFonts w:hint="eastAsia"/>
        </w:rPr>
        <w:t>为了进一步贯彻落实“安全第一、预防为主”的安全生产方针，严格执行劳动保护和安全生产的法令、法规，强化安全生产管理，落实安全生产责任制，依法从严治理施工现场，确保项目施工中操作人员的安全与健康，促进施工顺利进行，特签定本合约。在施工工程承包合同的执行上，本合约具有优先权。</w:t>
      </w:r>
    </w:p>
    <w:p w14:paraId="03A29EBA">
      <w:pPr>
        <w:pStyle w:val="31"/>
        <w:spacing w:line="360" w:lineRule="exact"/>
        <w:ind w:left="-420" w:leftChars="-200" w:right="-506" w:rightChars="-241" w:firstLine="420" w:firstLineChars="200"/>
        <w:rPr>
          <w:rFonts w:hint="eastAsia"/>
        </w:rPr>
      </w:pPr>
      <w:r>
        <w:rPr>
          <w:rFonts w:hint="eastAsia"/>
        </w:rPr>
        <w:t>一、管理目标：</w:t>
      </w:r>
    </w:p>
    <w:p w14:paraId="5108FB2E">
      <w:pPr>
        <w:pStyle w:val="31"/>
        <w:spacing w:line="360" w:lineRule="exact"/>
        <w:ind w:left="-420" w:leftChars="-200" w:right="-506" w:rightChars="-241" w:firstLine="420" w:firstLineChars="200"/>
        <w:rPr>
          <w:rFonts w:hint="eastAsia"/>
        </w:rPr>
      </w:pPr>
      <w:r>
        <w:rPr>
          <w:rFonts w:hint="eastAsia"/>
        </w:rPr>
        <w:t>1. 杜绝重大安全事故，工亡事故为零；</w:t>
      </w:r>
    </w:p>
    <w:p w14:paraId="5B8649EE">
      <w:pPr>
        <w:pStyle w:val="31"/>
        <w:spacing w:line="360" w:lineRule="exact"/>
        <w:ind w:left="-420" w:leftChars="-200" w:right="-506" w:rightChars="-241" w:firstLine="420" w:firstLineChars="200"/>
        <w:rPr>
          <w:rFonts w:hint="eastAsia"/>
        </w:rPr>
      </w:pPr>
      <w:r>
        <w:rPr>
          <w:rFonts w:hint="eastAsia"/>
        </w:rPr>
        <w:t>2. 重伤频率控制在万分之三以下，负伤频率控制在千分之四以下；</w:t>
      </w:r>
    </w:p>
    <w:p w14:paraId="55024118">
      <w:pPr>
        <w:pStyle w:val="31"/>
        <w:spacing w:line="360" w:lineRule="exact"/>
        <w:ind w:left="-420" w:leftChars="-200" w:right="-506" w:rightChars="-241" w:firstLine="420" w:firstLineChars="200"/>
        <w:rPr>
          <w:rFonts w:hint="eastAsia"/>
        </w:rPr>
      </w:pPr>
      <w:r>
        <w:rPr>
          <w:rFonts w:hint="eastAsia"/>
        </w:rPr>
        <w:t>3. 现场内的安全隐患整改率必须保证在时限内达到100%，杜绝现场重大隐患的出现；</w:t>
      </w:r>
    </w:p>
    <w:p w14:paraId="77D1C81E">
      <w:pPr>
        <w:pStyle w:val="31"/>
        <w:spacing w:line="360" w:lineRule="exact"/>
        <w:ind w:left="-420" w:leftChars="-200" w:right="-506" w:rightChars="-241" w:firstLine="420" w:firstLineChars="200"/>
        <w:rPr>
          <w:rFonts w:hint="eastAsia"/>
        </w:rPr>
      </w:pPr>
      <w:r>
        <w:rPr>
          <w:rFonts w:hint="eastAsia"/>
        </w:rPr>
        <w:t>4. 现场内不发生火灾事故，火险隐患整改率必须保证在时限内达到100%；</w:t>
      </w:r>
    </w:p>
    <w:p w14:paraId="370E360C">
      <w:pPr>
        <w:pStyle w:val="31"/>
        <w:spacing w:line="360" w:lineRule="exact"/>
        <w:ind w:left="-420" w:leftChars="-200" w:right="-506" w:rightChars="-241" w:firstLine="420" w:firstLineChars="200"/>
        <w:rPr>
          <w:rFonts w:hint="eastAsia"/>
        </w:rPr>
      </w:pPr>
      <w:r>
        <w:rPr>
          <w:rFonts w:hint="eastAsia"/>
        </w:rPr>
        <w:t>5. 不发生重大中毒事故以及群发性传染病；</w:t>
      </w:r>
    </w:p>
    <w:p w14:paraId="39806D1B">
      <w:pPr>
        <w:pStyle w:val="31"/>
        <w:spacing w:line="360" w:lineRule="exact"/>
        <w:ind w:left="-420" w:leftChars="-200" w:right="-506" w:rightChars="-241" w:firstLine="420" w:firstLineChars="200"/>
        <w:rPr>
          <w:rFonts w:hint="eastAsia"/>
        </w:rPr>
      </w:pPr>
      <w:r>
        <w:rPr>
          <w:rFonts w:hint="eastAsia"/>
        </w:rPr>
        <w:t>6. 必须保证施工现场创建文明安全施工工地。</w:t>
      </w:r>
    </w:p>
    <w:p w14:paraId="7432CD6D">
      <w:pPr>
        <w:pStyle w:val="31"/>
        <w:spacing w:line="360" w:lineRule="exact"/>
        <w:ind w:left="-420" w:leftChars="-200" w:right="-506" w:rightChars="-241" w:firstLine="420" w:firstLineChars="200"/>
        <w:rPr>
          <w:rFonts w:hint="eastAsia"/>
        </w:rPr>
      </w:pPr>
      <w:r>
        <w:rPr>
          <w:rFonts w:hint="eastAsia"/>
        </w:rPr>
        <w:t>二、安全生产要求</w:t>
      </w:r>
    </w:p>
    <w:p w14:paraId="48A31CCF">
      <w:pPr>
        <w:pStyle w:val="31"/>
        <w:spacing w:line="360" w:lineRule="exact"/>
        <w:ind w:left="-420" w:leftChars="-200" w:right="-506" w:rightChars="-241" w:firstLine="420" w:firstLineChars="200"/>
        <w:rPr>
          <w:rFonts w:hint="eastAsia"/>
        </w:rPr>
      </w:pPr>
      <w:r>
        <w:rPr>
          <w:rFonts w:hint="eastAsia"/>
        </w:rPr>
        <w:t>1. 乙方应按有关规定，采取严格的安全防护措施，否则由于自身安全措施不力而造成事故的责任和因此而发生的费用由乙方承担。非乙方责任的伤亡事故，由责任方承担责任和有关费用；</w:t>
      </w:r>
    </w:p>
    <w:p w14:paraId="6432F196">
      <w:pPr>
        <w:pStyle w:val="31"/>
        <w:spacing w:line="360" w:lineRule="exact"/>
        <w:ind w:left="-420" w:leftChars="-200" w:right="-506" w:rightChars="-241" w:firstLine="420" w:firstLineChars="200"/>
        <w:rPr>
          <w:rFonts w:hint="eastAsia"/>
        </w:rPr>
      </w:pPr>
      <w:r>
        <w:rPr>
          <w:rFonts w:hint="eastAsia"/>
        </w:rPr>
        <w:t>2. 乙方应熟悉并能自觉遵守、执行建设部《建筑施工安全检查标准》以及相关的各项规范；自觉遵守当地政府有关安全施工的各项规定和行业主管部门颁布实施的有关安全生产的法律、法规、规范、标准及各项规定，并且积极参加各种有关促进安全生产的各项活动，切实保障施工工作人员的安全与健康。</w:t>
      </w:r>
    </w:p>
    <w:p w14:paraId="473EA174">
      <w:pPr>
        <w:pStyle w:val="31"/>
        <w:spacing w:line="360" w:lineRule="exact"/>
        <w:ind w:left="-420" w:leftChars="-200" w:right="-506" w:rightChars="-241" w:firstLine="420" w:firstLineChars="200"/>
        <w:rPr>
          <w:rFonts w:hint="eastAsia"/>
        </w:rPr>
      </w:pPr>
      <w:r>
        <w:rPr>
          <w:rFonts w:hint="eastAsia"/>
        </w:rPr>
        <w:t>3. 乙方必须尊重并且服从甲方现行的有关安全生产各项规章制度和管理方式，并按经济合同有关条款加强自身管理，履行乙方责任。</w:t>
      </w:r>
    </w:p>
    <w:p w14:paraId="15F7BA6B">
      <w:pPr>
        <w:pStyle w:val="31"/>
        <w:spacing w:line="360" w:lineRule="exact"/>
        <w:ind w:left="-420" w:leftChars="-200" w:right="-506" w:rightChars="-241" w:firstLine="420" w:firstLineChars="200"/>
        <w:rPr>
          <w:rFonts w:hint="eastAsia"/>
        </w:rPr>
      </w:pPr>
      <w:r>
        <w:rPr>
          <w:rFonts w:hint="eastAsia"/>
        </w:rPr>
        <w:t>4. 乙方必须执行安全技术方案报批制度、安全技术交底制度、周安全例会制度与班前安全讲话制度、各级安全教育培训以及持证上岗制度、甲方的安全检查制度、检查整改消项制度、安全防护措施、设备验收制度和施工作业转换后的交接检验制度、安全防护验收表和施工变化后交接检验制度、个人劳动防护用品定期定量供应制度、预防和治理职业伤害与中毒事故、职工因工伤亡报告制度。</w:t>
      </w:r>
    </w:p>
    <w:p w14:paraId="6F38AE71">
      <w:pPr>
        <w:pStyle w:val="31"/>
        <w:spacing w:line="360" w:lineRule="exact"/>
        <w:ind w:left="-420" w:leftChars="-200" w:right="-506" w:rightChars="-241" w:firstLine="420" w:firstLineChars="200"/>
        <w:rPr>
          <w:rFonts w:hint="eastAsia"/>
        </w:rPr>
      </w:pPr>
      <w:r>
        <w:rPr>
          <w:rFonts w:hint="eastAsia"/>
        </w:rPr>
        <w:t>5、如果发生因工伤亡事故，乙方应在1小时内，以最快捷的方式通知甲方的项目主管领导，向其报告事故的详情。由甲方通过正常渠道及时逐级上报上级有关部门，同时积极组织抢救工作采取相应的措施，保护好现场，如因抢救伤员必须移动现场设备、设施者要做好记录或拍照，甲方为抢救提供必要条件。乙方要积极配合甲方上级部门、政府部门对事故的调查和现场勘查。凡因乙方隐瞒不报、做伪证或擅自拆毁事故现场，所造成的一切后果均由乙方承担；乙方须承担因为乙方的原因造成的安全事故的经济责任和法律责任；</w:t>
      </w:r>
    </w:p>
    <w:p w14:paraId="78790A78">
      <w:pPr>
        <w:pStyle w:val="31"/>
        <w:spacing w:line="360" w:lineRule="exact"/>
        <w:ind w:left="-420" w:leftChars="-200" w:right="-506" w:rightChars="-241" w:firstLine="420" w:firstLineChars="200"/>
        <w:rPr>
          <w:rFonts w:hint="eastAsia"/>
        </w:rPr>
      </w:pPr>
      <w:r>
        <w:rPr>
          <w:rFonts w:hint="eastAsia"/>
        </w:rPr>
        <w:t>6、乙方必须执行安全工作奖罚制度：乙方要教育和约束自己的职工严格遵守施工现场安全管理规定，对遵章守纪者给予表扬和奖励，对违章作业、违章指挥、违反劳动纪律和规章制度者给予处罚。</w:t>
      </w:r>
    </w:p>
    <w:p w14:paraId="34C1CC72">
      <w:pPr>
        <w:pStyle w:val="31"/>
        <w:spacing w:line="360" w:lineRule="exact"/>
        <w:ind w:left="-420" w:leftChars="-200" w:right="-506" w:rightChars="-241" w:firstLine="420" w:firstLineChars="200"/>
        <w:rPr>
          <w:rFonts w:hint="eastAsia"/>
        </w:rPr>
      </w:pPr>
      <w:r>
        <w:rPr>
          <w:rFonts w:hint="eastAsia"/>
        </w:rPr>
        <w:t>7、乙方必须执行安全防范制度，要对施工工程范围内工作人员的安全负责；乙方必须采取一切严密的、符合安全标准的预防措施，确保所有工作场所的安全，不得存在危及工人安全和健康的危险情况，并保证建筑工地所有人员或附近人员免遭工地可能发生的一切危险。</w:t>
      </w:r>
    </w:p>
    <w:p w14:paraId="22B0CCD0">
      <w:pPr>
        <w:pStyle w:val="31"/>
        <w:spacing w:line="360" w:lineRule="exact"/>
        <w:ind w:left="-420" w:leftChars="-200" w:right="-506" w:rightChars="-241" w:firstLine="420" w:firstLineChars="200"/>
        <w:rPr>
          <w:rFonts w:hint="eastAsia"/>
        </w:rPr>
      </w:pPr>
      <w:r>
        <w:rPr>
          <w:rFonts w:hint="eastAsia"/>
        </w:rPr>
        <w:t>三、甲、乙双方的责任</w:t>
      </w:r>
    </w:p>
    <w:p w14:paraId="767E8866">
      <w:pPr>
        <w:pStyle w:val="31"/>
        <w:spacing w:line="360" w:lineRule="exact"/>
        <w:ind w:left="-420" w:leftChars="-200" w:right="-506" w:rightChars="-241" w:firstLine="420" w:firstLineChars="200"/>
        <w:rPr>
          <w:rFonts w:hint="eastAsia"/>
        </w:rPr>
      </w:pPr>
      <w:r>
        <w:rPr>
          <w:rFonts w:hint="eastAsia"/>
        </w:rPr>
        <w:t>1、甲方对施工现场的安全生产全面负责。</w:t>
      </w:r>
    </w:p>
    <w:p w14:paraId="07688F8A">
      <w:pPr>
        <w:pStyle w:val="31"/>
        <w:spacing w:line="360" w:lineRule="exact"/>
        <w:ind w:left="-420" w:leftChars="-200" w:right="-506" w:rightChars="-241" w:firstLine="420" w:firstLineChars="200"/>
        <w:rPr>
          <w:rFonts w:hint="eastAsia"/>
        </w:rPr>
      </w:pPr>
      <w:r>
        <w:rPr>
          <w:rFonts w:hint="eastAsia"/>
        </w:rPr>
        <w:t>2、甲方有权对乙方进入现场所带机械设备、电气设备的安全防护设施及用品进行监督检查，对不符合安全规定的设施、用品有权禁止使用。</w:t>
      </w:r>
    </w:p>
    <w:p w14:paraId="64821B70">
      <w:pPr>
        <w:pStyle w:val="31"/>
        <w:spacing w:line="360" w:lineRule="exact"/>
        <w:ind w:left="-420" w:leftChars="-200" w:right="-506" w:rightChars="-241" w:firstLine="420" w:firstLineChars="200"/>
        <w:rPr>
          <w:rFonts w:hint="eastAsia"/>
        </w:rPr>
      </w:pPr>
      <w:r>
        <w:rPr>
          <w:rFonts w:hint="eastAsia"/>
        </w:rPr>
        <w:t>3、甲方有权对乙方在施工中出现的不安全隐患签发隐患通知书，并限期整改，对情节严重又不按期整改的，甲方有权停止乙方的作业，由此产生的后果由乙方承担一切责任。</w:t>
      </w:r>
    </w:p>
    <w:p w14:paraId="0D790F7B">
      <w:pPr>
        <w:pStyle w:val="31"/>
        <w:spacing w:line="360" w:lineRule="exact"/>
        <w:ind w:left="-420" w:leftChars="-200" w:right="-506" w:rightChars="-241" w:firstLine="420" w:firstLineChars="200"/>
        <w:rPr>
          <w:rFonts w:hint="eastAsia"/>
        </w:rPr>
      </w:pPr>
      <w:r>
        <w:rPr>
          <w:rFonts w:hint="eastAsia"/>
        </w:rPr>
        <w:t>4、由甲方提供给乙方使用的施工用电、甲供材料、设备等必须经双方验收合格，签字移交后方可使用，但在使用过程乙方不得随意拆改、更换，否则，产生的一切后果由乙方承担（包括经济赔偿在内）一切责任。</w:t>
      </w:r>
    </w:p>
    <w:p w14:paraId="3FE4216B">
      <w:pPr>
        <w:pStyle w:val="31"/>
        <w:spacing w:line="360" w:lineRule="exact"/>
        <w:ind w:left="-420" w:leftChars="-200" w:right="-506" w:rightChars="-241" w:firstLine="420" w:firstLineChars="200"/>
        <w:rPr>
          <w:rFonts w:hint="eastAsia"/>
        </w:rPr>
      </w:pPr>
      <w:r>
        <w:rPr>
          <w:rFonts w:hint="eastAsia"/>
        </w:rPr>
        <w:t>5、乙方在施工现场内施工，必须服从甲方及监理单位、安全监督单位的安全生产管理，乙方不服从管理导致生产安全事故的，由乙方承担全部责任。</w:t>
      </w:r>
    </w:p>
    <w:p w14:paraId="31B2203F">
      <w:pPr>
        <w:pStyle w:val="31"/>
        <w:spacing w:line="360" w:lineRule="exact"/>
        <w:ind w:left="-420" w:leftChars="-200" w:right="-506" w:rightChars="-241" w:firstLine="420" w:firstLineChars="200"/>
        <w:rPr>
          <w:rFonts w:hint="eastAsia"/>
        </w:rPr>
      </w:pPr>
      <w:r>
        <w:rPr>
          <w:rFonts w:hint="eastAsia"/>
        </w:rPr>
        <w:t>6、施工人员进场前，必须先将现场负责人，施工人员（包括管理人员、施工人员、特殊作业人员）花名册，企业资质证书和委托书等原件或复印件送甲方备案。</w:t>
      </w:r>
    </w:p>
    <w:p w14:paraId="7B2B78EA">
      <w:pPr>
        <w:pStyle w:val="31"/>
        <w:spacing w:line="360" w:lineRule="exact"/>
        <w:ind w:left="-420" w:leftChars="-200" w:right="-506" w:rightChars="-241" w:firstLine="420" w:firstLineChars="200"/>
        <w:rPr>
          <w:rFonts w:hint="eastAsia"/>
        </w:rPr>
      </w:pPr>
      <w:r>
        <w:rPr>
          <w:rFonts w:hint="eastAsia"/>
        </w:rPr>
        <w:t>7、进入施工现场必须按要求正确佩戴合格的劳动防护用品。现场严禁垂直交叉作业；高处作业禁止将工具、配件及物件上下抛掷；危险性较大的作业项目，乙方必须设专人监护。</w:t>
      </w:r>
    </w:p>
    <w:p w14:paraId="18FB8764">
      <w:pPr>
        <w:pStyle w:val="31"/>
        <w:spacing w:line="360" w:lineRule="exact"/>
        <w:ind w:left="-420" w:leftChars="-200" w:right="-506" w:rightChars="-241" w:firstLine="420" w:firstLineChars="200"/>
        <w:rPr>
          <w:rFonts w:hint="eastAsia"/>
        </w:rPr>
      </w:pPr>
      <w:r>
        <w:rPr>
          <w:rFonts w:hint="eastAsia"/>
        </w:rPr>
        <w:t>8、施工用电不得乱拉乱接，需要用电时，必须由专职电工操作；需要甲方配合的或提供帮助的必须在甲方电工的统一安排下进行。各类特殊作业人员必须持有效证件上岗。</w:t>
      </w:r>
    </w:p>
    <w:p w14:paraId="2FB42DB5">
      <w:pPr>
        <w:pStyle w:val="31"/>
        <w:spacing w:line="360" w:lineRule="exact"/>
        <w:ind w:left="-420" w:leftChars="-200" w:right="-506" w:rightChars="-241" w:firstLine="420" w:firstLineChars="200"/>
        <w:rPr>
          <w:rFonts w:hint="eastAsia"/>
        </w:rPr>
      </w:pPr>
      <w:r>
        <w:rPr>
          <w:rFonts w:hint="eastAsia"/>
        </w:rPr>
        <w:t>9、乙方应教育本单位作业人员做到文明施工、安全生产，在平时的工作中做到活完场清，工完场冷，材料码放有序，保持施工现场的宏观整洁，防止造成环境污染。</w:t>
      </w:r>
    </w:p>
    <w:p w14:paraId="54154386">
      <w:pPr>
        <w:pStyle w:val="31"/>
        <w:spacing w:line="360" w:lineRule="exact"/>
        <w:ind w:left="-420" w:leftChars="-200" w:right="-506" w:rightChars="-241" w:firstLine="420" w:firstLineChars="200"/>
        <w:rPr>
          <w:rFonts w:hint="eastAsia"/>
        </w:rPr>
      </w:pPr>
      <w:r>
        <w:rPr>
          <w:rFonts w:hint="eastAsia"/>
        </w:rPr>
        <w:t>四、事故责任与处理</w:t>
      </w:r>
    </w:p>
    <w:p w14:paraId="569D59CC">
      <w:pPr>
        <w:pStyle w:val="31"/>
        <w:spacing w:line="360" w:lineRule="exact"/>
        <w:ind w:left="-420" w:leftChars="-200" w:right="-506" w:rightChars="-241" w:firstLine="420" w:firstLineChars="200"/>
        <w:rPr>
          <w:rFonts w:hint="eastAsia"/>
        </w:rPr>
      </w:pPr>
      <w:r>
        <w:rPr>
          <w:rFonts w:hint="eastAsia"/>
        </w:rPr>
        <w:t>1、由于乙方管理或乙方作业人员自身责任造成的伤、残、亡事故，要立即向甲方报告，同时由乙方参照国家现行规定负责处理，并负责事故人员及家属的全部经济补偿。</w:t>
      </w:r>
    </w:p>
    <w:p w14:paraId="6A9905E3">
      <w:pPr>
        <w:pStyle w:val="31"/>
        <w:spacing w:line="360" w:lineRule="exact"/>
        <w:ind w:left="-420" w:leftChars="-200" w:right="-506" w:rightChars="-241" w:firstLine="420" w:firstLineChars="200"/>
        <w:rPr>
          <w:rFonts w:hint="eastAsia"/>
        </w:rPr>
      </w:pPr>
      <w:r>
        <w:rPr>
          <w:rFonts w:hint="eastAsia"/>
        </w:rPr>
        <w:t>2、由于乙方以外的责任造成乙方作业人员伤、残、亡事故的，在执行事故处理时，参照国家现行政策，由责任方一次性给予乙方经济补偿，其善后事宜由乙方处理。</w:t>
      </w:r>
    </w:p>
    <w:p w14:paraId="7DCF6BF8">
      <w:pPr>
        <w:pStyle w:val="31"/>
        <w:spacing w:line="360" w:lineRule="exact"/>
        <w:ind w:left="-420" w:leftChars="-200" w:right="-506" w:rightChars="-241" w:firstLine="420" w:firstLineChars="200"/>
        <w:rPr>
          <w:rFonts w:hint="eastAsia"/>
        </w:rPr>
      </w:pPr>
      <w:r>
        <w:rPr>
          <w:rFonts w:hint="eastAsia"/>
        </w:rPr>
        <w:t>3、由于乙方或乙方作业人员违章指挥，违章作业或设备设施不完善造成甲方或第三者人员的伤亡事故，由乙方参照国家现行规定负责处理，并负责伤、残、亡个人及家属的全部经济补偿和善后处理。</w:t>
      </w:r>
    </w:p>
    <w:p w14:paraId="5DA34A95">
      <w:pPr>
        <w:pStyle w:val="31"/>
        <w:spacing w:line="360" w:lineRule="exact"/>
        <w:ind w:left="-420" w:leftChars="-200" w:right="-506" w:rightChars="-241" w:firstLine="420" w:firstLineChars="200"/>
        <w:rPr>
          <w:rFonts w:hint="eastAsia"/>
        </w:rPr>
      </w:pPr>
      <w:r>
        <w:rPr>
          <w:rFonts w:hint="eastAsia"/>
        </w:rPr>
        <w:t>4、乙方在施工过程中，应不妨碍甲方既有污水处理设施的正常运行，由于乙方原因造成甲方生产损失的，由乙方承担全部经济损失。</w:t>
      </w:r>
    </w:p>
    <w:p w14:paraId="06BAADA1">
      <w:pPr>
        <w:pStyle w:val="31"/>
        <w:spacing w:line="360" w:lineRule="exact"/>
        <w:ind w:left="-420" w:leftChars="-200" w:right="-506" w:rightChars="-241" w:firstLine="420" w:firstLineChars="200"/>
        <w:rPr>
          <w:rFonts w:hint="eastAsia"/>
        </w:rPr>
      </w:pPr>
      <w:r>
        <w:rPr>
          <w:rFonts w:hint="eastAsia"/>
        </w:rPr>
        <w:t>五、本协议一式四份，甲方、乙方各执一份，上报各自主管部门一份。</w:t>
      </w:r>
    </w:p>
    <w:p w14:paraId="3161378C">
      <w:pPr>
        <w:pStyle w:val="31"/>
        <w:spacing w:line="360" w:lineRule="exact"/>
        <w:ind w:left="-420" w:leftChars="-200" w:right="-506" w:rightChars="-241" w:firstLine="420" w:firstLineChars="200"/>
        <w:rPr>
          <w:rFonts w:hint="eastAsia"/>
        </w:rPr>
      </w:pPr>
      <w:r>
        <w:rPr>
          <w:rFonts w:hint="eastAsia"/>
        </w:rPr>
        <w:t>六、本协议有效期为：从签订之日起至乙方的工程项目竣工（完工）及所有人员全部撤出现场为止。</w:t>
      </w:r>
    </w:p>
    <w:p w14:paraId="169EF2EA">
      <w:pPr>
        <w:autoSpaceDE w:val="0"/>
        <w:autoSpaceDN w:val="0"/>
        <w:spacing w:line="440" w:lineRule="exact"/>
        <w:ind w:firstLine="482"/>
        <w:rPr>
          <w:szCs w:val="21"/>
        </w:rPr>
      </w:pPr>
      <w:r>
        <w:rPr>
          <w:szCs w:val="21"/>
        </w:rPr>
        <w:t>甲方单位：（盖章）　　　　　　　　       乙方单位：（盖章）</w:t>
      </w:r>
    </w:p>
    <w:p w14:paraId="645312E7">
      <w:pPr>
        <w:autoSpaceDE w:val="0"/>
        <w:autoSpaceDN w:val="0"/>
        <w:spacing w:line="440" w:lineRule="exact"/>
        <w:ind w:firstLine="482"/>
        <w:rPr>
          <w:szCs w:val="21"/>
        </w:rPr>
      </w:pPr>
      <w:r>
        <w:rPr>
          <w:szCs w:val="21"/>
        </w:rPr>
        <w:t>法定代表人：　　　　　　　　　              法定代表人：</w:t>
      </w:r>
    </w:p>
    <w:p w14:paraId="0CAD9642">
      <w:pPr>
        <w:autoSpaceDE w:val="0"/>
        <w:autoSpaceDN w:val="0"/>
        <w:spacing w:line="440" w:lineRule="exact"/>
        <w:ind w:firstLine="482"/>
        <w:rPr>
          <w:szCs w:val="21"/>
        </w:rPr>
      </w:pPr>
      <w:r>
        <w:rPr>
          <w:szCs w:val="21"/>
        </w:rPr>
        <w:t>地址：　　　　　　　　　　　　　            地址：</w:t>
      </w:r>
    </w:p>
    <w:p w14:paraId="45020B6C">
      <w:pPr>
        <w:autoSpaceDE w:val="0"/>
        <w:autoSpaceDN w:val="0"/>
        <w:spacing w:line="440" w:lineRule="exact"/>
        <w:ind w:firstLine="482"/>
        <w:rPr>
          <w:szCs w:val="21"/>
        </w:rPr>
      </w:pPr>
      <w:r>
        <w:rPr>
          <w:szCs w:val="21"/>
        </w:rPr>
        <w:t>电话：　　　　　　　　　　　　　　　      电话：</w:t>
      </w:r>
    </w:p>
    <w:p w14:paraId="7B52C716">
      <w:pPr>
        <w:rPr>
          <w:rFonts w:hint="eastAsia" w:ascii="Calibri" w:hAnsi="Calibri"/>
          <w:szCs w:val="22"/>
        </w:rPr>
      </w:pPr>
      <w:r>
        <w:rPr>
          <w:rFonts w:hint="eastAsia" w:ascii="Calibri" w:hAnsi="Calibri"/>
          <w:szCs w:val="22"/>
        </w:rPr>
        <w:br w:type="page"/>
      </w:r>
    </w:p>
    <w:p w14:paraId="4516717F">
      <w:pPr>
        <w:pStyle w:val="12"/>
        <w:spacing w:line="360" w:lineRule="auto"/>
        <w:jc w:val="center"/>
        <w:rPr>
          <w:rFonts w:hint="eastAsia" w:ascii="Calibri" w:hAnsi="Calibri"/>
          <w:szCs w:val="22"/>
        </w:rPr>
      </w:pPr>
    </w:p>
    <w:p w14:paraId="50AF5F8E">
      <w:pPr>
        <w:pStyle w:val="12"/>
        <w:spacing w:line="360" w:lineRule="auto"/>
        <w:jc w:val="center"/>
        <w:rPr>
          <w:rFonts w:hint="eastAsia"/>
        </w:rPr>
      </w:pPr>
      <w:bookmarkStart w:id="131" w:name="_Toc152042554"/>
      <w:bookmarkStart w:id="132" w:name="_Toc148964070"/>
      <w:bookmarkStart w:id="133" w:name="_Toc152045772"/>
      <w:bookmarkStart w:id="134" w:name="_Toc144974834"/>
      <w:r>
        <w:rPr>
          <w:rStyle w:val="34"/>
        </w:rPr>
        <w:t xml:space="preserve">第五章  </w:t>
      </w:r>
      <w:bookmarkEnd w:id="131"/>
      <w:bookmarkEnd w:id="132"/>
      <w:bookmarkEnd w:id="133"/>
      <w:bookmarkEnd w:id="134"/>
      <w:r>
        <w:rPr>
          <w:rStyle w:val="34"/>
        </w:rPr>
        <w:t>工程量清单</w:t>
      </w:r>
      <w:r>
        <w:rPr>
          <w:rStyle w:val="34"/>
          <w:rFonts w:hint="eastAsia"/>
        </w:rPr>
        <w:t>编制</w:t>
      </w:r>
    </w:p>
    <w:p w14:paraId="3A4899A5">
      <w:pPr>
        <w:pStyle w:val="8"/>
        <w:tabs>
          <w:tab w:val="left" w:pos="574"/>
        </w:tabs>
        <w:spacing w:after="0" w:line="380" w:lineRule="exact"/>
        <w:ind w:firstLine="420" w:firstLineChars="200"/>
        <w:rPr>
          <w:rFonts w:ascii="宋体" w:hAnsi="宋体"/>
        </w:rPr>
      </w:pPr>
    </w:p>
    <w:p w14:paraId="65DB486F">
      <w:pPr>
        <w:pStyle w:val="29"/>
        <w:spacing w:line="380" w:lineRule="exact"/>
        <w:jc w:val="center"/>
        <w:rPr>
          <w:rFonts w:cs="Times New Roman"/>
        </w:rPr>
      </w:pPr>
      <w:r>
        <w:rPr>
          <w:rFonts w:cs="Times New Roman"/>
        </w:rPr>
        <w:t>1. 投标报价组成</w:t>
      </w:r>
    </w:p>
    <w:p w14:paraId="2AB474D7">
      <w:pPr>
        <w:spacing w:line="380" w:lineRule="exact"/>
      </w:pPr>
    </w:p>
    <w:p w14:paraId="6E475165">
      <w:pPr>
        <w:pStyle w:val="8"/>
        <w:tabs>
          <w:tab w:val="left" w:pos="574"/>
        </w:tabs>
        <w:spacing w:after="0" w:line="380" w:lineRule="exact"/>
        <w:ind w:firstLine="420" w:firstLineChars="200"/>
      </w:pPr>
      <w:r>
        <w:t>1.1报价方式：本工程项目报价方式为工程量清单报价法。</w:t>
      </w:r>
    </w:p>
    <w:p w14:paraId="139FD553">
      <w:pPr>
        <w:pStyle w:val="8"/>
        <w:tabs>
          <w:tab w:val="left" w:pos="574"/>
        </w:tabs>
        <w:spacing w:after="0" w:line="380" w:lineRule="exact"/>
        <w:ind w:firstLine="420" w:firstLineChars="200"/>
      </w:pPr>
      <w:r>
        <w:t>1.2工程量清单采用综合单价计价[其中管理费、利润的计算基数中的人工费所涉及的人工和机械单价按投标人自报的人工和机械台班单价计取。综合单价是指完成工程量清单中一个规定计量单位项目所需人工费、材料</w:t>
      </w:r>
      <w:r>
        <w:rPr>
          <w:rFonts w:hint="eastAsia"/>
        </w:rPr>
        <w:t>和设备</w:t>
      </w:r>
      <w:r>
        <w:t>费、机械使用费、管理费（含检验试验费、城市维护建设税、教育费附加以及地方教育附加，下同）和利润（各费用项目均不包含增值税进项税额），并考虑风险因素，但不包括规费、</w:t>
      </w:r>
      <w:r>
        <w:rPr>
          <w:u w:val="single"/>
        </w:rPr>
        <w:t>危险作业意外伤害保险费</w:t>
      </w:r>
      <w:r>
        <w:t>及税金（包含增值税销项税额及地方水利建设基金，下同）。人工费、材料费、机械使用费、管理费和利润、风险的费用内容按省建设行政主管部门颁发的取费定额</w:t>
      </w:r>
      <w:r>
        <w:rPr>
          <w:u w:val="single"/>
        </w:rPr>
        <w:t>及补充定额</w:t>
      </w:r>
      <w:r>
        <w:t>确定。</w:t>
      </w:r>
    </w:p>
    <w:p w14:paraId="0C23F47A">
      <w:pPr>
        <w:pStyle w:val="8"/>
        <w:tabs>
          <w:tab w:val="left" w:pos="574"/>
        </w:tabs>
        <w:spacing w:after="0" w:line="380" w:lineRule="exact"/>
        <w:ind w:firstLine="420" w:firstLineChars="200"/>
      </w:pPr>
      <w:r>
        <w:t>1.3投标总报价应是招标文件所确定的招标范围内全部工作内容的价格表现。其应包括完成工程量清单所列项目的全部费用，包括分部分项工程费、措施项目费、其他项目费、规费、</w:t>
      </w:r>
      <w:r>
        <w:rPr>
          <w:u w:val="single"/>
        </w:rPr>
        <w:t>危险作业意外伤害保险费</w:t>
      </w:r>
      <w:r>
        <w:t>和税金。各投标人应根据招标人提供的全套施工图纸、技术资料、工程量清单，以及本工程实际情况和自身的综合实力，竞报投标报价。</w:t>
      </w:r>
    </w:p>
    <w:p w14:paraId="3BFC1006">
      <w:pPr>
        <w:spacing w:line="440" w:lineRule="exact"/>
        <w:ind w:firstLine="420" w:firstLineChars="200"/>
      </w:pPr>
      <w:r>
        <w:t>1.4本招标文件中提供的工程量是根据完整的施工图纸及有关资料，</w:t>
      </w:r>
      <w:r>
        <w:rPr>
          <w:rFonts w:hint="eastAsia"/>
        </w:rPr>
        <w:t>按</w:t>
      </w:r>
      <w:r>
        <w:rPr>
          <w:rFonts w:hint="eastAsia" w:ascii="宋体" w:hAnsi="宋体"/>
          <w:kern w:val="0"/>
          <w:szCs w:val="21"/>
          <w:u w:val="single"/>
        </w:rPr>
        <w:t>《市政工程工程量计算规范》（GB 50857－2013</w:t>
      </w:r>
      <w:r>
        <w:rPr>
          <w:rFonts w:hint="eastAsia" w:ascii="宋体" w:hAnsi="宋体"/>
          <w:kern w:val="0"/>
          <w:szCs w:val="21"/>
          <w:u w:val="single"/>
          <w:lang w:val="en-US" w:eastAsia="zh-CN"/>
        </w:rPr>
        <w:t>)</w:t>
      </w:r>
      <w:r>
        <w:rPr>
          <w:rFonts w:hint="eastAsia" w:ascii="宋体" w:hAnsi="宋体"/>
          <w:kern w:val="0"/>
          <w:szCs w:val="21"/>
          <w:u w:val="single"/>
          <w:lang w:eastAsia="zh-CN"/>
        </w:rPr>
        <w:t>、</w:t>
      </w:r>
      <w:r>
        <w:rPr>
          <w:rFonts w:hint="eastAsia" w:ascii="宋体" w:hAnsi="宋体"/>
          <w:kern w:val="0"/>
          <w:szCs w:val="21"/>
          <w:u w:val="single"/>
        </w:rPr>
        <w:t>《通用安装工程工程量计算规范》</w:t>
      </w:r>
      <w:r>
        <w:rPr>
          <w:rFonts w:hint="eastAsia" w:ascii="宋体" w:hAnsi="宋体"/>
          <w:kern w:val="0"/>
          <w:szCs w:val="21"/>
          <w:u w:val="single"/>
          <w:lang w:val="en-US" w:eastAsia="zh-CN"/>
        </w:rPr>
        <w:t>(</w:t>
      </w:r>
      <w:r>
        <w:rPr>
          <w:rFonts w:hint="eastAsia" w:ascii="宋体" w:hAnsi="宋体"/>
          <w:kern w:val="0"/>
          <w:szCs w:val="21"/>
          <w:u w:val="single"/>
        </w:rPr>
        <w:t>GB 50856－2013</w:t>
      </w:r>
      <w:r>
        <w:rPr>
          <w:rFonts w:hint="eastAsia" w:ascii="宋体" w:hAnsi="宋体"/>
          <w:kern w:val="0"/>
          <w:szCs w:val="21"/>
          <w:u w:val="single"/>
          <w:lang w:val="en-US" w:eastAsia="zh-CN"/>
        </w:rPr>
        <w:t>)</w:t>
      </w:r>
      <w:r>
        <w:rPr>
          <w:rFonts w:hint="eastAsia" w:ascii="宋体" w:hAnsi="宋体"/>
          <w:kern w:val="0"/>
          <w:szCs w:val="21"/>
          <w:u w:val="single"/>
        </w:rPr>
        <w:t>、《园林绿化工程工程量计算规范》</w:t>
      </w:r>
      <w:r>
        <w:rPr>
          <w:rFonts w:hint="eastAsia" w:ascii="宋体" w:hAnsi="宋体"/>
          <w:kern w:val="0"/>
          <w:szCs w:val="21"/>
          <w:u w:val="single"/>
          <w:lang w:val="en-US" w:eastAsia="zh-CN"/>
        </w:rPr>
        <w:t>(</w:t>
      </w:r>
      <w:r>
        <w:rPr>
          <w:rFonts w:hint="eastAsia" w:ascii="宋体" w:hAnsi="宋体"/>
          <w:kern w:val="0"/>
          <w:szCs w:val="21"/>
          <w:u w:val="single"/>
        </w:rPr>
        <w:t>GB 50858－2013</w:t>
      </w:r>
      <w:r>
        <w:rPr>
          <w:rFonts w:hint="eastAsia" w:ascii="宋体" w:hAnsi="宋体"/>
          <w:kern w:val="0"/>
          <w:szCs w:val="21"/>
          <w:u w:val="single"/>
          <w:lang w:val="en-US" w:eastAsia="zh-CN"/>
        </w:rPr>
        <w:t>)</w:t>
      </w:r>
      <w:r>
        <w:rPr>
          <w:rFonts w:hint="eastAsia" w:ascii="宋体" w:hAnsi="宋体"/>
          <w:kern w:val="0"/>
          <w:szCs w:val="21"/>
          <w:u w:val="single"/>
          <w:lang w:eastAsia="zh-CN"/>
        </w:rPr>
        <w:t>；</w:t>
      </w:r>
      <w:r>
        <w:rPr>
          <w:rFonts w:hint="eastAsia" w:ascii="宋体" w:hAnsi="宋体"/>
          <w:kern w:val="0"/>
          <w:szCs w:val="21"/>
          <w:u w:val="single"/>
        </w:rPr>
        <w:t>《浙江省市政工程预算定额》(2018版)</w:t>
      </w:r>
      <w:r>
        <w:rPr>
          <w:rFonts w:hint="eastAsia" w:ascii="宋体" w:hAnsi="宋体"/>
          <w:kern w:val="0"/>
          <w:szCs w:val="21"/>
          <w:u w:val="single"/>
          <w:lang w:val="en-US" w:eastAsia="zh-CN"/>
        </w:rPr>
        <w:t>、</w:t>
      </w:r>
      <w:r>
        <w:rPr>
          <w:rFonts w:hint="eastAsia" w:ascii="宋体" w:hAnsi="宋体"/>
          <w:kern w:val="0"/>
          <w:szCs w:val="21"/>
          <w:u w:val="single"/>
        </w:rPr>
        <w:t>《浙江省</w:t>
      </w:r>
      <w:r>
        <w:rPr>
          <w:rFonts w:hint="eastAsia" w:ascii="宋体" w:hAnsi="宋体"/>
          <w:kern w:val="0"/>
          <w:szCs w:val="21"/>
          <w:u w:val="single"/>
          <w:lang w:val="en-US" w:eastAsia="zh-CN"/>
        </w:rPr>
        <w:t>建筑</w:t>
      </w:r>
      <w:r>
        <w:rPr>
          <w:rFonts w:hint="eastAsia" w:ascii="宋体" w:hAnsi="宋体"/>
          <w:kern w:val="0"/>
          <w:szCs w:val="21"/>
          <w:u w:val="single"/>
        </w:rPr>
        <w:t>工程预算定额》(2018版)</w:t>
      </w:r>
      <w:r>
        <w:rPr>
          <w:rFonts w:hint="eastAsia" w:ascii="宋体" w:hAnsi="宋体"/>
          <w:kern w:val="0"/>
          <w:szCs w:val="21"/>
          <w:u w:val="single"/>
          <w:lang w:eastAsia="zh-CN"/>
        </w:rPr>
        <w:t>、</w:t>
      </w:r>
      <w:r>
        <w:rPr>
          <w:rFonts w:hint="eastAsia" w:ascii="宋体" w:hAnsi="宋体"/>
          <w:kern w:val="0"/>
          <w:szCs w:val="21"/>
          <w:u w:val="single"/>
        </w:rPr>
        <w:t>《浙江省通用安装工程预算定额》</w:t>
      </w:r>
      <w:r>
        <w:rPr>
          <w:rFonts w:hint="eastAsia" w:ascii="宋体" w:hAnsi="宋体"/>
          <w:kern w:val="0"/>
          <w:szCs w:val="21"/>
          <w:u w:val="single"/>
          <w:lang w:val="en-US" w:eastAsia="zh-CN"/>
        </w:rPr>
        <w:t>(</w:t>
      </w:r>
      <w:r>
        <w:rPr>
          <w:rFonts w:hint="eastAsia" w:ascii="宋体" w:hAnsi="宋体"/>
          <w:kern w:val="0"/>
          <w:szCs w:val="21"/>
          <w:u w:val="single"/>
        </w:rPr>
        <w:t>2018版</w:t>
      </w:r>
      <w:r>
        <w:rPr>
          <w:rFonts w:hint="eastAsia" w:ascii="宋体" w:hAnsi="宋体"/>
          <w:kern w:val="0"/>
          <w:szCs w:val="21"/>
          <w:u w:val="single"/>
          <w:lang w:val="en-US" w:eastAsia="zh-CN"/>
        </w:rPr>
        <w:t>)</w:t>
      </w:r>
      <w:r>
        <w:rPr>
          <w:rFonts w:hint="eastAsia" w:ascii="宋体" w:hAnsi="宋体"/>
          <w:kern w:val="0"/>
          <w:szCs w:val="21"/>
          <w:u w:val="single"/>
        </w:rPr>
        <w:t>、《浙江省园林绿化及仿古建筑工程预算定额》</w:t>
      </w:r>
      <w:r>
        <w:rPr>
          <w:rFonts w:hint="eastAsia" w:ascii="宋体" w:hAnsi="宋体"/>
          <w:kern w:val="0"/>
          <w:szCs w:val="21"/>
          <w:u w:val="single"/>
          <w:lang w:val="en-US" w:eastAsia="zh-CN"/>
        </w:rPr>
        <w:t>(</w:t>
      </w:r>
      <w:r>
        <w:rPr>
          <w:rFonts w:hint="eastAsia" w:ascii="宋体" w:hAnsi="宋体"/>
          <w:kern w:val="0"/>
          <w:szCs w:val="21"/>
          <w:u w:val="single"/>
        </w:rPr>
        <w:t>2018版</w:t>
      </w:r>
      <w:r>
        <w:rPr>
          <w:rFonts w:hint="eastAsia" w:ascii="宋体" w:hAnsi="宋体"/>
          <w:kern w:val="0"/>
          <w:szCs w:val="21"/>
          <w:u w:val="single"/>
          <w:lang w:val="en-US" w:eastAsia="zh-CN"/>
        </w:rPr>
        <w:t>)</w:t>
      </w:r>
      <w:r>
        <w:rPr>
          <w:rFonts w:hint="eastAsia" w:ascii="宋体" w:hAnsi="宋体"/>
          <w:kern w:val="0"/>
          <w:szCs w:val="21"/>
          <w:u w:val="single"/>
          <w:lang w:eastAsia="zh-CN"/>
        </w:rPr>
        <w:t>；</w:t>
      </w:r>
      <w:r>
        <w:rPr>
          <w:rFonts w:hint="eastAsia" w:ascii="宋体" w:hAnsi="宋体"/>
          <w:kern w:val="0"/>
          <w:szCs w:val="21"/>
          <w:u w:val="single"/>
        </w:rPr>
        <w:t>《浙江省建设工程计价规则》（2018版）</w:t>
      </w:r>
      <w:r>
        <w:rPr>
          <w:rFonts w:hint="eastAsia" w:ascii="宋体" w:hAnsi="宋体"/>
          <w:kern w:val="0"/>
          <w:szCs w:val="21"/>
          <w:u w:val="single"/>
          <w:lang w:eastAsia="zh-CN"/>
        </w:rPr>
        <w:t>；</w:t>
      </w:r>
      <w:r>
        <w:rPr>
          <w:rFonts w:hint="eastAsia" w:ascii="宋体" w:hAnsi="宋体"/>
          <w:kern w:val="0"/>
          <w:szCs w:val="21"/>
          <w:u w:val="single"/>
        </w:rPr>
        <w:t>浙建建发[2019]92号、2018版定额解释及上级部门有关规定</w:t>
      </w:r>
      <w:r>
        <w:rPr>
          <w:rFonts w:hint="eastAsia"/>
        </w:rPr>
        <w:t>及浙江省补充条款及补充内容的规定计算得出的，是统一投标报价口径的主要依据</w:t>
      </w:r>
      <w:r>
        <w:t>。</w:t>
      </w:r>
    </w:p>
    <w:p w14:paraId="432D0991">
      <w:pPr>
        <w:pStyle w:val="8"/>
        <w:tabs>
          <w:tab w:val="left" w:pos="574"/>
        </w:tabs>
        <w:spacing w:after="0" w:line="380" w:lineRule="exact"/>
        <w:ind w:firstLine="420" w:firstLineChars="200"/>
      </w:pPr>
      <w:r>
        <w:t>1.5分部分项工程费是指完成在工程量清单列出的各分部分项清单工程量实体所需的费用，包括人工费、材料费、机械使用费、管理费、利润以及风险费用（各费用项目均不包含增值税进项税额）。</w:t>
      </w:r>
    </w:p>
    <w:p w14:paraId="632FD964">
      <w:pPr>
        <w:pStyle w:val="8"/>
        <w:tabs>
          <w:tab w:val="left" w:pos="574"/>
        </w:tabs>
        <w:spacing w:after="0" w:line="380" w:lineRule="exact"/>
        <w:ind w:firstLine="420" w:firstLineChars="200"/>
      </w:pPr>
      <w:r>
        <w:t>1.6措施费是指为完成工程项目施工，发生于该工程施工前和施工过程中非工程实体项目的费用，由施工技术措施费和施工组织措施费组成。</w:t>
      </w:r>
    </w:p>
    <w:p w14:paraId="5F27BA14">
      <w:pPr>
        <w:pStyle w:val="8"/>
        <w:tabs>
          <w:tab w:val="left" w:pos="574"/>
        </w:tabs>
        <w:spacing w:after="0" w:line="380" w:lineRule="exact"/>
        <w:ind w:firstLine="420" w:firstLineChars="200"/>
      </w:pPr>
      <w:r>
        <w:t>（1）施工技术措施费是指为完成工程项目施工而采取的各项技术措施所需的费用。包括大型机械设备进出场及安拆费、混凝土模板及支架费、脚手架费、建筑工程超高施工增加费、施工排水降水费和其他施工技术措施费等。</w:t>
      </w:r>
    </w:p>
    <w:p w14:paraId="772C6EAB">
      <w:pPr>
        <w:pStyle w:val="8"/>
        <w:tabs>
          <w:tab w:val="left" w:pos="574"/>
        </w:tabs>
        <w:spacing w:after="0" w:line="380" w:lineRule="exact"/>
        <w:ind w:firstLine="420" w:firstLineChars="200"/>
      </w:pPr>
      <w:r>
        <w:t>（2）施工组织措施费是指为完成工程项目施工而采取的各项组织措施所需的费用。包括安全文明施工措施费，提前竣工增加费（夜间施工增加费），二次搬运费，已完工程及设备保护费，冬雨季施工增加费，</w:t>
      </w:r>
      <w:r>
        <w:rPr>
          <w:u w:val="single"/>
        </w:rPr>
        <w:t>工程定位复测费</w:t>
      </w:r>
      <w:r>
        <w:t>，行车、行人干扰增加费（</w:t>
      </w:r>
      <w:r>
        <w:rPr>
          <w:i/>
        </w:rPr>
        <w:t>*干扰费仅道路绿化、排水工程受行车行人干扰费用</w:t>
      </w:r>
      <w:r>
        <w:t>）等费用。施工组织措施费取费基数中的人工费和机械单价按投标人自报的人工和机械台班单价计取。</w:t>
      </w:r>
    </w:p>
    <w:p w14:paraId="01236DF1">
      <w:pPr>
        <w:pStyle w:val="8"/>
        <w:tabs>
          <w:tab w:val="left" w:pos="574"/>
        </w:tabs>
        <w:spacing w:after="0" w:line="380" w:lineRule="exact"/>
      </w:pPr>
      <w:r>
        <w:t>1.7规费项目具体内容如下：</w:t>
      </w:r>
    </w:p>
    <w:p w14:paraId="338ADC2C">
      <w:pPr>
        <w:pStyle w:val="8"/>
        <w:tabs>
          <w:tab w:val="left" w:pos="574"/>
        </w:tabs>
        <w:spacing w:after="0" w:line="380" w:lineRule="exact"/>
        <w:ind w:firstLine="420" w:firstLineChars="200"/>
      </w:pPr>
      <w:r>
        <w:t>（1）排污费、社保费、公积金；</w:t>
      </w:r>
    </w:p>
    <w:p w14:paraId="58629818">
      <w:pPr>
        <w:pStyle w:val="8"/>
        <w:tabs>
          <w:tab w:val="left" w:pos="574"/>
        </w:tabs>
        <w:spacing w:after="0" w:line="380" w:lineRule="exact"/>
        <w:ind w:firstLine="420" w:firstLineChars="200"/>
      </w:pPr>
      <w:r>
        <w:t>（2）民工工伤保险费。</w:t>
      </w:r>
    </w:p>
    <w:p w14:paraId="45254A25">
      <w:pPr>
        <w:pStyle w:val="8"/>
        <w:tabs>
          <w:tab w:val="left" w:pos="574"/>
        </w:tabs>
        <w:spacing w:after="0" w:line="380" w:lineRule="exact"/>
        <w:ind w:firstLine="420" w:firstLineChars="200"/>
      </w:pPr>
      <w:r>
        <w:t>规费的计算基数中所涉及的人工费和机械单价按投标人自报的人工和机械台班单价计取。</w:t>
      </w:r>
    </w:p>
    <w:p w14:paraId="1702B8CE">
      <w:pPr>
        <w:pStyle w:val="8"/>
        <w:tabs>
          <w:tab w:val="left" w:pos="574"/>
        </w:tabs>
        <w:spacing w:after="0" w:line="380" w:lineRule="exact"/>
        <w:rPr>
          <w:u w:val="single"/>
        </w:rPr>
      </w:pPr>
      <w:r>
        <w:rPr>
          <w:u w:val="single"/>
        </w:rPr>
        <w:t>1.8危险作业意外伤害保险费，本项目不计取。</w:t>
      </w:r>
    </w:p>
    <w:p w14:paraId="5957FDCB">
      <w:pPr>
        <w:pStyle w:val="8"/>
        <w:tabs>
          <w:tab w:val="left" w:pos="574"/>
        </w:tabs>
        <w:spacing w:after="0" w:line="380" w:lineRule="exact"/>
        <w:rPr>
          <w:rFonts w:hint="eastAsia"/>
          <w:u w:val="single"/>
        </w:rPr>
      </w:pPr>
      <w:r>
        <w:t>1.9税金是指按</w:t>
      </w:r>
      <w:r>
        <w:rPr>
          <w:rFonts w:hint="eastAsia"/>
          <w:u w:val="single"/>
        </w:rPr>
        <w:t>浙建建发[2019]92 号文件《浙江省住房和城乡建设厅关于增值税调整后我省建设工程计价依据增值税税率及有关计价调整的通知》及最新规定应计入建筑安装工程造价内的税额。</w:t>
      </w:r>
    </w:p>
    <w:p w14:paraId="2DAB1C80">
      <w:pPr>
        <w:pStyle w:val="8"/>
        <w:tabs>
          <w:tab w:val="left" w:pos="574"/>
        </w:tabs>
        <w:spacing w:after="0" w:line="380" w:lineRule="exact"/>
        <w:rPr>
          <w:u w:val="single"/>
        </w:rPr>
      </w:pPr>
    </w:p>
    <w:p w14:paraId="3729063F">
      <w:pPr>
        <w:pStyle w:val="29"/>
        <w:spacing w:line="380" w:lineRule="exact"/>
        <w:jc w:val="center"/>
        <w:rPr>
          <w:rFonts w:cs="Times New Roman"/>
        </w:rPr>
      </w:pPr>
      <w:bookmarkStart w:id="135" w:name="_Toc152042556"/>
      <w:bookmarkStart w:id="136" w:name="_Toc144974836"/>
      <w:bookmarkStart w:id="137" w:name="_Toc152045774"/>
      <w:bookmarkStart w:id="138" w:name="_Toc54333554"/>
      <w:bookmarkStart w:id="139" w:name="_Toc372899881"/>
      <w:bookmarkStart w:id="140" w:name="_Toc394573951"/>
      <w:bookmarkStart w:id="141" w:name="_Toc288556306"/>
      <w:r>
        <w:rPr>
          <w:rFonts w:cs="Times New Roman"/>
        </w:rPr>
        <w:t>2. 投标报价</w:t>
      </w:r>
      <w:bookmarkEnd w:id="135"/>
      <w:bookmarkEnd w:id="136"/>
      <w:bookmarkEnd w:id="137"/>
      <w:r>
        <w:rPr>
          <w:rFonts w:cs="Times New Roman"/>
        </w:rPr>
        <w:t>要求</w:t>
      </w:r>
      <w:bookmarkEnd w:id="138"/>
      <w:bookmarkEnd w:id="139"/>
      <w:bookmarkEnd w:id="140"/>
      <w:bookmarkEnd w:id="141"/>
    </w:p>
    <w:p w14:paraId="756F94CF">
      <w:pPr>
        <w:pStyle w:val="8"/>
        <w:tabs>
          <w:tab w:val="left" w:pos="574"/>
        </w:tabs>
        <w:adjustRightInd w:val="0"/>
        <w:spacing w:after="0" w:line="380" w:lineRule="exact"/>
        <w:jc w:val="left"/>
        <w:rPr>
          <w:rFonts w:hint="eastAsia"/>
        </w:rPr>
      </w:pPr>
    </w:p>
    <w:p w14:paraId="2A2722D4">
      <w:pPr>
        <w:pStyle w:val="8"/>
        <w:tabs>
          <w:tab w:val="left" w:pos="574"/>
        </w:tabs>
        <w:adjustRightInd w:val="0"/>
        <w:spacing w:after="0" w:line="380" w:lineRule="exact"/>
        <w:ind w:firstLine="420" w:firstLineChars="200"/>
        <w:jc w:val="left"/>
        <w:rPr>
          <w:rFonts w:hint="eastAsia"/>
        </w:rPr>
      </w:pPr>
      <w:r>
        <w:rPr>
          <w:rFonts w:hint="eastAsia"/>
        </w:rPr>
        <w:t>2.1招标文件规定应由投标人自行确定的费用，投标人应根据报价要求，结合工程施工的实际情况、市场行情、技术方案和企业的管理水平，综合分析后自主确定报价。</w:t>
      </w:r>
    </w:p>
    <w:p w14:paraId="1A9CD226">
      <w:pPr>
        <w:pStyle w:val="8"/>
        <w:tabs>
          <w:tab w:val="left" w:pos="574"/>
        </w:tabs>
        <w:adjustRightInd w:val="0"/>
        <w:spacing w:after="0" w:line="380" w:lineRule="exact"/>
        <w:ind w:firstLine="420" w:firstLineChars="200"/>
        <w:jc w:val="left"/>
        <w:rPr>
          <w:rFonts w:hint="eastAsia"/>
        </w:rPr>
      </w:pPr>
      <w:r>
        <w:rPr>
          <w:rFonts w:hint="eastAsia"/>
        </w:rPr>
        <w:t>2.2施工技术措施项目可根据施工组织设计增加项目。</w:t>
      </w:r>
    </w:p>
    <w:p w14:paraId="7DCFFD25">
      <w:pPr>
        <w:pStyle w:val="8"/>
        <w:tabs>
          <w:tab w:val="left" w:pos="574"/>
        </w:tabs>
        <w:adjustRightInd w:val="0"/>
        <w:spacing w:after="0" w:line="380" w:lineRule="exact"/>
        <w:ind w:firstLine="420" w:firstLineChars="200"/>
        <w:jc w:val="left"/>
        <w:rPr>
          <w:rFonts w:hint="eastAsia"/>
        </w:rPr>
      </w:pPr>
      <w:r>
        <w:rPr>
          <w:rFonts w:hint="eastAsia"/>
        </w:rPr>
        <w:t>2.3投标人在投标报价中每单项单价和合价均需填写，对没有填写单价和合价的项目，其费用视为已包含或分配到其他项目的单价或合价中。</w:t>
      </w:r>
    </w:p>
    <w:p w14:paraId="5D10C66B">
      <w:pPr>
        <w:pStyle w:val="8"/>
        <w:tabs>
          <w:tab w:val="left" w:pos="574"/>
        </w:tabs>
        <w:adjustRightInd w:val="0"/>
        <w:spacing w:after="0" w:line="380" w:lineRule="exact"/>
        <w:ind w:firstLine="420" w:firstLineChars="200"/>
        <w:jc w:val="left"/>
        <w:rPr>
          <w:rFonts w:hint="eastAsia"/>
          <w:b/>
        </w:rPr>
      </w:pPr>
      <w:r>
        <w:rPr>
          <w:rFonts w:hint="eastAsia"/>
          <w:b/>
        </w:rPr>
        <w:t>2.4投标人的报价要求详见“投标工具-招标概况-投标报价要求”，未按要求报价的，作无效标处理。</w:t>
      </w:r>
    </w:p>
    <w:p w14:paraId="1FDBC9F0">
      <w:pPr>
        <w:pStyle w:val="8"/>
        <w:tabs>
          <w:tab w:val="left" w:pos="574"/>
        </w:tabs>
        <w:adjustRightInd w:val="0"/>
        <w:spacing w:after="0" w:line="380" w:lineRule="exact"/>
        <w:ind w:firstLine="420" w:firstLineChars="200"/>
        <w:jc w:val="left"/>
        <w:rPr>
          <w:rFonts w:hint="eastAsia"/>
        </w:rPr>
      </w:pPr>
      <w:r>
        <w:rPr>
          <w:rFonts w:hint="eastAsia"/>
        </w:rPr>
        <w:t>2.</w:t>
      </w:r>
      <w:r>
        <w:t>5</w:t>
      </w:r>
      <w:r>
        <w:rPr>
          <w:rFonts w:hint="eastAsia"/>
        </w:rPr>
        <w:t>投标单位报价时应根据本项目施工图纸、项目清单描述，结合清单计价规范相关内容，综合考虑后自主报价，结算时由于清单描述不完整原因的单价不作调整。</w:t>
      </w:r>
    </w:p>
    <w:p w14:paraId="285846F6">
      <w:pPr>
        <w:pStyle w:val="8"/>
        <w:tabs>
          <w:tab w:val="left" w:pos="574"/>
        </w:tabs>
        <w:adjustRightInd w:val="0"/>
        <w:spacing w:after="0" w:line="380" w:lineRule="exact"/>
        <w:ind w:firstLine="420" w:firstLineChars="200"/>
        <w:jc w:val="left"/>
        <w:rPr>
          <w:rFonts w:hint="eastAsia"/>
          <w:b/>
        </w:rPr>
      </w:pPr>
    </w:p>
    <w:p w14:paraId="00B01798">
      <w:pPr>
        <w:pStyle w:val="29"/>
        <w:spacing w:line="380" w:lineRule="exact"/>
        <w:jc w:val="center"/>
      </w:pPr>
      <w:bookmarkStart w:id="142" w:name="_Toc16521981"/>
      <w:bookmarkStart w:id="143" w:name="_Toc21256_WPSOffice_Level2"/>
      <w:bookmarkStart w:id="144" w:name="_Toc8305385"/>
      <w:bookmarkStart w:id="145" w:name="_Toc5620"/>
      <w:bookmarkStart w:id="146" w:name="_Toc16242_WPSOffice_Level2"/>
      <w:bookmarkStart w:id="147" w:name="_Toc54333555"/>
      <w:bookmarkStart w:id="148" w:name="_Toc8586"/>
      <w:bookmarkStart w:id="149" w:name="_Toc19717_WPSOffice_Level2"/>
      <w:bookmarkStart w:id="150" w:name="_Toc17352"/>
      <w:bookmarkStart w:id="151" w:name="_Toc13657"/>
      <w:bookmarkStart w:id="152" w:name="_Toc2292_WPSOffice_Level2"/>
      <w:r>
        <w:rPr>
          <w:rFonts w:hint="eastAsia"/>
        </w:rPr>
        <w:t>3. 工程量清单与计价表</w:t>
      </w:r>
      <w:bookmarkEnd w:id="142"/>
      <w:bookmarkEnd w:id="143"/>
      <w:bookmarkEnd w:id="144"/>
      <w:bookmarkEnd w:id="145"/>
      <w:bookmarkEnd w:id="146"/>
      <w:bookmarkEnd w:id="147"/>
      <w:bookmarkEnd w:id="148"/>
      <w:bookmarkEnd w:id="149"/>
      <w:bookmarkEnd w:id="150"/>
      <w:bookmarkEnd w:id="151"/>
      <w:bookmarkEnd w:id="152"/>
    </w:p>
    <w:p w14:paraId="0CDE77C9">
      <w:pPr>
        <w:pStyle w:val="8"/>
        <w:tabs>
          <w:tab w:val="left" w:pos="574"/>
        </w:tabs>
        <w:adjustRightInd w:val="0"/>
        <w:spacing w:after="0" w:line="380" w:lineRule="exact"/>
        <w:ind w:firstLine="420" w:firstLineChars="200"/>
        <w:jc w:val="left"/>
      </w:pPr>
    </w:p>
    <w:p w14:paraId="56AB91BC">
      <w:pPr>
        <w:pStyle w:val="8"/>
        <w:tabs>
          <w:tab w:val="left" w:pos="574"/>
        </w:tabs>
        <w:adjustRightInd w:val="0"/>
        <w:spacing w:after="0" w:line="380" w:lineRule="exact"/>
        <w:ind w:firstLine="420" w:firstLineChars="200"/>
        <w:jc w:val="left"/>
        <w:rPr>
          <w:rFonts w:hint="eastAsia"/>
        </w:rPr>
      </w:pPr>
      <w:r>
        <w:rPr>
          <w:rFonts w:hint="eastAsia"/>
        </w:rPr>
        <w:t>3.1工程量清单：详见后缀名为“.招标文件”的电子招标文件。</w:t>
      </w:r>
    </w:p>
    <w:p w14:paraId="2B352371">
      <w:pPr>
        <w:pStyle w:val="8"/>
        <w:tabs>
          <w:tab w:val="left" w:pos="574"/>
        </w:tabs>
        <w:adjustRightInd w:val="0"/>
        <w:spacing w:after="0" w:line="380" w:lineRule="exact"/>
        <w:ind w:firstLine="420" w:firstLineChars="200"/>
        <w:jc w:val="left"/>
      </w:pPr>
      <w:r>
        <w:rPr>
          <w:rFonts w:hint="eastAsia"/>
        </w:rPr>
        <w:t>3.2工程量</w:t>
      </w:r>
      <w:r>
        <w:t>清单编制说明</w:t>
      </w:r>
    </w:p>
    <w:p w14:paraId="2C7A64EE">
      <w:pPr>
        <w:pStyle w:val="8"/>
        <w:tabs>
          <w:tab w:val="left" w:pos="574"/>
        </w:tabs>
        <w:adjustRightInd w:val="0"/>
        <w:spacing w:after="0" w:line="380" w:lineRule="exact"/>
        <w:ind w:firstLine="420" w:firstLineChars="200"/>
        <w:jc w:val="left"/>
      </w:pPr>
    </w:p>
    <w:p w14:paraId="331AD305">
      <w:pPr>
        <w:pStyle w:val="8"/>
        <w:tabs>
          <w:tab w:val="left" w:pos="574"/>
        </w:tabs>
        <w:adjustRightInd w:val="0"/>
        <w:spacing w:after="0" w:line="380" w:lineRule="exact"/>
        <w:ind w:firstLine="420" w:firstLineChars="200"/>
        <w:jc w:val="left"/>
      </w:pPr>
    </w:p>
    <w:p w14:paraId="71451C78">
      <w:pPr>
        <w:pStyle w:val="8"/>
        <w:tabs>
          <w:tab w:val="left" w:pos="574"/>
        </w:tabs>
        <w:adjustRightInd w:val="0"/>
        <w:spacing w:after="0" w:line="380" w:lineRule="exact"/>
        <w:ind w:firstLine="420" w:firstLineChars="200"/>
        <w:jc w:val="left"/>
      </w:pPr>
    </w:p>
    <w:p w14:paraId="68C702D9">
      <w:pPr>
        <w:pStyle w:val="8"/>
        <w:tabs>
          <w:tab w:val="left" w:pos="574"/>
        </w:tabs>
        <w:adjustRightInd w:val="0"/>
        <w:spacing w:after="0" w:line="380" w:lineRule="exact"/>
        <w:ind w:firstLine="420" w:firstLineChars="200"/>
        <w:jc w:val="left"/>
      </w:pPr>
    </w:p>
    <w:p w14:paraId="09599522">
      <w:pPr>
        <w:pStyle w:val="8"/>
        <w:tabs>
          <w:tab w:val="left" w:pos="574"/>
        </w:tabs>
        <w:adjustRightInd w:val="0"/>
        <w:spacing w:after="0" w:line="380" w:lineRule="exact"/>
        <w:ind w:firstLine="420" w:firstLineChars="200"/>
        <w:jc w:val="left"/>
      </w:pPr>
    </w:p>
    <w:p w14:paraId="24B1665F">
      <w:pPr>
        <w:pStyle w:val="8"/>
        <w:tabs>
          <w:tab w:val="left" w:pos="574"/>
        </w:tabs>
        <w:adjustRightInd w:val="0"/>
        <w:spacing w:after="0" w:line="380" w:lineRule="exact"/>
        <w:ind w:firstLine="420" w:firstLineChars="200"/>
        <w:jc w:val="left"/>
      </w:pPr>
    </w:p>
    <w:p w14:paraId="0DAF4DEE">
      <w:pPr>
        <w:pStyle w:val="8"/>
        <w:tabs>
          <w:tab w:val="left" w:pos="574"/>
        </w:tabs>
        <w:adjustRightInd w:val="0"/>
        <w:spacing w:after="0" w:line="380" w:lineRule="exact"/>
        <w:ind w:firstLine="420" w:firstLineChars="200"/>
        <w:jc w:val="left"/>
      </w:pPr>
    </w:p>
    <w:p w14:paraId="281EBA71">
      <w:pPr>
        <w:pStyle w:val="8"/>
        <w:tabs>
          <w:tab w:val="left" w:pos="574"/>
        </w:tabs>
        <w:adjustRightInd w:val="0"/>
        <w:spacing w:after="0" w:line="380" w:lineRule="exact"/>
        <w:ind w:firstLine="420" w:firstLineChars="200"/>
        <w:jc w:val="left"/>
      </w:pPr>
    </w:p>
    <w:p w14:paraId="34DFA6F4">
      <w:pPr>
        <w:pStyle w:val="8"/>
        <w:tabs>
          <w:tab w:val="left" w:pos="574"/>
        </w:tabs>
        <w:adjustRightInd w:val="0"/>
        <w:spacing w:after="0" w:line="380" w:lineRule="exact"/>
        <w:ind w:firstLine="420" w:firstLineChars="200"/>
        <w:jc w:val="left"/>
      </w:pPr>
    </w:p>
    <w:p w14:paraId="3E854C08">
      <w:pPr>
        <w:pStyle w:val="8"/>
        <w:tabs>
          <w:tab w:val="left" w:pos="574"/>
        </w:tabs>
        <w:adjustRightInd w:val="0"/>
        <w:spacing w:after="0" w:line="380" w:lineRule="exact"/>
        <w:jc w:val="left"/>
        <w:rPr>
          <w:rFonts w:hint="eastAsia" w:ascii="新宋体" w:hAnsi="新宋体" w:eastAsia="新宋体"/>
          <w:b/>
          <w:kern w:val="0"/>
          <w:sz w:val="32"/>
          <w:szCs w:val="32"/>
        </w:rPr>
      </w:pPr>
    </w:p>
    <w:p w14:paraId="4D610A30">
      <w:pPr>
        <w:pStyle w:val="12"/>
        <w:spacing w:line="360" w:lineRule="auto"/>
        <w:jc w:val="center"/>
        <w:rPr>
          <w:rFonts w:hint="eastAsia" w:ascii="新宋体" w:hAnsi="新宋体" w:eastAsia="新宋体"/>
          <w:b/>
          <w:color w:val="auto"/>
          <w:kern w:val="0"/>
          <w:sz w:val="32"/>
          <w:szCs w:val="32"/>
          <w:highlight w:val="none"/>
          <w:lang w:eastAsia="zh-CN"/>
        </w:rPr>
      </w:pPr>
      <w:r>
        <w:rPr>
          <w:rFonts w:hint="eastAsia" w:ascii="新宋体" w:hAnsi="新宋体" w:eastAsia="新宋体"/>
          <w:b/>
          <w:color w:val="auto"/>
          <w:kern w:val="0"/>
          <w:sz w:val="32"/>
          <w:szCs w:val="32"/>
          <w:highlight w:val="none"/>
          <w:lang w:eastAsia="zh-CN"/>
        </w:rPr>
        <w:t>三门县失能失智敬老院项目</w:t>
      </w:r>
    </w:p>
    <w:p w14:paraId="1CCCBC80">
      <w:pPr>
        <w:pStyle w:val="12"/>
        <w:spacing w:line="360" w:lineRule="auto"/>
        <w:jc w:val="center"/>
        <w:rPr>
          <w:rFonts w:hint="eastAsia"/>
          <w:color w:val="auto"/>
          <w:highlight w:val="none"/>
        </w:rPr>
      </w:pPr>
      <w:r>
        <w:rPr>
          <w:rFonts w:hint="eastAsia" w:ascii="新宋体" w:hAnsi="新宋体" w:eastAsia="新宋体"/>
          <w:b/>
          <w:color w:val="auto"/>
          <w:kern w:val="0"/>
          <w:sz w:val="32"/>
          <w:szCs w:val="32"/>
          <w:highlight w:val="none"/>
        </w:rPr>
        <w:t>工程量清单编制说明</w:t>
      </w:r>
    </w:p>
    <w:p w14:paraId="38D6FB2A">
      <w:pPr>
        <w:spacing w:line="360" w:lineRule="auto"/>
        <w:ind w:firstLine="482" w:firstLineChars="200"/>
        <w:rPr>
          <w:rFonts w:hint="eastAsia" w:ascii="宋体" w:hAnsi="宋体" w:cs="仿宋"/>
          <w:b/>
          <w:kern w:val="28"/>
          <w:sz w:val="24"/>
          <w:lang w:val="zh-CN"/>
        </w:rPr>
      </w:pPr>
      <w:r>
        <w:rPr>
          <w:rFonts w:hint="eastAsia" w:ascii="宋体" w:hAnsi="宋体" w:cs="仿宋"/>
          <w:b/>
          <w:kern w:val="28"/>
          <w:sz w:val="24"/>
          <w:lang w:val="zh-CN"/>
        </w:rPr>
        <w:t>一、基本情况：</w:t>
      </w:r>
    </w:p>
    <w:p w14:paraId="603E6DA4">
      <w:pPr>
        <w:tabs>
          <w:tab w:val="left" w:pos="3060"/>
          <w:tab w:val="left" w:pos="9180"/>
          <w:tab w:val="left" w:pos="9360"/>
        </w:tabs>
        <w:spacing w:line="360" w:lineRule="auto"/>
        <w:ind w:right="-109" w:rightChars="-52" w:firstLine="480" w:firstLineChars="200"/>
        <w:rPr>
          <w:rFonts w:hint="eastAsia" w:ascii="宋体" w:hAnsi="宋体" w:cs="宋体"/>
          <w:sz w:val="24"/>
        </w:rPr>
      </w:pPr>
      <w:r>
        <w:rPr>
          <w:rFonts w:hint="eastAsia" w:ascii="宋体" w:hAnsi="宋体" w:cs="宋体"/>
          <w:sz w:val="24"/>
        </w:rPr>
        <w:t>本工程建设地点在 三门县亭旁镇，宁和路西侧 ，施工图由江苏宏源建筑设计有限公司设计。由地上、地下室组成，总建筑面积2996.88m2（其中地下建筑面积259.66m2，地上建筑面积2737.22m2）。内容包括：房屋建筑工程、安装工程、室外工程等工程。</w:t>
      </w:r>
    </w:p>
    <w:p w14:paraId="1F2335B4">
      <w:pPr>
        <w:tabs>
          <w:tab w:val="left" w:pos="3060"/>
          <w:tab w:val="left" w:pos="9180"/>
          <w:tab w:val="left" w:pos="9360"/>
        </w:tabs>
        <w:spacing w:line="360" w:lineRule="auto"/>
        <w:ind w:right="-109" w:rightChars="-52" w:firstLine="480" w:firstLineChars="200"/>
        <w:rPr>
          <w:rFonts w:ascii="宋体" w:hAnsi="宋体" w:cs="宋体"/>
          <w:sz w:val="24"/>
        </w:rPr>
      </w:pPr>
      <w:r>
        <w:rPr>
          <w:rFonts w:hint="eastAsia" w:ascii="宋体" w:hAnsi="宋体" w:cs="宋体"/>
          <w:sz w:val="24"/>
        </w:rPr>
        <w:t>本工程采用框架结构，外墙体采用蒸压加气混凝土砌块，内墙体砌筑内墙采用蒸压加气混凝土砌块；外墙面采用真石漆+铝板幕墙；地下室采用筏板基础，桩基工程采用钻孔灌注桩。</w:t>
      </w:r>
    </w:p>
    <w:p w14:paraId="0DBDCD7A">
      <w:pPr>
        <w:spacing w:line="360" w:lineRule="auto"/>
        <w:ind w:firstLine="482" w:firstLineChars="200"/>
        <w:rPr>
          <w:rFonts w:hint="eastAsia" w:ascii="宋体" w:hAnsi="宋体" w:cs="仿宋"/>
          <w:b/>
          <w:kern w:val="28"/>
          <w:sz w:val="24"/>
          <w:lang w:val="zh-CN"/>
        </w:rPr>
      </w:pPr>
      <w:r>
        <w:rPr>
          <w:rFonts w:hint="eastAsia" w:ascii="宋体" w:hAnsi="宋体" w:cs="仿宋"/>
          <w:b/>
          <w:kern w:val="28"/>
          <w:sz w:val="24"/>
          <w:lang w:val="zh-CN"/>
        </w:rPr>
        <w:t>二</w:t>
      </w:r>
      <w:r>
        <w:rPr>
          <w:rFonts w:ascii="宋体" w:hAnsi="宋体" w:cs="仿宋"/>
          <w:b/>
          <w:kern w:val="28"/>
          <w:sz w:val="24"/>
          <w:lang w:val="zh-CN"/>
        </w:rPr>
        <w:t>、</w:t>
      </w:r>
      <w:r>
        <w:rPr>
          <w:rFonts w:hint="eastAsia" w:ascii="宋体" w:hAnsi="宋体" w:cs="仿宋"/>
          <w:b/>
          <w:kern w:val="28"/>
          <w:sz w:val="24"/>
          <w:lang w:val="zh-CN"/>
        </w:rPr>
        <w:t>编制依据</w:t>
      </w:r>
    </w:p>
    <w:p w14:paraId="7BF2FB39">
      <w:pPr>
        <w:tabs>
          <w:tab w:val="left" w:pos="3060"/>
          <w:tab w:val="left" w:pos="9180"/>
          <w:tab w:val="left" w:pos="9360"/>
        </w:tabs>
        <w:spacing w:line="360" w:lineRule="auto"/>
        <w:ind w:right="-109" w:rightChars="-52" w:firstLine="480" w:firstLineChars="200"/>
        <w:rPr>
          <w:rFonts w:hint="eastAsia" w:ascii="宋体" w:hAnsi="宋体" w:cs="宋体"/>
          <w:kern w:val="0"/>
          <w:sz w:val="24"/>
        </w:rPr>
      </w:pPr>
      <w:r>
        <w:rPr>
          <w:rFonts w:hint="eastAsia" w:ascii="宋体" w:hAnsi="宋体" w:cs="宋体"/>
          <w:sz w:val="24"/>
        </w:rPr>
        <w:t>1、</w:t>
      </w:r>
      <w:r>
        <w:rPr>
          <w:rFonts w:hint="eastAsia" w:ascii="宋体" w:hAnsi="宋体" w:cs="宋体"/>
          <w:kern w:val="0"/>
          <w:sz w:val="24"/>
        </w:rPr>
        <w:t>建设单位提供的江苏宏源建筑设计有限公司设计的施工图纸电子文档(2024.12.19提供的版本)；</w:t>
      </w:r>
    </w:p>
    <w:p w14:paraId="4BD2EC8F">
      <w:pPr>
        <w:tabs>
          <w:tab w:val="left" w:pos="3060"/>
          <w:tab w:val="left" w:pos="9180"/>
          <w:tab w:val="left" w:pos="9360"/>
        </w:tabs>
        <w:spacing w:line="360" w:lineRule="auto"/>
        <w:ind w:right="-109" w:rightChars="-52" w:firstLine="480" w:firstLineChars="200"/>
        <w:rPr>
          <w:rFonts w:hint="eastAsia" w:ascii="宋体" w:hAnsi="宋体" w:cs="宋体"/>
          <w:kern w:val="0"/>
          <w:sz w:val="24"/>
        </w:rPr>
      </w:pPr>
      <w:r>
        <w:rPr>
          <w:rFonts w:hint="eastAsia" w:ascii="宋体" w:hAnsi="宋体" w:cs="宋体"/>
          <w:kern w:val="0"/>
          <w:sz w:val="24"/>
        </w:rPr>
        <w:t>2、建设单位提供的由岩土科技股份有限公司勘察的岩土工程勘察报告及由浙江南联土木工程科技有限公司提供的基坑围护的施工图；</w:t>
      </w:r>
    </w:p>
    <w:p w14:paraId="4FCD929C">
      <w:pPr>
        <w:tabs>
          <w:tab w:val="left" w:pos="3060"/>
          <w:tab w:val="left" w:pos="9180"/>
          <w:tab w:val="left" w:pos="9360"/>
        </w:tabs>
        <w:spacing w:line="360" w:lineRule="auto"/>
        <w:ind w:right="-109" w:rightChars="-52" w:firstLine="480" w:firstLineChars="200"/>
        <w:rPr>
          <w:rFonts w:hint="eastAsia" w:ascii="宋体" w:hAnsi="宋体" w:cs="宋体"/>
          <w:kern w:val="0"/>
          <w:sz w:val="24"/>
        </w:rPr>
      </w:pPr>
      <w:r>
        <w:rPr>
          <w:rFonts w:hint="eastAsia" w:ascii="宋体" w:hAnsi="宋体" w:cs="宋体"/>
          <w:kern w:val="0"/>
          <w:sz w:val="24"/>
        </w:rPr>
        <w:t>3、《建设工程工程量清单计价规范》（GB 50500－2013），《房屋建筑与装饰工程工程量计算规范》（GB 50854－2013）、《市政工程工程量计算规范》（GB 50857－2013）、《通用安装工程工程量计算规范》（GB 50856－2013）、《园林绿化工程工程量计算规范》（GB 50858－2013），建设工程工程量计算规范（2013）浙江省补充规定等。</w:t>
      </w:r>
    </w:p>
    <w:p w14:paraId="6678D7E9">
      <w:pPr>
        <w:tabs>
          <w:tab w:val="left" w:pos="3060"/>
          <w:tab w:val="left" w:pos="9180"/>
          <w:tab w:val="left" w:pos="9360"/>
        </w:tabs>
        <w:spacing w:line="360" w:lineRule="auto"/>
        <w:ind w:right="-109" w:rightChars="-52" w:firstLine="480" w:firstLineChars="200"/>
        <w:rPr>
          <w:rFonts w:hint="eastAsia" w:ascii="宋体" w:hAnsi="宋体" w:cs="宋体"/>
          <w:kern w:val="0"/>
          <w:sz w:val="24"/>
        </w:rPr>
      </w:pPr>
      <w:r>
        <w:rPr>
          <w:rFonts w:ascii="宋体" w:hAnsi="宋体" w:cs="宋体"/>
          <w:kern w:val="0"/>
          <w:sz w:val="24"/>
        </w:rPr>
        <w:t>4</w:t>
      </w:r>
      <w:r>
        <w:rPr>
          <w:rFonts w:hint="eastAsia" w:ascii="宋体" w:hAnsi="宋体" w:cs="宋体"/>
          <w:kern w:val="0"/>
          <w:sz w:val="24"/>
        </w:rPr>
        <w:t>、《浙江省建设工程计价规则》（2018版）,浙建建发[2019]92号通知,《浙江省房屋建筑与装饰工程预算定额》（2018版）、《浙江省市政工程预算定额》（2018版）、《浙江省通用安装工程预算定额》（2018版）、《浙江省园林绿化及仿古建筑工程预算定额》（2018版），工程所在地现行的有关工程造价方面规定。</w:t>
      </w:r>
    </w:p>
    <w:p w14:paraId="10E58549">
      <w:pPr>
        <w:spacing w:line="360" w:lineRule="auto"/>
        <w:ind w:firstLine="482" w:firstLineChars="200"/>
        <w:rPr>
          <w:rFonts w:hint="eastAsia" w:ascii="宋体" w:hAnsi="宋体" w:cs="仿宋"/>
          <w:b/>
          <w:kern w:val="28"/>
          <w:sz w:val="24"/>
          <w:lang w:val="zh-CN"/>
        </w:rPr>
      </w:pPr>
      <w:r>
        <w:rPr>
          <w:rFonts w:hint="eastAsia" w:ascii="宋体" w:hAnsi="宋体" w:cs="仿宋"/>
          <w:b/>
          <w:kern w:val="28"/>
          <w:sz w:val="24"/>
          <w:lang w:val="zh-CN"/>
        </w:rPr>
        <w:t>三、</w:t>
      </w:r>
      <w:r>
        <w:rPr>
          <w:rFonts w:ascii="宋体" w:hAnsi="宋体" w:cs="仿宋"/>
          <w:b/>
          <w:kern w:val="28"/>
          <w:sz w:val="24"/>
          <w:lang w:val="zh-CN"/>
        </w:rPr>
        <w:t>编制原则：</w:t>
      </w:r>
    </w:p>
    <w:p w14:paraId="7FF905A7">
      <w:pPr>
        <w:tabs>
          <w:tab w:val="left" w:pos="3060"/>
          <w:tab w:val="left" w:pos="9180"/>
          <w:tab w:val="left" w:pos="9360"/>
        </w:tabs>
        <w:spacing w:line="360" w:lineRule="auto"/>
        <w:ind w:right="-109" w:rightChars="-52" w:firstLine="480" w:firstLineChars="200"/>
        <w:rPr>
          <w:rFonts w:hint="eastAsia" w:ascii="宋体" w:hAnsi="宋体" w:cs="宋体"/>
          <w:kern w:val="0"/>
          <w:sz w:val="24"/>
        </w:rPr>
      </w:pPr>
      <w:r>
        <w:rPr>
          <w:rFonts w:hint="eastAsia" w:ascii="宋体" w:hAnsi="宋体" w:cs="宋体"/>
          <w:kern w:val="0"/>
          <w:sz w:val="24"/>
        </w:rPr>
        <w:t>1、计价方式：采用国标清单计价，增值税为一般计税法。</w:t>
      </w:r>
    </w:p>
    <w:p w14:paraId="04515CA3">
      <w:pPr>
        <w:tabs>
          <w:tab w:val="left" w:pos="3060"/>
          <w:tab w:val="left" w:pos="9180"/>
          <w:tab w:val="left" w:pos="9360"/>
        </w:tabs>
        <w:spacing w:line="360" w:lineRule="auto"/>
        <w:ind w:right="359" w:rightChars="171" w:firstLine="480" w:firstLineChars="200"/>
        <w:rPr>
          <w:rFonts w:hint="eastAsia" w:ascii="宋体" w:hAnsi="宋体"/>
          <w:kern w:val="28"/>
          <w:sz w:val="24"/>
        </w:rPr>
      </w:pPr>
      <w:r>
        <w:rPr>
          <w:rFonts w:ascii="宋体" w:hAnsi="宋体"/>
          <w:kern w:val="28"/>
          <w:sz w:val="24"/>
        </w:rPr>
        <w:t>2</w:t>
      </w:r>
      <w:r>
        <w:rPr>
          <w:rFonts w:hint="eastAsia" w:ascii="宋体" w:hAnsi="宋体"/>
          <w:kern w:val="28"/>
          <w:sz w:val="24"/>
        </w:rPr>
        <w:t>、工程量：根据建设单位提供的施工图纸计算；</w:t>
      </w:r>
    </w:p>
    <w:p w14:paraId="08435C30">
      <w:pPr>
        <w:tabs>
          <w:tab w:val="left" w:pos="3060"/>
          <w:tab w:val="left" w:pos="9180"/>
          <w:tab w:val="left" w:pos="9360"/>
        </w:tabs>
        <w:spacing w:line="360" w:lineRule="auto"/>
        <w:ind w:right="-109" w:rightChars="-52" w:firstLine="480" w:firstLineChars="200"/>
        <w:rPr>
          <w:rFonts w:hint="eastAsia" w:ascii="宋体" w:hAnsi="宋体"/>
          <w:sz w:val="24"/>
        </w:rPr>
      </w:pPr>
      <w:r>
        <w:rPr>
          <w:rFonts w:ascii="宋体" w:hAnsi="宋体"/>
          <w:kern w:val="28"/>
          <w:sz w:val="24"/>
        </w:rPr>
        <w:t>3</w:t>
      </w:r>
      <w:r>
        <w:rPr>
          <w:rFonts w:hint="eastAsia" w:ascii="宋体" w:hAnsi="宋体"/>
          <w:kern w:val="28"/>
          <w:sz w:val="24"/>
        </w:rPr>
        <w:t>、</w:t>
      </w:r>
      <w:r>
        <w:rPr>
          <w:rFonts w:hint="eastAsia" w:ascii="宋体" w:hAnsi="宋体"/>
          <w:sz w:val="24"/>
        </w:rPr>
        <w:t>取费标准：取费费率按相应工程中值取费，不计缩短工期增加费，本预算税金按一般计税方法计取税金，增值税税率为9%。</w:t>
      </w:r>
    </w:p>
    <w:p w14:paraId="2E7FF3F3">
      <w:pPr>
        <w:tabs>
          <w:tab w:val="left" w:pos="3060"/>
          <w:tab w:val="left" w:pos="9180"/>
          <w:tab w:val="left" w:pos="9360"/>
        </w:tabs>
        <w:spacing w:line="360" w:lineRule="auto"/>
        <w:ind w:right="-109" w:rightChars="-52" w:firstLine="480" w:firstLineChars="200"/>
        <w:rPr>
          <w:rFonts w:hint="eastAsia" w:ascii="宋体" w:hAnsi="宋体"/>
          <w:sz w:val="24"/>
        </w:rPr>
      </w:pPr>
      <w:r>
        <w:rPr>
          <w:rFonts w:ascii="宋体" w:hAnsi="宋体"/>
          <w:kern w:val="28"/>
          <w:sz w:val="24"/>
        </w:rPr>
        <w:t>4</w:t>
      </w:r>
      <w:r>
        <w:rPr>
          <w:rFonts w:hint="eastAsia" w:ascii="宋体" w:hAnsi="宋体"/>
          <w:kern w:val="28"/>
          <w:sz w:val="24"/>
        </w:rPr>
        <w:t>、</w:t>
      </w:r>
      <w:r>
        <w:rPr>
          <w:rFonts w:hint="eastAsia" w:ascii="宋体" w:hAnsi="宋体"/>
          <w:sz w:val="24"/>
        </w:rPr>
        <w:t>人工、材料信息价根据《台州造价》、《浙江造价信息》2025年04月份三门价计算。</w:t>
      </w:r>
    </w:p>
    <w:p w14:paraId="53B6490B">
      <w:pPr>
        <w:autoSpaceDE w:val="0"/>
        <w:autoSpaceDN w:val="0"/>
        <w:adjustRightInd w:val="0"/>
        <w:spacing w:line="360" w:lineRule="auto"/>
        <w:ind w:firstLine="482" w:firstLineChars="200"/>
        <w:rPr>
          <w:rFonts w:hint="eastAsia" w:ascii="宋体" w:hAnsi="宋体" w:cs="仿宋"/>
          <w:b/>
          <w:sz w:val="24"/>
        </w:rPr>
      </w:pPr>
      <w:r>
        <w:rPr>
          <w:rFonts w:hint="eastAsia" w:ascii="宋体" w:hAnsi="宋体" w:cs="仿宋"/>
          <w:b/>
          <w:sz w:val="24"/>
        </w:rPr>
        <w:t>四、工程质量、材料、施工等的要求</w:t>
      </w:r>
    </w:p>
    <w:p w14:paraId="6BBA2DB4">
      <w:pPr>
        <w:numPr>
          <w:ilvl w:val="0"/>
          <w:numId w:val="10"/>
        </w:numPr>
        <w:autoSpaceDE w:val="0"/>
        <w:autoSpaceDN w:val="0"/>
        <w:adjustRightInd w:val="0"/>
        <w:spacing w:line="360" w:lineRule="auto"/>
        <w:ind w:firstLine="480" w:firstLineChars="200"/>
        <w:rPr>
          <w:rFonts w:hint="eastAsia" w:ascii="宋体" w:hAnsi="宋体" w:cs="仿宋"/>
          <w:sz w:val="24"/>
        </w:rPr>
      </w:pPr>
      <w:r>
        <w:rPr>
          <w:rFonts w:hint="eastAsia" w:ascii="宋体" w:hAnsi="宋体" w:cs="仿宋"/>
          <w:sz w:val="24"/>
        </w:rPr>
        <w:t>工程质量、工期详招标文件。</w:t>
      </w:r>
    </w:p>
    <w:p w14:paraId="3B5D6228">
      <w:pPr>
        <w:numPr>
          <w:ilvl w:val="0"/>
          <w:numId w:val="10"/>
        </w:numPr>
        <w:autoSpaceDE w:val="0"/>
        <w:autoSpaceDN w:val="0"/>
        <w:adjustRightInd w:val="0"/>
        <w:spacing w:line="360" w:lineRule="auto"/>
        <w:ind w:firstLine="480" w:firstLineChars="200"/>
        <w:rPr>
          <w:rFonts w:hint="eastAsia" w:ascii="宋体" w:hAnsi="宋体" w:cs="仿宋"/>
          <w:sz w:val="24"/>
        </w:rPr>
      </w:pPr>
      <w:r>
        <w:rPr>
          <w:rFonts w:hint="eastAsia" w:ascii="宋体" w:hAnsi="宋体" w:cs="仿宋"/>
          <w:sz w:val="24"/>
        </w:rPr>
        <w:t>土建、安装材料品牌详招标文件。</w:t>
      </w:r>
    </w:p>
    <w:p w14:paraId="14FA9813">
      <w:pPr>
        <w:spacing w:line="360" w:lineRule="auto"/>
        <w:ind w:firstLine="482" w:firstLineChars="200"/>
        <w:rPr>
          <w:rFonts w:hint="eastAsia" w:ascii="宋体" w:hAnsi="宋体" w:cs="仿宋"/>
          <w:b/>
          <w:sz w:val="24"/>
        </w:rPr>
      </w:pPr>
      <w:r>
        <w:rPr>
          <w:rFonts w:hint="eastAsia" w:ascii="宋体" w:hAnsi="宋体" w:cs="仿宋"/>
          <w:b/>
          <w:sz w:val="24"/>
        </w:rPr>
        <w:t>五、有关事项说明</w:t>
      </w:r>
    </w:p>
    <w:p w14:paraId="2BE11BA2">
      <w:pPr>
        <w:tabs>
          <w:tab w:val="left" w:pos="3060"/>
          <w:tab w:val="left" w:pos="9180"/>
          <w:tab w:val="left" w:pos="9360"/>
        </w:tabs>
        <w:spacing w:line="360" w:lineRule="auto"/>
        <w:ind w:right="-109" w:rightChars="-52" w:firstLine="480" w:firstLineChars="200"/>
        <w:rPr>
          <w:rFonts w:hint="eastAsia" w:ascii="宋体" w:hAnsi="宋体" w:cs="宋体"/>
          <w:kern w:val="0"/>
          <w:sz w:val="24"/>
          <w:highlight w:val="none"/>
        </w:rPr>
      </w:pPr>
      <w:r>
        <w:rPr>
          <w:rFonts w:hint="eastAsia" w:ascii="宋体" w:hAnsi="宋体" w:cs="宋体"/>
          <w:kern w:val="0"/>
          <w:sz w:val="24"/>
          <w:highlight w:val="none"/>
        </w:rPr>
        <w:t>（一）、土建工程</w:t>
      </w:r>
    </w:p>
    <w:p w14:paraId="6471347D">
      <w:pPr>
        <w:tabs>
          <w:tab w:val="left" w:pos="3060"/>
          <w:tab w:val="left" w:pos="9180"/>
          <w:tab w:val="left" w:pos="9360"/>
        </w:tabs>
        <w:spacing w:line="360" w:lineRule="auto"/>
        <w:ind w:right="-109" w:rightChars="-52" w:firstLine="480" w:firstLineChars="200"/>
        <w:rPr>
          <w:rFonts w:hint="eastAsia" w:ascii="宋体" w:hAnsi="宋体" w:cs="宋体"/>
          <w:kern w:val="0"/>
          <w:sz w:val="24"/>
          <w:highlight w:val="none"/>
        </w:rPr>
      </w:pPr>
      <w:r>
        <w:rPr>
          <w:rFonts w:hint="eastAsia" w:ascii="宋体" w:hAnsi="宋体" w:cs="宋体"/>
          <w:kern w:val="0"/>
          <w:sz w:val="24"/>
          <w:highlight w:val="none"/>
        </w:rPr>
        <w:t>1、土方及泥浆外运按5公里计算，</w:t>
      </w:r>
      <w:r>
        <w:rPr>
          <w:rFonts w:ascii="宋体" w:hAnsi="宋体" w:cs="宋体"/>
          <w:kern w:val="0"/>
          <w:sz w:val="24"/>
          <w:highlight w:val="none"/>
        </w:rPr>
        <w:t>弃方场地</w:t>
      </w:r>
      <w:r>
        <w:rPr>
          <w:rFonts w:hint="eastAsia" w:ascii="宋体" w:hAnsi="宋体" w:cs="宋体"/>
          <w:kern w:val="0"/>
          <w:sz w:val="24"/>
          <w:highlight w:val="none"/>
        </w:rPr>
        <w:t>由</w:t>
      </w:r>
      <w:r>
        <w:rPr>
          <w:rFonts w:ascii="宋体" w:hAnsi="宋体" w:cs="宋体"/>
          <w:kern w:val="0"/>
          <w:sz w:val="24"/>
          <w:highlight w:val="none"/>
        </w:rPr>
        <w:t>承包</w:t>
      </w:r>
      <w:r>
        <w:rPr>
          <w:rFonts w:hint="eastAsia" w:ascii="宋体" w:hAnsi="宋体" w:cs="宋体"/>
          <w:kern w:val="0"/>
          <w:sz w:val="24"/>
          <w:highlight w:val="none"/>
        </w:rPr>
        <w:t>人自己解决</w:t>
      </w:r>
      <w:r>
        <w:rPr>
          <w:rFonts w:ascii="宋体" w:hAnsi="宋体" w:cs="宋体"/>
          <w:kern w:val="0"/>
          <w:sz w:val="24"/>
          <w:highlight w:val="none"/>
        </w:rPr>
        <w:t>，不管运距是否</w:t>
      </w:r>
      <w:r>
        <w:rPr>
          <w:rFonts w:hint="eastAsia" w:ascii="宋体" w:hAnsi="宋体" w:cs="宋体"/>
          <w:kern w:val="0"/>
          <w:sz w:val="24"/>
          <w:highlight w:val="none"/>
        </w:rPr>
        <w:t>变化</w:t>
      </w:r>
      <w:r>
        <w:rPr>
          <w:rFonts w:ascii="宋体" w:hAnsi="宋体" w:cs="宋体"/>
          <w:kern w:val="0"/>
          <w:sz w:val="24"/>
          <w:highlight w:val="none"/>
        </w:rPr>
        <w:t>，结算不作调整</w:t>
      </w:r>
      <w:r>
        <w:rPr>
          <w:rFonts w:hint="eastAsia" w:ascii="宋体" w:hAnsi="宋体" w:cs="宋体"/>
          <w:kern w:val="0"/>
          <w:sz w:val="24"/>
          <w:highlight w:val="none"/>
        </w:rPr>
        <w:t>；泥浆</w:t>
      </w:r>
      <w:r>
        <w:rPr>
          <w:rFonts w:ascii="宋体" w:hAnsi="宋体" w:cs="宋体"/>
          <w:kern w:val="0"/>
          <w:sz w:val="24"/>
          <w:highlight w:val="none"/>
        </w:rPr>
        <w:t>处理费用包括在总价内</w:t>
      </w:r>
      <w:r>
        <w:rPr>
          <w:rFonts w:hint="eastAsia" w:ascii="宋体" w:hAnsi="宋体" w:cs="宋体"/>
          <w:kern w:val="0"/>
          <w:sz w:val="24"/>
          <w:highlight w:val="none"/>
        </w:rPr>
        <w:t>，</w:t>
      </w:r>
      <w:r>
        <w:rPr>
          <w:rFonts w:ascii="宋体" w:hAnsi="宋体" w:cs="宋体"/>
          <w:kern w:val="0"/>
          <w:sz w:val="24"/>
          <w:highlight w:val="none"/>
        </w:rPr>
        <w:t>不另行计算。</w:t>
      </w:r>
    </w:p>
    <w:p w14:paraId="6EBE8989">
      <w:pPr>
        <w:tabs>
          <w:tab w:val="left" w:pos="3060"/>
          <w:tab w:val="left" w:pos="9180"/>
          <w:tab w:val="left" w:pos="9360"/>
        </w:tabs>
        <w:spacing w:line="360" w:lineRule="auto"/>
        <w:ind w:right="-109" w:rightChars="-52" w:firstLine="480" w:firstLineChars="200"/>
        <w:rPr>
          <w:rFonts w:hint="eastAsia" w:ascii="宋体" w:hAnsi="宋体" w:cs="宋体"/>
          <w:kern w:val="0"/>
          <w:sz w:val="24"/>
          <w:highlight w:val="none"/>
        </w:rPr>
      </w:pPr>
      <w:r>
        <w:rPr>
          <w:rFonts w:hint="eastAsia" w:ascii="宋体" w:hAnsi="宋体" w:cs="宋体"/>
          <w:kern w:val="0"/>
          <w:sz w:val="24"/>
          <w:highlight w:val="none"/>
        </w:rPr>
        <w:t>2、根据设计回复，砂浆采用预拌砂浆，混凝土按商品混凝土计算，预拌</w:t>
      </w:r>
      <w:r>
        <w:rPr>
          <w:rFonts w:ascii="宋体" w:hAnsi="宋体" w:cs="宋体"/>
          <w:kern w:val="0"/>
          <w:sz w:val="24"/>
          <w:highlight w:val="none"/>
        </w:rPr>
        <w:t>砂浆及</w:t>
      </w:r>
      <w:r>
        <w:rPr>
          <w:rFonts w:hint="eastAsia" w:ascii="宋体" w:hAnsi="宋体" w:cs="宋体"/>
          <w:kern w:val="0"/>
          <w:sz w:val="24"/>
          <w:highlight w:val="none"/>
        </w:rPr>
        <w:t>商品混凝土运距按18公里计算，</w:t>
      </w:r>
      <w:r>
        <w:rPr>
          <w:rFonts w:ascii="宋体" w:hAnsi="宋体" w:cs="宋体"/>
          <w:kern w:val="0"/>
          <w:sz w:val="24"/>
          <w:highlight w:val="none"/>
        </w:rPr>
        <w:t>不管运距是否</w:t>
      </w:r>
      <w:r>
        <w:rPr>
          <w:rFonts w:hint="eastAsia" w:ascii="宋体" w:hAnsi="宋体" w:cs="宋体"/>
          <w:kern w:val="0"/>
          <w:sz w:val="24"/>
          <w:highlight w:val="none"/>
        </w:rPr>
        <w:t>变化</w:t>
      </w:r>
      <w:r>
        <w:rPr>
          <w:rFonts w:ascii="宋体" w:hAnsi="宋体" w:cs="宋体"/>
          <w:kern w:val="0"/>
          <w:sz w:val="24"/>
          <w:highlight w:val="none"/>
        </w:rPr>
        <w:t>，结算不作调整</w:t>
      </w:r>
      <w:r>
        <w:rPr>
          <w:rFonts w:hint="eastAsia" w:ascii="宋体" w:hAnsi="宋体" w:cs="宋体"/>
          <w:kern w:val="0"/>
          <w:sz w:val="24"/>
          <w:highlight w:val="none"/>
        </w:rPr>
        <w:t>；</w:t>
      </w:r>
    </w:p>
    <w:p w14:paraId="62824CFC">
      <w:pPr>
        <w:tabs>
          <w:tab w:val="left" w:pos="3060"/>
          <w:tab w:val="left" w:pos="9180"/>
          <w:tab w:val="left" w:pos="9360"/>
        </w:tabs>
        <w:spacing w:line="360" w:lineRule="auto"/>
        <w:ind w:right="-109" w:rightChars="-52" w:firstLine="480" w:firstLineChars="200"/>
        <w:rPr>
          <w:rFonts w:hint="eastAsia" w:ascii="宋体" w:hAnsi="宋体" w:cs="宋体"/>
          <w:kern w:val="0"/>
          <w:sz w:val="24"/>
          <w:highlight w:val="none"/>
        </w:rPr>
      </w:pPr>
      <w:r>
        <w:rPr>
          <w:rFonts w:hint="eastAsia" w:ascii="宋体" w:hAnsi="宋体" w:cs="宋体"/>
          <w:kern w:val="0"/>
          <w:sz w:val="24"/>
          <w:highlight w:val="none"/>
        </w:rPr>
        <w:t>3、模板执行工具式支撑架及模板补充定额，按盘扣式钢管模板支架计算；</w:t>
      </w:r>
    </w:p>
    <w:p w14:paraId="5E80F2A4">
      <w:pPr>
        <w:tabs>
          <w:tab w:val="left" w:pos="3060"/>
          <w:tab w:val="left" w:pos="9180"/>
          <w:tab w:val="left" w:pos="9360"/>
        </w:tabs>
        <w:spacing w:line="360" w:lineRule="auto"/>
        <w:ind w:right="-109" w:rightChars="-52" w:firstLine="480" w:firstLineChars="200"/>
        <w:rPr>
          <w:rFonts w:hint="eastAsia" w:ascii="宋体" w:hAnsi="宋体" w:cs="宋体"/>
          <w:kern w:val="0"/>
          <w:sz w:val="24"/>
          <w:highlight w:val="none"/>
        </w:rPr>
      </w:pPr>
      <w:r>
        <w:rPr>
          <w:rFonts w:hint="eastAsia" w:ascii="宋体" w:hAnsi="宋体" w:cs="宋体"/>
          <w:kern w:val="0"/>
          <w:sz w:val="24"/>
          <w:highlight w:val="none"/>
        </w:rPr>
        <w:t>4、地砖、墙砖、墙面涂料等材料规格按装饰图纸计算，基层做法建筑说明计算；</w:t>
      </w:r>
    </w:p>
    <w:p w14:paraId="12CA9EEC">
      <w:pPr>
        <w:tabs>
          <w:tab w:val="left" w:pos="3060"/>
          <w:tab w:val="left" w:pos="9180"/>
          <w:tab w:val="left" w:pos="9360"/>
        </w:tabs>
        <w:spacing w:line="360" w:lineRule="auto"/>
        <w:ind w:right="-109" w:rightChars="-52" w:firstLine="480" w:firstLineChars="200"/>
        <w:rPr>
          <w:rFonts w:hint="eastAsia" w:ascii="宋体" w:hAnsi="宋体" w:cs="宋体"/>
          <w:kern w:val="0"/>
          <w:sz w:val="24"/>
          <w:highlight w:val="none"/>
        </w:rPr>
      </w:pPr>
      <w:r>
        <w:rPr>
          <w:rFonts w:hint="eastAsia" w:ascii="宋体" w:hAnsi="宋体" w:cs="宋体"/>
          <w:kern w:val="0"/>
          <w:sz w:val="24"/>
          <w:highlight w:val="none"/>
        </w:rPr>
        <w:t>5、本工程大型机械按履带式挖掘机1台、履带式打桩机1台计算，以上大型机械设备进出场及安拆费编制按项包干结算；</w:t>
      </w:r>
    </w:p>
    <w:p w14:paraId="4BEF50BC">
      <w:pPr>
        <w:tabs>
          <w:tab w:val="left" w:pos="3060"/>
          <w:tab w:val="left" w:pos="9180"/>
          <w:tab w:val="left" w:pos="9360"/>
        </w:tabs>
        <w:spacing w:line="360" w:lineRule="auto"/>
        <w:ind w:right="-109" w:rightChars="-52" w:firstLine="480" w:firstLineChars="200"/>
        <w:rPr>
          <w:rFonts w:hint="eastAsia" w:ascii="宋体" w:hAnsi="宋体" w:cs="宋体"/>
          <w:kern w:val="0"/>
          <w:sz w:val="24"/>
          <w:highlight w:val="none"/>
        </w:rPr>
      </w:pPr>
      <w:r>
        <w:rPr>
          <w:rFonts w:hint="eastAsia" w:ascii="宋体" w:hAnsi="宋体" w:cs="宋体"/>
          <w:kern w:val="0"/>
          <w:sz w:val="24"/>
          <w:highlight w:val="none"/>
        </w:rPr>
        <w:t>6、根据设计回复，原窗下装饰框改做100厚蒸压加气混凝土砌块，对应外墙面改做铝板；</w:t>
      </w:r>
    </w:p>
    <w:p w14:paraId="21975515">
      <w:pPr>
        <w:tabs>
          <w:tab w:val="left" w:pos="3060"/>
          <w:tab w:val="left" w:pos="9180"/>
          <w:tab w:val="left" w:pos="9360"/>
        </w:tabs>
        <w:spacing w:line="360" w:lineRule="auto"/>
        <w:ind w:right="-109" w:rightChars="-52" w:firstLine="480" w:firstLineChars="200"/>
        <w:rPr>
          <w:rFonts w:ascii="宋体" w:hAnsi="宋体" w:cs="宋体"/>
          <w:kern w:val="0"/>
          <w:sz w:val="24"/>
          <w:highlight w:val="none"/>
        </w:rPr>
      </w:pPr>
      <w:r>
        <w:rPr>
          <w:rFonts w:hint="eastAsia" w:ascii="宋体" w:hAnsi="宋体" w:cs="宋体"/>
          <w:kern w:val="0"/>
          <w:sz w:val="24"/>
          <w:highlight w:val="none"/>
        </w:rPr>
        <w:t>7、根据设计回复，外窗遮阳由原朝南面遮阳改为全部外窗增设遮阳措施，原外窗遮阳卷帘改为中置百叶遮阳，外窗玻璃改为5高透Low-E+19空气+5透明（高性能暖边）；</w:t>
      </w:r>
    </w:p>
    <w:p w14:paraId="032CBF83">
      <w:pPr>
        <w:tabs>
          <w:tab w:val="left" w:pos="3060"/>
          <w:tab w:val="left" w:pos="9180"/>
          <w:tab w:val="left" w:pos="9360"/>
        </w:tabs>
        <w:spacing w:line="360" w:lineRule="auto"/>
        <w:ind w:right="-109" w:rightChars="-52" w:firstLine="480" w:firstLineChars="200"/>
        <w:rPr>
          <w:rFonts w:hint="eastAsia" w:ascii="宋体" w:hAnsi="宋体" w:cs="宋体"/>
          <w:kern w:val="0"/>
          <w:sz w:val="24"/>
          <w:highlight w:val="none"/>
        </w:rPr>
      </w:pPr>
      <w:r>
        <w:rPr>
          <w:rFonts w:hint="eastAsia" w:ascii="宋体" w:hAnsi="宋体" w:cs="宋体"/>
          <w:kern w:val="0"/>
          <w:sz w:val="24"/>
          <w:highlight w:val="none"/>
        </w:rPr>
        <w:t>8、需要厂家二次深化的，外墙铝板龙骨，铝板雨棚暂按1500元/㎡计算，钢结构雨棚暂按1500元/㎡计算，屋顶钢结构连廊暂按2000元/㎡计算，屋顶铝合金百叶护栏暂按800元/㎡计算，无障碍电梯兼担架电梯按250000元/项计算，列入专业工程</w:t>
      </w:r>
      <w:r>
        <w:rPr>
          <w:rFonts w:ascii="宋体" w:hAnsi="宋体" w:cs="宋体"/>
          <w:kern w:val="0"/>
          <w:sz w:val="24"/>
          <w:highlight w:val="none"/>
        </w:rPr>
        <w:t>暂估价</w:t>
      </w:r>
      <w:r>
        <w:rPr>
          <w:rFonts w:hint="eastAsia" w:ascii="宋体" w:hAnsi="宋体" w:cs="宋体"/>
          <w:kern w:val="0"/>
          <w:sz w:val="24"/>
          <w:highlight w:val="none"/>
        </w:rPr>
        <w:t>。</w:t>
      </w:r>
    </w:p>
    <w:p w14:paraId="516F1D6E">
      <w:pPr>
        <w:tabs>
          <w:tab w:val="left" w:pos="3060"/>
          <w:tab w:val="left" w:pos="9180"/>
          <w:tab w:val="left" w:pos="9360"/>
        </w:tabs>
        <w:spacing w:line="360" w:lineRule="auto"/>
        <w:ind w:right="-109" w:rightChars="-52" w:firstLine="480" w:firstLineChars="200"/>
        <w:rPr>
          <w:rFonts w:hint="eastAsia" w:ascii="宋体" w:hAnsi="宋体" w:cs="宋体"/>
          <w:kern w:val="0"/>
          <w:sz w:val="24"/>
          <w:highlight w:val="none"/>
        </w:rPr>
      </w:pPr>
      <w:r>
        <w:rPr>
          <w:rFonts w:hint="eastAsia" w:ascii="宋体" w:hAnsi="宋体" w:cs="宋体"/>
          <w:kern w:val="0"/>
          <w:sz w:val="24"/>
          <w:highlight w:val="none"/>
        </w:rPr>
        <w:t>（二）、安装部分</w:t>
      </w:r>
    </w:p>
    <w:p w14:paraId="5A4EC582">
      <w:pPr>
        <w:tabs>
          <w:tab w:val="left" w:pos="3060"/>
          <w:tab w:val="left" w:pos="9180"/>
          <w:tab w:val="left" w:pos="9360"/>
        </w:tabs>
        <w:spacing w:line="360" w:lineRule="auto"/>
        <w:ind w:right="-109" w:rightChars="-52" w:firstLine="480" w:firstLineChars="200"/>
        <w:rPr>
          <w:rFonts w:hint="eastAsia" w:ascii="宋体" w:hAnsi="宋体" w:cs="宋体"/>
          <w:kern w:val="0"/>
          <w:sz w:val="24"/>
        </w:rPr>
      </w:pPr>
      <w:r>
        <w:rPr>
          <w:rFonts w:hint="eastAsia" w:ascii="宋体" w:hAnsi="宋体" w:cs="宋体"/>
          <w:kern w:val="0"/>
          <w:sz w:val="24"/>
        </w:rPr>
        <w:t>1、配电箱APZA/APZB进线电源配管及电缆</w:t>
      </w:r>
      <w:bookmarkStart w:id="153" w:name="OLE_LINK1"/>
      <w:r>
        <w:rPr>
          <w:rFonts w:hint="eastAsia" w:ascii="宋体" w:hAnsi="宋体" w:cs="宋体"/>
          <w:kern w:val="0"/>
          <w:sz w:val="24"/>
        </w:rPr>
        <w:t>暂</w:t>
      </w:r>
      <w:bookmarkEnd w:id="153"/>
      <w:r>
        <w:rPr>
          <w:rFonts w:hint="eastAsia" w:ascii="宋体" w:hAnsi="宋体" w:cs="宋体"/>
          <w:kern w:val="0"/>
          <w:sz w:val="24"/>
        </w:rPr>
        <w:t>按40米计入；</w:t>
      </w:r>
    </w:p>
    <w:p w14:paraId="7452E930">
      <w:pPr>
        <w:tabs>
          <w:tab w:val="left" w:pos="3060"/>
          <w:tab w:val="left" w:pos="9180"/>
          <w:tab w:val="left" w:pos="9360"/>
        </w:tabs>
        <w:spacing w:line="360" w:lineRule="auto"/>
        <w:ind w:right="-109" w:rightChars="-52" w:firstLine="480" w:firstLineChars="200"/>
        <w:rPr>
          <w:rFonts w:hint="eastAsia" w:ascii="宋体" w:hAnsi="宋体" w:cs="宋体"/>
          <w:kern w:val="0"/>
          <w:sz w:val="24"/>
        </w:rPr>
      </w:pPr>
      <w:r>
        <w:rPr>
          <w:rFonts w:hint="eastAsia" w:ascii="宋体" w:hAnsi="宋体" w:cs="宋体"/>
          <w:kern w:val="0"/>
          <w:sz w:val="24"/>
        </w:rPr>
        <w:t>2、配电箱APEA/APEB进线电源配管及电缆暂按40米计入；</w:t>
      </w:r>
    </w:p>
    <w:p w14:paraId="3C7AB657">
      <w:pPr>
        <w:tabs>
          <w:tab w:val="left" w:pos="3060"/>
          <w:tab w:val="left" w:pos="9180"/>
          <w:tab w:val="left" w:pos="9360"/>
        </w:tabs>
        <w:spacing w:line="360" w:lineRule="auto"/>
        <w:ind w:right="-109" w:rightChars="-52" w:firstLine="480" w:firstLineChars="200"/>
        <w:rPr>
          <w:rFonts w:hint="eastAsia" w:ascii="宋体" w:hAnsi="宋体" w:cs="宋体"/>
          <w:kern w:val="0"/>
          <w:sz w:val="24"/>
        </w:rPr>
      </w:pPr>
      <w:r>
        <w:rPr>
          <w:rFonts w:hint="eastAsia" w:ascii="宋体" w:hAnsi="宋体" w:cs="宋体"/>
          <w:kern w:val="0"/>
          <w:sz w:val="24"/>
        </w:rPr>
        <w:t>3、厨房配电箱APCZ进线配管及电缆暂按40米计入；</w:t>
      </w:r>
    </w:p>
    <w:p w14:paraId="07C9A78A">
      <w:pPr>
        <w:tabs>
          <w:tab w:val="left" w:pos="3060"/>
          <w:tab w:val="left" w:pos="9180"/>
          <w:tab w:val="left" w:pos="9360"/>
        </w:tabs>
        <w:spacing w:line="360" w:lineRule="auto"/>
        <w:ind w:right="-109" w:rightChars="-52" w:firstLine="480" w:firstLineChars="200"/>
        <w:rPr>
          <w:rFonts w:hint="eastAsia" w:ascii="宋体" w:hAnsi="宋体" w:cs="宋体"/>
          <w:kern w:val="0"/>
          <w:sz w:val="24"/>
          <w:highlight w:val="none"/>
        </w:rPr>
      </w:pPr>
      <w:r>
        <w:rPr>
          <w:rFonts w:hint="eastAsia" w:ascii="宋体" w:hAnsi="宋体" w:cs="宋体"/>
          <w:kern w:val="0"/>
          <w:sz w:val="24"/>
          <w:highlight w:val="none"/>
        </w:rPr>
        <w:t>4、屋顶光伏系统由二次深化设计，本次预算未计入；</w:t>
      </w:r>
    </w:p>
    <w:p w14:paraId="7F3E2C5F">
      <w:pPr>
        <w:tabs>
          <w:tab w:val="left" w:pos="3060"/>
          <w:tab w:val="left" w:pos="9180"/>
          <w:tab w:val="left" w:pos="9360"/>
        </w:tabs>
        <w:spacing w:line="360" w:lineRule="auto"/>
        <w:ind w:right="-109" w:rightChars="-52" w:firstLine="480" w:firstLineChars="200"/>
        <w:rPr>
          <w:rFonts w:hint="eastAsia" w:ascii="宋体" w:hAnsi="宋体" w:cs="宋体"/>
          <w:kern w:val="0"/>
          <w:sz w:val="24"/>
        </w:rPr>
      </w:pPr>
      <w:r>
        <w:rPr>
          <w:rFonts w:hint="eastAsia" w:ascii="宋体" w:hAnsi="宋体" w:cs="宋体"/>
          <w:kern w:val="0"/>
          <w:sz w:val="24"/>
        </w:rPr>
        <w:t>5、厨房只计算了配电箱，设备及排烟管道由二次深化设计，本次预算未计入；</w:t>
      </w:r>
    </w:p>
    <w:p w14:paraId="4231F192">
      <w:pPr>
        <w:tabs>
          <w:tab w:val="left" w:pos="3060"/>
          <w:tab w:val="left" w:pos="9180"/>
          <w:tab w:val="left" w:pos="9360"/>
        </w:tabs>
        <w:spacing w:line="360" w:lineRule="auto"/>
        <w:ind w:right="-109" w:rightChars="-52" w:firstLine="480" w:firstLineChars="200"/>
        <w:rPr>
          <w:rFonts w:hint="eastAsia" w:ascii="宋体" w:hAnsi="宋体" w:cs="宋体"/>
          <w:kern w:val="0"/>
          <w:sz w:val="24"/>
        </w:rPr>
      </w:pPr>
      <w:r>
        <w:rPr>
          <w:rFonts w:hint="eastAsia" w:ascii="宋体" w:hAnsi="宋体" w:cs="宋体"/>
          <w:kern w:val="0"/>
          <w:sz w:val="24"/>
        </w:rPr>
        <w:t>6、排水、污水出户管算至室外污水井处；</w:t>
      </w:r>
    </w:p>
    <w:p w14:paraId="0B93F022">
      <w:pPr>
        <w:tabs>
          <w:tab w:val="left" w:pos="3060"/>
          <w:tab w:val="left" w:pos="9180"/>
          <w:tab w:val="left" w:pos="9360"/>
        </w:tabs>
        <w:spacing w:line="360" w:lineRule="auto"/>
        <w:ind w:right="-109" w:rightChars="-52" w:firstLine="480" w:firstLineChars="200"/>
        <w:rPr>
          <w:rFonts w:hint="eastAsia" w:ascii="宋体" w:hAnsi="宋体" w:cs="宋体"/>
          <w:kern w:val="0"/>
          <w:sz w:val="24"/>
        </w:rPr>
      </w:pPr>
      <w:r>
        <w:rPr>
          <w:rFonts w:hint="eastAsia" w:ascii="宋体" w:hAnsi="宋体" w:cs="宋体"/>
          <w:kern w:val="0"/>
          <w:sz w:val="24"/>
        </w:rPr>
        <w:t>7、室内给水管算至水表处；</w:t>
      </w:r>
    </w:p>
    <w:p w14:paraId="45E79B48">
      <w:pPr>
        <w:rPr>
          <w:rFonts w:hint="eastAsia" w:eastAsia="宋体"/>
          <w:lang w:eastAsia="zh-CN"/>
        </w:rPr>
      </w:pPr>
      <w:r>
        <w:rPr>
          <w:rFonts w:hint="eastAsia" w:eastAsia="宋体"/>
          <w:lang w:eastAsia="zh-CN"/>
        </w:rPr>
        <w:br w:type="page"/>
      </w:r>
    </w:p>
    <w:p w14:paraId="189FF220">
      <w:pPr>
        <w:pStyle w:val="9"/>
        <w:rPr>
          <w:rFonts w:hint="eastAsia"/>
          <w:lang w:eastAsia="zh-CN"/>
        </w:rPr>
      </w:pPr>
    </w:p>
    <w:p w14:paraId="6ED5B6E2">
      <w:pPr>
        <w:topLinePunct/>
        <w:spacing w:line="560" w:lineRule="exact"/>
        <w:jc w:val="center"/>
        <w:rPr>
          <w:rStyle w:val="34"/>
          <w:rFonts w:hint="eastAsia" w:eastAsia="黑体"/>
          <w:b w:val="0"/>
          <w:bCs w:val="0"/>
          <w:color w:val="FF0000"/>
        </w:rPr>
      </w:pPr>
    </w:p>
    <w:p w14:paraId="63CE39CE">
      <w:pPr>
        <w:topLinePunct/>
        <w:spacing w:line="440" w:lineRule="exact"/>
        <w:jc w:val="center"/>
        <w:rPr>
          <w:rStyle w:val="35"/>
        </w:rPr>
      </w:pPr>
    </w:p>
    <w:p w14:paraId="679AF371">
      <w:pPr>
        <w:topLinePunct/>
        <w:spacing w:line="440" w:lineRule="exact"/>
        <w:jc w:val="center"/>
        <w:rPr>
          <w:rStyle w:val="35"/>
        </w:rPr>
      </w:pPr>
    </w:p>
    <w:p w14:paraId="654B0524">
      <w:pPr>
        <w:topLinePunct/>
        <w:spacing w:line="440" w:lineRule="exact"/>
        <w:jc w:val="center"/>
        <w:rPr>
          <w:rStyle w:val="35"/>
        </w:rPr>
      </w:pPr>
    </w:p>
    <w:p w14:paraId="57BC7200">
      <w:pPr>
        <w:topLinePunct/>
        <w:spacing w:line="440" w:lineRule="exact"/>
        <w:jc w:val="center"/>
        <w:rPr>
          <w:rStyle w:val="35"/>
        </w:rPr>
      </w:pPr>
    </w:p>
    <w:p w14:paraId="46C70B8E">
      <w:pPr>
        <w:topLinePunct/>
        <w:spacing w:line="440" w:lineRule="exact"/>
        <w:jc w:val="center"/>
        <w:rPr>
          <w:rStyle w:val="35"/>
        </w:rPr>
      </w:pPr>
    </w:p>
    <w:p w14:paraId="357CB871">
      <w:pPr>
        <w:topLinePunct/>
        <w:spacing w:line="440" w:lineRule="exact"/>
        <w:jc w:val="center"/>
        <w:rPr>
          <w:rFonts w:hint="eastAsia" w:eastAsia="黑体"/>
          <w:b/>
          <w:bCs/>
          <w:sz w:val="32"/>
        </w:rPr>
      </w:pPr>
      <w:r>
        <w:rPr>
          <w:rStyle w:val="35"/>
        </w:rPr>
        <w:t>第六章  图  纸</w:t>
      </w:r>
    </w:p>
    <w:p w14:paraId="3EFDFF5A">
      <w:pPr>
        <w:topLinePunct/>
        <w:spacing w:line="440" w:lineRule="exact"/>
        <w:jc w:val="center"/>
        <w:rPr>
          <w:rFonts w:hint="eastAsia" w:eastAsia="黑体"/>
          <w:b/>
          <w:bCs/>
          <w:sz w:val="32"/>
        </w:rPr>
      </w:pPr>
    </w:p>
    <w:p w14:paraId="4E31BA3B">
      <w:pPr>
        <w:spacing w:line="440" w:lineRule="exact"/>
        <w:jc w:val="center"/>
        <w:rPr>
          <w:sz w:val="28"/>
          <w:szCs w:val="28"/>
        </w:rPr>
      </w:pPr>
      <w:r>
        <w:rPr>
          <w:sz w:val="28"/>
          <w:szCs w:val="28"/>
        </w:rPr>
        <w:t>详见</w:t>
      </w:r>
      <w:r>
        <w:rPr>
          <w:rFonts w:hint="eastAsia"/>
          <w:sz w:val="28"/>
          <w:szCs w:val="28"/>
        </w:rPr>
        <w:t>三门县公共资源交易中心网站</w:t>
      </w:r>
      <w:r>
        <w:rPr>
          <w:sz w:val="28"/>
          <w:szCs w:val="28"/>
        </w:rPr>
        <w:t>施工图纸</w:t>
      </w:r>
    </w:p>
    <w:p w14:paraId="195D587D">
      <w:pPr>
        <w:spacing w:line="440" w:lineRule="exact"/>
        <w:jc w:val="center"/>
        <w:rPr>
          <w:sz w:val="28"/>
          <w:szCs w:val="28"/>
        </w:rPr>
      </w:pPr>
      <w:r>
        <w:rPr>
          <w:sz w:val="28"/>
          <w:szCs w:val="28"/>
        </w:rPr>
        <w:t>（http://www.sanmen.gov.cn/col/col1229610743/index.html）</w:t>
      </w:r>
    </w:p>
    <w:p w14:paraId="5DF7AB0B">
      <w:pPr>
        <w:spacing w:line="440" w:lineRule="exact"/>
        <w:jc w:val="center"/>
      </w:pPr>
    </w:p>
    <w:p w14:paraId="0ECD8A27">
      <w:pPr>
        <w:spacing w:line="440" w:lineRule="exact"/>
        <w:jc w:val="center"/>
      </w:pPr>
    </w:p>
    <w:p w14:paraId="0A4AF60B">
      <w:pPr>
        <w:spacing w:line="440" w:lineRule="exact"/>
        <w:jc w:val="center"/>
      </w:pPr>
    </w:p>
    <w:p w14:paraId="5A77009D">
      <w:pPr>
        <w:spacing w:line="440" w:lineRule="exact"/>
        <w:jc w:val="center"/>
      </w:pPr>
    </w:p>
    <w:p w14:paraId="6603D763">
      <w:pPr>
        <w:spacing w:line="440" w:lineRule="exact"/>
        <w:jc w:val="center"/>
      </w:pPr>
    </w:p>
    <w:p w14:paraId="66DC03BD">
      <w:pPr>
        <w:spacing w:line="440" w:lineRule="exact"/>
        <w:jc w:val="center"/>
      </w:pPr>
    </w:p>
    <w:p w14:paraId="646306CC">
      <w:pPr>
        <w:spacing w:line="440" w:lineRule="exact"/>
        <w:jc w:val="center"/>
      </w:pPr>
    </w:p>
    <w:p w14:paraId="0B7A6200">
      <w:pPr>
        <w:spacing w:line="440" w:lineRule="exact"/>
        <w:jc w:val="center"/>
      </w:pPr>
    </w:p>
    <w:p w14:paraId="165C8280">
      <w:pPr>
        <w:spacing w:line="440" w:lineRule="exact"/>
        <w:jc w:val="center"/>
      </w:pPr>
    </w:p>
    <w:p w14:paraId="439C69C9">
      <w:pPr>
        <w:spacing w:line="440" w:lineRule="exact"/>
        <w:jc w:val="center"/>
      </w:pPr>
    </w:p>
    <w:p w14:paraId="28201FC9">
      <w:pPr>
        <w:spacing w:line="440" w:lineRule="exact"/>
        <w:jc w:val="center"/>
      </w:pPr>
    </w:p>
    <w:p w14:paraId="34A5FDE0">
      <w:pPr>
        <w:spacing w:line="440" w:lineRule="exact"/>
        <w:jc w:val="center"/>
      </w:pPr>
    </w:p>
    <w:p w14:paraId="0D99AD16">
      <w:pPr>
        <w:spacing w:line="440" w:lineRule="exact"/>
        <w:jc w:val="center"/>
      </w:pPr>
    </w:p>
    <w:p w14:paraId="4FD18925">
      <w:pPr>
        <w:spacing w:line="440" w:lineRule="exact"/>
        <w:jc w:val="center"/>
      </w:pPr>
    </w:p>
    <w:p w14:paraId="199A2D4F">
      <w:pPr>
        <w:spacing w:line="440" w:lineRule="exact"/>
        <w:jc w:val="center"/>
      </w:pPr>
    </w:p>
    <w:p w14:paraId="21B94250">
      <w:pPr>
        <w:spacing w:line="440" w:lineRule="exact"/>
        <w:jc w:val="center"/>
      </w:pPr>
    </w:p>
    <w:p w14:paraId="59A043E1">
      <w:pPr>
        <w:spacing w:line="440" w:lineRule="exact"/>
        <w:jc w:val="center"/>
      </w:pPr>
    </w:p>
    <w:p w14:paraId="2C5569C8">
      <w:pPr>
        <w:spacing w:line="440" w:lineRule="exact"/>
        <w:jc w:val="center"/>
      </w:pPr>
    </w:p>
    <w:p w14:paraId="33CA6FEA">
      <w:pPr>
        <w:spacing w:line="440" w:lineRule="exact"/>
        <w:jc w:val="center"/>
      </w:pPr>
    </w:p>
    <w:p w14:paraId="1A719FBC">
      <w:pPr>
        <w:spacing w:line="440" w:lineRule="exact"/>
        <w:jc w:val="center"/>
      </w:pPr>
    </w:p>
    <w:p w14:paraId="26D135FE">
      <w:pPr>
        <w:spacing w:line="440" w:lineRule="exact"/>
        <w:jc w:val="center"/>
      </w:pPr>
    </w:p>
    <w:p w14:paraId="2A98E76B">
      <w:pPr>
        <w:pStyle w:val="3"/>
        <w:jc w:val="center"/>
      </w:pPr>
    </w:p>
    <w:p w14:paraId="139D49B8">
      <w:pPr>
        <w:pStyle w:val="3"/>
        <w:jc w:val="center"/>
        <w:rPr>
          <w:rFonts w:hint="eastAsia"/>
        </w:rPr>
      </w:pPr>
      <w:r>
        <w:t>第七章  技术标准和要求</w:t>
      </w:r>
    </w:p>
    <w:p w14:paraId="24D1A4BE">
      <w:pPr>
        <w:pStyle w:val="29"/>
        <w:jc w:val="center"/>
        <w:rPr>
          <w:rFonts w:hint="eastAsia"/>
        </w:rPr>
      </w:pPr>
      <w:bookmarkStart w:id="154" w:name="_Toc394573957"/>
      <w:bookmarkStart w:id="155" w:name="_Toc288556313"/>
      <w:bookmarkStart w:id="156" w:name="_Toc372899887"/>
      <w:bookmarkStart w:id="157" w:name="_Toc148964073"/>
      <w:r>
        <w:rPr>
          <w:rFonts w:hint="eastAsia"/>
        </w:rPr>
        <w:t>1. 工程概况</w:t>
      </w:r>
      <w:bookmarkEnd w:id="154"/>
      <w:bookmarkEnd w:id="155"/>
      <w:bookmarkEnd w:id="156"/>
      <w:bookmarkEnd w:id="157"/>
    </w:p>
    <w:p w14:paraId="10A7C8E8">
      <w:pPr>
        <w:pStyle w:val="33"/>
        <w:spacing w:line="320" w:lineRule="exact"/>
        <w:rPr>
          <w:rFonts w:hint="eastAsia" w:ascii="Times New Roman" w:hAnsi="Times New Roman"/>
        </w:rPr>
      </w:pPr>
    </w:p>
    <w:p w14:paraId="3FFF45E2">
      <w:pPr>
        <w:pStyle w:val="33"/>
        <w:spacing w:line="400" w:lineRule="exact"/>
        <w:rPr>
          <w:rFonts w:hint="eastAsia" w:ascii="Times New Roman" w:hAnsi="Times New Roman" w:eastAsia="宋体"/>
          <w:lang w:eastAsia="zh-CN"/>
        </w:rPr>
      </w:pPr>
      <w:r>
        <w:rPr>
          <w:rFonts w:hint="eastAsia" w:ascii="Times New Roman" w:hAnsi="Times New Roman"/>
        </w:rPr>
        <w:t>1.1招标工程：</w:t>
      </w:r>
      <w:r>
        <w:rPr>
          <w:rFonts w:hint="eastAsia" w:ascii="Times New Roman" w:hAnsi="Times New Roman"/>
          <w:lang w:eastAsia="zh-CN"/>
        </w:rPr>
        <w:t>三门县失能失智敬老院项目</w:t>
      </w:r>
    </w:p>
    <w:p w14:paraId="657D0143">
      <w:pPr>
        <w:pStyle w:val="33"/>
        <w:spacing w:line="400" w:lineRule="exact"/>
        <w:rPr>
          <w:rFonts w:hint="eastAsia" w:ascii="Times New Roman" w:hAnsi="Times New Roman"/>
        </w:rPr>
      </w:pPr>
      <w:r>
        <w:rPr>
          <w:rFonts w:hint="eastAsia" w:ascii="Times New Roman" w:hAnsi="Times New Roman"/>
        </w:rPr>
        <w:t>1.2建设规模：详见本项目招标公告</w:t>
      </w:r>
    </w:p>
    <w:p w14:paraId="0EA2F08A">
      <w:pPr>
        <w:pStyle w:val="33"/>
        <w:spacing w:line="400" w:lineRule="exact"/>
        <w:rPr>
          <w:rFonts w:hint="eastAsia" w:ascii="Times New Roman" w:hAnsi="Times New Roman"/>
        </w:rPr>
      </w:pPr>
      <w:r>
        <w:rPr>
          <w:rFonts w:hint="eastAsia" w:ascii="Times New Roman" w:hAnsi="Times New Roman"/>
        </w:rPr>
        <w:t>1.3工程预算审核价：详见招标公告</w:t>
      </w:r>
    </w:p>
    <w:p w14:paraId="40ABAE70">
      <w:pPr>
        <w:pStyle w:val="33"/>
        <w:spacing w:line="400" w:lineRule="exact"/>
        <w:rPr>
          <w:rFonts w:hint="eastAsia" w:ascii="Times New Roman" w:hAnsi="Times New Roman" w:eastAsia="宋体"/>
          <w:lang w:eastAsia="zh-CN"/>
        </w:rPr>
      </w:pPr>
      <w:r>
        <w:rPr>
          <w:rFonts w:hint="eastAsia" w:ascii="Times New Roman" w:hAnsi="Times New Roman"/>
        </w:rPr>
        <w:t>1.4建设地点：</w:t>
      </w:r>
      <w:r>
        <w:rPr>
          <w:rFonts w:hint="eastAsia" w:ascii="Times New Roman" w:hAnsi="Times New Roman"/>
          <w:lang w:eastAsia="zh-CN"/>
        </w:rPr>
        <w:t>三门县亭旁镇</w:t>
      </w:r>
    </w:p>
    <w:p w14:paraId="04019965">
      <w:pPr>
        <w:pStyle w:val="33"/>
        <w:rPr>
          <w:rFonts w:ascii="Times New Roman" w:hAnsi="Times New Roman"/>
        </w:rPr>
      </w:pPr>
    </w:p>
    <w:p w14:paraId="2C5AE85D">
      <w:pPr>
        <w:pStyle w:val="29"/>
        <w:jc w:val="center"/>
        <w:rPr>
          <w:rFonts w:hint="eastAsia"/>
        </w:rPr>
      </w:pPr>
      <w:bookmarkStart w:id="158" w:name="_Toc372899888"/>
      <w:bookmarkStart w:id="159" w:name="_Toc148964074"/>
      <w:bookmarkStart w:id="160" w:name="_Toc394573958"/>
      <w:bookmarkStart w:id="161" w:name="_Toc288556314"/>
      <w:r>
        <w:rPr>
          <w:rFonts w:hint="eastAsia"/>
        </w:rPr>
        <w:t>2. 技术规范及标准</w:t>
      </w:r>
      <w:bookmarkEnd w:id="158"/>
      <w:bookmarkEnd w:id="159"/>
      <w:bookmarkEnd w:id="160"/>
      <w:bookmarkEnd w:id="161"/>
    </w:p>
    <w:p w14:paraId="6E70982D">
      <w:pPr>
        <w:pStyle w:val="33"/>
        <w:spacing w:line="320" w:lineRule="exact"/>
        <w:rPr>
          <w:rFonts w:hint="eastAsia" w:ascii="Times New Roman" w:hAnsi="Times New Roman"/>
        </w:rPr>
      </w:pPr>
    </w:p>
    <w:p w14:paraId="7168E036">
      <w:pPr>
        <w:spacing w:line="400" w:lineRule="exact"/>
        <w:ind w:firstLine="420" w:firstLineChars="200"/>
        <w:rPr>
          <w:rFonts w:hint="eastAsia"/>
        </w:rPr>
      </w:pPr>
      <w:r>
        <w:rPr>
          <w:rFonts w:hint="eastAsia"/>
        </w:rPr>
        <w:t xml:space="preserve">2.1 </w:t>
      </w:r>
      <w:r>
        <w:t>依据设计施工图纸和技术文件要求，本工程项目的材料、设备、施工必须达到以下现行中华人民共和国及省、市、行业的一切有关法规、规范的要求，如下述标准及规范要求有出入则以较严格者</w:t>
      </w:r>
      <w:r>
        <w:rPr>
          <w:rFonts w:hint="eastAsia"/>
        </w:rPr>
        <w:t>或最新标准</w:t>
      </w:r>
      <w:r>
        <w:t>为准。</w:t>
      </w:r>
    </w:p>
    <w:p w14:paraId="697C2AB5">
      <w:pPr>
        <w:pStyle w:val="33"/>
        <w:spacing w:line="400" w:lineRule="exact"/>
        <w:rPr>
          <w:rFonts w:hint="eastAsia"/>
        </w:rPr>
      </w:pPr>
      <w:r>
        <w:rPr>
          <w:rFonts w:hint="eastAsia"/>
        </w:rPr>
        <w:t>《工程测量标准》GB50026-2020</w:t>
      </w:r>
    </w:p>
    <w:p w14:paraId="20C12EDF">
      <w:pPr>
        <w:pStyle w:val="33"/>
        <w:spacing w:line="400" w:lineRule="exact"/>
        <w:rPr>
          <w:rFonts w:hint="eastAsia"/>
        </w:rPr>
      </w:pPr>
      <w:r>
        <w:rPr>
          <w:rFonts w:hint="eastAsia"/>
        </w:rPr>
        <w:t xml:space="preserve"> 《城镇道路工程施工与质量验收规范》CJJ1-2008</w:t>
      </w:r>
    </w:p>
    <w:p w14:paraId="603DD539">
      <w:pPr>
        <w:pStyle w:val="33"/>
        <w:spacing w:line="400" w:lineRule="exact"/>
        <w:rPr>
          <w:rFonts w:hint="eastAsia"/>
        </w:rPr>
      </w:pPr>
      <w:r>
        <w:rPr>
          <w:rFonts w:hint="eastAsia"/>
        </w:rPr>
        <w:t xml:space="preserve"> 《给水排水管道工程施工及验收规范》GB50268-2008</w:t>
      </w:r>
    </w:p>
    <w:p w14:paraId="0720CAB8">
      <w:pPr>
        <w:pStyle w:val="33"/>
        <w:spacing w:line="400" w:lineRule="exact"/>
        <w:rPr>
          <w:rFonts w:hint="eastAsia"/>
        </w:rPr>
      </w:pPr>
      <w:r>
        <w:rPr>
          <w:rFonts w:hint="eastAsia"/>
        </w:rPr>
        <w:t xml:space="preserve"> 《建筑地面工程施工质量验收规范》GB50209-2002</w:t>
      </w:r>
    </w:p>
    <w:p w14:paraId="56E2A912">
      <w:pPr>
        <w:pStyle w:val="33"/>
        <w:spacing w:line="400" w:lineRule="exact"/>
        <w:rPr>
          <w:rFonts w:hint="eastAsia"/>
        </w:rPr>
      </w:pPr>
      <w:r>
        <w:rPr>
          <w:rFonts w:hint="eastAsia"/>
        </w:rPr>
        <w:t xml:space="preserve"> 《建筑基坑支护技术规程》JGJ120-2012</w:t>
      </w:r>
    </w:p>
    <w:p w14:paraId="28823520">
      <w:pPr>
        <w:pStyle w:val="33"/>
        <w:spacing w:line="400" w:lineRule="exact"/>
        <w:rPr>
          <w:rFonts w:hint="eastAsia"/>
        </w:rPr>
      </w:pPr>
      <w:r>
        <w:rPr>
          <w:rFonts w:hint="eastAsia"/>
        </w:rPr>
        <w:t xml:space="preserve"> 《建筑地基处理技术规范》JGJ79-2012</w:t>
      </w:r>
    </w:p>
    <w:p w14:paraId="6CB2941D">
      <w:pPr>
        <w:pStyle w:val="33"/>
        <w:spacing w:line="400" w:lineRule="exact"/>
        <w:rPr>
          <w:rFonts w:hint="eastAsia"/>
        </w:rPr>
      </w:pPr>
      <w:r>
        <w:rPr>
          <w:rFonts w:hint="eastAsia"/>
        </w:rPr>
        <w:t xml:space="preserve"> 《混凝土结构工程施工质量验收规范》GB50204-2015</w:t>
      </w:r>
    </w:p>
    <w:p w14:paraId="42814249">
      <w:pPr>
        <w:pStyle w:val="33"/>
        <w:spacing w:line="400" w:lineRule="exact"/>
        <w:rPr>
          <w:rFonts w:hint="eastAsia"/>
        </w:rPr>
      </w:pPr>
      <w:r>
        <w:rPr>
          <w:rFonts w:hint="eastAsia"/>
        </w:rPr>
        <w:t xml:space="preserve"> 《混凝土质量控制标准》GB50164-2011</w:t>
      </w:r>
    </w:p>
    <w:p w14:paraId="54288463">
      <w:pPr>
        <w:pStyle w:val="33"/>
        <w:spacing w:line="400" w:lineRule="exact"/>
        <w:rPr>
          <w:rFonts w:hint="eastAsia"/>
        </w:rPr>
      </w:pPr>
      <w:r>
        <w:rPr>
          <w:rFonts w:hint="eastAsia"/>
        </w:rPr>
        <w:t xml:space="preserve"> 《普通混凝土用砂、石质量及检验方法标准》JGJ52-2006</w:t>
      </w:r>
    </w:p>
    <w:p w14:paraId="1F867A6C">
      <w:pPr>
        <w:pStyle w:val="33"/>
        <w:spacing w:line="400" w:lineRule="exact"/>
        <w:rPr>
          <w:rFonts w:hint="eastAsia"/>
        </w:rPr>
      </w:pPr>
      <w:r>
        <w:rPr>
          <w:rFonts w:hint="eastAsia"/>
        </w:rPr>
        <w:t xml:space="preserve"> 《混凝土外加剂应用技术规范》GB50119-2013</w:t>
      </w:r>
    </w:p>
    <w:p w14:paraId="33554ABF">
      <w:pPr>
        <w:pStyle w:val="33"/>
        <w:spacing w:line="400" w:lineRule="exact"/>
        <w:rPr>
          <w:rFonts w:hint="eastAsia"/>
        </w:rPr>
      </w:pPr>
      <w:r>
        <w:rPr>
          <w:rFonts w:hint="eastAsia"/>
        </w:rPr>
        <w:t xml:space="preserve"> 《钢筋机械连接技术规程》JGJ107-2016</w:t>
      </w:r>
    </w:p>
    <w:p w14:paraId="170BFECB">
      <w:pPr>
        <w:pStyle w:val="33"/>
        <w:spacing w:line="400" w:lineRule="exact"/>
        <w:rPr>
          <w:rFonts w:hint="eastAsia"/>
        </w:rPr>
      </w:pPr>
      <w:r>
        <w:rPr>
          <w:rFonts w:hint="eastAsia"/>
        </w:rPr>
        <w:t xml:space="preserve"> 《砌体结构工程施工质量验收规范》GB50203-2011</w:t>
      </w:r>
    </w:p>
    <w:p w14:paraId="58AF2D05">
      <w:pPr>
        <w:pStyle w:val="33"/>
        <w:spacing w:line="400" w:lineRule="exact"/>
        <w:rPr>
          <w:rFonts w:hint="eastAsia"/>
        </w:rPr>
      </w:pPr>
      <w:r>
        <w:rPr>
          <w:rFonts w:hint="eastAsia"/>
        </w:rPr>
        <w:t xml:space="preserve"> 《屋面工程技术规范》GB50345-2012</w:t>
      </w:r>
    </w:p>
    <w:p w14:paraId="78FDEF6E">
      <w:pPr>
        <w:pStyle w:val="33"/>
        <w:spacing w:line="400" w:lineRule="exact"/>
        <w:rPr>
          <w:rFonts w:hint="eastAsia"/>
        </w:rPr>
      </w:pPr>
      <w:r>
        <w:rPr>
          <w:rFonts w:hint="eastAsia"/>
        </w:rPr>
        <w:t xml:space="preserve"> 《建筑钢结构焊接技术规程》JGJ81-2002</w:t>
      </w:r>
    </w:p>
    <w:p w14:paraId="48B8D97A">
      <w:pPr>
        <w:pStyle w:val="33"/>
        <w:spacing w:line="400" w:lineRule="exact"/>
        <w:rPr>
          <w:rFonts w:hint="eastAsia"/>
        </w:rPr>
      </w:pPr>
      <w:r>
        <w:rPr>
          <w:rFonts w:hint="eastAsia"/>
        </w:rPr>
        <w:t xml:space="preserve"> 《冷弯薄壁型钢结构技术规范》GB50018-2002</w:t>
      </w:r>
    </w:p>
    <w:p w14:paraId="09C9F836">
      <w:pPr>
        <w:pStyle w:val="33"/>
        <w:spacing w:line="400" w:lineRule="exact"/>
        <w:rPr>
          <w:rFonts w:hint="eastAsia"/>
        </w:rPr>
      </w:pPr>
      <w:r>
        <w:rPr>
          <w:rFonts w:hint="eastAsia"/>
        </w:rPr>
        <w:t xml:space="preserve"> 《混凝土结构设计规范》GB50010-2010</w:t>
      </w:r>
    </w:p>
    <w:p w14:paraId="14E647ED">
      <w:pPr>
        <w:pStyle w:val="33"/>
        <w:spacing w:line="400" w:lineRule="exact"/>
        <w:rPr>
          <w:rFonts w:hint="eastAsia"/>
        </w:rPr>
      </w:pPr>
      <w:r>
        <w:rPr>
          <w:rFonts w:hint="eastAsia"/>
        </w:rPr>
        <w:t xml:space="preserve"> 《钢结构工程施工质量验收标准》GB50205-2020</w:t>
      </w:r>
    </w:p>
    <w:p w14:paraId="4CB323DE">
      <w:pPr>
        <w:pStyle w:val="33"/>
        <w:spacing w:line="400" w:lineRule="exact"/>
        <w:rPr>
          <w:rFonts w:hint="eastAsia"/>
        </w:rPr>
      </w:pPr>
      <w:r>
        <w:rPr>
          <w:rFonts w:hint="eastAsia"/>
        </w:rPr>
        <w:t xml:space="preserve"> 《钢结构防火涂料应用技术规程》CECS24-2020</w:t>
      </w:r>
    </w:p>
    <w:p w14:paraId="6FEBA650">
      <w:pPr>
        <w:pStyle w:val="33"/>
        <w:spacing w:line="400" w:lineRule="exact"/>
        <w:rPr>
          <w:rFonts w:hint="eastAsia"/>
        </w:rPr>
      </w:pPr>
      <w:r>
        <w:rPr>
          <w:rFonts w:hint="eastAsia"/>
        </w:rPr>
        <w:t xml:space="preserve"> 《门式刚架轻型房屋钢结构技术规范》GB51022-2015</w:t>
      </w:r>
    </w:p>
    <w:p w14:paraId="0C489000">
      <w:pPr>
        <w:pStyle w:val="33"/>
        <w:spacing w:line="400" w:lineRule="exact"/>
        <w:rPr>
          <w:rFonts w:hint="eastAsia"/>
        </w:rPr>
      </w:pPr>
      <w:r>
        <w:rPr>
          <w:rFonts w:hint="eastAsia"/>
        </w:rPr>
        <w:t xml:space="preserve"> 《钢结构高强度螺栓连接技术规程》JGJ82-2011</w:t>
      </w:r>
    </w:p>
    <w:p w14:paraId="620A83CE">
      <w:pPr>
        <w:pStyle w:val="33"/>
        <w:spacing w:line="400" w:lineRule="exact"/>
        <w:rPr>
          <w:rFonts w:hint="eastAsia"/>
        </w:rPr>
      </w:pPr>
      <w:r>
        <w:rPr>
          <w:rFonts w:hint="eastAsia"/>
        </w:rPr>
        <w:t xml:space="preserve"> 《涂装前钢材表面锈蚀等级和除锈等级》GB8923.1-2011</w:t>
      </w:r>
    </w:p>
    <w:p w14:paraId="77B35C16">
      <w:pPr>
        <w:pStyle w:val="33"/>
        <w:spacing w:line="400" w:lineRule="exact"/>
        <w:rPr>
          <w:rFonts w:hint="eastAsia"/>
        </w:rPr>
      </w:pPr>
      <w:r>
        <w:rPr>
          <w:rFonts w:hint="eastAsia"/>
        </w:rPr>
        <w:t xml:space="preserve"> 《施工现场临时用电安全技术规范》JGJ46-2005</w:t>
      </w:r>
    </w:p>
    <w:p w14:paraId="0D889E60">
      <w:pPr>
        <w:pStyle w:val="33"/>
        <w:spacing w:line="400" w:lineRule="exact"/>
        <w:rPr>
          <w:rFonts w:hint="eastAsia"/>
        </w:rPr>
      </w:pPr>
      <w:r>
        <w:rPr>
          <w:rFonts w:hint="eastAsia"/>
        </w:rPr>
        <w:t xml:space="preserve"> 《建筑施工高处作业安全技术规范》JGJ80-2016</w:t>
      </w:r>
    </w:p>
    <w:p w14:paraId="26BC01E1">
      <w:pPr>
        <w:pStyle w:val="33"/>
        <w:spacing w:line="400" w:lineRule="exact"/>
        <w:rPr>
          <w:rFonts w:hint="eastAsia"/>
        </w:rPr>
      </w:pPr>
      <w:r>
        <w:rPr>
          <w:rFonts w:hint="eastAsia"/>
        </w:rPr>
        <w:t xml:space="preserve"> 《建筑机械使用安全技术规程》JGJ33-2012</w:t>
      </w:r>
    </w:p>
    <w:p w14:paraId="4C8A4E53">
      <w:pPr>
        <w:pStyle w:val="33"/>
        <w:spacing w:line="400" w:lineRule="exact"/>
        <w:rPr>
          <w:rFonts w:hint="eastAsia"/>
        </w:rPr>
      </w:pPr>
      <w:r>
        <w:rPr>
          <w:rFonts w:hint="eastAsia"/>
        </w:rPr>
        <w:t xml:space="preserve"> 《建筑内部装修设计防火规范》GB50222-2017</w:t>
      </w:r>
    </w:p>
    <w:p w14:paraId="4792FE50">
      <w:pPr>
        <w:pStyle w:val="33"/>
        <w:spacing w:line="400" w:lineRule="exact"/>
        <w:rPr>
          <w:rFonts w:hint="eastAsia"/>
        </w:rPr>
      </w:pPr>
      <w:r>
        <w:rPr>
          <w:rFonts w:hint="eastAsia"/>
        </w:rPr>
        <w:t xml:space="preserve"> 《建筑装饰装修工程质量验收标准》GB50210-2018</w:t>
      </w:r>
    </w:p>
    <w:p w14:paraId="65FE5122">
      <w:pPr>
        <w:pStyle w:val="33"/>
        <w:spacing w:line="400" w:lineRule="exact"/>
        <w:rPr>
          <w:rFonts w:hint="eastAsia"/>
        </w:rPr>
      </w:pPr>
      <w:r>
        <w:rPr>
          <w:rFonts w:hint="eastAsia"/>
        </w:rPr>
        <w:t xml:space="preserve">《民用建筑工程室内环境污染控制标准》GB50325-2020 </w:t>
      </w:r>
    </w:p>
    <w:p w14:paraId="4C4AF41F">
      <w:pPr>
        <w:pStyle w:val="33"/>
        <w:spacing w:line="400" w:lineRule="exact"/>
        <w:rPr>
          <w:rFonts w:hint="eastAsia"/>
        </w:rPr>
      </w:pPr>
      <w:r>
        <w:rPr>
          <w:rFonts w:hint="eastAsia"/>
        </w:rPr>
        <w:t xml:space="preserve">《采暖通风与空气调节设计规范》GBJ19-2003 </w:t>
      </w:r>
    </w:p>
    <w:p w14:paraId="628C8CA1">
      <w:pPr>
        <w:pStyle w:val="33"/>
        <w:spacing w:line="400" w:lineRule="exact"/>
        <w:rPr>
          <w:rFonts w:hint="eastAsia"/>
        </w:rPr>
      </w:pPr>
      <w:r>
        <w:rPr>
          <w:rFonts w:hint="eastAsia"/>
        </w:rPr>
        <w:t xml:space="preserve">《建筑电气工程施工质量验收规范》GB50303-2015 </w:t>
      </w:r>
    </w:p>
    <w:p w14:paraId="76F0F000">
      <w:pPr>
        <w:pStyle w:val="33"/>
        <w:spacing w:line="400" w:lineRule="exact"/>
        <w:rPr>
          <w:rFonts w:hint="eastAsia"/>
        </w:rPr>
      </w:pPr>
      <w:r>
        <w:rPr>
          <w:rFonts w:hint="eastAsia"/>
        </w:rPr>
        <w:t xml:space="preserve">《建筑给水排水及采暖施工质量验收规程》GB50242-2002 </w:t>
      </w:r>
    </w:p>
    <w:p w14:paraId="7C0D81FF">
      <w:pPr>
        <w:pStyle w:val="33"/>
        <w:spacing w:line="400" w:lineRule="exact"/>
        <w:rPr>
          <w:rFonts w:hint="eastAsia"/>
        </w:rPr>
      </w:pPr>
      <w:r>
        <w:rPr>
          <w:rFonts w:hint="eastAsia"/>
        </w:rPr>
        <w:t xml:space="preserve">《通风与空调工程施工质量验收规范》GB50243-2016 </w:t>
      </w:r>
    </w:p>
    <w:p w14:paraId="6A050868">
      <w:pPr>
        <w:pStyle w:val="33"/>
        <w:spacing w:line="400" w:lineRule="exact"/>
        <w:rPr>
          <w:rFonts w:hint="eastAsia"/>
        </w:rPr>
      </w:pPr>
      <w:r>
        <w:rPr>
          <w:rFonts w:hint="eastAsia"/>
        </w:rPr>
        <w:t xml:space="preserve">《火灾自动报警系统设计规范》GB50116-2013 </w:t>
      </w:r>
    </w:p>
    <w:p w14:paraId="7FD1A97C">
      <w:pPr>
        <w:pStyle w:val="33"/>
        <w:spacing w:line="400" w:lineRule="exact"/>
        <w:rPr>
          <w:rFonts w:hint="eastAsia"/>
        </w:rPr>
      </w:pPr>
      <w:r>
        <w:rPr>
          <w:rFonts w:hint="eastAsia"/>
        </w:rPr>
        <w:t xml:space="preserve">《火灾自动报警系统施工及验收标准》GB 50166-2019 </w:t>
      </w:r>
    </w:p>
    <w:p w14:paraId="1495FEB7">
      <w:pPr>
        <w:pStyle w:val="33"/>
        <w:spacing w:line="400" w:lineRule="exact"/>
        <w:rPr>
          <w:rFonts w:hint="eastAsia"/>
        </w:rPr>
      </w:pPr>
      <w:r>
        <w:rPr>
          <w:rFonts w:hint="eastAsia"/>
        </w:rPr>
        <w:t xml:space="preserve">《自动喷水灭火系统施工及验收规范》GB 50261-2017 </w:t>
      </w:r>
    </w:p>
    <w:p w14:paraId="2066D58A">
      <w:pPr>
        <w:pStyle w:val="33"/>
        <w:spacing w:line="400" w:lineRule="exact"/>
        <w:rPr>
          <w:rFonts w:hint="eastAsia"/>
        </w:rPr>
      </w:pPr>
      <w:r>
        <w:rPr>
          <w:rFonts w:hint="eastAsia"/>
        </w:rPr>
        <w:t xml:space="preserve">《浙江省园林绿化工程施工质量验收规范》 </w:t>
      </w:r>
    </w:p>
    <w:p w14:paraId="0EB0387C">
      <w:pPr>
        <w:pStyle w:val="33"/>
        <w:spacing w:line="400" w:lineRule="exact"/>
        <w:rPr>
          <w:rFonts w:hint="eastAsia"/>
        </w:rPr>
      </w:pPr>
      <w:r>
        <w:rPr>
          <w:rFonts w:hint="eastAsia"/>
        </w:rPr>
        <w:t>《浙江省园林绿化技术规程(试行)》DB33/T1009-2001、DB33/T1009.1-2001</w:t>
      </w:r>
    </w:p>
    <w:p w14:paraId="117BBF1C">
      <w:pPr>
        <w:pStyle w:val="33"/>
        <w:spacing w:line="400" w:lineRule="exact"/>
        <w:rPr>
          <w:rFonts w:hint="eastAsia"/>
        </w:rPr>
      </w:pPr>
      <w:r>
        <w:rPr>
          <w:rFonts w:hint="eastAsia"/>
        </w:rPr>
        <w:t>……</w:t>
      </w:r>
    </w:p>
    <w:p w14:paraId="6B83E57D">
      <w:pPr>
        <w:pStyle w:val="33"/>
        <w:spacing w:line="400" w:lineRule="exact"/>
        <w:rPr>
          <w:rFonts w:hint="eastAsia" w:ascii="Times New Roman" w:hAnsi="Times New Roman"/>
        </w:rPr>
      </w:pPr>
      <w:r>
        <w:rPr>
          <w:rFonts w:hint="eastAsia" w:ascii="Times New Roman" w:hAnsi="Times New Roman"/>
        </w:rPr>
        <w:t>2.2</w:t>
      </w:r>
      <w:r>
        <w:rPr>
          <w:rFonts w:ascii="Times New Roman" w:hAnsi="Times New Roman"/>
        </w:rPr>
        <w:t>以上技术规范由承包人自备，如有不足之处或未能达到国家最新标准时，承包人应使施工及选用的设备和材料符合最新版本的国家标准、规范。</w:t>
      </w:r>
    </w:p>
    <w:p w14:paraId="3123358D">
      <w:pPr>
        <w:pStyle w:val="33"/>
        <w:rPr>
          <w:rFonts w:hint="eastAsia" w:ascii="Times New Roman" w:hAnsi="Times New Roman"/>
        </w:rPr>
      </w:pPr>
    </w:p>
    <w:p w14:paraId="11502BF4">
      <w:pPr>
        <w:pStyle w:val="29"/>
        <w:jc w:val="center"/>
      </w:pPr>
      <w:bookmarkStart w:id="162" w:name="_Toc282596327"/>
      <w:bookmarkStart w:id="163" w:name="_Toc229990372"/>
      <w:bookmarkStart w:id="164" w:name="_Toc148964075"/>
      <w:bookmarkStart w:id="165" w:name="_Toc283976562"/>
      <w:bookmarkStart w:id="166" w:name="_Toc283886272"/>
      <w:bookmarkStart w:id="167" w:name="_Toc394573959"/>
      <w:bookmarkStart w:id="168" w:name="_Toc288556315"/>
      <w:bookmarkStart w:id="169" w:name="_Toc372899889"/>
      <w:r>
        <w:rPr>
          <w:rFonts w:hint="eastAsia"/>
        </w:rPr>
        <w:t>3</w:t>
      </w:r>
      <w:r>
        <w:t>．材料质量要求</w:t>
      </w:r>
      <w:bookmarkEnd w:id="162"/>
      <w:bookmarkEnd w:id="163"/>
      <w:bookmarkEnd w:id="164"/>
      <w:bookmarkEnd w:id="165"/>
      <w:bookmarkEnd w:id="166"/>
      <w:bookmarkEnd w:id="167"/>
      <w:bookmarkEnd w:id="168"/>
      <w:bookmarkEnd w:id="169"/>
    </w:p>
    <w:p w14:paraId="2254EBF8">
      <w:pPr>
        <w:pStyle w:val="33"/>
        <w:spacing w:line="320" w:lineRule="exact"/>
        <w:rPr>
          <w:rFonts w:hint="eastAsia" w:ascii="Times New Roman" w:hAnsi="Times New Roman"/>
        </w:rPr>
      </w:pPr>
    </w:p>
    <w:p w14:paraId="2EE099C1">
      <w:pPr>
        <w:pStyle w:val="33"/>
        <w:spacing w:line="400" w:lineRule="exact"/>
        <w:rPr>
          <w:rFonts w:ascii="Times New Roman" w:hAnsi="Times New Roman"/>
        </w:rPr>
      </w:pPr>
      <w:r>
        <w:rPr>
          <w:rFonts w:hint="eastAsia" w:ascii="Times New Roman" w:hAnsi="Times New Roman"/>
        </w:rPr>
        <w:t xml:space="preserve">3.1 </w:t>
      </w:r>
      <w:r>
        <w:rPr>
          <w:rFonts w:ascii="Times New Roman" w:hAnsi="Times New Roman"/>
        </w:rPr>
        <w:t>材料选择</w:t>
      </w:r>
    </w:p>
    <w:p w14:paraId="2CA1CAB6">
      <w:pPr>
        <w:pStyle w:val="33"/>
        <w:spacing w:line="400" w:lineRule="exact"/>
        <w:rPr>
          <w:rFonts w:hAnsi="宋体" w:cs="Arial"/>
        </w:rPr>
      </w:pPr>
      <w:r>
        <w:rPr>
          <w:rFonts w:hint="eastAsia" w:ascii="Times New Roman" w:hAnsi="Times New Roman"/>
        </w:rPr>
        <w:t>（1）</w:t>
      </w:r>
      <w:r>
        <w:rPr>
          <w:rFonts w:hint="eastAsia" w:hAnsi="宋体" w:cs="Arial"/>
        </w:rPr>
        <w:t>本章节附件为“主要设备材料备选品牌一览表”，投标人在投标时必须按招标文件表中所列的备选品牌之一进行报价。</w:t>
      </w:r>
    </w:p>
    <w:p w14:paraId="32B1CE63">
      <w:pPr>
        <w:pStyle w:val="33"/>
        <w:spacing w:line="400" w:lineRule="exact"/>
        <w:rPr>
          <w:rFonts w:ascii="Times New Roman" w:hAnsi="Times New Roman"/>
        </w:rPr>
      </w:pPr>
      <w:r>
        <w:rPr>
          <w:rFonts w:hint="eastAsia" w:ascii="Times New Roman" w:hAnsi="Times New Roman"/>
        </w:rPr>
        <w:t>（2）</w:t>
      </w:r>
      <w:r>
        <w:rPr>
          <w:rFonts w:ascii="Times New Roman" w:hAnsi="Times New Roman"/>
        </w:rPr>
        <w:t>本招标文件涉及的其他主要材料及零星材料，各投标人须根据设计施工图的要求及意图按中高档的用材标准进行选材并报价，所有建筑材料要求采用在行业内有一定知名度的品牌，并符合环保要求，严禁选择不合设计要求的低档材料进行投标报价及组织施工实施。</w:t>
      </w:r>
    </w:p>
    <w:p w14:paraId="5DCF7CF9">
      <w:pPr>
        <w:pStyle w:val="33"/>
        <w:spacing w:line="400" w:lineRule="exact"/>
        <w:rPr>
          <w:rFonts w:ascii="Times New Roman" w:hAnsi="Times New Roman"/>
        </w:rPr>
      </w:pPr>
      <w:bookmarkStart w:id="170" w:name="_Toc66769198"/>
      <w:r>
        <w:rPr>
          <w:rFonts w:hint="eastAsia" w:ascii="Times New Roman" w:hAnsi="Times New Roman"/>
        </w:rPr>
        <w:t xml:space="preserve">3.2 </w:t>
      </w:r>
      <w:r>
        <w:rPr>
          <w:rFonts w:ascii="Times New Roman" w:hAnsi="Times New Roman"/>
        </w:rPr>
        <w:t>材料的质量保证</w:t>
      </w:r>
      <w:bookmarkEnd w:id="170"/>
    </w:p>
    <w:p w14:paraId="73677CF5">
      <w:pPr>
        <w:pStyle w:val="33"/>
        <w:spacing w:line="400" w:lineRule="exact"/>
        <w:rPr>
          <w:rFonts w:ascii="Times New Roman" w:hAnsi="Times New Roman"/>
        </w:rPr>
      </w:pPr>
      <w:r>
        <w:rPr>
          <w:rFonts w:hint="eastAsia" w:ascii="Times New Roman" w:hAnsi="Times New Roman"/>
        </w:rPr>
        <w:t>（1）</w:t>
      </w:r>
      <w:r>
        <w:rPr>
          <w:rFonts w:ascii="Times New Roman" w:hAnsi="Times New Roman"/>
        </w:rPr>
        <w:t>在免费保修期内，</w:t>
      </w:r>
      <w:r>
        <w:rPr>
          <w:rFonts w:hint="eastAsia" w:ascii="Times New Roman" w:hAnsi="Times New Roman"/>
        </w:rPr>
        <w:t>承包</w:t>
      </w:r>
      <w:r>
        <w:rPr>
          <w:rFonts w:ascii="Times New Roman" w:hAnsi="Times New Roman"/>
        </w:rPr>
        <w:t>人对有缺陷的部位必须无偿地给予修理与更换，并承担一切由此引起的对</w:t>
      </w:r>
      <w:r>
        <w:rPr>
          <w:rFonts w:hint="eastAsia" w:ascii="Times New Roman" w:hAnsi="Times New Roman"/>
        </w:rPr>
        <w:t>发包人</w:t>
      </w:r>
      <w:r>
        <w:rPr>
          <w:rFonts w:ascii="Times New Roman" w:hAnsi="Times New Roman"/>
        </w:rPr>
        <w:t>或第三者的直接损失，除非该缺陷是由于人为破坏或合同规定的不可抗因素造成的损坏。</w:t>
      </w:r>
    </w:p>
    <w:p w14:paraId="3A08A2AB">
      <w:pPr>
        <w:pStyle w:val="33"/>
        <w:spacing w:line="400" w:lineRule="exact"/>
        <w:rPr>
          <w:rFonts w:ascii="Times New Roman" w:hAnsi="Times New Roman"/>
        </w:rPr>
      </w:pPr>
      <w:r>
        <w:rPr>
          <w:rFonts w:hint="eastAsia" w:ascii="Times New Roman" w:hAnsi="Times New Roman"/>
        </w:rPr>
        <w:t>（2）承包</w:t>
      </w:r>
      <w:r>
        <w:rPr>
          <w:rFonts w:ascii="Times New Roman" w:hAnsi="Times New Roman"/>
        </w:rPr>
        <w:t>人必须对所承包的工程的质量负全部责任，其责任不因其他材料生产商提供的保证书而减轻或更改。</w:t>
      </w:r>
    </w:p>
    <w:p w14:paraId="4FC1A836">
      <w:pPr>
        <w:pStyle w:val="33"/>
        <w:spacing w:line="400" w:lineRule="exact"/>
        <w:rPr>
          <w:rFonts w:ascii="Times New Roman" w:hAnsi="Times New Roman"/>
        </w:rPr>
      </w:pPr>
      <w:r>
        <w:rPr>
          <w:rFonts w:hint="eastAsia" w:ascii="Times New Roman" w:hAnsi="Times New Roman"/>
        </w:rPr>
        <w:t>（3）</w:t>
      </w:r>
      <w:r>
        <w:rPr>
          <w:rFonts w:ascii="Times New Roman" w:hAnsi="Times New Roman"/>
        </w:rPr>
        <w:t>材料检验结果证明其有害物质含量指标超标的产品不得在工程上使用。</w:t>
      </w:r>
    </w:p>
    <w:p w14:paraId="77E924B9">
      <w:pPr>
        <w:pStyle w:val="33"/>
        <w:spacing w:line="400" w:lineRule="exact"/>
        <w:rPr>
          <w:rFonts w:ascii="Times New Roman" w:hAnsi="Times New Roman"/>
        </w:rPr>
      </w:pPr>
      <w:r>
        <w:rPr>
          <w:rFonts w:hint="eastAsia" w:ascii="Times New Roman" w:hAnsi="Times New Roman"/>
        </w:rPr>
        <w:t xml:space="preserve">3.3 </w:t>
      </w:r>
      <w:r>
        <w:rPr>
          <w:rFonts w:ascii="Times New Roman" w:hAnsi="Times New Roman"/>
        </w:rPr>
        <w:t>供应要求</w:t>
      </w:r>
    </w:p>
    <w:p w14:paraId="6A336012">
      <w:pPr>
        <w:pStyle w:val="33"/>
        <w:spacing w:line="400" w:lineRule="exact"/>
        <w:rPr>
          <w:rFonts w:ascii="Times New Roman" w:hAnsi="Times New Roman"/>
        </w:rPr>
      </w:pPr>
      <w:r>
        <w:rPr>
          <w:rFonts w:hint="eastAsia" w:ascii="Times New Roman" w:hAnsi="Times New Roman"/>
        </w:rPr>
        <w:t>（1）</w:t>
      </w:r>
      <w:r>
        <w:rPr>
          <w:rFonts w:ascii="Times New Roman" w:hAnsi="Times New Roman"/>
        </w:rPr>
        <w:t>本次招标承包范围内的建筑施工材料均由承包人根据本招标文件、设计图纸和国家有关规定的具体要求进行采购、运输、检验、保管，但</w:t>
      </w:r>
      <w:r>
        <w:rPr>
          <w:rFonts w:hint="eastAsia" w:ascii="Times New Roman" w:hAnsi="Times New Roman"/>
        </w:rPr>
        <w:t>发包</w:t>
      </w:r>
      <w:r>
        <w:rPr>
          <w:rFonts w:ascii="Times New Roman" w:hAnsi="Times New Roman"/>
        </w:rPr>
        <w:t>人保留变更和指定材料的权利；所有建筑材料须有产品合格证和质量保证书，应先送样品，样品经设计方、监理方、</w:t>
      </w:r>
      <w:r>
        <w:rPr>
          <w:rFonts w:hint="eastAsia" w:ascii="Times New Roman" w:hAnsi="Times New Roman"/>
        </w:rPr>
        <w:t>发包</w:t>
      </w:r>
      <w:r>
        <w:rPr>
          <w:rFonts w:ascii="Times New Roman" w:hAnsi="Times New Roman"/>
        </w:rPr>
        <w:t>人确认与招标要求一致后封存，批量供应时应与样品一致，并经相关部门检验合格后方可使用。</w:t>
      </w:r>
    </w:p>
    <w:p w14:paraId="7E621141">
      <w:pPr>
        <w:pStyle w:val="33"/>
        <w:spacing w:line="400" w:lineRule="exact"/>
        <w:rPr>
          <w:rFonts w:hint="eastAsia" w:ascii="Times New Roman" w:hAnsi="Times New Roman"/>
        </w:rPr>
      </w:pPr>
      <w:bookmarkStart w:id="171" w:name="_Toc163749454"/>
      <w:bookmarkStart w:id="172" w:name="_Toc66769200"/>
      <w:bookmarkStart w:id="173" w:name="_Toc61168478"/>
      <w:r>
        <w:rPr>
          <w:rFonts w:hint="eastAsia" w:ascii="Times New Roman" w:hAnsi="Times New Roman"/>
        </w:rPr>
        <w:t>（2）</w:t>
      </w:r>
      <w:r>
        <w:rPr>
          <w:rFonts w:ascii="Times New Roman" w:hAnsi="Times New Roman"/>
        </w:rPr>
        <w:t>由承包人采购的主要建筑材料，当承包人选定的产品质量达不到设计要求和预期质量目标时，</w:t>
      </w:r>
      <w:r>
        <w:rPr>
          <w:rFonts w:hint="eastAsia" w:ascii="Times New Roman" w:hAnsi="Times New Roman"/>
        </w:rPr>
        <w:t>发包</w:t>
      </w:r>
      <w:r>
        <w:rPr>
          <w:rFonts w:ascii="Times New Roman" w:hAnsi="Times New Roman"/>
        </w:rPr>
        <w:t>人保留更换的权利，且中标价不予调整。</w:t>
      </w:r>
      <w:bookmarkEnd w:id="171"/>
      <w:bookmarkEnd w:id="172"/>
      <w:bookmarkEnd w:id="173"/>
    </w:p>
    <w:p w14:paraId="7FAEB13C">
      <w:pPr>
        <w:pStyle w:val="33"/>
        <w:spacing w:line="400" w:lineRule="exact"/>
        <w:rPr>
          <w:rFonts w:hint="eastAsia" w:ascii="Times New Roman" w:hAnsi="Times New Roman"/>
        </w:rPr>
      </w:pPr>
    </w:p>
    <w:p w14:paraId="2EC46FB9">
      <w:pPr>
        <w:pStyle w:val="29"/>
        <w:jc w:val="center"/>
      </w:pPr>
      <w:bookmarkStart w:id="174" w:name="_Toc8305389"/>
      <w:bookmarkStart w:id="175" w:name="_Toc16521985"/>
      <w:bookmarkStart w:id="176" w:name="_Toc11121"/>
      <w:bookmarkStart w:id="177" w:name="_Toc148964076"/>
      <w:bookmarkStart w:id="178" w:name="_Toc26660"/>
      <w:bookmarkStart w:id="179" w:name="_Toc3666_WPSOffice_Level2"/>
      <w:bookmarkStart w:id="180" w:name="_Toc3776_WPSOffice_Level2"/>
      <w:bookmarkStart w:id="181" w:name="_Toc4972"/>
      <w:bookmarkStart w:id="182" w:name="_Toc10796_WPSOffice_Level2"/>
      <w:bookmarkStart w:id="183" w:name="_Toc21651_WPSOffice_Level2"/>
      <w:bookmarkStart w:id="184" w:name="_Toc7891"/>
      <w:bookmarkStart w:id="185" w:name="_Toc10894_WPSOffice_Level2"/>
      <w:r>
        <w:rPr>
          <w:rFonts w:hint="eastAsia"/>
        </w:rPr>
        <w:t>4</w:t>
      </w:r>
      <w:r>
        <w:t>．工程管理的要求</w:t>
      </w:r>
      <w:bookmarkEnd w:id="174"/>
      <w:bookmarkEnd w:id="175"/>
      <w:bookmarkEnd w:id="176"/>
      <w:bookmarkEnd w:id="177"/>
      <w:bookmarkEnd w:id="178"/>
      <w:bookmarkEnd w:id="179"/>
      <w:bookmarkEnd w:id="180"/>
      <w:bookmarkEnd w:id="181"/>
      <w:bookmarkEnd w:id="182"/>
      <w:bookmarkEnd w:id="183"/>
      <w:bookmarkEnd w:id="184"/>
      <w:bookmarkEnd w:id="185"/>
    </w:p>
    <w:p w14:paraId="0523D5D2">
      <w:pPr>
        <w:pStyle w:val="33"/>
        <w:spacing w:line="320" w:lineRule="exact"/>
        <w:rPr>
          <w:rFonts w:ascii="Times New Roman" w:hAnsi="Times New Roman"/>
        </w:rPr>
      </w:pPr>
    </w:p>
    <w:p w14:paraId="5BFC1035">
      <w:pPr>
        <w:pStyle w:val="33"/>
        <w:spacing w:line="400" w:lineRule="exact"/>
        <w:rPr>
          <w:rFonts w:ascii="Times New Roman" w:hAnsi="Times New Roman"/>
        </w:rPr>
      </w:pPr>
      <w:r>
        <w:rPr>
          <w:rFonts w:hint="eastAsia" w:ascii="Times New Roman" w:hAnsi="Times New Roman"/>
        </w:rPr>
        <w:t xml:space="preserve">4.1 </w:t>
      </w:r>
      <w:r>
        <w:rPr>
          <w:rFonts w:ascii="Times New Roman" w:hAnsi="Times New Roman"/>
        </w:rPr>
        <w:t>本工程发包范围内的工程项目，未经发包人同意一律不得分包。一经发现立即取消承包资格，作违约处理，并承担由此引起的一切经济损失。</w:t>
      </w:r>
    </w:p>
    <w:p w14:paraId="1D981FE9">
      <w:pPr>
        <w:pStyle w:val="33"/>
        <w:spacing w:line="400" w:lineRule="exact"/>
        <w:rPr>
          <w:rFonts w:hint="eastAsia" w:ascii="Times New Roman" w:hAnsi="Times New Roman"/>
        </w:rPr>
      </w:pPr>
      <w:r>
        <w:rPr>
          <w:rFonts w:hint="eastAsia" w:ascii="Times New Roman" w:hAnsi="Times New Roman"/>
        </w:rPr>
        <w:t xml:space="preserve">4.2 </w:t>
      </w:r>
      <w:r>
        <w:rPr>
          <w:rFonts w:ascii="Times New Roman" w:hAnsi="Times New Roman"/>
        </w:rPr>
        <w:t>承包人应严格按已确认设计图纸和施工技术方案组织施工，并无条件地接受发包人委托的监理单位对施工质量的监督和管理。</w:t>
      </w:r>
    </w:p>
    <w:p w14:paraId="48025D0C">
      <w:pPr>
        <w:pStyle w:val="33"/>
        <w:rPr>
          <w:rFonts w:hint="eastAsia" w:ascii="Times New Roman" w:hAnsi="Times New Roman"/>
        </w:rPr>
      </w:pPr>
    </w:p>
    <w:p w14:paraId="2202CDC3">
      <w:pPr>
        <w:pStyle w:val="29"/>
        <w:jc w:val="center"/>
        <w:rPr>
          <w:rFonts w:hint="eastAsia"/>
        </w:rPr>
      </w:pPr>
      <w:bookmarkStart w:id="186" w:name="_Toc394573961"/>
      <w:bookmarkStart w:id="187" w:name="_Toc372899891"/>
      <w:bookmarkStart w:id="188" w:name="_Toc4855_WPSOffice_Level2"/>
      <w:bookmarkStart w:id="189" w:name="_Toc21397_WPSOffice_Level2"/>
      <w:bookmarkStart w:id="190" w:name="_Toc282596329"/>
      <w:bookmarkStart w:id="191" w:name="_Toc229990374"/>
      <w:bookmarkStart w:id="192" w:name="_Toc288556317"/>
      <w:bookmarkStart w:id="193" w:name="_Toc16521986"/>
      <w:bookmarkStart w:id="194" w:name="_Toc283976564"/>
      <w:bookmarkStart w:id="195" w:name="_Toc5042"/>
      <w:bookmarkStart w:id="196" w:name="_Toc8305390"/>
      <w:bookmarkStart w:id="197" w:name="_Toc10595_WPSOffice_Level2"/>
      <w:bookmarkStart w:id="198" w:name="_Toc283886274"/>
      <w:bookmarkStart w:id="199" w:name="_Toc24061"/>
      <w:bookmarkStart w:id="200" w:name="_Toc14581"/>
      <w:bookmarkStart w:id="201" w:name="_Toc148964077"/>
      <w:bookmarkStart w:id="202" w:name="_Toc16423_WPSOffice_Level2"/>
      <w:bookmarkStart w:id="203" w:name="_Toc9799"/>
      <w:bookmarkStart w:id="204" w:name="_Toc14543_WPSOffice_Level2"/>
      <w:r>
        <w:t>5．其他</w:t>
      </w:r>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p>
    <w:p w14:paraId="216D7084">
      <w:pPr>
        <w:pStyle w:val="33"/>
        <w:spacing w:line="320" w:lineRule="exact"/>
        <w:rPr>
          <w:rFonts w:hint="eastAsia" w:ascii="Times New Roman" w:hAnsi="Times New Roman"/>
        </w:rPr>
      </w:pPr>
    </w:p>
    <w:p w14:paraId="6F760531">
      <w:pPr>
        <w:pStyle w:val="33"/>
        <w:spacing w:line="320" w:lineRule="exact"/>
        <w:rPr>
          <w:rFonts w:ascii="Times New Roman" w:hAnsi="Times New Roman"/>
        </w:rPr>
      </w:pPr>
    </w:p>
    <w:p w14:paraId="08A462C0">
      <w:pPr>
        <w:pStyle w:val="33"/>
        <w:spacing w:line="320" w:lineRule="exact"/>
        <w:rPr>
          <w:rFonts w:ascii="Times New Roman" w:hAnsi="Times New Roman"/>
        </w:rPr>
      </w:pPr>
    </w:p>
    <w:p w14:paraId="4088748D">
      <w:pPr>
        <w:pStyle w:val="33"/>
        <w:spacing w:line="320" w:lineRule="exact"/>
        <w:rPr>
          <w:rFonts w:ascii="Times New Roman" w:hAnsi="Times New Roman"/>
        </w:rPr>
      </w:pPr>
    </w:p>
    <w:p w14:paraId="371D6CF5">
      <w:pPr>
        <w:pStyle w:val="33"/>
        <w:spacing w:line="320" w:lineRule="exact"/>
        <w:rPr>
          <w:rFonts w:ascii="Times New Roman" w:hAnsi="Times New Roman"/>
        </w:rPr>
      </w:pPr>
    </w:p>
    <w:p w14:paraId="48AC9DA8">
      <w:pPr>
        <w:pStyle w:val="33"/>
        <w:spacing w:line="320" w:lineRule="exact"/>
        <w:rPr>
          <w:rFonts w:hint="eastAsia" w:ascii="Times New Roman" w:hAnsi="Times New Roman"/>
        </w:rPr>
      </w:pPr>
    </w:p>
    <w:p w14:paraId="046CE87D">
      <w:pPr>
        <w:pStyle w:val="33"/>
        <w:spacing w:line="320" w:lineRule="exact"/>
        <w:rPr>
          <w:rFonts w:hint="eastAsia" w:ascii="Times New Roman" w:hAnsi="Times New Roman"/>
        </w:rPr>
      </w:pPr>
    </w:p>
    <w:p w14:paraId="7AF39796">
      <w:pPr>
        <w:pStyle w:val="33"/>
        <w:spacing w:line="320" w:lineRule="exact"/>
        <w:rPr>
          <w:rFonts w:hint="eastAsia" w:ascii="Times New Roman" w:hAnsi="Times New Roman"/>
        </w:rPr>
      </w:pPr>
    </w:p>
    <w:p w14:paraId="6F02A766">
      <w:pPr>
        <w:pStyle w:val="33"/>
        <w:spacing w:line="320" w:lineRule="exact"/>
        <w:rPr>
          <w:rFonts w:ascii="Times New Roman" w:hAnsi="Times New Roman"/>
        </w:rPr>
      </w:pPr>
    </w:p>
    <w:p w14:paraId="2BCEF087">
      <w:pPr>
        <w:pStyle w:val="33"/>
        <w:spacing w:line="320" w:lineRule="exact"/>
        <w:rPr>
          <w:rFonts w:ascii="Times New Roman" w:hAnsi="Times New Roman"/>
        </w:rPr>
      </w:pPr>
    </w:p>
    <w:p w14:paraId="1AF6D2C8">
      <w:pPr>
        <w:pStyle w:val="33"/>
        <w:spacing w:line="320" w:lineRule="exact"/>
        <w:rPr>
          <w:rFonts w:ascii="Times New Roman" w:hAnsi="Times New Roman"/>
        </w:rPr>
      </w:pPr>
    </w:p>
    <w:p w14:paraId="1427B10F">
      <w:pPr>
        <w:pStyle w:val="33"/>
        <w:spacing w:line="320" w:lineRule="exact"/>
        <w:rPr>
          <w:rFonts w:ascii="Times New Roman" w:hAnsi="Times New Roman"/>
        </w:rPr>
      </w:pPr>
    </w:p>
    <w:p w14:paraId="1C9D808B">
      <w:pPr>
        <w:pStyle w:val="33"/>
        <w:spacing w:line="320" w:lineRule="exact"/>
        <w:rPr>
          <w:rFonts w:ascii="Times New Roman" w:hAnsi="Times New Roman"/>
        </w:rPr>
      </w:pPr>
    </w:p>
    <w:p w14:paraId="5C90AC77">
      <w:pPr>
        <w:pStyle w:val="33"/>
        <w:spacing w:line="320" w:lineRule="exact"/>
        <w:rPr>
          <w:rFonts w:ascii="Times New Roman" w:hAnsi="Times New Roman"/>
        </w:rPr>
      </w:pPr>
    </w:p>
    <w:p w14:paraId="356106C6">
      <w:pPr>
        <w:pStyle w:val="33"/>
        <w:spacing w:line="320" w:lineRule="exact"/>
        <w:rPr>
          <w:rFonts w:ascii="Times New Roman" w:hAnsi="Times New Roman"/>
        </w:rPr>
      </w:pPr>
    </w:p>
    <w:p w14:paraId="67CA5B5D">
      <w:pPr>
        <w:pStyle w:val="33"/>
        <w:spacing w:line="320" w:lineRule="exact"/>
        <w:rPr>
          <w:rFonts w:ascii="Times New Roman" w:hAnsi="Times New Roman"/>
        </w:rPr>
      </w:pPr>
    </w:p>
    <w:p w14:paraId="006C8408">
      <w:pPr>
        <w:pStyle w:val="33"/>
        <w:spacing w:line="320" w:lineRule="exact"/>
        <w:rPr>
          <w:rFonts w:ascii="Times New Roman" w:hAnsi="Times New Roman"/>
        </w:rPr>
      </w:pPr>
    </w:p>
    <w:p w14:paraId="3CACAAAE">
      <w:pPr>
        <w:pStyle w:val="33"/>
        <w:spacing w:line="320" w:lineRule="exact"/>
        <w:rPr>
          <w:rFonts w:ascii="Times New Roman" w:hAnsi="Times New Roman"/>
        </w:rPr>
      </w:pPr>
    </w:p>
    <w:p w14:paraId="79FE9831">
      <w:pPr>
        <w:pStyle w:val="33"/>
        <w:spacing w:line="320" w:lineRule="exact"/>
        <w:rPr>
          <w:rFonts w:ascii="Times New Roman" w:hAnsi="Times New Roman"/>
        </w:rPr>
      </w:pPr>
    </w:p>
    <w:p w14:paraId="5AAB6B0B">
      <w:pPr>
        <w:pStyle w:val="33"/>
        <w:spacing w:line="320" w:lineRule="exact"/>
        <w:rPr>
          <w:rFonts w:ascii="Times New Roman" w:hAnsi="Times New Roman"/>
        </w:rPr>
      </w:pPr>
    </w:p>
    <w:p w14:paraId="0FF25299">
      <w:pPr>
        <w:rPr>
          <w:rFonts w:hint="eastAsia"/>
        </w:rPr>
      </w:pPr>
      <w:r>
        <w:rPr>
          <w:rFonts w:hint="eastAsia"/>
        </w:rPr>
        <w:br w:type="page"/>
      </w:r>
    </w:p>
    <w:p w14:paraId="0CE9BFB3">
      <w:pPr>
        <w:spacing w:line="400" w:lineRule="exact"/>
        <w:rPr>
          <w:rFonts w:hint="eastAsia"/>
        </w:rPr>
      </w:pPr>
      <w:r>
        <w:rPr>
          <w:rFonts w:hint="eastAsia"/>
        </w:rPr>
        <w:t>附件：主要设备材料备选品牌一览表</w:t>
      </w:r>
    </w:p>
    <w:p w14:paraId="5D334115">
      <w:pPr>
        <w:pStyle w:val="29"/>
        <w:jc w:val="center"/>
        <w:rPr>
          <w:rFonts w:hint="eastAsia"/>
          <w:color w:val="auto"/>
          <w:highlight w:val="none"/>
        </w:rPr>
      </w:pPr>
      <w:r>
        <w:rPr>
          <w:rFonts w:hint="eastAsia"/>
          <w:color w:val="auto"/>
          <w:highlight w:val="none"/>
        </w:rPr>
        <w:t>主材设备材料备选品牌一览表</w:t>
      </w:r>
    </w:p>
    <w:p w14:paraId="4BA031D4">
      <w:pPr>
        <w:pStyle w:val="3"/>
        <w:jc w:val="center"/>
        <w:rPr>
          <w:color w:val="auto"/>
          <w:highlight w:val="none"/>
        </w:rPr>
      </w:pPr>
    </w:p>
    <w:tbl>
      <w:tblPr>
        <w:tblStyle w:val="17"/>
        <w:tblW w:w="8360" w:type="dxa"/>
        <w:tblInd w:w="78" w:type="dxa"/>
        <w:tblLayout w:type="fixed"/>
        <w:tblCellMar>
          <w:top w:w="0" w:type="dxa"/>
          <w:left w:w="108" w:type="dxa"/>
          <w:bottom w:w="0" w:type="dxa"/>
          <w:right w:w="108" w:type="dxa"/>
        </w:tblCellMar>
      </w:tblPr>
      <w:tblGrid>
        <w:gridCol w:w="580"/>
        <w:gridCol w:w="3261"/>
        <w:gridCol w:w="2970"/>
        <w:gridCol w:w="1549"/>
      </w:tblGrid>
      <w:tr w14:paraId="7007DD65">
        <w:tblPrEx>
          <w:tblCellMar>
            <w:top w:w="0" w:type="dxa"/>
            <w:left w:w="108" w:type="dxa"/>
            <w:bottom w:w="0" w:type="dxa"/>
            <w:right w:w="108" w:type="dxa"/>
          </w:tblCellMar>
        </w:tblPrEx>
        <w:trPr>
          <w:trHeight w:val="618" w:hRule="atLeast"/>
        </w:trPr>
        <w:tc>
          <w:tcPr>
            <w:tcW w:w="580" w:type="dxa"/>
            <w:tcBorders>
              <w:top w:val="single" w:color="auto" w:sz="6" w:space="0"/>
              <w:left w:val="single" w:color="auto" w:sz="6" w:space="0"/>
              <w:bottom w:val="single" w:color="auto" w:sz="6" w:space="0"/>
              <w:right w:val="single" w:color="auto" w:sz="6" w:space="0"/>
            </w:tcBorders>
            <w:vAlign w:val="center"/>
          </w:tcPr>
          <w:p w14:paraId="1347A751">
            <w:pPr>
              <w:rPr>
                <w:rFonts w:ascii="宋体" w:hAnsi="宋体"/>
                <w:color w:val="auto"/>
                <w:sz w:val="22"/>
                <w:highlight w:val="none"/>
              </w:rPr>
            </w:pPr>
            <w:r>
              <w:rPr>
                <w:rFonts w:hint="eastAsia" w:ascii="宋体" w:hAnsi="宋体"/>
                <w:color w:val="auto"/>
                <w:sz w:val="22"/>
                <w:highlight w:val="none"/>
              </w:rPr>
              <w:t>序号</w:t>
            </w:r>
          </w:p>
        </w:tc>
        <w:tc>
          <w:tcPr>
            <w:tcW w:w="3261" w:type="dxa"/>
            <w:tcBorders>
              <w:top w:val="single" w:color="auto" w:sz="6" w:space="0"/>
              <w:left w:val="single" w:color="auto" w:sz="6" w:space="0"/>
              <w:bottom w:val="single" w:color="auto" w:sz="6" w:space="0"/>
              <w:right w:val="single" w:color="auto" w:sz="6" w:space="0"/>
            </w:tcBorders>
            <w:vAlign w:val="center"/>
          </w:tcPr>
          <w:p w14:paraId="743488A7">
            <w:pPr>
              <w:rPr>
                <w:rFonts w:ascii="宋体" w:hAnsi="宋体"/>
                <w:color w:val="auto"/>
                <w:sz w:val="22"/>
                <w:highlight w:val="none"/>
              </w:rPr>
            </w:pPr>
            <w:r>
              <w:rPr>
                <w:rFonts w:hint="eastAsia" w:ascii="宋体" w:hAnsi="宋体"/>
                <w:color w:val="auto"/>
                <w:sz w:val="22"/>
                <w:highlight w:val="none"/>
              </w:rPr>
              <w:t>材料名称</w:t>
            </w:r>
          </w:p>
        </w:tc>
        <w:tc>
          <w:tcPr>
            <w:tcW w:w="2970" w:type="dxa"/>
            <w:tcBorders>
              <w:top w:val="single" w:color="auto" w:sz="6" w:space="0"/>
              <w:left w:val="single" w:color="auto" w:sz="6" w:space="0"/>
              <w:bottom w:val="single" w:color="auto" w:sz="6" w:space="0"/>
              <w:right w:val="single" w:color="auto" w:sz="6" w:space="0"/>
            </w:tcBorders>
            <w:vAlign w:val="center"/>
          </w:tcPr>
          <w:p w14:paraId="7E24F23A">
            <w:pPr>
              <w:rPr>
                <w:rFonts w:ascii="宋体" w:hAnsi="宋体"/>
                <w:color w:val="auto"/>
                <w:sz w:val="22"/>
                <w:highlight w:val="none"/>
              </w:rPr>
            </w:pPr>
            <w:r>
              <w:rPr>
                <w:rFonts w:hint="eastAsia" w:ascii="宋体" w:hAnsi="宋体"/>
                <w:color w:val="auto"/>
                <w:sz w:val="22"/>
                <w:highlight w:val="none"/>
              </w:rPr>
              <w:t>推荐品牌</w:t>
            </w:r>
          </w:p>
        </w:tc>
        <w:tc>
          <w:tcPr>
            <w:tcW w:w="1549" w:type="dxa"/>
            <w:tcBorders>
              <w:top w:val="single" w:color="auto" w:sz="6" w:space="0"/>
              <w:left w:val="single" w:color="auto" w:sz="6" w:space="0"/>
              <w:bottom w:val="single" w:color="auto" w:sz="6" w:space="0"/>
              <w:right w:val="single" w:color="auto" w:sz="6" w:space="0"/>
            </w:tcBorders>
            <w:vAlign w:val="center"/>
          </w:tcPr>
          <w:p w14:paraId="73447B0A">
            <w:pPr>
              <w:rPr>
                <w:rFonts w:ascii="宋体" w:hAnsi="宋体"/>
                <w:color w:val="auto"/>
                <w:sz w:val="22"/>
                <w:highlight w:val="none"/>
              </w:rPr>
            </w:pPr>
            <w:r>
              <w:rPr>
                <w:rFonts w:hint="eastAsia" w:ascii="宋体" w:hAnsi="宋体"/>
                <w:color w:val="auto"/>
                <w:sz w:val="22"/>
                <w:highlight w:val="none"/>
              </w:rPr>
              <w:t>备注</w:t>
            </w:r>
          </w:p>
        </w:tc>
      </w:tr>
      <w:tr w14:paraId="3AC6FB97">
        <w:tblPrEx>
          <w:tblCellMar>
            <w:top w:w="0" w:type="dxa"/>
            <w:left w:w="108" w:type="dxa"/>
            <w:bottom w:w="0" w:type="dxa"/>
            <w:right w:w="108" w:type="dxa"/>
          </w:tblCellMar>
        </w:tblPrEx>
        <w:trPr>
          <w:trHeight w:val="618" w:hRule="atLeast"/>
        </w:trPr>
        <w:tc>
          <w:tcPr>
            <w:tcW w:w="580" w:type="dxa"/>
            <w:tcBorders>
              <w:top w:val="single" w:color="auto" w:sz="6" w:space="0"/>
              <w:left w:val="single" w:color="auto" w:sz="6" w:space="0"/>
              <w:bottom w:val="single" w:color="auto" w:sz="6" w:space="0"/>
              <w:right w:val="single" w:color="auto" w:sz="6" w:space="0"/>
            </w:tcBorders>
            <w:vAlign w:val="center"/>
          </w:tcPr>
          <w:p w14:paraId="588B933E">
            <w:pPr>
              <w:rPr>
                <w:rFonts w:ascii="宋体" w:hAnsi="宋体"/>
                <w:color w:val="auto"/>
                <w:sz w:val="22"/>
                <w:highlight w:val="none"/>
              </w:rPr>
            </w:pPr>
            <w:r>
              <w:rPr>
                <w:rFonts w:hint="eastAsia" w:ascii="宋体" w:hAnsi="宋体"/>
                <w:color w:val="auto"/>
                <w:sz w:val="22"/>
                <w:highlight w:val="none"/>
              </w:rPr>
              <w:t>1</w:t>
            </w:r>
          </w:p>
        </w:tc>
        <w:tc>
          <w:tcPr>
            <w:tcW w:w="3261" w:type="dxa"/>
            <w:tcBorders>
              <w:top w:val="single" w:color="auto" w:sz="6" w:space="0"/>
              <w:left w:val="single" w:color="auto" w:sz="6" w:space="0"/>
              <w:bottom w:val="single" w:color="auto" w:sz="6" w:space="0"/>
              <w:right w:val="single" w:color="auto" w:sz="6" w:space="0"/>
            </w:tcBorders>
            <w:vAlign w:val="center"/>
          </w:tcPr>
          <w:p w14:paraId="7FF0CD8A">
            <w:pPr>
              <w:rPr>
                <w:rFonts w:ascii="宋体" w:hAnsi="宋体"/>
                <w:color w:val="auto"/>
                <w:sz w:val="22"/>
                <w:highlight w:val="none"/>
              </w:rPr>
            </w:pPr>
            <w:r>
              <w:rPr>
                <w:rFonts w:hint="eastAsia" w:ascii="宋体" w:hAnsi="宋体"/>
                <w:color w:val="auto"/>
                <w:sz w:val="22"/>
                <w:highlight w:val="none"/>
              </w:rPr>
              <w:t>钢材</w:t>
            </w:r>
          </w:p>
        </w:tc>
        <w:tc>
          <w:tcPr>
            <w:tcW w:w="2970" w:type="dxa"/>
            <w:tcBorders>
              <w:top w:val="single" w:color="auto" w:sz="6" w:space="0"/>
              <w:left w:val="single" w:color="auto" w:sz="6" w:space="0"/>
              <w:bottom w:val="single" w:color="auto" w:sz="6" w:space="0"/>
              <w:right w:val="single" w:color="auto" w:sz="6" w:space="0"/>
            </w:tcBorders>
            <w:vAlign w:val="center"/>
          </w:tcPr>
          <w:p w14:paraId="3B98D654">
            <w:pPr>
              <w:rPr>
                <w:rFonts w:ascii="宋体" w:hAnsi="宋体"/>
                <w:color w:val="auto"/>
                <w:sz w:val="22"/>
                <w:highlight w:val="none"/>
              </w:rPr>
            </w:pPr>
            <w:r>
              <w:rPr>
                <w:rFonts w:hint="eastAsia" w:ascii="宋体" w:hAnsi="宋体"/>
                <w:color w:val="auto"/>
                <w:sz w:val="22"/>
                <w:highlight w:val="none"/>
              </w:rPr>
              <w:t>江苏沙钢、宝钢、杭钢、鞍钢</w:t>
            </w:r>
          </w:p>
        </w:tc>
        <w:tc>
          <w:tcPr>
            <w:tcW w:w="1549" w:type="dxa"/>
            <w:tcBorders>
              <w:top w:val="single" w:color="auto" w:sz="6" w:space="0"/>
              <w:left w:val="single" w:color="auto" w:sz="6" w:space="0"/>
              <w:bottom w:val="single" w:color="auto" w:sz="6" w:space="0"/>
              <w:right w:val="single" w:color="auto" w:sz="6" w:space="0"/>
            </w:tcBorders>
            <w:vAlign w:val="center"/>
          </w:tcPr>
          <w:p w14:paraId="31FCC1AD">
            <w:pPr>
              <w:rPr>
                <w:rFonts w:ascii="宋体" w:hAnsi="宋体"/>
                <w:color w:val="auto"/>
                <w:sz w:val="22"/>
                <w:highlight w:val="none"/>
              </w:rPr>
            </w:pPr>
            <w:r>
              <w:rPr>
                <w:rFonts w:hint="eastAsia" w:ascii="宋体" w:hAnsi="宋体"/>
                <w:color w:val="auto"/>
                <w:sz w:val="22"/>
                <w:highlight w:val="none"/>
              </w:rPr>
              <w:t>或相当于</w:t>
            </w:r>
          </w:p>
        </w:tc>
      </w:tr>
      <w:tr w14:paraId="0E5ACF01">
        <w:tblPrEx>
          <w:tblCellMar>
            <w:top w:w="0" w:type="dxa"/>
            <w:left w:w="108" w:type="dxa"/>
            <w:bottom w:w="0" w:type="dxa"/>
            <w:right w:w="108" w:type="dxa"/>
          </w:tblCellMar>
        </w:tblPrEx>
        <w:trPr>
          <w:trHeight w:val="618" w:hRule="atLeast"/>
        </w:trPr>
        <w:tc>
          <w:tcPr>
            <w:tcW w:w="580" w:type="dxa"/>
            <w:tcBorders>
              <w:top w:val="single" w:color="auto" w:sz="6" w:space="0"/>
              <w:left w:val="single" w:color="auto" w:sz="6" w:space="0"/>
              <w:bottom w:val="single" w:color="auto" w:sz="6" w:space="0"/>
              <w:right w:val="single" w:color="auto" w:sz="6" w:space="0"/>
            </w:tcBorders>
            <w:vAlign w:val="center"/>
          </w:tcPr>
          <w:p w14:paraId="62498510">
            <w:pPr>
              <w:rPr>
                <w:rFonts w:ascii="宋体" w:hAnsi="宋体"/>
                <w:color w:val="auto"/>
                <w:sz w:val="22"/>
                <w:highlight w:val="none"/>
              </w:rPr>
            </w:pPr>
            <w:r>
              <w:rPr>
                <w:rFonts w:hint="eastAsia" w:ascii="宋体" w:hAnsi="宋体"/>
                <w:color w:val="auto"/>
                <w:sz w:val="22"/>
                <w:highlight w:val="none"/>
              </w:rPr>
              <w:t>2</w:t>
            </w:r>
          </w:p>
        </w:tc>
        <w:tc>
          <w:tcPr>
            <w:tcW w:w="3261" w:type="dxa"/>
            <w:tcBorders>
              <w:top w:val="single" w:color="auto" w:sz="6" w:space="0"/>
              <w:left w:val="single" w:color="auto" w:sz="6" w:space="0"/>
              <w:bottom w:val="single" w:color="auto" w:sz="6" w:space="0"/>
              <w:right w:val="single" w:color="auto" w:sz="6" w:space="0"/>
            </w:tcBorders>
            <w:vAlign w:val="center"/>
          </w:tcPr>
          <w:p w14:paraId="2BD15BED">
            <w:pPr>
              <w:rPr>
                <w:rFonts w:ascii="宋体" w:hAnsi="宋体"/>
                <w:color w:val="auto"/>
                <w:sz w:val="22"/>
                <w:highlight w:val="none"/>
              </w:rPr>
            </w:pPr>
            <w:r>
              <w:rPr>
                <w:rFonts w:hint="eastAsia" w:ascii="宋体" w:hAnsi="宋体"/>
                <w:color w:val="auto"/>
                <w:sz w:val="22"/>
                <w:highlight w:val="none"/>
              </w:rPr>
              <w:t>水泥</w:t>
            </w:r>
          </w:p>
        </w:tc>
        <w:tc>
          <w:tcPr>
            <w:tcW w:w="2970" w:type="dxa"/>
            <w:tcBorders>
              <w:top w:val="single" w:color="auto" w:sz="6" w:space="0"/>
              <w:left w:val="single" w:color="auto" w:sz="6" w:space="0"/>
              <w:bottom w:val="single" w:color="auto" w:sz="6" w:space="0"/>
              <w:right w:val="single" w:color="auto" w:sz="6" w:space="0"/>
            </w:tcBorders>
            <w:vAlign w:val="center"/>
          </w:tcPr>
          <w:p w14:paraId="7492CF6A">
            <w:pPr>
              <w:rPr>
                <w:rFonts w:ascii="宋体" w:hAnsi="宋体"/>
                <w:color w:val="auto"/>
                <w:sz w:val="22"/>
                <w:highlight w:val="none"/>
              </w:rPr>
            </w:pPr>
            <w:r>
              <w:rPr>
                <w:rFonts w:hint="eastAsia" w:ascii="宋体" w:hAnsi="宋体"/>
                <w:color w:val="auto"/>
                <w:sz w:val="22"/>
                <w:highlight w:val="none"/>
              </w:rPr>
              <w:t>尖峰、三狮、海螺</w:t>
            </w:r>
          </w:p>
        </w:tc>
        <w:tc>
          <w:tcPr>
            <w:tcW w:w="1549" w:type="dxa"/>
            <w:tcBorders>
              <w:top w:val="single" w:color="auto" w:sz="6" w:space="0"/>
              <w:left w:val="single" w:color="auto" w:sz="6" w:space="0"/>
              <w:bottom w:val="single" w:color="auto" w:sz="6" w:space="0"/>
              <w:right w:val="single" w:color="auto" w:sz="6" w:space="0"/>
            </w:tcBorders>
            <w:vAlign w:val="center"/>
          </w:tcPr>
          <w:p w14:paraId="46067257">
            <w:pPr>
              <w:rPr>
                <w:rFonts w:ascii="宋体" w:hAnsi="宋体"/>
                <w:color w:val="auto"/>
                <w:sz w:val="22"/>
                <w:highlight w:val="none"/>
              </w:rPr>
            </w:pPr>
            <w:r>
              <w:rPr>
                <w:rFonts w:hint="eastAsia" w:ascii="宋体" w:hAnsi="宋体"/>
                <w:color w:val="auto"/>
                <w:sz w:val="22"/>
                <w:highlight w:val="none"/>
              </w:rPr>
              <w:t>或相当于</w:t>
            </w:r>
          </w:p>
        </w:tc>
      </w:tr>
      <w:tr w14:paraId="4DE7AA6C">
        <w:tblPrEx>
          <w:tblCellMar>
            <w:top w:w="0" w:type="dxa"/>
            <w:left w:w="108" w:type="dxa"/>
            <w:bottom w:w="0" w:type="dxa"/>
            <w:right w:w="108" w:type="dxa"/>
          </w:tblCellMar>
        </w:tblPrEx>
        <w:trPr>
          <w:trHeight w:val="618" w:hRule="atLeast"/>
        </w:trPr>
        <w:tc>
          <w:tcPr>
            <w:tcW w:w="580" w:type="dxa"/>
            <w:tcBorders>
              <w:top w:val="single" w:color="auto" w:sz="6" w:space="0"/>
              <w:left w:val="single" w:color="auto" w:sz="6" w:space="0"/>
              <w:bottom w:val="single" w:color="auto" w:sz="6" w:space="0"/>
              <w:right w:val="single" w:color="auto" w:sz="6" w:space="0"/>
            </w:tcBorders>
            <w:vAlign w:val="center"/>
          </w:tcPr>
          <w:p w14:paraId="045891CB">
            <w:pPr>
              <w:rPr>
                <w:rFonts w:ascii="宋体" w:hAnsi="宋体"/>
                <w:color w:val="auto"/>
                <w:sz w:val="22"/>
                <w:highlight w:val="none"/>
              </w:rPr>
            </w:pPr>
            <w:r>
              <w:rPr>
                <w:rFonts w:hint="eastAsia" w:ascii="宋体" w:hAnsi="宋体"/>
                <w:color w:val="auto"/>
                <w:sz w:val="22"/>
                <w:highlight w:val="none"/>
              </w:rPr>
              <w:t>3</w:t>
            </w:r>
          </w:p>
        </w:tc>
        <w:tc>
          <w:tcPr>
            <w:tcW w:w="3261" w:type="dxa"/>
            <w:tcBorders>
              <w:top w:val="single" w:color="auto" w:sz="6" w:space="0"/>
              <w:left w:val="single" w:color="auto" w:sz="6" w:space="0"/>
              <w:bottom w:val="single" w:color="auto" w:sz="6" w:space="0"/>
              <w:right w:val="single" w:color="auto" w:sz="6" w:space="0"/>
            </w:tcBorders>
            <w:vAlign w:val="center"/>
          </w:tcPr>
          <w:p w14:paraId="27B69D39">
            <w:pPr>
              <w:rPr>
                <w:rFonts w:ascii="宋体" w:hAnsi="宋体"/>
                <w:color w:val="auto"/>
                <w:sz w:val="22"/>
                <w:highlight w:val="none"/>
              </w:rPr>
            </w:pPr>
            <w:r>
              <w:rPr>
                <w:rFonts w:hint="eastAsia" w:ascii="宋体" w:hAnsi="宋体"/>
                <w:color w:val="auto"/>
                <w:sz w:val="22"/>
                <w:highlight w:val="none"/>
              </w:rPr>
              <w:t>铝合金及五金配件</w:t>
            </w:r>
          </w:p>
        </w:tc>
        <w:tc>
          <w:tcPr>
            <w:tcW w:w="2970" w:type="dxa"/>
            <w:tcBorders>
              <w:top w:val="single" w:color="auto" w:sz="6" w:space="0"/>
              <w:left w:val="single" w:color="auto" w:sz="6" w:space="0"/>
              <w:bottom w:val="single" w:color="auto" w:sz="6" w:space="0"/>
              <w:right w:val="single" w:color="auto" w:sz="6" w:space="0"/>
            </w:tcBorders>
            <w:vAlign w:val="center"/>
          </w:tcPr>
          <w:p w14:paraId="5EA02FDC">
            <w:pPr>
              <w:rPr>
                <w:rFonts w:ascii="宋体" w:hAnsi="宋体"/>
                <w:color w:val="auto"/>
                <w:sz w:val="22"/>
                <w:highlight w:val="none"/>
              </w:rPr>
            </w:pPr>
            <w:r>
              <w:rPr>
                <w:rFonts w:hint="eastAsia" w:ascii="宋体" w:hAnsi="宋体"/>
                <w:color w:val="auto"/>
                <w:sz w:val="22"/>
                <w:highlight w:val="none"/>
              </w:rPr>
              <w:t>凤铝、兴发、坚美</w:t>
            </w:r>
          </w:p>
        </w:tc>
        <w:tc>
          <w:tcPr>
            <w:tcW w:w="1549" w:type="dxa"/>
            <w:tcBorders>
              <w:top w:val="single" w:color="auto" w:sz="6" w:space="0"/>
              <w:left w:val="single" w:color="auto" w:sz="6" w:space="0"/>
              <w:bottom w:val="single" w:color="auto" w:sz="6" w:space="0"/>
              <w:right w:val="single" w:color="auto" w:sz="6" w:space="0"/>
            </w:tcBorders>
            <w:vAlign w:val="center"/>
          </w:tcPr>
          <w:p w14:paraId="54A3B156">
            <w:pPr>
              <w:rPr>
                <w:rFonts w:ascii="宋体" w:hAnsi="宋体"/>
                <w:color w:val="auto"/>
                <w:sz w:val="22"/>
                <w:highlight w:val="none"/>
              </w:rPr>
            </w:pPr>
            <w:r>
              <w:rPr>
                <w:rFonts w:hint="eastAsia" w:ascii="宋体" w:hAnsi="宋体"/>
                <w:color w:val="auto"/>
                <w:sz w:val="22"/>
                <w:highlight w:val="none"/>
              </w:rPr>
              <w:t>或相当于</w:t>
            </w:r>
          </w:p>
        </w:tc>
      </w:tr>
      <w:tr w14:paraId="6A5AD5F0">
        <w:tblPrEx>
          <w:tblCellMar>
            <w:top w:w="0" w:type="dxa"/>
            <w:left w:w="108" w:type="dxa"/>
            <w:bottom w:w="0" w:type="dxa"/>
            <w:right w:w="108" w:type="dxa"/>
          </w:tblCellMar>
        </w:tblPrEx>
        <w:trPr>
          <w:trHeight w:val="618" w:hRule="atLeast"/>
        </w:trPr>
        <w:tc>
          <w:tcPr>
            <w:tcW w:w="580" w:type="dxa"/>
            <w:tcBorders>
              <w:top w:val="single" w:color="auto" w:sz="6" w:space="0"/>
              <w:left w:val="single" w:color="auto" w:sz="6" w:space="0"/>
              <w:bottom w:val="single" w:color="auto" w:sz="6" w:space="0"/>
              <w:right w:val="single" w:color="auto" w:sz="6" w:space="0"/>
            </w:tcBorders>
            <w:vAlign w:val="center"/>
          </w:tcPr>
          <w:p w14:paraId="12844669">
            <w:pPr>
              <w:widowControl/>
              <w:rPr>
                <w:rFonts w:ascii="宋体" w:hAnsi="宋体"/>
                <w:color w:val="auto"/>
                <w:sz w:val="22"/>
                <w:highlight w:val="none"/>
              </w:rPr>
            </w:pPr>
            <w:r>
              <w:rPr>
                <w:rFonts w:hint="eastAsia" w:ascii="宋体" w:hAnsi="宋体" w:cs="宋体"/>
                <w:color w:val="auto"/>
                <w:kern w:val="0"/>
                <w:szCs w:val="21"/>
                <w:highlight w:val="none"/>
              </w:rPr>
              <w:t>4</w:t>
            </w:r>
          </w:p>
        </w:tc>
        <w:tc>
          <w:tcPr>
            <w:tcW w:w="3261" w:type="dxa"/>
            <w:tcBorders>
              <w:top w:val="single" w:color="auto" w:sz="6" w:space="0"/>
              <w:left w:val="single" w:color="auto" w:sz="6" w:space="0"/>
              <w:bottom w:val="single" w:color="auto" w:sz="6" w:space="0"/>
              <w:right w:val="single" w:color="auto" w:sz="6" w:space="0"/>
            </w:tcBorders>
          </w:tcPr>
          <w:p w14:paraId="23CCF7DF">
            <w:pPr>
              <w:pStyle w:val="27"/>
              <w:spacing w:before="176"/>
              <w:ind w:right="208"/>
              <w:jc w:val="both"/>
              <w:rPr>
                <w:rFonts w:hAnsi="宋体"/>
                <w:color w:val="auto"/>
                <w:sz w:val="22"/>
                <w:highlight w:val="none"/>
              </w:rPr>
            </w:pPr>
            <w:r>
              <w:rPr>
                <w:color w:val="auto"/>
                <w:sz w:val="21"/>
                <w:highlight w:val="none"/>
              </w:rPr>
              <w:t>玻璃</w:t>
            </w:r>
          </w:p>
        </w:tc>
        <w:tc>
          <w:tcPr>
            <w:tcW w:w="2970" w:type="dxa"/>
            <w:tcBorders>
              <w:top w:val="single" w:color="auto" w:sz="6" w:space="0"/>
              <w:left w:val="single" w:color="auto" w:sz="6" w:space="0"/>
              <w:bottom w:val="single" w:color="auto" w:sz="6" w:space="0"/>
              <w:right w:val="single" w:color="auto" w:sz="6" w:space="0"/>
            </w:tcBorders>
            <w:vAlign w:val="center"/>
          </w:tcPr>
          <w:p w14:paraId="5B4657F7">
            <w:pPr>
              <w:widowControl/>
              <w:rPr>
                <w:rFonts w:ascii="宋体" w:hAnsi="宋体"/>
                <w:color w:val="auto"/>
                <w:sz w:val="22"/>
                <w:highlight w:val="none"/>
              </w:rPr>
            </w:pPr>
            <w:r>
              <w:rPr>
                <w:color w:val="auto"/>
                <w:highlight w:val="none"/>
              </w:rPr>
              <w:t>南玻、耀皮、杭玻、浙江广一</w:t>
            </w:r>
          </w:p>
        </w:tc>
        <w:tc>
          <w:tcPr>
            <w:tcW w:w="1549" w:type="dxa"/>
            <w:tcBorders>
              <w:top w:val="single" w:color="auto" w:sz="6" w:space="0"/>
              <w:left w:val="single" w:color="auto" w:sz="6" w:space="0"/>
              <w:bottom w:val="single" w:color="auto" w:sz="6" w:space="0"/>
              <w:right w:val="single" w:color="auto" w:sz="6" w:space="0"/>
            </w:tcBorders>
          </w:tcPr>
          <w:p w14:paraId="0E5E929D">
            <w:pPr>
              <w:pStyle w:val="27"/>
              <w:spacing w:before="176"/>
              <w:ind w:right="66"/>
              <w:jc w:val="both"/>
              <w:rPr>
                <w:rFonts w:hAnsi="宋体"/>
                <w:color w:val="auto"/>
                <w:sz w:val="22"/>
                <w:highlight w:val="none"/>
              </w:rPr>
            </w:pPr>
            <w:r>
              <w:rPr>
                <w:color w:val="auto"/>
                <w:sz w:val="21"/>
                <w:highlight w:val="none"/>
              </w:rPr>
              <w:t>或相当于</w:t>
            </w:r>
          </w:p>
        </w:tc>
      </w:tr>
      <w:tr w14:paraId="70BAB207">
        <w:tblPrEx>
          <w:tblCellMar>
            <w:top w:w="0" w:type="dxa"/>
            <w:left w:w="108" w:type="dxa"/>
            <w:bottom w:w="0" w:type="dxa"/>
            <w:right w:w="108" w:type="dxa"/>
          </w:tblCellMar>
        </w:tblPrEx>
        <w:trPr>
          <w:trHeight w:val="618" w:hRule="atLeast"/>
        </w:trPr>
        <w:tc>
          <w:tcPr>
            <w:tcW w:w="580" w:type="dxa"/>
            <w:tcBorders>
              <w:top w:val="single" w:color="auto" w:sz="6" w:space="0"/>
              <w:left w:val="single" w:color="auto" w:sz="6" w:space="0"/>
              <w:bottom w:val="single" w:color="auto" w:sz="6" w:space="0"/>
              <w:right w:val="single" w:color="auto" w:sz="6" w:space="0"/>
            </w:tcBorders>
            <w:vAlign w:val="center"/>
          </w:tcPr>
          <w:p w14:paraId="0B063515">
            <w:pPr>
              <w:rPr>
                <w:rFonts w:ascii="宋体" w:hAnsi="宋体"/>
                <w:color w:val="auto"/>
                <w:sz w:val="22"/>
                <w:highlight w:val="none"/>
              </w:rPr>
            </w:pPr>
            <w:r>
              <w:rPr>
                <w:rFonts w:hint="eastAsia" w:ascii="宋体" w:hAnsi="宋体"/>
                <w:color w:val="auto"/>
                <w:sz w:val="22"/>
                <w:highlight w:val="none"/>
              </w:rPr>
              <w:t>5</w:t>
            </w:r>
          </w:p>
        </w:tc>
        <w:tc>
          <w:tcPr>
            <w:tcW w:w="3261" w:type="dxa"/>
            <w:tcBorders>
              <w:top w:val="single" w:color="auto" w:sz="6" w:space="0"/>
              <w:left w:val="single" w:color="auto" w:sz="6" w:space="0"/>
              <w:bottom w:val="single" w:color="auto" w:sz="6" w:space="0"/>
              <w:right w:val="single" w:color="auto" w:sz="6" w:space="0"/>
            </w:tcBorders>
            <w:vAlign w:val="center"/>
          </w:tcPr>
          <w:p w14:paraId="01B91654">
            <w:pPr>
              <w:rPr>
                <w:rFonts w:ascii="宋体" w:hAnsi="宋体"/>
                <w:color w:val="auto"/>
                <w:sz w:val="22"/>
                <w:highlight w:val="none"/>
              </w:rPr>
            </w:pPr>
            <w:r>
              <w:rPr>
                <w:rFonts w:hint="eastAsia" w:ascii="宋体" w:hAnsi="宋体"/>
                <w:color w:val="auto"/>
                <w:sz w:val="22"/>
                <w:highlight w:val="none"/>
              </w:rPr>
              <w:t>墙面瓷砖、地砖</w:t>
            </w:r>
          </w:p>
        </w:tc>
        <w:tc>
          <w:tcPr>
            <w:tcW w:w="2970" w:type="dxa"/>
            <w:tcBorders>
              <w:top w:val="single" w:color="auto" w:sz="6" w:space="0"/>
              <w:left w:val="single" w:color="auto" w:sz="6" w:space="0"/>
              <w:bottom w:val="single" w:color="auto" w:sz="6" w:space="0"/>
              <w:right w:val="single" w:color="auto" w:sz="6" w:space="0"/>
            </w:tcBorders>
            <w:vAlign w:val="center"/>
          </w:tcPr>
          <w:p w14:paraId="41898479">
            <w:pPr>
              <w:rPr>
                <w:rFonts w:ascii="宋体" w:hAnsi="宋体"/>
                <w:color w:val="auto"/>
                <w:sz w:val="22"/>
                <w:highlight w:val="none"/>
              </w:rPr>
            </w:pPr>
            <w:r>
              <w:rPr>
                <w:rFonts w:hint="eastAsia" w:ascii="宋体" w:hAnsi="宋体"/>
                <w:color w:val="auto"/>
                <w:sz w:val="22"/>
                <w:highlight w:val="none"/>
              </w:rPr>
              <w:t>诺贝尔、冠军、尊卓</w:t>
            </w:r>
          </w:p>
        </w:tc>
        <w:tc>
          <w:tcPr>
            <w:tcW w:w="1549" w:type="dxa"/>
            <w:tcBorders>
              <w:top w:val="single" w:color="auto" w:sz="6" w:space="0"/>
              <w:left w:val="single" w:color="auto" w:sz="6" w:space="0"/>
              <w:bottom w:val="single" w:color="auto" w:sz="6" w:space="0"/>
              <w:right w:val="single" w:color="auto" w:sz="6" w:space="0"/>
            </w:tcBorders>
            <w:vAlign w:val="center"/>
          </w:tcPr>
          <w:p w14:paraId="2A041CB2">
            <w:pPr>
              <w:rPr>
                <w:rFonts w:ascii="宋体" w:hAnsi="宋体"/>
                <w:color w:val="auto"/>
                <w:sz w:val="22"/>
                <w:highlight w:val="none"/>
              </w:rPr>
            </w:pPr>
            <w:r>
              <w:rPr>
                <w:rFonts w:hint="eastAsia" w:ascii="宋体" w:hAnsi="宋体"/>
                <w:color w:val="auto"/>
                <w:sz w:val="22"/>
                <w:highlight w:val="none"/>
              </w:rPr>
              <w:t>或相当于</w:t>
            </w:r>
          </w:p>
        </w:tc>
      </w:tr>
      <w:tr w14:paraId="3D73331E">
        <w:tblPrEx>
          <w:tblCellMar>
            <w:top w:w="0" w:type="dxa"/>
            <w:left w:w="108" w:type="dxa"/>
            <w:bottom w:w="0" w:type="dxa"/>
            <w:right w:w="108" w:type="dxa"/>
          </w:tblCellMar>
        </w:tblPrEx>
        <w:trPr>
          <w:trHeight w:val="769" w:hRule="atLeast"/>
        </w:trPr>
        <w:tc>
          <w:tcPr>
            <w:tcW w:w="580" w:type="dxa"/>
            <w:tcBorders>
              <w:top w:val="single" w:color="auto" w:sz="6" w:space="0"/>
              <w:left w:val="single" w:color="auto" w:sz="6" w:space="0"/>
              <w:bottom w:val="single" w:color="auto" w:sz="6" w:space="0"/>
              <w:right w:val="single" w:color="auto" w:sz="6" w:space="0"/>
            </w:tcBorders>
            <w:vAlign w:val="center"/>
          </w:tcPr>
          <w:p w14:paraId="33E59FF6">
            <w:pPr>
              <w:rPr>
                <w:rFonts w:ascii="宋体" w:hAnsi="宋体"/>
                <w:color w:val="auto"/>
                <w:sz w:val="22"/>
                <w:highlight w:val="none"/>
              </w:rPr>
            </w:pPr>
            <w:r>
              <w:rPr>
                <w:rFonts w:hint="eastAsia" w:ascii="宋体" w:hAnsi="宋体"/>
                <w:color w:val="auto"/>
                <w:sz w:val="22"/>
                <w:highlight w:val="none"/>
              </w:rPr>
              <w:t>6</w:t>
            </w:r>
          </w:p>
        </w:tc>
        <w:tc>
          <w:tcPr>
            <w:tcW w:w="3261" w:type="dxa"/>
            <w:tcBorders>
              <w:top w:val="single" w:color="auto" w:sz="6" w:space="0"/>
              <w:left w:val="single" w:color="auto" w:sz="6" w:space="0"/>
              <w:bottom w:val="single" w:color="auto" w:sz="6" w:space="0"/>
              <w:right w:val="single" w:color="auto" w:sz="6" w:space="0"/>
            </w:tcBorders>
            <w:vAlign w:val="center"/>
          </w:tcPr>
          <w:p w14:paraId="37C18E07">
            <w:pPr>
              <w:rPr>
                <w:rFonts w:ascii="宋体" w:hAnsi="宋体"/>
                <w:color w:val="auto"/>
                <w:sz w:val="22"/>
                <w:highlight w:val="none"/>
              </w:rPr>
            </w:pPr>
            <w:r>
              <w:rPr>
                <w:rFonts w:hint="eastAsia" w:ascii="宋体" w:hAnsi="宋体"/>
                <w:color w:val="auto"/>
                <w:sz w:val="22"/>
                <w:highlight w:val="none"/>
              </w:rPr>
              <w:t>油漆、乳胶漆、涂料（反射隔热涂料、真石漆等）、腻子粉</w:t>
            </w:r>
          </w:p>
        </w:tc>
        <w:tc>
          <w:tcPr>
            <w:tcW w:w="2970" w:type="dxa"/>
            <w:tcBorders>
              <w:top w:val="single" w:color="auto" w:sz="6" w:space="0"/>
              <w:left w:val="single" w:color="auto" w:sz="6" w:space="0"/>
              <w:bottom w:val="single" w:color="auto" w:sz="6" w:space="0"/>
              <w:right w:val="single" w:color="auto" w:sz="6" w:space="0"/>
            </w:tcBorders>
            <w:vAlign w:val="center"/>
          </w:tcPr>
          <w:p w14:paraId="5E08A7CB">
            <w:pPr>
              <w:rPr>
                <w:rFonts w:ascii="宋体" w:hAnsi="宋体"/>
                <w:color w:val="auto"/>
                <w:sz w:val="22"/>
                <w:highlight w:val="none"/>
              </w:rPr>
            </w:pPr>
            <w:r>
              <w:rPr>
                <w:rFonts w:hint="eastAsia" w:ascii="宋体" w:hAnsi="宋体"/>
                <w:color w:val="auto"/>
                <w:sz w:val="22"/>
                <w:highlight w:val="none"/>
              </w:rPr>
              <w:t>立邦、多乐士、华润、本杰明</w:t>
            </w:r>
          </w:p>
        </w:tc>
        <w:tc>
          <w:tcPr>
            <w:tcW w:w="1549" w:type="dxa"/>
            <w:tcBorders>
              <w:top w:val="single" w:color="auto" w:sz="6" w:space="0"/>
              <w:left w:val="single" w:color="auto" w:sz="6" w:space="0"/>
              <w:bottom w:val="single" w:color="auto" w:sz="6" w:space="0"/>
              <w:right w:val="single" w:color="auto" w:sz="6" w:space="0"/>
            </w:tcBorders>
            <w:vAlign w:val="center"/>
          </w:tcPr>
          <w:p w14:paraId="42C153A9">
            <w:pPr>
              <w:rPr>
                <w:rFonts w:ascii="宋体" w:hAnsi="宋体"/>
                <w:color w:val="auto"/>
                <w:sz w:val="22"/>
                <w:highlight w:val="none"/>
              </w:rPr>
            </w:pPr>
            <w:r>
              <w:rPr>
                <w:rFonts w:hint="eastAsia" w:ascii="宋体" w:hAnsi="宋体"/>
                <w:color w:val="auto"/>
                <w:sz w:val="22"/>
                <w:highlight w:val="none"/>
              </w:rPr>
              <w:t>或相当于</w:t>
            </w:r>
          </w:p>
        </w:tc>
      </w:tr>
      <w:tr w14:paraId="72B81A5E">
        <w:tblPrEx>
          <w:tblCellMar>
            <w:top w:w="0" w:type="dxa"/>
            <w:left w:w="108" w:type="dxa"/>
            <w:bottom w:w="0" w:type="dxa"/>
            <w:right w:w="108" w:type="dxa"/>
          </w:tblCellMar>
        </w:tblPrEx>
        <w:trPr>
          <w:trHeight w:val="618" w:hRule="atLeast"/>
        </w:trPr>
        <w:tc>
          <w:tcPr>
            <w:tcW w:w="580" w:type="dxa"/>
            <w:tcBorders>
              <w:top w:val="single" w:color="auto" w:sz="6" w:space="0"/>
              <w:left w:val="single" w:color="auto" w:sz="6" w:space="0"/>
              <w:bottom w:val="single" w:color="auto" w:sz="6" w:space="0"/>
              <w:right w:val="single" w:color="auto" w:sz="6" w:space="0"/>
            </w:tcBorders>
            <w:vAlign w:val="center"/>
          </w:tcPr>
          <w:p w14:paraId="3DBA1B56">
            <w:pPr>
              <w:rPr>
                <w:rFonts w:ascii="宋体" w:hAnsi="宋体"/>
                <w:color w:val="auto"/>
                <w:sz w:val="22"/>
                <w:highlight w:val="none"/>
              </w:rPr>
            </w:pPr>
            <w:r>
              <w:rPr>
                <w:rFonts w:hint="eastAsia" w:ascii="宋体" w:hAnsi="宋体"/>
                <w:color w:val="auto"/>
                <w:sz w:val="22"/>
                <w:highlight w:val="none"/>
              </w:rPr>
              <w:t>7</w:t>
            </w:r>
          </w:p>
        </w:tc>
        <w:tc>
          <w:tcPr>
            <w:tcW w:w="3261" w:type="dxa"/>
            <w:tcBorders>
              <w:top w:val="single" w:color="auto" w:sz="6" w:space="0"/>
              <w:left w:val="single" w:color="auto" w:sz="6" w:space="0"/>
              <w:bottom w:val="single" w:color="auto" w:sz="6" w:space="0"/>
              <w:right w:val="single" w:color="auto" w:sz="6" w:space="0"/>
            </w:tcBorders>
            <w:vAlign w:val="center"/>
          </w:tcPr>
          <w:p w14:paraId="705F58BD">
            <w:pPr>
              <w:rPr>
                <w:rFonts w:ascii="宋体" w:hAnsi="宋体"/>
                <w:color w:val="auto"/>
                <w:sz w:val="22"/>
                <w:highlight w:val="none"/>
              </w:rPr>
            </w:pPr>
            <w:r>
              <w:rPr>
                <w:rFonts w:hint="eastAsia" w:ascii="宋体" w:hAnsi="宋体"/>
                <w:color w:val="auto"/>
                <w:sz w:val="22"/>
                <w:highlight w:val="none"/>
              </w:rPr>
              <w:t>免漆板、细木工板、人造板等板材</w:t>
            </w:r>
          </w:p>
        </w:tc>
        <w:tc>
          <w:tcPr>
            <w:tcW w:w="2970" w:type="dxa"/>
            <w:tcBorders>
              <w:top w:val="single" w:color="auto" w:sz="6" w:space="0"/>
              <w:left w:val="single" w:color="auto" w:sz="6" w:space="0"/>
              <w:bottom w:val="single" w:color="auto" w:sz="6" w:space="0"/>
              <w:right w:val="single" w:color="auto" w:sz="6" w:space="0"/>
            </w:tcBorders>
            <w:vAlign w:val="center"/>
          </w:tcPr>
          <w:p w14:paraId="0892C660">
            <w:pPr>
              <w:rPr>
                <w:rFonts w:ascii="宋体" w:hAnsi="宋体"/>
                <w:color w:val="auto"/>
                <w:sz w:val="22"/>
                <w:highlight w:val="none"/>
              </w:rPr>
            </w:pPr>
            <w:r>
              <w:rPr>
                <w:rFonts w:hint="eastAsia" w:ascii="宋体" w:hAnsi="宋体"/>
                <w:color w:val="auto"/>
                <w:sz w:val="22"/>
                <w:highlight w:val="none"/>
              </w:rPr>
              <w:t>兔宝宝、千年舟、莫干山</w:t>
            </w:r>
          </w:p>
        </w:tc>
        <w:tc>
          <w:tcPr>
            <w:tcW w:w="1549" w:type="dxa"/>
            <w:tcBorders>
              <w:top w:val="single" w:color="auto" w:sz="6" w:space="0"/>
              <w:left w:val="single" w:color="auto" w:sz="6" w:space="0"/>
              <w:bottom w:val="single" w:color="auto" w:sz="6" w:space="0"/>
              <w:right w:val="single" w:color="auto" w:sz="6" w:space="0"/>
            </w:tcBorders>
            <w:vAlign w:val="center"/>
          </w:tcPr>
          <w:p w14:paraId="3E27579B">
            <w:pPr>
              <w:rPr>
                <w:rFonts w:ascii="宋体" w:hAnsi="宋体"/>
                <w:color w:val="auto"/>
                <w:sz w:val="22"/>
                <w:highlight w:val="none"/>
              </w:rPr>
            </w:pPr>
            <w:r>
              <w:rPr>
                <w:rFonts w:hint="eastAsia" w:ascii="宋体" w:hAnsi="宋体"/>
                <w:color w:val="auto"/>
                <w:sz w:val="22"/>
                <w:highlight w:val="none"/>
              </w:rPr>
              <w:t>或相当于</w:t>
            </w:r>
          </w:p>
        </w:tc>
      </w:tr>
      <w:tr w14:paraId="0A96298F">
        <w:tblPrEx>
          <w:tblCellMar>
            <w:top w:w="0" w:type="dxa"/>
            <w:left w:w="108" w:type="dxa"/>
            <w:bottom w:w="0" w:type="dxa"/>
            <w:right w:w="108" w:type="dxa"/>
          </w:tblCellMar>
        </w:tblPrEx>
        <w:trPr>
          <w:trHeight w:val="618" w:hRule="atLeast"/>
        </w:trPr>
        <w:tc>
          <w:tcPr>
            <w:tcW w:w="580" w:type="dxa"/>
            <w:tcBorders>
              <w:top w:val="single" w:color="auto" w:sz="6" w:space="0"/>
              <w:left w:val="single" w:color="auto" w:sz="6" w:space="0"/>
              <w:bottom w:val="single" w:color="auto" w:sz="6" w:space="0"/>
              <w:right w:val="single" w:color="auto" w:sz="6" w:space="0"/>
            </w:tcBorders>
            <w:vAlign w:val="center"/>
          </w:tcPr>
          <w:p w14:paraId="04F89368">
            <w:pPr>
              <w:rPr>
                <w:rFonts w:ascii="宋体" w:hAnsi="宋体"/>
                <w:color w:val="auto"/>
                <w:sz w:val="22"/>
                <w:highlight w:val="none"/>
              </w:rPr>
            </w:pPr>
            <w:r>
              <w:rPr>
                <w:rFonts w:hint="eastAsia" w:ascii="宋体" w:hAnsi="宋体"/>
                <w:color w:val="auto"/>
                <w:sz w:val="22"/>
                <w:highlight w:val="none"/>
              </w:rPr>
              <w:t>8</w:t>
            </w:r>
          </w:p>
        </w:tc>
        <w:tc>
          <w:tcPr>
            <w:tcW w:w="3261" w:type="dxa"/>
            <w:tcBorders>
              <w:top w:val="single" w:color="auto" w:sz="6" w:space="0"/>
              <w:left w:val="single" w:color="auto" w:sz="6" w:space="0"/>
              <w:bottom w:val="single" w:color="auto" w:sz="6" w:space="0"/>
              <w:right w:val="single" w:color="auto" w:sz="6" w:space="0"/>
            </w:tcBorders>
            <w:vAlign w:val="center"/>
          </w:tcPr>
          <w:p w14:paraId="288D4DBF">
            <w:pPr>
              <w:rPr>
                <w:rFonts w:ascii="宋体" w:hAnsi="宋体"/>
                <w:color w:val="auto"/>
                <w:sz w:val="22"/>
                <w:highlight w:val="none"/>
              </w:rPr>
            </w:pPr>
            <w:r>
              <w:rPr>
                <w:rFonts w:hint="eastAsia" w:ascii="宋体" w:hAnsi="宋体"/>
                <w:color w:val="auto"/>
                <w:sz w:val="22"/>
                <w:highlight w:val="none"/>
              </w:rPr>
              <w:t>挤塑保温板</w:t>
            </w:r>
          </w:p>
        </w:tc>
        <w:tc>
          <w:tcPr>
            <w:tcW w:w="2970" w:type="dxa"/>
            <w:tcBorders>
              <w:top w:val="single" w:color="auto" w:sz="6" w:space="0"/>
              <w:left w:val="single" w:color="auto" w:sz="6" w:space="0"/>
              <w:bottom w:val="single" w:color="auto" w:sz="6" w:space="0"/>
              <w:right w:val="single" w:color="auto" w:sz="6" w:space="0"/>
            </w:tcBorders>
            <w:vAlign w:val="center"/>
          </w:tcPr>
          <w:p w14:paraId="3FAABB9D">
            <w:pPr>
              <w:rPr>
                <w:rFonts w:ascii="宋体" w:hAnsi="宋体"/>
                <w:color w:val="auto"/>
                <w:sz w:val="22"/>
                <w:highlight w:val="none"/>
              </w:rPr>
            </w:pPr>
            <w:r>
              <w:rPr>
                <w:rFonts w:hint="eastAsia" w:ascii="宋体" w:hAnsi="宋体"/>
                <w:color w:val="auto"/>
                <w:sz w:val="22"/>
                <w:highlight w:val="none"/>
              </w:rPr>
              <w:t>白云、泰戈、北鹏</w:t>
            </w:r>
          </w:p>
        </w:tc>
        <w:tc>
          <w:tcPr>
            <w:tcW w:w="1549" w:type="dxa"/>
            <w:tcBorders>
              <w:top w:val="single" w:color="auto" w:sz="6" w:space="0"/>
              <w:left w:val="single" w:color="auto" w:sz="6" w:space="0"/>
              <w:bottom w:val="single" w:color="auto" w:sz="6" w:space="0"/>
              <w:right w:val="single" w:color="auto" w:sz="6" w:space="0"/>
            </w:tcBorders>
            <w:vAlign w:val="center"/>
          </w:tcPr>
          <w:p w14:paraId="4CF75164">
            <w:pPr>
              <w:rPr>
                <w:rFonts w:ascii="宋体" w:hAnsi="宋体"/>
                <w:color w:val="auto"/>
                <w:sz w:val="22"/>
                <w:highlight w:val="none"/>
              </w:rPr>
            </w:pPr>
            <w:r>
              <w:rPr>
                <w:rFonts w:hint="eastAsia" w:ascii="宋体" w:hAnsi="宋体"/>
                <w:color w:val="auto"/>
                <w:sz w:val="22"/>
                <w:highlight w:val="none"/>
              </w:rPr>
              <w:t>或相当于</w:t>
            </w:r>
          </w:p>
        </w:tc>
      </w:tr>
      <w:tr w14:paraId="45D167A2">
        <w:tblPrEx>
          <w:tblCellMar>
            <w:top w:w="0" w:type="dxa"/>
            <w:left w:w="108" w:type="dxa"/>
            <w:bottom w:w="0" w:type="dxa"/>
            <w:right w:w="108" w:type="dxa"/>
          </w:tblCellMar>
        </w:tblPrEx>
        <w:trPr>
          <w:trHeight w:val="618" w:hRule="atLeast"/>
        </w:trPr>
        <w:tc>
          <w:tcPr>
            <w:tcW w:w="580" w:type="dxa"/>
            <w:tcBorders>
              <w:top w:val="single" w:color="auto" w:sz="6" w:space="0"/>
              <w:left w:val="single" w:color="auto" w:sz="6" w:space="0"/>
              <w:bottom w:val="single" w:color="auto" w:sz="6" w:space="0"/>
              <w:right w:val="single" w:color="auto" w:sz="6" w:space="0"/>
            </w:tcBorders>
            <w:vAlign w:val="center"/>
          </w:tcPr>
          <w:p w14:paraId="5887949C">
            <w:pPr>
              <w:rPr>
                <w:rFonts w:ascii="宋体" w:hAnsi="宋体"/>
                <w:color w:val="auto"/>
                <w:sz w:val="22"/>
                <w:highlight w:val="none"/>
              </w:rPr>
            </w:pPr>
            <w:r>
              <w:rPr>
                <w:rFonts w:hint="eastAsia" w:ascii="宋体" w:hAnsi="宋体"/>
                <w:color w:val="auto"/>
                <w:sz w:val="22"/>
                <w:highlight w:val="none"/>
              </w:rPr>
              <w:t>9</w:t>
            </w:r>
          </w:p>
        </w:tc>
        <w:tc>
          <w:tcPr>
            <w:tcW w:w="3261" w:type="dxa"/>
            <w:tcBorders>
              <w:top w:val="single" w:color="auto" w:sz="6" w:space="0"/>
              <w:left w:val="single" w:color="auto" w:sz="6" w:space="0"/>
              <w:bottom w:val="single" w:color="auto" w:sz="6" w:space="0"/>
              <w:right w:val="single" w:color="auto" w:sz="6" w:space="0"/>
            </w:tcBorders>
            <w:vAlign w:val="center"/>
          </w:tcPr>
          <w:p w14:paraId="4B143D9E">
            <w:pPr>
              <w:rPr>
                <w:rFonts w:ascii="宋体" w:hAnsi="宋体"/>
                <w:color w:val="auto"/>
                <w:sz w:val="22"/>
                <w:highlight w:val="none"/>
              </w:rPr>
            </w:pPr>
            <w:r>
              <w:rPr>
                <w:color w:val="auto"/>
                <w:highlight w:val="none"/>
              </w:rPr>
              <w:t>保温砂浆</w:t>
            </w:r>
          </w:p>
        </w:tc>
        <w:tc>
          <w:tcPr>
            <w:tcW w:w="2970" w:type="dxa"/>
            <w:tcBorders>
              <w:top w:val="single" w:color="auto" w:sz="6" w:space="0"/>
              <w:left w:val="single" w:color="auto" w:sz="6" w:space="0"/>
              <w:bottom w:val="single" w:color="auto" w:sz="6" w:space="0"/>
              <w:right w:val="single" w:color="auto" w:sz="6" w:space="0"/>
            </w:tcBorders>
            <w:vAlign w:val="center"/>
          </w:tcPr>
          <w:p w14:paraId="6F248C19">
            <w:pPr>
              <w:rPr>
                <w:rFonts w:ascii="宋体" w:hAnsi="宋体"/>
                <w:color w:val="auto"/>
                <w:sz w:val="22"/>
                <w:highlight w:val="none"/>
              </w:rPr>
            </w:pPr>
            <w:r>
              <w:rPr>
                <w:color w:val="auto"/>
                <w:highlight w:val="none"/>
              </w:rPr>
              <w:t>竞超、恒福、方建科、大森</w:t>
            </w:r>
          </w:p>
        </w:tc>
        <w:tc>
          <w:tcPr>
            <w:tcW w:w="1549" w:type="dxa"/>
            <w:tcBorders>
              <w:top w:val="single" w:color="auto" w:sz="6" w:space="0"/>
              <w:left w:val="single" w:color="auto" w:sz="6" w:space="0"/>
              <w:bottom w:val="single" w:color="auto" w:sz="6" w:space="0"/>
              <w:right w:val="single" w:color="auto" w:sz="6" w:space="0"/>
            </w:tcBorders>
            <w:vAlign w:val="center"/>
          </w:tcPr>
          <w:p w14:paraId="7B7E4817">
            <w:pPr>
              <w:rPr>
                <w:rFonts w:ascii="宋体" w:hAnsi="宋体"/>
                <w:color w:val="auto"/>
                <w:sz w:val="22"/>
                <w:highlight w:val="none"/>
              </w:rPr>
            </w:pPr>
            <w:r>
              <w:rPr>
                <w:rFonts w:hint="eastAsia" w:ascii="宋体" w:hAnsi="宋体"/>
                <w:color w:val="auto"/>
                <w:sz w:val="22"/>
                <w:highlight w:val="none"/>
              </w:rPr>
              <w:t>或相当于</w:t>
            </w:r>
          </w:p>
        </w:tc>
      </w:tr>
      <w:tr w14:paraId="3A1C45FC">
        <w:tblPrEx>
          <w:tblCellMar>
            <w:top w:w="0" w:type="dxa"/>
            <w:left w:w="108" w:type="dxa"/>
            <w:bottom w:w="0" w:type="dxa"/>
            <w:right w:w="108" w:type="dxa"/>
          </w:tblCellMar>
        </w:tblPrEx>
        <w:trPr>
          <w:trHeight w:val="618" w:hRule="atLeast"/>
        </w:trPr>
        <w:tc>
          <w:tcPr>
            <w:tcW w:w="580" w:type="dxa"/>
            <w:tcBorders>
              <w:top w:val="single" w:color="auto" w:sz="6" w:space="0"/>
              <w:left w:val="single" w:color="auto" w:sz="6" w:space="0"/>
              <w:bottom w:val="single" w:color="auto" w:sz="6" w:space="0"/>
              <w:right w:val="single" w:color="auto" w:sz="6" w:space="0"/>
            </w:tcBorders>
            <w:vAlign w:val="center"/>
          </w:tcPr>
          <w:p w14:paraId="59CAD384">
            <w:pPr>
              <w:rPr>
                <w:rFonts w:ascii="宋体" w:hAnsi="宋体"/>
                <w:color w:val="auto"/>
                <w:sz w:val="22"/>
                <w:highlight w:val="none"/>
              </w:rPr>
            </w:pPr>
            <w:r>
              <w:rPr>
                <w:rFonts w:hint="eastAsia" w:ascii="宋体" w:hAnsi="宋体"/>
                <w:color w:val="auto"/>
                <w:sz w:val="22"/>
                <w:highlight w:val="none"/>
              </w:rPr>
              <w:t>10</w:t>
            </w:r>
          </w:p>
        </w:tc>
        <w:tc>
          <w:tcPr>
            <w:tcW w:w="3261" w:type="dxa"/>
            <w:tcBorders>
              <w:top w:val="single" w:color="auto" w:sz="6" w:space="0"/>
              <w:left w:val="single" w:color="auto" w:sz="6" w:space="0"/>
              <w:bottom w:val="single" w:color="auto" w:sz="6" w:space="0"/>
              <w:right w:val="single" w:color="auto" w:sz="6" w:space="0"/>
            </w:tcBorders>
            <w:vAlign w:val="center"/>
          </w:tcPr>
          <w:p w14:paraId="2CE06632">
            <w:pPr>
              <w:rPr>
                <w:rFonts w:ascii="宋体" w:hAnsi="宋体"/>
                <w:color w:val="auto"/>
                <w:sz w:val="22"/>
                <w:highlight w:val="none"/>
              </w:rPr>
            </w:pPr>
            <w:r>
              <w:rPr>
                <w:rFonts w:hint="eastAsia" w:ascii="宋体" w:hAnsi="宋体"/>
                <w:color w:val="auto"/>
                <w:sz w:val="22"/>
                <w:highlight w:val="none"/>
              </w:rPr>
              <w:t>成品木质防火门(含门锁、合页、闭门器、顺位器等所有五金配件)</w:t>
            </w:r>
          </w:p>
        </w:tc>
        <w:tc>
          <w:tcPr>
            <w:tcW w:w="2970" w:type="dxa"/>
            <w:tcBorders>
              <w:top w:val="single" w:color="auto" w:sz="6" w:space="0"/>
              <w:left w:val="single" w:color="auto" w:sz="6" w:space="0"/>
              <w:bottom w:val="single" w:color="auto" w:sz="6" w:space="0"/>
              <w:right w:val="single" w:color="auto" w:sz="6" w:space="0"/>
            </w:tcBorders>
            <w:vAlign w:val="center"/>
          </w:tcPr>
          <w:p w14:paraId="2C1C9E4C">
            <w:pPr>
              <w:rPr>
                <w:rFonts w:ascii="宋体" w:hAnsi="宋体"/>
                <w:color w:val="auto"/>
                <w:sz w:val="22"/>
                <w:highlight w:val="none"/>
              </w:rPr>
            </w:pPr>
            <w:r>
              <w:rPr>
                <w:rFonts w:hint="eastAsia" w:ascii="宋体" w:hAnsi="宋体"/>
                <w:color w:val="auto"/>
                <w:sz w:val="22"/>
                <w:highlight w:val="none"/>
              </w:rPr>
              <w:t>千秋、茗轩、通用、华泰</w:t>
            </w:r>
          </w:p>
        </w:tc>
        <w:tc>
          <w:tcPr>
            <w:tcW w:w="1549" w:type="dxa"/>
            <w:tcBorders>
              <w:top w:val="single" w:color="auto" w:sz="6" w:space="0"/>
              <w:left w:val="single" w:color="auto" w:sz="6" w:space="0"/>
              <w:bottom w:val="single" w:color="auto" w:sz="6" w:space="0"/>
              <w:right w:val="single" w:color="auto" w:sz="6" w:space="0"/>
            </w:tcBorders>
            <w:vAlign w:val="center"/>
          </w:tcPr>
          <w:p w14:paraId="525600A4">
            <w:pPr>
              <w:rPr>
                <w:rFonts w:ascii="宋体" w:hAnsi="宋体"/>
                <w:color w:val="auto"/>
                <w:sz w:val="22"/>
                <w:highlight w:val="none"/>
              </w:rPr>
            </w:pPr>
            <w:r>
              <w:rPr>
                <w:rFonts w:hint="eastAsia" w:ascii="宋体" w:hAnsi="宋体"/>
                <w:color w:val="auto"/>
                <w:sz w:val="22"/>
                <w:highlight w:val="none"/>
              </w:rPr>
              <w:t>或相当于</w:t>
            </w:r>
          </w:p>
        </w:tc>
      </w:tr>
      <w:tr w14:paraId="174826E5">
        <w:tblPrEx>
          <w:tblCellMar>
            <w:top w:w="0" w:type="dxa"/>
            <w:left w:w="108" w:type="dxa"/>
            <w:bottom w:w="0" w:type="dxa"/>
            <w:right w:w="108" w:type="dxa"/>
          </w:tblCellMar>
        </w:tblPrEx>
        <w:trPr>
          <w:trHeight w:val="618" w:hRule="atLeast"/>
        </w:trPr>
        <w:tc>
          <w:tcPr>
            <w:tcW w:w="580" w:type="dxa"/>
            <w:tcBorders>
              <w:top w:val="single" w:color="auto" w:sz="6" w:space="0"/>
              <w:left w:val="single" w:color="auto" w:sz="6" w:space="0"/>
              <w:bottom w:val="single" w:color="auto" w:sz="6" w:space="0"/>
              <w:right w:val="single" w:color="auto" w:sz="6" w:space="0"/>
            </w:tcBorders>
            <w:vAlign w:val="center"/>
          </w:tcPr>
          <w:p w14:paraId="4B2270F3">
            <w:pPr>
              <w:rPr>
                <w:rFonts w:ascii="宋体" w:hAnsi="宋体"/>
                <w:color w:val="auto"/>
                <w:sz w:val="22"/>
                <w:highlight w:val="none"/>
              </w:rPr>
            </w:pPr>
            <w:r>
              <w:rPr>
                <w:rFonts w:hint="eastAsia" w:ascii="宋体" w:hAnsi="宋体"/>
                <w:color w:val="auto"/>
                <w:sz w:val="22"/>
                <w:highlight w:val="none"/>
              </w:rPr>
              <w:t>11</w:t>
            </w:r>
          </w:p>
        </w:tc>
        <w:tc>
          <w:tcPr>
            <w:tcW w:w="3261" w:type="dxa"/>
            <w:tcBorders>
              <w:top w:val="single" w:color="auto" w:sz="6" w:space="0"/>
              <w:left w:val="single" w:color="auto" w:sz="6" w:space="0"/>
              <w:bottom w:val="single" w:color="auto" w:sz="6" w:space="0"/>
              <w:right w:val="single" w:color="auto" w:sz="6" w:space="0"/>
            </w:tcBorders>
            <w:vAlign w:val="center"/>
          </w:tcPr>
          <w:p w14:paraId="73DB85F2">
            <w:pPr>
              <w:rPr>
                <w:rFonts w:ascii="宋体" w:hAnsi="宋体"/>
                <w:color w:val="auto"/>
                <w:sz w:val="22"/>
                <w:highlight w:val="none"/>
              </w:rPr>
            </w:pPr>
            <w:r>
              <w:rPr>
                <w:rFonts w:hint="eastAsia" w:ascii="宋体" w:hAnsi="宋体"/>
                <w:color w:val="auto"/>
                <w:sz w:val="22"/>
                <w:highlight w:val="none"/>
              </w:rPr>
              <w:t>PVC塑料地板</w:t>
            </w:r>
          </w:p>
        </w:tc>
        <w:tc>
          <w:tcPr>
            <w:tcW w:w="2970" w:type="dxa"/>
            <w:tcBorders>
              <w:top w:val="single" w:color="auto" w:sz="6" w:space="0"/>
              <w:left w:val="single" w:color="auto" w:sz="6" w:space="0"/>
              <w:bottom w:val="single" w:color="auto" w:sz="6" w:space="0"/>
              <w:right w:val="single" w:color="auto" w:sz="6" w:space="0"/>
            </w:tcBorders>
            <w:vAlign w:val="center"/>
          </w:tcPr>
          <w:p w14:paraId="4C288EDD">
            <w:pPr>
              <w:rPr>
                <w:rFonts w:ascii="宋体" w:hAnsi="宋体"/>
                <w:color w:val="auto"/>
                <w:sz w:val="22"/>
                <w:highlight w:val="none"/>
              </w:rPr>
            </w:pPr>
            <w:r>
              <w:rPr>
                <w:rFonts w:hint="eastAsia" w:ascii="宋体" w:hAnsi="宋体"/>
                <w:color w:val="auto"/>
                <w:sz w:val="22"/>
                <w:highlight w:val="none"/>
              </w:rPr>
              <w:t>博凯、美莱尔、艾琪尔、LG</w:t>
            </w:r>
          </w:p>
        </w:tc>
        <w:tc>
          <w:tcPr>
            <w:tcW w:w="1549" w:type="dxa"/>
            <w:tcBorders>
              <w:top w:val="single" w:color="auto" w:sz="6" w:space="0"/>
              <w:left w:val="single" w:color="auto" w:sz="6" w:space="0"/>
              <w:bottom w:val="single" w:color="auto" w:sz="6" w:space="0"/>
              <w:right w:val="single" w:color="auto" w:sz="6" w:space="0"/>
            </w:tcBorders>
            <w:vAlign w:val="center"/>
          </w:tcPr>
          <w:p w14:paraId="49E6AA52">
            <w:pPr>
              <w:rPr>
                <w:rFonts w:ascii="宋体" w:hAnsi="宋体"/>
                <w:color w:val="auto"/>
                <w:sz w:val="22"/>
                <w:highlight w:val="none"/>
              </w:rPr>
            </w:pPr>
            <w:r>
              <w:rPr>
                <w:rFonts w:hint="eastAsia" w:ascii="宋体" w:hAnsi="宋体"/>
                <w:color w:val="auto"/>
                <w:sz w:val="22"/>
                <w:highlight w:val="none"/>
              </w:rPr>
              <w:t>或相当于</w:t>
            </w:r>
          </w:p>
        </w:tc>
      </w:tr>
      <w:tr w14:paraId="00E34105">
        <w:tblPrEx>
          <w:tblCellMar>
            <w:top w:w="0" w:type="dxa"/>
            <w:left w:w="108" w:type="dxa"/>
            <w:bottom w:w="0" w:type="dxa"/>
            <w:right w:w="108" w:type="dxa"/>
          </w:tblCellMar>
        </w:tblPrEx>
        <w:trPr>
          <w:trHeight w:val="618" w:hRule="atLeast"/>
        </w:trPr>
        <w:tc>
          <w:tcPr>
            <w:tcW w:w="580" w:type="dxa"/>
            <w:tcBorders>
              <w:top w:val="single" w:color="auto" w:sz="6" w:space="0"/>
              <w:left w:val="single" w:color="auto" w:sz="6" w:space="0"/>
              <w:bottom w:val="single" w:color="auto" w:sz="6" w:space="0"/>
              <w:right w:val="single" w:color="auto" w:sz="6" w:space="0"/>
            </w:tcBorders>
            <w:vAlign w:val="center"/>
          </w:tcPr>
          <w:p w14:paraId="5D656660">
            <w:pPr>
              <w:rPr>
                <w:rFonts w:ascii="宋体" w:hAnsi="宋体"/>
                <w:color w:val="auto"/>
                <w:sz w:val="22"/>
                <w:highlight w:val="none"/>
              </w:rPr>
            </w:pPr>
            <w:r>
              <w:rPr>
                <w:rFonts w:hint="eastAsia" w:ascii="宋体" w:hAnsi="宋体"/>
                <w:color w:val="auto"/>
                <w:sz w:val="22"/>
                <w:highlight w:val="none"/>
              </w:rPr>
              <w:t>12</w:t>
            </w:r>
          </w:p>
        </w:tc>
        <w:tc>
          <w:tcPr>
            <w:tcW w:w="3261" w:type="dxa"/>
            <w:tcBorders>
              <w:top w:val="single" w:color="auto" w:sz="6" w:space="0"/>
              <w:left w:val="single" w:color="auto" w:sz="6" w:space="0"/>
              <w:bottom w:val="single" w:color="auto" w:sz="6" w:space="0"/>
              <w:right w:val="single" w:color="auto" w:sz="6" w:space="0"/>
            </w:tcBorders>
            <w:vAlign w:val="center"/>
          </w:tcPr>
          <w:p w14:paraId="7C10A864">
            <w:pPr>
              <w:rPr>
                <w:rFonts w:ascii="宋体" w:hAnsi="宋体"/>
                <w:color w:val="auto"/>
                <w:sz w:val="22"/>
                <w:highlight w:val="none"/>
              </w:rPr>
            </w:pPr>
            <w:r>
              <w:rPr>
                <w:rFonts w:hint="eastAsia" w:ascii="宋体" w:hAnsi="宋体"/>
                <w:color w:val="auto"/>
                <w:sz w:val="22"/>
                <w:highlight w:val="none"/>
              </w:rPr>
              <w:t>防水卷材和防水涂料</w:t>
            </w:r>
          </w:p>
        </w:tc>
        <w:tc>
          <w:tcPr>
            <w:tcW w:w="2970" w:type="dxa"/>
            <w:tcBorders>
              <w:top w:val="single" w:color="auto" w:sz="6" w:space="0"/>
              <w:left w:val="single" w:color="auto" w:sz="6" w:space="0"/>
              <w:bottom w:val="single" w:color="auto" w:sz="6" w:space="0"/>
              <w:right w:val="single" w:color="auto" w:sz="6" w:space="0"/>
            </w:tcBorders>
            <w:vAlign w:val="center"/>
          </w:tcPr>
          <w:p w14:paraId="39DCA082">
            <w:pPr>
              <w:rPr>
                <w:rFonts w:ascii="宋体" w:hAnsi="宋体"/>
                <w:color w:val="auto"/>
                <w:sz w:val="22"/>
                <w:highlight w:val="none"/>
              </w:rPr>
            </w:pPr>
            <w:r>
              <w:rPr>
                <w:rFonts w:hint="eastAsia" w:ascii="宋体" w:hAnsi="宋体"/>
                <w:color w:val="auto"/>
                <w:sz w:val="22"/>
                <w:highlight w:val="none"/>
              </w:rPr>
              <w:t>东方雨虹、科顺、淮坊宇虹</w:t>
            </w:r>
          </w:p>
        </w:tc>
        <w:tc>
          <w:tcPr>
            <w:tcW w:w="1549" w:type="dxa"/>
            <w:tcBorders>
              <w:top w:val="single" w:color="auto" w:sz="6" w:space="0"/>
              <w:left w:val="single" w:color="auto" w:sz="6" w:space="0"/>
              <w:bottom w:val="single" w:color="auto" w:sz="6" w:space="0"/>
              <w:right w:val="single" w:color="auto" w:sz="6" w:space="0"/>
            </w:tcBorders>
            <w:vAlign w:val="center"/>
          </w:tcPr>
          <w:p w14:paraId="166476DD">
            <w:pPr>
              <w:rPr>
                <w:rFonts w:ascii="宋体" w:hAnsi="宋体"/>
                <w:color w:val="auto"/>
                <w:sz w:val="22"/>
                <w:highlight w:val="none"/>
              </w:rPr>
            </w:pPr>
            <w:r>
              <w:rPr>
                <w:rFonts w:hint="eastAsia" w:ascii="宋体" w:hAnsi="宋体"/>
                <w:color w:val="auto"/>
                <w:sz w:val="22"/>
                <w:highlight w:val="none"/>
              </w:rPr>
              <w:t>或相当于</w:t>
            </w:r>
          </w:p>
        </w:tc>
      </w:tr>
      <w:tr w14:paraId="05508009">
        <w:tblPrEx>
          <w:tblCellMar>
            <w:top w:w="0" w:type="dxa"/>
            <w:left w:w="108" w:type="dxa"/>
            <w:bottom w:w="0" w:type="dxa"/>
            <w:right w:w="108" w:type="dxa"/>
          </w:tblCellMar>
        </w:tblPrEx>
        <w:trPr>
          <w:trHeight w:val="618" w:hRule="atLeast"/>
        </w:trPr>
        <w:tc>
          <w:tcPr>
            <w:tcW w:w="580" w:type="dxa"/>
            <w:tcBorders>
              <w:top w:val="single" w:color="auto" w:sz="6" w:space="0"/>
              <w:left w:val="single" w:color="auto" w:sz="6" w:space="0"/>
              <w:bottom w:val="single" w:color="auto" w:sz="6" w:space="0"/>
              <w:right w:val="single" w:color="auto" w:sz="6" w:space="0"/>
            </w:tcBorders>
            <w:vAlign w:val="center"/>
          </w:tcPr>
          <w:p w14:paraId="525C0D8B">
            <w:pPr>
              <w:rPr>
                <w:rFonts w:ascii="宋体" w:hAnsi="宋体"/>
                <w:color w:val="auto"/>
                <w:sz w:val="22"/>
                <w:highlight w:val="none"/>
              </w:rPr>
            </w:pPr>
            <w:r>
              <w:rPr>
                <w:rFonts w:hint="eastAsia" w:ascii="宋体" w:hAnsi="宋体"/>
                <w:color w:val="auto"/>
                <w:sz w:val="22"/>
                <w:highlight w:val="none"/>
              </w:rPr>
              <w:t>13</w:t>
            </w:r>
          </w:p>
        </w:tc>
        <w:tc>
          <w:tcPr>
            <w:tcW w:w="3261" w:type="dxa"/>
            <w:tcBorders>
              <w:top w:val="single" w:color="auto" w:sz="6" w:space="0"/>
              <w:left w:val="single" w:color="auto" w:sz="6" w:space="0"/>
              <w:bottom w:val="single" w:color="auto" w:sz="6" w:space="0"/>
              <w:right w:val="single" w:color="auto" w:sz="6" w:space="0"/>
            </w:tcBorders>
            <w:vAlign w:val="center"/>
          </w:tcPr>
          <w:p w14:paraId="6B81E428">
            <w:pPr>
              <w:rPr>
                <w:rFonts w:ascii="宋体" w:hAnsi="宋体"/>
                <w:color w:val="auto"/>
                <w:sz w:val="22"/>
                <w:highlight w:val="none"/>
              </w:rPr>
            </w:pPr>
            <w:r>
              <w:rPr>
                <w:rFonts w:hint="eastAsia" w:ascii="宋体" w:hAnsi="宋体"/>
                <w:color w:val="auto"/>
                <w:sz w:val="22"/>
                <w:highlight w:val="none"/>
              </w:rPr>
              <w:t>镀锌钢管、焊接钢管、不锈钢塑管</w:t>
            </w:r>
          </w:p>
        </w:tc>
        <w:tc>
          <w:tcPr>
            <w:tcW w:w="2970" w:type="dxa"/>
            <w:tcBorders>
              <w:top w:val="single" w:color="auto" w:sz="6" w:space="0"/>
              <w:left w:val="single" w:color="auto" w:sz="6" w:space="0"/>
              <w:bottom w:val="single" w:color="auto" w:sz="6" w:space="0"/>
              <w:right w:val="single" w:color="auto" w:sz="6" w:space="0"/>
            </w:tcBorders>
            <w:vAlign w:val="center"/>
          </w:tcPr>
          <w:p w14:paraId="6CEB44FD">
            <w:pPr>
              <w:rPr>
                <w:rFonts w:ascii="宋体" w:hAnsi="宋体"/>
                <w:color w:val="auto"/>
                <w:sz w:val="22"/>
                <w:highlight w:val="none"/>
              </w:rPr>
            </w:pPr>
            <w:r>
              <w:rPr>
                <w:rFonts w:hint="eastAsia" w:ascii="宋体" w:hAnsi="宋体"/>
                <w:color w:val="auto"/>
                <w:sz w:val="22"/>
                <w:highlight w:val="none"/>
              </w:rPr>
              <w:t>天津利达、浙江金洲、上钢</w:t>
            </w:r>
          </w:p>
        </w:tc>
        <w:tc>
          <w:tcPr>
            <w:tcW w:w="1549" w:type="dxa"/>
            <w:tcBorders>
              <w:top w:val="single" w:color="auto" w:sz="6" w:space="0"/>
              <w:left w:val="single" w:color="auto" w:sz="6" w:space="0"/>
              <w:bottom w:val="single" w:color="auto" w:sz="6" w:space="0"/>
              <w:right w:val="single" w:color="auto" w:sz="6" w:space="0"/>
            </w:tcBorders>
            <w:vAlign w:val="center"/>
          </w:tcPr>
          <w:p w14:paraId="31B44BAA">
            <w:pPr>
              <w:rPr>
                <w:rFonts w:ascii="宋体" w:hAnsi="宋体"/>
                <w:color w:val="auto"/>
                <w:sz w:val="22"/>
                <w:highlight w:val="none"/>
              </w:rPr>
            </w:pPr>
            <w:r>
              <w:rPr>
                <w:rFonts w:hint="eastAsia" w:ascii="宋体" w:hAnsi="宋体"/>
                <w:color w:val="auto"/>
                <w:sz w:val="22"/>
                <w:highlight w:val="none"/>
              </w:rPr>
              <w:t>或相当于</w:t>
            </w:r>
          </w:p>
        </w:tc>
      </w:tr>
      <w:tr w14:paraId="1A8AAEA6">
        <w:tblPrEx>
          <w:tblCellMar>
            <w:top w:w="0" w:type="dxa"/>
            <w:left w:w="108" w:type="dxa"/>
            <w:bottom w:w="0" w:type="dxa"/>
            <w:right w:w="108" w:type="dxa"/>
          </w:tblCellMar>
        </w:tblPrEx>
        <w:trPr>
          <w:trHeight w:val="618" w:hRule="atLeast"/>
        </w:trPr>
        <w:tc>
          <w:tcPr>
            <w:tcW w:w="580" w:type="dxa"/>
            <w:tcBorders>
              <w:top w:val="single" w:color="auto" w:sz="6" w:space="0"/>
              <w:left w:val="single" w:color="auto" w:sz="6" w:space="0"/>
              <w:bottom w:val="single" w:color="auto" w:sz="6" w:space="0"/>
              <w:right w:val="single" w:color="auto" w:sz="6" w:space="0"/>
            </w:tcBorders>
            <w:vAlign w:val="center"/>
          </w:tcPr>
          <w:p w14:paraId="2DC19BC5">
            <w:pPr>
              <w:rPr>
                <w:rFonts w:ascii="宋体" w:hAnsi="宋体"/>
                <w:color w:val="auto"/>
                <w:sz w:val="22"/>
                <w:highlight w:val="none"/>
              </w:rPr>
            </w:pPr>
            <w:r>
              <w:rPr>
                <w:rFonts w:hint="eastAsia" w:ascii="宋体" w:hAnsi="宋体"/>
                <w:color w:val="auto"/>
                <w:sz w:val="22"/>
                <w:highlight w:val="none"/>
              </w:rPr>
              <w:t>14</w:t>
            </w:r>
          </w:p>
        </w:tc>
        <w:tc>
          <w:tcPr>
            <w:tcW w:w="3261" w:type="dxa"/>
            <w:tcBorders>
              <w:top w:val="single" w:color="auto" w:sz="6" w:space="0"/>
              <w:left w:val="single" w:color="auto" w:sz="6" w:space="0"/>
              <w:bottom w:val="single" w:color="auto" w:sz="6" w:space="0"/>
              <w:right w:val="single" w:color="auto" w:sz="6" w:space="0"/>
            </w:tcBorders>
            <w:vAlign w:val="center"/>
          </w:tcPr>
          <w:p w14:paraId="5B02F4C8">
            <w:pPr>
              <w:rPr>
                <w:rFonts w:ascii="宋体" w:hAnsi="宋体"/>
                <w:color w:val="auto"/>
                <w:sz w:val="22"/>
                <w:highlight w:val="none"/>
              </w:rPr>
            </w:pPr>
            <w:r>
              <w:rPr>
                <w:rFonts w:hint="eastAsia" w:ascii="宋体" w:hAnsi="宋体"/>
                <w:color w:val="auto"/>
                <w:sz w:val="22"/>
                <w:highlight w:val="none"/>
              </w:rPr>
              <w:t>给排水管材</w:t>
            </w:r>
          </w:p>
        </w:tc>
        <w:tc>
          <w:tcPr>
            <w:tcW w:w="2970" w:type="dxa"/>
            <w:tcBorders>
              <w:top w:val="single" w:color="auto" w:sz="6" w:space="0"/>
              <w:left w:val="single" w:color="auto" w:sz="6" w:space="0"/>
              <w:bottom w:val="single" w:color="auto" w:sz="6" w:space="0"/>
              <w:right w:val="single" w:color="auto" w:sz="6" w:space="0"/>
            </w:tcBorders>
            <w:vAlign w:val="center"/>
          </w:tcPr>
          <w:p w14:paraId="43A2D763">
            <w:pPr>
              <w:rPr>
                <w:rFonts w:ascii="宋体" w:hAnsi="宋体"/>
                <w:color w:val="auto"/>
                <w:sz w:val="22"/>
                <w:highlight w:val="none"/>
              </w:rPr>
            </w:pPr>
            <w:r>
              <w:rPr>
                <w:rFonts w:hint="eastAsia" w:ascii="宋体" w:hAnsi="宋体"/>
                <w:color w:val="auto"/>
                <w:sz w:val="22"/>
                <w:highlight w:val="none"/>
              </w:rPr>
              <w:t>伟星、公元、中财</w:t>
            </w:r>
          </w:p>
        </w:tc>
        <w:tc>
          <w:tcPr>
            <w:tcW w:w="1549" w:type="dxa"/>
            <w:tcBorders>
              <w:top w:val="single" w:color="auto" w:sz="6" w:space="0"/>
              <w:left w:val="single" w:color="auto" w:sz="6" w:space="0"/>
              <w:bottom w:val="single" w:color="auto" w:sz="6" w:space="0"/>
              <w:right w:val="single" w:color="auto" w:sz="6" w:space="0"/>
            </w:tcBorders>
            <w:vAlign w:val="center"/>
          </w:tcPr>
          <w:p w14:paraId="7A76B65F">
            <w:pPr>
              <w:rPr>
                <w:rFonts w:ascii="宋体" w:hAnsi="宋体"/>
                <w:color w:val="auto"/>
                <w:sz w:val="22"/>
                <w:highlight w:val="none"/>
              </w:rPr>
            </w:pPr>
            <w:r>
              <w:rPr>
                <w:rFonts w:hint="eastAsia" w:ascii="宋体" w:hAnsi="宋体"/>
                <w:color w:val="auto"/>
                <w:sz w:val="22"/>
                <w:highlight w:val="none"/>
              </w:rPr>
              <w:t>或相当于</w:t>
            </w:r>
          </w:p>
        </w:tc>
      </w:tr>
      <w:tr w14:paraId="6BDE4A50">
        <w:tblPrEx>
          <w:tblCellMar>
            <w:top w:w="0" w:type="dxa"/>
            <w:left w:w="108" w:type="dxa"/>
            <w:bottom w:w="0" w:type="dxa"/>
            <w:right w:w="108" w:type="dxa"/>
          </w:tblCellMar>
        </w:tblPrEx>
        <w:trPr>
          <w:trHeight w:val="618" w:hRule="atLeast"/>
        </w:trPr>
        <w:tc>
          <w:tcPr>
            <w:tcW w:w="580" w:type="dxa"/>
            <w:tcBorders>
              <w:top w:val="single" w:color="auto" w:sz="6" w:space="0"/>
              <w:left w:val="single" w:color="auto" w:sz="6" w:space="0"/>
              <w:bottom w:val="single" w:color="auto" w:sz="6" w:space="0"/>
              <w:right w:val="single" w:color="auto" w:sz="6" w:space="0"/>
            </w:tcBorders>
            <w:vAlign w:val="center"/>
          </w:tcPr>
          <w:p w14:paraId="1B6C2747">
            <w:pPr>
              <w:rPr>
                <w:rFonts w:ascii="宋体" w:hAnsi="宋体"/>
                <w:color w:val="auto"/>
                <w:sz w:val="22"/>
                <w:highlight w:val="none"/>
              </w:rPr>
            </w:pPr>
            <w:r>
              <w:rPr>
                <w:rFonts w:hint="eastAsia" w:ascii="宋体" w:hAnsi="宋体"/>
                <w:color w:val="auto"/>
                <w:sz w:val="22"/>
                <w:highlight w:val="none"/>
              </w:rPr>
              <w:t>15</w:t>
            </w:r>
          </w:p>
        </w:tc>
        <w:tc>
          <w:tcPr>
            <w:tcW w:w="3261" w:type="dxa"/>
            <w:tcBorders>
              <w:top w:val="single" w:color="auto" w:sz="6" w:space="0"/>
              <w:left w:val="single" w:color="auto" w:sz="6" w:space="0"/>
              <w:bottom w:val="single" w:color="auto" w:sz="6" w:space="0"/>
              <w:right w:val="single" w:color="auto" w:sz="6" w:space="0"/>
            </w:tcBorders>
            <w:vAlign w:val="center"/>
          </w:tcPr>
          <w:p w14:paraId="0D39E757">
            <w:pPr>
              <w:rPr>
                <w:rFonts w:ascii="宋体" w:hAnsi="宋体"/>
                <w:color w:val="auto"/>
                <w:sz w:val="22"/>
                <w:highlight w:val="none"/>
              </w:rPr>
            </w:pPr>
            <w:r>
              <w:rPr>
                <w:rFonts w:hint="eastAsia" w:ascii="宋体" w:hAnsi="宋体"/>
                <w:color w:val="auto"/>
                <w:sz w:val="22"/>
                <w:highlight w:val="none"/>
              </w:rPr>
              <w:t>洁具</w:t>
            </w:r>
          </w:p>
        </w:tc>
        <w:tc>
          <w:tcPr>
            <w:tcW w:w="2970" w:type="dxa"/>
            <w:tcBorders>
              <w:top w:val="single" w:color="auto" w:sz="6" w:space="0"/>
              <w:left w:val="single" w:color="auto" w:sz="6" w:space="0"/>
              <w:bottom w:val="single" w:color="auto" w:sz="6" w:space="0"/>
              <w:right w:val="single" w:color="auto" w:sz="6" w:space="0"/>
            </w:tcBorders>
            <w:vAlign w:val="center"/>
          </w:tcPr>
          <w:p w14:paraId="12D256CB">
            <w:pPr>
              <w:rPr>
                <w:rFonts w:ascii="宋体" w:hAnsi="宋体"/>
                <w:color w:val="auto"/>
                <w:sz w:val="22"/>
                <w:highlight w:val="none"/>
              </w:rPr>
            </w:pPr>
            <w:r>
              <w:rPr>
                <w:rFonts w:hint="eastAsia" w:ascii="宋体" w:hAnsi="宋体"/>
                <w:color w:val="auto"/>
                <w:sz w:val="22"/>
                <w:highlight w:val="none"/>
              </w:rPr>
              <w:t>箭牌、恒洁、惠达、安华</w:t>
            </w:r>
          </w:p>
        </w:tc>
        <w:tc>
          <w:tcPr>
            <w:tcW w:w="1549" w:type="dxa"/>
            <w:tcBorders>
              <w:top w:val="single" w:color="auto" w:sz="6" w:space="0"/>
              <w:left w:val="single" w:color="auto" w:sz="6" w:space="0"/>
              <w:bottom w:val="single" w:color="auto" w:sz="6" w:space="0"/>
              <w:right w:val="single" w:color="auto" w:sz="6" w:space="0"/>
            </w:tcBorders>
            <w:vAlign w:val="center"/>
          </w:tcPr>
          <w:p w14:paraId="71DC483B">
            <w:pPr>
              <w:rPr>
                <w:rFonts w:ascii="宋体" w:hAnsi="宋体"/>
                <w:color w:val="auto"/>
                <w:sz w:val="22"/>
                <w:highlight w:val="none"/>
              </w:rPr>
            </w:pPr>
            <w:r>
              <w:rPr>
                <w:rFonts w:hint="eastAsia" w:ascii="宋体" w:hAnsi="宋体"/>
                <w:color w:val="auto"/>
                <w:sz w:val="22"/>
                <w:highlight w:val="none"/>
              </w:rPr>
              <w:t>或相当于</w:t>
            </w:r>
          </w:p>
        </w:tc>
      </w:tr>
      <w:tr w14:paraId="3ED5506F">
        <w:tblPrEx>
          <w:tblCellMar>
            <w:top w:w="0" w:type="dxa"/>
            <w:left w:w="108" w:type="dxa"/>
            <w:bottom w:w="0" w:type="dxa"/>
            <w:right w:w="108" w:type="dxa"/>
          </w:tblCellMar>
        </w:tblPrEx>
        <w:trPr>
          <w:trHeight w:val="618" w:hRule="atLeast"/>
        </w:trPr>
        <w:tc>
          <w:tcPr>
            <w:tcW w:w="580" w:type="dxa"/>
            <w:tcBorders>
              <w:top w:val="single" w:color="auto" w:sz="6" w:space="0"/>
              <w:left w:val="single" w:color="auto" w:sz="6" w:space="0"/>
              <w:bottom w:val="single" w:color="auto" w:sz="6" w:space="0"/>
              <w:right w:val="single" w:color="auto" w:sz="6" w:space="0"/>
            </w:tcBorders>
            <w:vAlign w:val="center"/>
          </w:tcPr>
          <w:p w14:paraId="21A4FD3A">
            <w:pPr>
              <w:tabs>
                <w:tab w:val="left" w:pos="348"/>
              </w:tabs>
              <w:rPr>
                <w:rFonts w:ascii="宋体" w:hAnsi="宋体"/>
                <w:color w:val="auto"/>
                <w:sz w:val="22"/>
                <w:highlight w:val="none"/>
              </w:rPr>
            </w:pPr>
            <w:r>
              <w:rPr>
                <w:rFonts w:hint="eastAsia" w:ascii="宋体" w:hAnsi="宋体"/>
                <w:color w:val="auto"/>
                <w:sz w:val="22"/>
                <w:highlight w:val="none"/>
              </w:rPr>
              <w:t>16</w:t>
            </w:r>
          </w:p>
        </w:tc>
        <w:tc>
          <w:tcPr>
            <w:tcW w:w="3261" w:type="dxa"/>
            <w:tcBorders>
              <w:top w:val="single" w:color="auto" w:sz="6" w:space="0"/>
              <w:left w:val="single" w:color="auto" w:sz="6" w:space="0"/>
              <w:bottom w:val="single" w:color="auto" w:sz="6" w:space="0"/>
              <w:right w:val="single" w:color="auto" w:sz="6" w:space="0"/>
            </w:tcBorders>
            <w:vAlign w:val="center"/>
          </w:tcPr>
          <w:p w14:paraId="6DEF24B2">
            <w:pPr>
              <w:rPr>
                <w:rFonts w:ascii="宋体" w:hAnsi="宋体"/>
                <w:color w:val="auto"/>
                <w:sz w:val="22"/>
                <w:highlight w:val="none"/>
              </w:rPr>
            </w:pPr>
            <w:r>
              <w:rPr>
                <w:rFonts w:hint="eastAsia" w:ascii="宋体" w:hAnsi="宋体"/>
                <w:color w:val="auto"/>
                <w:sz w:val="22"/>
                <w:highlight w:val="none"/>
              </w:rPr>
              <w:t>地  漏</w:t>
            </w:r>
          </w:p>
        </w:tc>
        <w:tc>
          <w:tcPr>
            <w:tcW w:w="2970" w:type="dxa"/>
            <w:tcBorders>
              <w:top w:val="single" w:color="auto" w:sz="6" w:space="0"/>
              <w:left w:val="single" w:color="auto" w:sz="6" w:space="0"/>
              <w:bottom w:val="single" w:color="auto" w:sz="6" w:space="0"/>
              <w:right w:val="single" w:color="auto" w:sz="6" w:space="0"/>
            </w:tcBorders>
            <w:vAlign w:val="center"/>
          </w:tcPr>
          <w:p w14:paraId="7A7A87F8">
            <w:pPr>
              <w:rPr>
                <w:rFonts w:ascii="宋体" w:hAnsi="宋体"/>
                <w:color w:val="auto"/>
                <w:sz w:val="22"/>
                <w:highlight w:val="none"/>
              </w:rPr>
            </w:pPr>
            <w:r>
              <w:rPr>
                <w:rFonts w:hint="eastAsia" w:ascii="宋体" w:hAnsi="宋体"/>
                <w:color w:val="auto"/>
                <w:sz w:val="22"/>
                <w:highlight w:val="none"/>
              </w:rPr>
              <w:t>永浪、埃美柯、奥雷士</w:t>
            </w:r>
          </w:p>
        </w:tc>
        <w:tc>
          <w:tcPr>
            <w:tcW w:w="1549" w:type="dxa"/>
            <w:tcBorders>
              <w:top w:val="single" w:color="auto" w:sz="6" w:space="0"/>
              <w:left w:val="single" w:color="auto" w:sz="6" w:space="0"/>
              <w:bottom w:val="single" w:color="auto" w:sz="6" w:space="0"/>
              <w:right w:val="single" w:color="auto" w:sz="6" w:space="0"/>
            </w:tcBorders>
            <w:vAlign w:val="center"/>
          </w:tcPr>
          <w:p w14:paraId="3332C2CB">
            <w:pPr>
              <w:rPr>
                <w:rFonts w:ascii="宋体" w:hAnsi="宋体"/>
                <w:color w:val="auto"/>
                <w:sz w:val="22"/>
                <w:highlight w:val="none"/>
              </w:rPr>
            </w:pPr>
            <w:r>
              <w:rPr>
                <w:rFonts w:hint="eastAsia" w:ascii="宋体" w:hAnsi="宋体"/>
                <w:color w:val="auto"/>
                <w:sz w:val="22"/>
                <w:highlight w:val="none"/>
              </w:rPr>
              <w:t>或相当于</w:t>
            </w:r>
          </w:p>
        </w:tc>
      </w:tr>
      <w:tr w14:paraId="7F03C2E0">
        <w:tblPrEx>
          <w:tblCellMar>
            <w:top w:w="0" w:type="dxa"/>
            <w:left w:w="108" w:type="dxa"/>
            <w:bottom w:w="0" w:type="dxa"/>
            <w:right w:w="108" w:type="dxa"/>
          </w:tblCellMar>
        </w:tblPrEx>
        <w:trPr>
          <w:trHeight w:val="618" w:hRule="atLeast"/>
        </w:trPr>
        <w:tc>
          <w:tcPr>
            <w:tcW w:w="580" w:type="dxa"/>
            <w:tcBorders>
              <w:top w:val="single" w:color="auto" w:sz="6" w:space="0"/>
              <w:left w:val="single" w:color="auto" w:sz="6" w:space="0"/>
              <w:bottom w:val="single" w:color="auto" w:sz="6" w:space="0"/>
              <w:right w:val="single" w:color="auto" w:sz="6" w:space="0"/>
            </w:tcBorders>
            <w:vAlign w:val="center"/>
          </w:tcPr>
          <w:p w14:paraId="5338E16D">
            <w:pPr>
              <w:rPr>
                <w:rFonts w:ascii="宋体" w:hAnsi="宋体"/>
                <w:color w:val="auto"/>
                <w:sz w:val="22"/>
                <w:highlight w:val="none"/>
              </w:rPr>
            </w:pPr>
            <w:r>
              <w:rPr>
                <w:rFonts w:hint="eastAsia" w:ascii="宋体" w:hAnsi="宋体"/>
                <w:color w:val="auto"/>
                <w:sz w:val="22"/>
                <w:highlight w:val="none"/>
              </w:rPr>
              <w:t>17</w:t>
            </w:r>
          </w:p>
        </w:tc>
        <w:tc>
          <w:tcPr>
            <w:tcW w:w="3261" w:type="dxa"/>
            <w:tcBorders>
              <w:top w:val="single" w:color="auto" w:sz="6" w:space="0"/>
              <w:left w:val="single" w:color="auto" w:sz="6" w:space="0"/>
              <w:bottom w:val="single" w:color="auto" w:sz="6" w:space="0"/>
              <w:right w:val="single" w:color="auto" w:sz="6" w:space="0"/>
            </w:tcBorders>
            <w:vAlign w:val="center"/>
          </w:tcPr>
          <w:p w14:paraId="2D50A7EE">
            <w:pPr>
              <w:rPr>
                <w:rFonts w:ascii="宋体" w:hAnsi="宋体"/>
                <w:color w:val="auto"/>
                <w:sz w:val="22"/>
                <w:highlight w:val="none"/>
              </w:rPr>
            </w:pPr>
            <w:r>
              <w:rPr>
                <w:rFonts w:hint="eastAsia" w:ascii="宋体" w:hAnsi="宋体"/>
                <w:color w:val="auto"/>
                <w:sz w:val="22"/>
                <w:highlight w:val="none"/>
              </w:rPr>
              <w:t>水龙头</w:t>
            </w:r>
          </w:p>
        </w:tc>
        <w:tc>
          <w:tcPr>
            <w:tcW w:w="2970" w:type="dxa"/>
            <w:tcBorders>
              <w:top w:val="single" w:color="auto" w:sz="6" w:space="0"/>
              <w:left w:val="single" w:color="auto" w:sz="6" w:space="0"/>
              <w:bottom w:val="single" w:color="auto" w:sz="6" w:space="0"/>
              <w:right w:val="single" w:color="auto" w:sz="6" w:space="0"/>
            </w:tcBorders>
            <w:vAlign w:val="center"/>
          </w:tcPr>
          <w:p w14:paraId="593693D4">
            <w:pPr>
              <w:rPr>
                <w:rFonts w:ascii="宋体" w:hAnsi="宋体"/>
                <w:color w:val="auto"/>
                <w:sz w:val="22"/>
                <w:highlight w:val="none"/>
              </w:rPr>
            </w:pPr>
            <w:r>
              <w:rPr>
                <w:rFonts w:hint="eastAsia" w:ascii="宋体" w:hAnsi="宋体"/>
                <w:color w:val="auto"/>
                <w:sz w:val="22"/>
                <w:highlight w:val="none"/>
              </w:rPr>
              <w:t>永浪、埃美柯、奥雷士</w:t>
            </w:r>
          </w:p>
        </w:tc>
        <w:tc>
          <w:tcPr>
            <w:tcW w:w="1549" w:type="dxa"/>
            <w:tcBorders>
              <w:top w:val="single" w:color="auto" w:sz="6" w:space="0"/>
              <w:left w:val="single" w:color="auto" w:sz="6" w:space="0"/>
              <w:bottom w:val="single" w:color="auto" w:sz="6" w:space="0"/>
              <w:right w:val="single" w:color="auto" w:sz="6" w:space="0"/>
            </w:tcBorders>
            <w:vAlign w:val="center"/>
          </w:tcPr>
          <w:p w14:paraId="3EFCC476">
            <w:pPr>
              <w:rPr>
                <w:rFonts w:ascii="宋体" w:hAnsi="宋体"/>
                <w:color w:val="auto"/>
                <w:sz w:val="22"/>
                <w:highlight w:val="none"/>
              </w:rPr>
            </w:pPr>
            <w:r>
              <w:rPr>
                <w:rFonts w:hint="eastAsia" w:ascii="宋体" w:hAnsi="宋体"/>
                <w:color w:val="auto"/>
                <w:sz w:val="22"/>
                <w:highlight w:val="none"/>
              </w:rPr>
              <w:t>或相当于</w:t>
            </w:r>
          </w:p>
        </w:tc>
      </w:tr>
      <w:tr w14:paraId="719F7407">
        <w:tblPrEx>
          <w:tblCellMar>
            <w:top w:w="0" w:type="dxa"/>
            <w:left w:w="108" w:type="dxa"/>
            <w:bottom w:w="0" w:type="dxa"/>
            <w:right w:w="108" w:type="dxa"/>
          </w:tblCellMar>
        </w:tblPrEx>
        <w:trPr>
          <w:trHeight w:val="618" w:hRule="atLeast"/>
        </w:trPr>
        <w:tc>
          <w:tcPr>
            <w:tcW w:w="580" w:type="dxa"/>
            <w:tcBorders>
              <w:top w:val="single" w:color="auto" w:sz="6" w:space="0"/>
              <w:left w:val="single" w:color="auto" w:sz="6" w:space="0"/>
              <w:bottom w:val="single" w:color="auto" w:sz="6" w:space="0"/>
              <w:right w:val="single" w:color="auto" w:sz="6" w:space="0"/>
            </w:tcBorders>
            <w:vAlign w:val="center"/>
          </w:tcPr>
          <w:p w14:paraId="3CF55367">
            <w:pPr>
              <w:rPr>
                <w:rFonts w:ascii="宋体" w:hAnsi="宋体"/>
                <w:color w:val="auto"/>
                <w:sz w:val="22"/>
                <w:highlight w:val="none"/>
              </w:rPr>
            </w:pPr>
            <w:r>
              <w:rPr>
                <w:rFonts w:hint="eastAsia" w:ascii="宋体" w:hAnsi="宋体"/>
                <w:color w:val="auto"/>
                <w:sz w:val="22"/>
                <w:highlight w:val="none"/>
              </w:rPr>
              <w:t>18</w:t>
            </w:r>
          </w:p>
        </w:tc>
        <w:tc>
          <w:tcPr>
            <w:tcW w:w="3261" w:type="dxa"/>
            <w:tcBorders>
              <w:top w:val="single" w:color="auto" w:sz="6" w:space="0"/>
              <w:left w:val="single" w:color="auto" w:sz="6" w:space="0"/>
              <w:bottom w:val="single" w:color="auto" w:sz="6" w:space="0"/>
              <w:right w:val="single" w:color="auto" w:sz="6" w:space="0"/>
            </w:tcBorders>
            <w:vAlign w:val="center"/>
          </w:tcPr>
          <w:p w14:paraId="0AC2972A">
            <w:pPr>
              <w:rPr>
                <w:rFonts w:ascii="宋体" w:hAnsi="宋体"/>
                <w:color w:val="auto"/>
                <w:sz w:val="22"/>
                <w:highlight w:val="none"/>
              </w:rPr>
            </w:pPr>
            <w:r>
              <w:rPr>
                <w:rFonts w:hint="eastAsia" w:ascii="宋体" w:hAnsi="宋体"/>
                <w:color w:val="auto"/>
                <w:sz w:val="22"/>
                <w:highlight w:val="none"/>
              </w:rPr>
              <w:t>配电箱主要开关元气件</w:t>
            </w:r>
          </w:p>
        </w:tc>
        <w:tc>
          <w:tcPr>
            <w:tcW w:w="2970" w:type="dxa"/>
            <w:tcBorders>
              <w:top w:val="single" w:color="auto" w:sz="6" w:space="0"/>
              <w:left w:val="single" w:color="auto" w:sz="6" w:space="0"/>
              <w:bottom w:val="single" w:color="auto" w:sz="6" w:space="0"/>
              <w:right w:val="single" w:color="auto" w:sz="6" w:space="0"/>
            </w:tcBorders>
            <w:vAlign w:val="center"/>
          </w:tcPr>
          <w:p w14:paraId="18B757EA">
            <w:pPr>
              <w:rPr>
                <w:rFonts w:ascii="宋体" w:hAnsi="宋体"/>
                <w:color w:val="auto"/>
                <w:sz w:val="22"/>
                <w:highlight w:val="none"/>
              </w:rPr>
            </w:pPr>
            <w:r>
              <w:rPr>
                <w:rFonts w:hint="eastAsia" w:ascii="宋体" w:hAnsi="宋体"/>
                <w:color w:val="auto"/>
                <w:sz w:val="22"/>
                <w:highlight w:val="none"/>
              </w:rPr>
              <w:t>常开、正泰、德力西</w:t>
            </w:r>
          </w:p>
        </w:tc>
        <w:tc>
          <w:tcPr>
            <w:tcW w:w="1549" w:type="dxa"/>
            <w:tcBorders>
              <w:top w:val="single" w:color="auto" w:sz="6" w:space="0"/>
              <w:left w:val="single" w:color="auto" w:sz="6" w:space="0"/>
              <w:bottom w:val="single" w:color="auto" w:sz="6" w:space="0"/>
              <w:right w:val="single" w:color="auto" w:sz="6" w:space="0"/>
            </w:tcBorders>
            <w:vAlign w:val="center"/>
          </w:tcPr>
          <w:p w14:paraId="7E0EF591">
            <w:pPr>
              <w:rPr>
                <w:rFonts w:ascii="宋体" w:hAnsi="宋体"/>
                <w:color w:val="auto"/>
                <w:sz w:val="22"/>
                <w:highlight w:val="none"/>
              </w:rPr>
            </w:pPr>
            <w:r>
              <w:rPr>
                <w:rFonts w:hint="eastAsia" w:ascii="宋体" w:hAnsi="宋体"/>
                <w:color w:val="auto"/>
                <w:sz w:val="22"/>
                <w:highlight w:val="none"/>
              </w:rPr>
              <w:t>或相当于</w:t>
            </w:r>
          </w:p>
        </w:tc>
      </w:tr>
      <w:tr w14:paraId="0CA6FFB5">
        <w:tblPrEx>
          <w:tblCellMar>
            <w:top w:w="0" w:type="dxa"/>
            <w:left w:w="108" w:type="dxa"/>
            <w:bottom w:w="0" w:type="dxa"/>
            <w:right w:w="108" w:type="dxa"/>
          </w:tblCellMar>
        </w:tblPrEx>
        <w:trPr>
          <w:trHeight w:val="618" w:hRule="atLeast"/>
        </w:trPr>
        <w:tc>
          <w:tcPr>
            <w:tcW w:w="580" w:type="dxa"/>
            <w:tcBorders>
              <w:top w:val="single" w:color="auto" w:sz="6" w:space="0"/>
              <w:left w:val="single" w:color="auto" w:sz="6" w:space="0"/>
              <w:bottom w:val="single" w:color="auto" w:sz="6" w:space="0"/>
              <w:right w:val="single" w:color="auto" w:sz="6" w:space="0"/>
            </w:tcBorders>
            <w:vAlign w:val="center"/>
          </w:tcPr>
          <w:p w14:paraId="7E145491">
            <w:pPr>
              <w:rPr>
                <w:rFonts w:ascii="宋体" w:hAnsi="宋体"/>
                <w:color w:val="auto"/>
                <w:sz w:val="22"/>
                <w:highlight w:val="none"/>
              </w:rPr>
            </w:pPr>
            <w:r>
              <w:rPr>
                <w:rFonts w:hint="eastAsia" w:ascii="宋体" w:hAnsi="宋体"/>
                <w:color w:val="auto"/>
                <w:sz w:val="22"/>
                <w:highlight w:val="none"/>
              </w:rPr>
              <w:t>19</w:t>
            </w:r>
          </w:p>
        </w:tc>
        <w:tc>
          <w:tcPr>
            <w:tcW w:w="3261" w:type="dxa"/>
            <w:tcBorders>
              <w:top w:val="single" w:color="auto" w:sz="6" w:space="0"/>
              <w:left w:val="single" w:color="auto" w:sz="6" w:space="0"/>
              <w:bottom w:val="single" w:color="auto" w:sz="6" w:space="0"/>
              <w:right w:val="single" w:color="auto" w:sz="6" w:space="0"/>
            </w:tcBorders>
            <w:vAlign w:val="center"/>
          </w:tcPr>
          <w:p w14:paraId="2808A23B">
            <w:pPr>
              <w:rPr>
                <w:rFonts w:ascii="宋体" w:hAnsi="宋体"/>
                <w:color w:val="auto"/>
                <w:sz w:val="22"/>
                <w:highlight w:val="none"/>
              </w:rPr>
            </w:pPr>
            <w:r>
              <w:rPr>
                <w:rFonts w:hint="eastAsia" w:ascii="宋体" w:hAnsi="宋体"/>
                <w:color w:val="auto"/>
                <w:sz w:val="22"/>
                <w:highlight w:val="none"/>
              </w:rPr>
              <w:t>电线电缆</w:t>
            </w:r>
          </w:p>
        </w:tc>
        <w:tc>
          <w:tcPr>
            <w:tcW w:w="2970" w:type="dxa"/>
            <w:tcBorders>
              <w:top w:val="single" w:color="auto" w:sz="6" w:space="0"/>
              <w:left w:val="single" w:color="auto" w:sz="6" w:space="0"/>
              <w:bottom w:val="single" w:color="auto" w:sz="6" w:space="0"/>
              <w:right w:val="single" w:color="auto" w:sz="6" w:space="0"/>
            </w:tcBorders>
            <w:vAlign w:val="center"/>
          </w:tcPr>
          <w:p w14:paraId="696178C3">
            <w:pPr>
              <w:rPr>
                <w:rFonts w:ascii="宋体" w:hAnsi="宋体"/>
                <w:color w:val="auto"/>
                <w:sz w:val="22"/>
                <w:highlight w:val="none"/>
              </w:rPr>
            </w:pPr>
            <w:r>
              <w:rPr>
                <w:rFonts w:hint="eastAsia" w:ascii="宋体" w:hAnsi="宋体"/>
                <w:color w:val="auto"/>
                <w:sz w:val="22"/>
                <w:highlight w:val="none"/>
              </w:rPr>
              <w:t>永通中策、亘古、开开、中大元通</w:t>
            </w:r>
          </w:p>
        </w:tc>
        <w:tc>
          <w:tcPr>
            <w:tcW w:w="1549" w:type="dxa"/>
            <w:tcBorders>
              <w:top w:val="single" w:color="auto" w:sz="6" w:space="0"/>
              <w:left w:val="single" w:color="auto" w:sz="6" w:space="0"/>
              <w:bottom w:val="single" w:color="auto" w:sz="6" w:space="0"/>
              <w:right w:val="single" w:color="auto" w:sz="6" w:space="0"/>
            </w:tcBorders>
            <w:vAlign w:val="center"/>
          </w:tcPr>
          <w:p w14:paraId="1A251631">
            <w:pPr>
              <w:rPr>
                <w:rFonts w:ascii="宋体" w:hAnsi="宋体"/>
                <w:color w:val="auto"/>
                <w:sz w:val="22"/>
                <w:highlight w:val="none"/>
              </w:rPr>
            </w:pPr>
            <w:r>
              <w:rPr>
                <w:rFonts w:hint="eastAsia" w:ascii="宋体" w:hAnsi="宋体"/>
                <w:color w:val="auto"/>
                <w:sz w:val="22"/>
                <w:highlight w:val="none"/>
              </w:rPr>
              <w:t>或相当于</w:t>
            </w:r>
          </w:p>
        </w:tc>
      </w:tr>
      <w:tr w14:paraId="70F4846C">
        <w:tblPrEx>
          <w:tblCellMar>
            <w:top w:w="0" w:type="dxa"/>
            <w:left w:w="108" w:type="dxa"/>
            <w:bottom w:w="0" w:type="dxa"/>
            <w:right w:w="108" w:type="dxa"/>
          </w:tblCellMar>
        </w:tblPrEx>
        <w:trPr>
          <w:trHeight w:val="618" w:hRule="atLeast"/>
        </w:trPr>
        <w:tc>
          <w:tcPr>
            <w:tcW w:w="580" w:type="dxa"/>
            <w:tcBorders>
              <w:top w:val="single" w:color="auto" w:sz="6" w:space="0"/>
              <w:left w:val="single" w:color="auto" w:sz="6" w:space="0"/>
              <w:bottom w:val="single" w:color="auto" w:sz="6" w:space="0"/>
              <w:right w:val="single" w:color="auto" w:sz="6" w:space="0"/>
            </w:tcBorders>
            <w:vAlign w:val="center"/>
          </w:tcPr>
          <w:p w14:paraId="605B0DEC">
            <w:pPr>
              <w:rPr>
                <w:rFonts w:ascii="宋体" w:hAnsi="宋体"/>
                <w:color w:val="auto"/>
                <w:sz w:val="22"/>
                <w:highlight w:val="none"/>
              </w:rPr>
            </w:pPr>
            <w:r>
              <w:rPr>
                <w:rFonts w:hint="eastAsia" w:ascii="宋体" w:hAnsi="宋体"/>
                <w:color w:val="auto"/>
                <w:sz w:val="22"/>
                <w:highlight w:val="none"/>
              </w:rPr>
              <w:t>20</w:t>
            </w:r>
          </w:p>
        </w:tc>
        <w:tc>
          <w:tcPr>
            <w:tcW w:w="3261" w:type="dxa"/>
            <w:tcBorders>
              <w:top w:val="single" w:color="auto" w:sz="6" w:space="0"/>
              <w:left w:val="single" w:color="auto" w:sz="6" w:space="0"/>
              <w:bottom w:val="single" w:color="auto" w:sz="6" w:space="0"/>
              <w:right w:val="single" w:color="auto" w:sz="6" w:space="0"/>
            </w:tcBorders>
            <w:vAlign w:val="center"/>
          </w:tcPr>
          <w:p w14:paraId="22A25C62">
            <w:pPr>
              <w:rPr>
                <w:rFonts w:ascii="宋体" w:hAnsi="宋体"/>
                <w:color w:val="auto"/>
                <w:sz w:val="22"/>
                <w:highlight w:val="none"/>
              </w:rPr>
            </w:pPr>
            <w:r>
              <w:rPr>
                <w:rFonts w:hint="eastAsia" w:ascii="宋体" w:hAnsi="宋体"/>
                <w:color w:val="auto"/>
                <w:sz w:val="22"/>
                <w:highlight w:val="none"/>
              </w:rPr>
              <w:t>照明灯具</w:t>
            </w:r>
          </w:p>
        </w:tc>
        <w:tc>
          <w:tcPr>
            <w:tcW w:w="2970" w:type="dxa"/>
            <w:tcBorders>
              <w:top w:val="single" w:color="auto" w:sz="6" w:space="0"/>
              <w:left w:val="single" w:color="auto" w:sz="6" w:space="0"/>
              <w:bottom w:val="single" w:color="auto" w:sz="6" w:space="0"/>
              <w:right w:val="single" w:color="auto" w:sz="6" w:space="0"/>
            </w:tcBorders>
            <w:vAlign w:val="center"/>
          </w:tcPr>
          <w:p w14:paraId="0FFDAAD6">
            <w:pPr>
              <w:rPr>
                <w:rFonts w:ascii="宋体" w:hAnsi="宋体"/>
                <w:color w:val="auto"/>
                <w:sz w:val="22"/>
                <w:highlight w:val="none"/>
              </w:rPr>
            </w:pPr>
            <w:r>
              <w:rPr>
                <w:rFonts w:hint="eastAsia" w:ascii="宋体" w:hAnsi="宋体"/>
                <w:color w:val="auto"/>
                <w:sz w:val="22"/>
                <w:highlight w:val="none"/>
              </w:rPr>
              <w:t>佛山照明、欧普、雷士</w:t>
            </w:r>
          </w:p>
        </w:tc>
        <w:tc>
          <w:tcPr>
            <w:tcW w:w="1549" w:type="dxa"/>
            <w:tcBorders>
              <w:top w:val="single" w:color="auto" w:sz="6" w:space="0"/>
              <w:left w:val="single" w:color="auto" w:sz="6" w:space="0"/>
              <w:bottom w:val="single" w:color="auto" w:sz="6" w:space="0"/>
              <w:right w:val="single" w:color="auto" w:sz="6" w:space="0"/>
            </w:tcBorders>
            <w:vAlign w:val="center"/>
          </w:tcPr>
          <w:p w14:paraId="214FF329">
            <w:pPr>
              <w:rPr>
                <w:rFonts w:ascii="宋体" w:hAnsi="宋体"/>
                <w:color w:val="auto"/>
                <w:sz w:val="22"/>
                <w:highlight w:val="none"/>
              </w:rPr>
            </w:pPr>
            <w:r>
              <w:rPr>
                <w:rFonts w:hint="eastAsia" w:ascii="宋体" w:hAnsi="宋体"/>
                <w:color w:val="auto"/>
                <w:sz w:val="22"/>
                <w:highlight w:val="none"/>
              </w:rPr>
              <w:t>或相当于</w:t>
            </w:r>
          </w:p>
        </w:tc>
      </w:tr>
      <w:tr w14:paraId="2E781418">
        <w:tblPrEx>
          <w:tblCellMar>
            <w:top w:w="0" w:type="dxa"/>
            <w:left w:w="108" w:type="dxa"/>
            <w:bottom w:w="0" w:type="dxa"/>
            <w:right w:w="108" w:type="dxa"/>
          </w:tblCellMar>
        </w:tblPrEx>
        <w:trPr>
          <w:trHeight w:val="618" w:hRule="atLeast"/>
        </w:trPr>
        <w:tc>
          <w:tcPr>
            <w:tcW w:w="580" w:type="dxa"/>
            <w:tcBorders>
              <w:top w:val="single" w:color="auto" w:sz="6" w:space="0"/>
              <w:left w:val="single" w:color="auto" w:sz="6" w:space="0"/>
              <w:bottom w:val="single" w:color="auto" w:sz="6" w:space="0"/>
              <w:right w:val="single" w:color="auto" w:sz="6" w:space="0"/>
            </w:tcBorders>
            <w:vAlign w:val="center"/>
          </w:tcPr>
          <w:p w14:paraId="1782B5C6">
            <w:pPr>
              <w:rPr>
                <w:rFonts w:ascii="宋体" w:hAnsi="宋体"/>
                <w:color w:val="auto"/>
                <w:sz w:val="22"/>
                <w:highlight w:val="none"/>
              </w:rPr>
            </w:pPr>
            <w:r>
              <w:rPr>
                <w:rFonts w:hint="eastAsia" w:ascii="宋体" w:hAnsi="宋体"/>
                <w:color w:val="auto"/>
                <w:sz w:val="22"/>
                <w:highlight w:val="none"/>
              </w:rPr>
              <w:t>21</w:t>
            </w:r>
          </w:p>
        </w:tc>
        <w:tc>
          <w:tcPr>
            <w:tcW w:w="3261" w:type="dxa"/>
            <w:tcBorders>
              <w:top w:val="single" w:color="auto" w:sz="6" w:space="0"/>
              <w:left w:val="single" w:color="auto" w:sz="6" w:space="0"/>
              <w:bottom w:val="single" w:color="auto" w:sz="6" w:space="0"/>
              <w:right w:val="single" w:color="auto" w:sz="6" w:space="0"/>
            </w:tcBorders>
            <w:vAlign w:val="center"/>
          </w:tcPr>
          <w:p w14:paraId="0C3605ED">
            <w:pPr>
              <w:rPr>
                <w:rFonts w:ascii="宋体" w:hAnsi="宋体"/>
                <w:color w:val="auto"/>
                <w:sz w:val="22"/>
                <w:highlight w:val="none"/>
              </w:rPr>
            </w:pPr>
            <w:r>
              <w:rPr>
                <w:rFonts w:hint="eastAsia" w:ascii="宋体" w:hAnsi="宋体"/>
                <w:color w:val="auto"/>
                <w:sz w:val="22"/>
                <w:highlight w:val="none"/>
              </w:rPr>
              <w:t>开关、插座</w:t>
            </w:r>
          </w:p>
        </w:tc>
        <w:tc>
          <w:tcPr>
            <w:tcW w:w="2970" w:type="dxa"/>
            <w:tcBorders>
              <w:top w:val="single" w:color="auto" w:sz="6" w:space="0"/>
              <w:left w:val="single" w:color="auto" w:sz="6" w:space="0"/>
              <w:bottom w:val="single" w:color="auto" w:sz="6" w:space="0"/>
              <w:right w:val="single" w:color="auto" w:sz="6" w:space="0"/>
            </w:tcBorders>
            <w:vAlign w:val="center"/>
          </w:tcPr>
          <w:p w14:paraId="2C9EB4C5">
            <w:pPr>
              <w:rPr>
                <w:rFonts w:ascii="宋体" w:hAnsi="宋体"/>
                <w:color w:val="auto"/>
                <w:sz w:val="22"/>
                <w:highlight w:val="none"/>
              </w:rPr>
            </w:pPr>
            <w:r>
              <w:rPr>
                <w:rFonts w:hint="eastAsia" w:ascii="宋体" w:hAnsi="宋体"/>
                <w:color w:val="auto"/>
                <w:sz w:val="22"/>
                <w:highlight w:val="none"/>
              </w:rPr>
              <w:t>公牛、德力西、正泰</w:t>
            </w:r>
          </w:p>
        </w:tc>
        <w:tc>
          <w:tcPr>
            <w:tcW w:w="1549" w:type="dxa"/>
            <w:tcBorders>
              <w:top w:val="single" w:color="auto" w:sz="6" w:space="0"/>
              <w:left w:val="single" w:color="auto" w:sz="6" w:space="0"/>
              <w:bottom w:val="single" w:color="auto" w:sz="6" w:space="0"/>
              <w:right w:val="single" w:color="auto" w:sz="6" w:space="0"/>
            </w:tcBorders>
            <w:vAlign w:val="center"/>
          </w:tcPr>
          <w:p w14:paraId="43B004E6">
            <w:pPr>
              <w:rPr>
                <w:rFonts w:ascii="宋体" w:hAnsi="宋体"/>
                <w:color w:val="auto"/>
                <w:sz w:val="22"/>
                <w:highlight w:val="none"/>
              </w:rPr>
            </w:pPr>
            <w:r>
              <w:rPr>
                <w:rFonts w:hint="eastAsia" w:ascii="宋体" w:hAnsi="宋体"/>
                <w:color w:val="auto"/>
                <w:sz w:val="22"/>
                <w:highlight w:val="none"/>
              </w:rPr>
              <w:t>或相当于</w:t>
            </w:r>
          </w:p>
        </w:tc>
      </w:tr>
      <w:tr w14:paraId="3EE3F6E3">
        <w:tblPrEx>
          <w:tblCellMar>
            <w:top w:w="0" w:type="dxa"/>
            <w:left w:w="108" w:type="dxa"/>
            <w:bottom w:w="0" w:type="dxa"/>
            <w:right w:w="108" w:type="dxa"/>
          </w:tblCellMar>
        </w:tblPrEx>
        <w:trPr>
          <w:trHeight w:val="618" w:hRule="atLeast"/>
        </w:trPr>
        <w:tc>
          <w:tcPr>
            <w:tcW w:w="580" w:type="dxa"/>
            <w:tcBorders>
              <w:top w:val="single" w:color="auto" w:sz="6" w:space="0"/>
              <w:left w:val="single" w:color="auto" w:sz="6" w:space="0"/>
              <w:bottom w:val="single" w:color="auto" w:sz="6" w:space="0"/>
              <w:right w:val="single" w:color="auto" w:sz="6" w:space="0"/>
            </w:tcBorders>
            <w:vAlign w:val="center"/>
          </w:tcPr>
          <w:p w14:paraId="4B6C1539">
            <w:pPr>
              <w:rPr>
                <w:rFonts w:ascii="宋体" w:hAnsi="宋体"/>
                <w:color w:val="auto"/>
                <w:sz w:val="22"/>
                <w:highlight w:val="none"/>
              </w:rPr>
            </w:pPr>
            <w:r>
              <w:rPr>
                <w:rFonts w:hint="eastAsia" w:ascii="宋体" w:hAnsi="宋体"/>
                <w:color w:val="auto"/>
                <w:sz w:val="22"/>
                <w:highlight w:val="none"/>
              </w:rPr>
              <w:t>22</w:t>
            </w:r>
          </w:p>
        </w:tc>
        <w:tc>
          <w:tcPr>
            <w:tcW w:w="3261" w:type="dxa"/>
            <w:tcBorders>
              <w:top w:val="single" w:color="auto" w:sz="6" w:space="0"/>
              <w:left w:val="single" w:color="auto" w:sz="6" w:space="0"/>
              <w:bottom w:val="single" w:color="auto" w:sz="6" w:space="0"/>
              <w:right w:val="single" w:color="auto" w:sz="6" w:space="0"/>
            </w:tcBorders>
            <w:vAlign w:val="center"/>
          </w:tcPr>
          <w:p w14:paraId="7ABBAFB4">
            <w:pPr>
              <w:rPr>
                <w:rFonts w:ascii="宋体" w:hAnsi="宋体"/>
                <w:color w:val="auto"/>
                <w:sz w:val="22"/>
                <w:highlight w:val="none"/>
              </w:rPr>
            </w:pPr>
            <w:r>
              <w:rPr>
                <w:rFonts w:hint="eastAsia" w:ascii="宋体" w:hAnsi="宋体"/>
                <w:color w:val="auto"/>
                <w:sz w:val="22"/>
                <w:highlight w:val="none"/>
              </w:rPr>
              <w:t>配电箱元器件</w:t>
            </w:r>
          </w:p>
        </w:tc>
        <w:tc>
          <w:tcPr>
            <w:tcW w:w="2970" w:type="dxa"/>
            <w:tcBorders>
              <w:top w:val="single" w:color="auto" w:sz="6" w:space="0"/>
              <w:left w:val="single" w:color="auto" w:sz="6" w:space="0"/>
              <w:bottom w:val="single" w:color="auto" w:sz="6" w:space="0"/>
              <w:right w:val="single" w:color="auto" w:sz="6" w:space="0"/>
            </w:tcBorders>
            <w:vAlign w:val="center"/>
          </w:tcPr>
          <w:p w14:paraId="465AEF9F">
            <w:pPr>
              <w:rPr>
                <w:rFonts w:ascii="宋体" w:hAnsi="宋体"/>
                <w:color w:val="auto"/>
                <w:sz w:val="22"/>
                <w:highlight w:val="none"/>
              </w:rPr>
            </w:pPr>
            <w:r>
              <w:rPr>
                <w:rFonts w:hint="eastAsia" w:ascii="宋体" w:hAnsi="宋体"/>
                <w:color w:val="auto"/>
                <w:sz w:val="22"/>
                <w:highlight w:val="none"/>
              </w:rPr>
              <w:t>德力西、施耐德、正泰</w:t>
            </w:r>
          </w:p>
        </w:tc>
        <w:tc>
          <w:tcPr>
            <w:tcW w:w="1549" w:type="dxa"/>
            <w:tcBorders>
              <w:top w:val="single" w:color="auto" w:sz="6" w:space="0"/>
              <w:left w:val="single" w:color="auto" w:sz="6" w:space="0"/>
              <w:bottom w:val="single" w:color="auto" w:sz="6" w:space="0"/>
              <w:right w:val="single" w:color="auto" w:sz="6" w:space="0"/>
            </w:tcBorders>
            <w:vAlign w:val="center"/>
          </w:tcPr>
          <w:p w14:paraId="731B7D8F">
            <w:pPr>
              <w:rPr>
                <w:rFonts w:ascii="宋体" w:hAnsi="宋体"/>
                <w:color w:val="auto"/>
                <w:sz w:val="22"/>
                <w:highlight w:val="none"/>
              </w:rPr>
            </w:pPr>
            <w:r>
              <w:rPr>
                <w:rFonts w:hint="eastAsia" w:ascii="宋体" w:hAnsi="宋体"/>
                <w:color w:val="auto"/>
                <w:sz w:val="22"/>
                <w:highlight w:val="none"/>
              </w:rPr>
              <w:t>或相当于</w:t>
            </w:r>
          </w:p>
        </w:tc>
      </w:tr>
      <w:tr w14:paraId="7450C1A4">
        <w:tblPrEx>
          <w:tblCellMar>
            <w:top w:w="0" w:type="dxa"/>
            <w:left w:w="108" w:type="dxa"/>
            <w:bottom w:w="0" w:type="dxa"/>
            <w:right w:w="108" w:type="dxa"/>
          </w:tblCellMar>
        </w:tblPrEx>
        <w:trPr>
          <w:trHeight w:val="618" w:hRule="atLeast"/>
        </w:trPr>
        <w:tc>
          <w:tcPr>
            <w:tcW w:w="580" w:type="dxa"/>
            <w:tcBorders>
              <w:top w:val="single" w:color="auto" w:sz="6" w:space="0"/>
              <w:left w:val="single" w:color="auto" w:sz="6" w:space="0"/>
              <w:bottom w:val="single" w:color="auto" w:sz="6" w:space="0"/>
              <w:right w:val="single" w:color="auto" w:sz="6" w:space="0"/>
            </w:tcBorders>
            <w:vAlign w:val="center"/>
          </w:tcPr>
          <w:p w14:paraId="36D06828">
            <w:pPr>
              <w:rPr>
                <w:rFonts w:ascii="宋体" w:hAnsi="宋体"/>
                <w:color w:val="auto"/>
                <w:sz w:val="22"/>
                <w:highlight w:val="none"/>
              </w:rPr>
            </w:pPr>
            <w:r>
              <w:rPr>
                <w:rFonts w:hint="eastAsia" w:ascii="宋体" w:hAnsi="宋体"/>
                <w:color w:val="auto"/>
                <w:sz w:val="22"/>
                <w:highlight w:val="none"/>
              </w:rPr>
              <w:t>23</w:t>
            </w:r>
          </w:p>
        </w:tc>
        <w:tc>
          <w:tcPr>
            <w:tcW w:w="3261" w:type="dxa"/>
            <w:tcBorders>
              <w:top w:val="single" w:color="auto" w:sz="6" w:space="0"/>
              <w:left w:val="single" w:color="auto" w:sz="6" w:space="0"/>
              <w:bottom w:val="single" w:color="auto" w:sz="6" w:space="0"/>
              <w:right w:val="single" w:color="auto" w:sz="6" w:space="0"/>
            </w:tcBorders>
            <w:vAlign w:val="center"/>
          </w:tcPr>
          <w:p w14:paraId="5C099443">
            <w:pPr>
              <w:rPr>
                <w:rFonts w:ascii="宋体" w:hAnsi="宋体"/>
                <w:color w:val="auto"/>
                <w:sz w:val="22"/>
                <w:highlight w:val="none"/>
              </w:rPr>
            </w:pPr>
            <w:r>
              <w:rPr>
                <w:rFonts w:hint="eastAsia" w:ascii="宋体" w:hAnsi="宋体"/>
                <w:color w:val="auto"/>
                <w:sz w:val="22"/>
                <w:highlight w:val="none"/>
              </w:rPr>
              <w:t>排风扇（换气扇）</w:t>
            </w:r>
          </w:p>
        </w:tc>
        <w:tc>
          <w:tcPr>
            <w:tcW w:w="2970" w:type="dxa"/>
            <w:tcBorders>
              <w:top w:val="single" w:color="auto" w:sz="6" w:space="0"/>
              <w:left w:val="single" w:color="auto" w:sz="6" w:space="0"/>
              <w:bottom w:val="single" w:color="auto" w:sz="6" w:space="0"/>
              <w:right w:val="single" w:color="auto" w:sz="6" w:space="0"/>
            </w:tcBorders>
            <w:vAlign w:val="center"/>
          </w:tcPr>
          <w:p w14:paraId="1CD21645">
            <w:pPr>
              <w:rPr>
                <w:rFonts w:ascii="宋体" w:hAnsi="宋体"/>
                <w:color w:val="auto"/>
                <w:sz w:val="22"/>
                <w:highlight w:val="none"/>
              </w:rPr>
            </w:pPr>
            <w:r>
              <w:rPr>
                <w:rFonts w:hint="eastAsia" w:ascii="宋体" w:hAnsi="宋体"/>
                <w:color w:val="auto"/>
                <w:sz w:val="22"/>
                <w:highlight w:val="none"/>
              </w:rPr>
              <w:t>乘风、元正、曼海迪、美的</w:t>
            </w:r>
          </w:p>
        </w:tc>
        <w:tc>
          <w:tcPr>
            <w:tcW w:w="1549" w:type="dxa"/>
            <w:tcBorders>
              <w:top w:val="single" w:color="auto" w:sz="6" w:space="0"/>
              <w:left w:val="single" w:color="auto" w:sz="6" w:space="0"/>
              <w:bottom w:val="single" w:color="auto" w:sz="6" w:space="0"/>
              <w:right w:val="single" w:color="auto" w:sz="6" w:space="0"/>
            </w:tcBorders>
            <w:vAlign w:val="center"/>
          </w:tcPr>
          <w:p w14:paraId="13E05468">
            <w:pPr>
              <w:rPr>
                <w:rFonts w:ascii="宋体" w:hAnsi="宋体"/>
                <w:color w:val="auto"/>
                <w:sz w:val="22"/>
                <w:highlight w:val="none"/>
              </w:rPr>
            </w:pPr>
            <w:r>
              <w:rPr>
                <w:rFonts w:hint="eastAsia" w:ascii="宋体" w:hAnsi="宋体"/>
                <w:color w:val="auto"/>
                <w:sz w:val="22"/>
                <w:highlight w:val="none"/>
              </w:rPr>
              <w:t>或相当于</w:t>
            </w:r>
          </w:p>
        </w:tc>
      </w:tr>
      <w:tr w14:paraId="34480CD9">
        <w:tblPrEx>
          <w:tblCellMar>
            <w:top w:w="0" w:type="dxa"/>
            <w:left w:w="108" w:type="dxa"/>
            <w:bottom w:w="0" w:type="dxa"/>
            <w:right w:w="108" w:type="dxa"/>
          </w:tblCellMar>
        </w:tblPrEx>
        <w:trPr>
          <w:trHeight w:val="618" w:hRule="atLeast"/>
        </w:trPr>
        <w:tc>
          <w:tcPr>
            <w:tcW w:w="580" w:type="dxa"/>
            <w:tcBorders>
              <w:top w:val="single" w:color="auto" w:sz="6" w:space="0"/>
              <w:left w:val="single" w:color="auto" w:sz="6" w:space="0"/>
              <w:bottom w:val="single" w:color="auto" w:sz="6" w:space="0"/>
              <w:right w:val="single" w:color="auto" w:sz="6" w:space="0"/>
            </w:tcBorders>
            <w:vAlign w:val="center"/>
          </w:tcPr>
          <w:p w14:paraId="0F27D454">
            <w:pPr>
              <w:rPr>
                <w:rFonts w:ascii="宋体" w:hAnsi="宋体"/>
                <w:color w:val="auto"/>
                <w:sz w:val="22"/>
                <w:highlight w:val="none"/>
              </w:rPr>
            </w:pPr>
            <w:r>
              <w:rPr>
                <w:rFonts w:hint="eastAsia" w:ascii="宋体" w:hAnsi="宋体"/>
                <w:color w:val="auto"/>
                <w:sz w:val="22"/>
                <w:highlight w:val="none"/>
              </w:rPr>
              <w:t>24</w:t>
            </w:r>
          </w:p>
        </w:tc>
        <w:tc>
          <w:tcPr>
            <w:tcW w:w="3261" w:type="dxa"/>
            <w:tcBorders>
              <w:top w:val="single" w:color="auto" w:sz="6" w:space="0"/>
              <w:left w:val="single" w:color="auto" w:sz="6" w:space="0"/>
              <w:bottom w:val="single" w:color="auto" w:sz="6" w:space="0"/>
              <w:right w:val="single" w:color="auto" w:sz="6" w:space="0"/>
            </w:tcBorders>
            <w:vAlign w:val="center"/>
          </w:tcPr>
          <w:p w14:paraId="4E843C3C">
            <w:pPr>
              <w:rPr>
                <w:rFonts w:ascii="宋体" w:hAnsi="宋体"/>
                <w:color w:val="auto"/>
                <w:sz w:val="22"/>
                <w:highlight w:val="none"/>
              </w:rPr>
            </w:pPr>
            <w:r>
              <w:rPr>
                <w:rFonts w:hint="eastAsia" w:ascii="宋体" w:hAnsi="宋体"/>
                <w:color w:val="auto"/>
                <w:sz w:val="22"/>
                <w:highlight w:val="none"/>
              </w:rPr>
              <w:t>风机、风口、风阀、风口、消声器</w:t>
            </w:r>
          </w:p>
        </w:tc>
        <w:tc>
          <w:tcPr>
            <w:tcW w:w="2970" w:type="dxa"/>
            <w:tcBorders>
              <w:top w:val="single" w:color="auto" w:sz="6" w:space="0"/>
              <w:left w:val="single" w:color="auto" w:sz="6" w:space="0"/>
              <w:bottom w:val="single" w:color="auto" w:sz="6" w:space="0"/>
              <w:right w:val="single" w:color="auto" w:sz="6" w:space="0"/>
            </w:tcBorders>
            <w:vAlign w:val="center"/>
          </w:tcPr>
          <w:p w14:paraId="04E266C0">
            <w:pPr>
              <w:rPr>
                <w:rFonts w:ascii="宋体" w:hAnsi="宋体"/>
                <w:color w:val="auto"/>
                <w:sz w:val="22"/>
                <w:highlight w:val="none"/>
              </w:rPr>
            </w:pPr>
            <w:r>
              <w:rPr>
                <w:rFonts w:hint="eastAsia" w:ascii="宋体" w:hAnsi="宋体"/>
                <w:color w:val="auto"/>
                <w:sz w:val="22"/>
                <w:highlight w:val="none"/>
              </w:rPr>
              <w:t>上建、建设、亿利达</w:t>
            </w:r>
          </w:p>
        </w:tc>
        <w:tc>
          <w:tcPr>
            <w:tcW w:w="1549" w:type="dxa"/>
            <w:tcBorders>
              <w:top w:val="single" w:color="auto" w:sz="6" w:space="0"/>
              <w:left w:val="single" w:color="auto" w:sz="6" w:space="0"/>
              <w:bottom w:val="single" w:color="auto" w:sz="6" w:space="0"/>
              <w:right w:val="single" w:color="auto" w:sz="6" w:space="0"/>
            </w:tcBorders>
            <w:vAlign w:val="center"/>
          </w:tcPr>
          <w:p w14:paraId="2FBB6454">
            <w:pPr>
              <w:rPr>
                <w:rFonts w:ascii="宋体" w:hAnsi="宋体"/>
                <w:color w:val="auto"/>
                <w:sz w:val="22"/>
                <w:highlight w:val="none"/>
              </w:rPr>
            </w:pPr>
            <w:r>
              <w:rPr>
                <w:rFonts w:hint="eastAsia" w:ascii="宋体" w:hAnsi="宋体"/>
                <w:color w:val="auto"/>
                <w:sz w:val="22"/>
                <w:highlight w:val="none"/>
              </w:rPr>
              <w:t>或相当于</w:t>
            </w:r>
          </w:p>
        </w:tc>
      </w:tr>
      <w:tr w14:paraId="66FC68D7">
        <w:tblPrEx>
          <w:tblCellMar>
            <w:top w:w="0" w:type="dxa"/>
            <w:left w:w="108" w:type="dxa"/>
            <w:bottom w:w="0" w:type="dxa"/>
            <w:right w:w="108" w:type="dxa"/>
          </w:tblCellMar>
        </w:tblPrEx>
        <w:trPr>
          <w:trHeight w:val="618" w:hRule="atLeast"/>
        </w:trPr>
        <w:tc>
          <w:tcPr>
            <w:tcW w:w="580" w:type="dxa"/>
            <w:tcBorders>
              <w:top w:val="single" w:color="auto" w:sz="6" w:space="0"/>
              <w:left w:val="single" w:color="auto" w:sz="6" w:space="0"/>
              <w:bottom w:val="single" w:color="auto" w:sz="6" w:space="0"/>
              <w:right w:val="single" w:color="auto" w:sz="6" w:space="0"/>
            </w:tcBorders>
            <w:vAlign w:val="center"/>
          </w:tcPr>
          <w:p w14:paraId="7C370465">
            <w:pPr>
              <w:rPr>
                <w:rFonts w:ascii="宋体" w:hAnsi="宋体"/>
                <w:color w:val="auto"/>
                <w:sz w:val="22"/>
                <w:highlight w:val="none"/>
              </w:rPr>
            </w:pPr>
            <w:r>
              <w:rPr>
                <w:rFonts w:hint="eastAsia" w:ascii="宋体" w:hAnsi="宋体"/>
                <w:color w:val="auto"/>
                <w:sz w:val="22"/>
                <w:highlight w:val="none"/>
              </w:rPr>
              <w:t>25</w:t>
            </w:r>
          </w:p>
        </w:tc>
        <w:tc>
          <w:tcPr>
            <w:tcW w:w="3261" w:type="dxa"/>
            <w:tcBorders>
              <w:top w:val="single" w:color="auto" w:sz="6" w:space="0"/>
              <w:left w:val="single" w:color="auto" w:sz="6" w:space="0"/>
              <w:bottom w:val="single" w:color="auto" w:sz="6" w:space="0"/>
              <w:right w:val="single" w:color="auto" w:sz="6" w:space="0"/>
            </w:tcBorders>
            <w:vAlign w:val="center"/>
          </w:tcPr>
          <w:p w14:paraId="5970FCD5">
            <w:pPr>
              <w:rPr>
                <w:rFonts w:ascii="宋体" w:hAnsi="宋体"/>
                <w:color w:val="auto"/>
                <w:sz w:val="22"/>
                <w:highlight w:val="none"/>
              </w:rPr>
            </w:pPr>
            <w:r>
              <w:rPr>
                <w:rFonts w:hint="eastAsia" w:ascii="宋体" w:hAnsi="宋体"/>
                <w:color w:val="auto"/>
                <w:sz w:val="22"/>
                <w:highlight w:val="none"/>
              </w:rPr>
              <w:t>水泵</w:t>
            </w:r>
          </w:p>
        </w:tc>
        <w:tc>
          <w:tcPr>
            <w:tcW w:w="2970" w:type="dxa"/>
            <w:tcBorders>
              <w:top w:val="single" w:color="auto" w:sz="6" w:space="0"/>
              <w:left w:val="single" w:color="auto" w:sz="6" w:space="0"/>
              <w:bottom w:val="single" w:color="auto" w:sz="6" w:space="0"/>
              <w:right w:val="single" w:color="auto" w:sz="6" w:space="0"/>
            </w:tcBorders>
            <w:vAlign w:val="center"/>
          </w:tcPr>
          <w:p w14:paraId="2CADD774">
            <w:pPr>
              <w:rPr>
                <w:rFonts w:ascii="宋体" w:hAnsi="宋体"/>
                <w:color w:val="auto"/>
                <w:sz w:val="22"/>
                <w:highlight w:val="none"/>
              </w:rPr>
            </w:pPr>
            <w:r>
              <w:rPr>
                <w:rFonts w:hint="eastAsia" w:ascii="宋体" w:hAnsi="宋体"/>
                <w:color w:val="auto"/>
                <w:sz w:val="22"/>
                <w:highlight w:val="none"/>
              </w:rPr>
              <w:t>爱力浦、南方泵业、上锦、凯泉</w:t>
            </w:r>
          </w:p>
        </w:tc>
        <w:tc>
          <w:tcPr>
            <w:tcW w:w="1549" w:type="dxa"/>
            <w:tcBorders>
              <w:top w:val="single" w:color="auto" w:sz="6" w:space="0"/>
              <w:left w:val="single" w:color="auto" w:sz="6" w:space="0"/>
              <w:bottom w:val="single" w:color="auto" w:sz="6" w:space="0"/>
              <w:right w:val="single" w:color="auto" w:sz="6" w:space="0"/>
            </w:tcBorders>
            <w:vAlign w:val="center"/>
          </w:tcPr>
          <w:p w14:paraId="5E43B1F1">
            <w:pPr>
              <w:rPr>
                <w:rFonts w:ascii="宋体" w:hAnsi="宋体"/>
                <w:color w:val="auto"/>
                <w:sz w:val="22"/>
                <w:highlight w:val="none"/>
              </w:rPr>
            </w:pPr>
            <w:r>
              <w:rPr>
                <w:rFonts w:hint="eastAsia" w:ascii="宋体" w:hAnsi="宋体"/>
                <w:color w:val="auto"/>
                <w:sz w:val="22"/>
                <w:highlight w:val="none"/>
              </w:rPr>
              <w:t>或相当于</w:t>
            </w:r>
          </w:p>
        </w:tc>
      </w:tr>
      <w:tr w14:paraId="7F95D639">
        <w:tblPrEx>
          <w:tblCellMar>
            <w:top w:w="0" w:type="dxa"/>
            <w:left w:w="108" w:type="dxa"/>
            <w:bottom w:w="0" w:type="dxa"/>
            <w:right w:w="108" w:type="dxa"/>
          </w:tblCellMar>
        </w:tblPrEx>
        <w:trPr>
          <w:trHeight w:val="618" w:hRule="atLeast"/>
        </w:trPr>
        <w:tc>
          <w:tcPr>
            <w:tcW w:w="580" w:type="dxa"/>
            <w:tcBorders>
              <w:top w:val="single" w:color="auto" w:sz="6" w:space="0"/>
              <w:left w:val="single" w:color="auto" w:sz="6" w:space="0"/>
              <w:bottom w:val="single" w:color="auto" w:sz="6" w:space="0"/>
              <w:right w:val="single" w:color="auto" w:sz="6" w:space="0"/>
            </w:tcBorders>
            <w:vAlign w:val="center"/>
          </w:tcPr>
          <w:p w14:paraId="79A30D74">
            <w:pPr>
              <w:rPr>
                <w:rFonts w:ascii="宋体" w:hAnsi="宋体"/>
                <w:color w:val="auto"/>
                <w:sz w:val="22"/>
                <w:highlight w:val="none"/>
              </w:rPr>
            </w:pPr>
            <w:r>
              <w:rPr>
                <w:rFonts w:hint="eastAsia" w:ascii="宋体" w:hAnsi="宋体"/>
                <w:color w:val="auto"/>
                <w:sz w:val="22"/>
                <w:highlight w:val="none"/>
              </w:rPr>
              <w:t>26</w:t>
            </w:r>
          </w:p>
        </w:tc>
        <w:tc>
          <w:tcPr>
            <w:tcW w:w="3261" w:type="dxa"/>
            <w:tcBorders>
              <w:top w:val="single" w:color="auto" w:sz="6" w:space="0"/>
              <w:left w:val="single" w:color="auto" w:sz="6" w:space="0"/>
              <w:bottom w:val="single" w:color="auto" w:sz="6" w:space="0"/>
              <w:right w:val="single" w:color="auto" w:sz="6" w:space="0"/>
            </w:tcBorders>
            <w:vAlign w:val="center"/>
          </w:tcPr>
          <w:p w14:paraId="35A0DAC3">
            <w:pPr>
              <w:rPr>
                <w:rFonts w:ascii="宋体" w:hAnsi="宋体"/>
                <w:color w:val="auto"/>
                <w:sz w:val="22"/>
                <w:highlight w:val="none"/>
              </w:rPr>
            </w:pPr>
            <w:r>
              <w:rPr>
                <w:rFonts w:hint="eastAsia" w:ascii="宋体" w:hAnsi="宋体"/>
                <w:color w:val="auto"/>
                <w:sz w:val="22"/>
                <w:highlight w:val="none"/>
              </w:rPr>
              <w:t>消火栓</w:t>
            </w:r>
          </w:p>
        </w:tc>
        <w:tc>
          <w:tcPr>
            <w:tcW w:w="2970" w:type="dxa"/>
            <w:tcBorders>
              <w:top w:val="single" w:color="auto" w:sz="6" w:space="0"/>
              <w:left w:val="single" w:color="auto" w:sz="6" w:space="0"/>
              <w:bottom w:val="single" w:color="auto" w:sz="6" w:space="0"/>
              <w:right w:val="single" w:color="auto" w:sz="6" w:space="0"/>
            </w:tcBorders>
            <w:vAlign w:val="center"/>
          </w:tcPr>
          <w:p w14:paraId="6B52C110">
            <w:pPr>
              <w:rPr>
                <w:rFonts w:ascii="宋体" w:hAnsi="宋体"/>
                <w:color w:val="auto"/>
                <w:sz w:val="22"/>
                <w:highlight w:val="none"/>
              </w:rPr>
            </w:pPr>
            <w:r>
              <w:rPr>
                <w:rFonts w:hint="eastAsia" w:ascii="宋体" w:hAnsi="宋体"/>
                <w:color w:val="auto"/>
                <w:sz w:val="22"/>
                <w:highlight w:val="none"/>
              </w:rPr>
              <w:t>丽消，永康元安、江山江郎峰</w:t>
            </w:r>
          </w:p>
        </w:tc>
        <w:tc>
          <w:tcPr>
            <w:tcW w:w="1549" w:type="dxa"/>
            <w:tcBorders>
              <w:top w:val="single" w:color="auto" w:sz="6" w:space="0"/>
              <w:left w:val="single" w:color="auto" w:sz="6" w:space="0"/>
              <w:bottom w:val="single" w:color="auto" w:sz="6" w:space="0"/>
              <w:right w:val="single" w:color="auto" w:sz="6" w:space="0"/>
            </w:tcBorders>
            <w:vAlign w:val="center"/>
          </w:tcPr>
          <w:p w14:paraId="16125523">
            <w:pPr>
              <w:rPr>
                <w:rFonts w:ascii="宋体" w:hAnsi="宋体"/>
                <w:color w:val="auto"/>
                <w:sz w:val="22"/>
                <w:highlight w:val="none"/>
              </w:rPr>
            </w:pPr>
            <w:r>
              <w:rPr>
                <w:rFonts w:hint="eastAsia" w:ascii="宋体" w:hAnsi="宋体"/>
                <w:color w:val="auto"/>
                <w:sz w:val="22"/>
                <w:highlight w:val="none"/>
              </w:rPr>
              <w:t>或相当于</w:t>
            </w:r>
          </w:p>
        </w:tc>
      </w:tr>
      <w:tr w14:paraId="30CC13D0">
        <w:tblPrEx>
          <w:tblCellMar>
            <w:top w:w="0" w:type="dxa"/>
            <w:left w:w="108" w:type="dxa"/>
            <w:bottom w:w="0" w:type="dxa"/>
            <w:right w:w="108" w:type="dxa"/>
          </w:tblCellMar>
        </w:tblPrEx>
        <w:trPr>
          <w:trHeight w:val="618" w:hRule="atLeast"/>
        </w:trPr>
        <w:tc>
          <w:tcPr>
            <w:tcW w:w="580" w:type="dxa"/>
            <w:tcBorders>
              <w:top w:val="single" w:color="auto" w:sz="6" w:space="0"/>
              <w:left w:val="single" w:color="auto" w:sz="6" w:space="0"/>
              <w:bottom w:val="single" w:color="auto" w:sz="6" w:space="0"/>
              <w:right w:val="single" w:color="auto" w:sz="6" w:space="0"/>
            </w:tcBorders>
            <w:vAlign w:val="center"/>
          </w:tcPr>
          <w:p w14:paraId="48B73C03">
            <w:pPr>
              <w:rPr>
                <w:rFonts w:ascii="宋体" w:hAnsi="宋体"/>
                <w:color w:val="auto"/>
                <w:sz w:val="22"/>
                <w:highlight w:val="none"/>
              </w:rPr>
            </w:pPr>
            <w:r>
              <w:rPr>
                <w:rFonts w:hint="eastAsia" w:ascii="宋体" w:hAnsi="宋体"/>
                <w:color w:val="auto"/>
                <w:sz w:val="22"/>
                <w:highlight w:val="none"/>
              </w:rPr>
              <w:t>27</w:t>
            </w:r>
          </w:p>
        </w:tc>
        <w:tc>
          <w:tcPr>
            <w:tcW w:w="3261" w:type="dxa"/>
            <w:tcBorders>
              <w:top w:val="single" w:color="auto" w:sz="6" w:space="0"/>
              <w:left w:val="single" w:color="auto" w:sz="6" w:space="0"/>
              <w:bottom w:val="single" w:color="auto" w:sz="6" w:space="0"/>
              <w:right w:val="single" w:color="auto" w:sz="6" w:space="0"/>
            </w:tcBorders>
            <w:vAlign w:val="center"/>
          </w:tcPr>
          <w:p w14:paraId="4132093D">
            <w:pPr>
              <w:rPr>
                <w:rFonts w:ascii="宋体" w:hAnsi="宋体"/>
                <w:color w:val="auto"/>
                <w:sz w:val="22"/>
                <w:highlight w:val="none"/>
              </w:rPr>
            </w:pPr>
            <w:r>
              <w:rPr>
                <w:rFonts w:hint="eastAsia" w:ascii="宋体" w:hAnsi="宋体"/>
                <w:color w:val="auto"/>
                <w:sz w:val="22"/>
                <w:highlight w:val="none"/>
              </w:rPr>
              <w:t>综合布线系统</w:t>
            </w:r>
          </w:p>
        </w:tc>
        <w:tc>
          <w:tcPr>
            <w:tcW w:w="2970" w:type="dxa"/>
            <w:tcBorders>
              <w:top w:val="single" w:color="auto" w:sz="6" w:space="0"/>
              <w:left w:val="single" w:color="auto" w:sz="6" w:space="0"/>
              <w:bottom w:val="single" w:color="auto" w:sz="6" w:space="0"/>
              <w:right w:val="single" w:color="auto" w:sz="6" w:space="0"/>
            </w:tcBorders>
            <w:vAlign w:val="center"/>
          </w:tcPr>
          <w:p w14:paraId="2AF34DA1">
            <w:pPr>
              <w:rPr>
                <w:rFonts w:hint="eastAsia" w:ascii="宋体" w:hAnsi="宋体" w:eastAsiaTheme="minorEastAsia"/>
                <w:color w:val="auto"/>
                <w:sz w:val="22"/>
                <w:highlight w:val="none"/>
                <w:lang w:eastAsia="zh-CN"/>
              </w:rPr>
            </w:pPr>
            <w:r>
              <w:rPr>
                <w:rFonts w:hint="eastAsia" w:ascii="宋体" w:hAnsi="宋体"/>
                <w:color w:val="auto"/>
                <w:sz w:val="22"/>
                <w:highlight w:val="none"/>
              </w:rPr>
              <w:t>劳兰、凯勒、兰泽德勒</w:t>
            </w:r>
            <w:r>
              <w:rPr>
                <w:rFonts w:hint="eastAsia" w:ascii="宋体" w:hAnsi="宋体"/>
                <w:color w:val="auto"/>
                <w:sz w:val="22"/>
                <w:highlight w:val="none"/>
                <w:lang w:eastAsia="zh-CN"/>
              </w:rPr>
              <w:t>、康宁</w:t>
            </w:r>
          </w:p>
        </w:tc>
        <w:tc>
          <w:tcPr>
            <w:tcW w:w="1549" w:type="dxa"/>
            <w:tcBorders>
              <w:top w:val="single" w:color="auto" w:sz="6" w:space="0"/>
              <w:left w:val="single" w:color="auto" w:sz="6" w:space="0"/>
              <w:bottom w:val="single" w:color="auto" w:sz="6" w:space="0"/>
              <w:right w:val="single" w:color="auto" w:sz="6" w:space="0"/>
            </w:tcBorders>
            <w:vAlign w:val="center"/>
          </w:tcPr>
          <w:p w14:paraId="57D803FC">
            <w:pPr>
              <w:rPr>
                <w:rFonts w:ascii="宋体" w:hAnsi="宋体"/>
                <w:color w:val="auto"/>
                <w:sz w:val="22"/>
                <w:highlight w:val="none"/>
              </w:rPr>
            </w:pPr>
            <w:r>
              <w:rPr>
                <w:rFonts w:hint="eastAsia" w:ascii="宋体" w:hAnsi="宋体"/>
                <w:color w:val="auto"/>
                <w:sz w:val="22"/>
                <w:highlight w:val="none"/>
              </w:rPr>
              <w:t>或相当于</w:t>
            </w:r>
          </w:p>
        </w:tc>
      </w:tr>
      <w:tr w14:paraId="1B3EE2B8">
        <w:tblPrEx>
          <w:tblCellMar>
            <w:top w:w="0" w:type="dxa"/>
            <w:left w:w="108" w:type="dxa"/>
            <w:bottom w:w="0" w:type="dxa"/>
            <w:right w:w="108" w:type="dxa"/>
          </w:tblCellMar>
        </w:tblPrEx>
        <w:trPr>
          <w:trHeight w:val="618" w:hRule="atLeast"/>
        </w:trPr>
        <w:tc>
          <w:tcPr>
            <w:tcW w:w="580" w:type="dxa"/>
            <w:tcBorders>
              <w:top w:val="single" w:color="auto" w:sz="6" w:space="0"/>
              <w:left w:val="single" w:color="auto" w:sz="6" w:space="0"/>
              <w:bottom w:val="single" w:color="auto" w:sz="6" w:space="0"/>
              <w:right w:val="single" w:color="auto" w:sz="6" w:space="0"/>
            </w:tcBorders>
            <w:vAlign w:val="center"/>
          </w:tcPr>
          <w:p w14:paraId="6B6C904B">
            <w:pPr>
              <w:rPr>
                <w:rFonts w:ascii="宋体" w:hAnsi="宋体"/>
                <w:color w:val="auto"/>
                <w:sz w:val="22"/>
                <w:highlight w:val="none"/>
              </w:rPr>
            </w:pPr>
            <w:r>
              <w:rPr>
                <w:rFonts w:hint="eastAsia" w:ascii="宋体" w:hAnsi="宋体"/>
                <w:color w:val="auto"/>
                <w:sz w:val="22"/>
                <w:highlight w:val="none"/>
              </w:rPr>
              <w:t>28</w:t>
            </w:r>
          </w:p>
        </w:tc>
        <w:tc>
          <w:tcPr>
            <w:tcW w:w="3261" w:type="dxa"/>
            <w:tcBorders>
              <w:top w:val="single" w:color="auto" w:sz="6" w:space="0"/>
              <w:left w:val="single" w:color="auto" w:sz="6" w:space="0"/>
              <w:bottom w:val="single" w:color="auto" w:sz="6" w:space="0"/>
              <w:right w:val="single" w:color="auto" w:sz="6" w:space="0"/>
            </w:tcBorders>
            <w:vAlign w:val="center"/>
          </w:tcPr>
          <w:p w14:paraId="241AE8AF">
            <w:pPr>
              <w:rPr>
                <w:rFonts w:ascii="宋体" w:hAnsi="宋体"/>
                <w:color w:val="auto"/>
                <w:sz w:val="22"/>
                <w:highlight w:val="none"/>
              </w:rPr>
            </w:pPr>
            <w:r>
              <w:rPr>
                <w:rFonts w:hint="eastAsia" w:ascii="宋体" w:hAnsi="宋体"/>
                <w:color w:val="auto"/>
                <w:sz w:val="22"/>
                <w:highlight w:val="none"/>
              </w:rPr>
              <w:t>计算机网络系统</w:t>
            </w:r>
          </w:p>
        </w:tc>
        <w:tc>
          <w:tcPr>
            <w:tcW w:w="2970" w:type="dxa"/>
            <w:tcBorders>
              <w:top w:val="single" w:color="auto" w:sz="6" w:space="0"/>
              <w:left w:val="single" w:color="auto" w:sz="6" w:space="0"/>
              <w:bottom w:val="single" w:color="auto" w:sz="6" w:space="0"/>
              <w:right w:val="single" w:color="auto" w:sz="6" w:space="0"/>
            </w:tcBorders>
            <w:vAlign w:val="center"/>
          </w:tcPr>
          <w:p w14:paraId="7BAEF114">
            <w:pPr>
              <w:rPr>
                <w:rFonts w:ascii="宋体" w:hAnsi="宋体"/>
                <w:color w:val="auto"/>
                <w:sz w:val="22"/>
                <w:highlight w:val="none"/>
              </w:rPr>
            </w:pPr>
            <w:r>
              <w:rPr>
                <w:rFonts w:hint="eastAsia" w:ascii="宋体" w:hAnsi="宋体"/>
                <w:color w:val="auto"/>
                <w:sz w:val="22"/>
                <w:highlight w:val="none"/>
              </w:rPr>
              <w:t>华为、华三、锐捷</w:t>
            </w:r>
          </w:p>
        </w:tc>
        <w:tc>
          <w:tcPr>
            <w:tcW w:w="1549" w:type="dxa"/>
            <w:tcBorders>
              <w:top w:val="single" w:color="auto" w:sz="6" w:space="0"/>
              <w:left w:val="single" w:color="auto" w:sz="6" w:space="0"/>
              <w:bottom w:val="single" w:color="auto" w:sz="6" w:space="0"/>
              <w:right w:val="single" w:color="auto" w:sz="6" w:space="0"/>
            </w:tcBorders>
            <w:vAlign w:val="center"/>
          </w:tcPr>
          <w:p w14:paraId="4C871872">
            <w:pPr>
              <w:rPr>
                <w:rFonts w:ascii="宋体" w:hAnsi="宋体"/>
                <w:color w:val="auto"/>
                <w:sz w:val="22"/>
                <w:highlight w:val="none"/>
              </w:rPr>
            </w:pPr>
            <w:r>
              <w:rPr>
                <w:rFonts w:hint="eastAsia" w:ascii="宋体" w:hAnsi="宋体"/>
                <w:color w:val="auto"/>
                <w:sz w:val="22"/>
                <w:highlight w:val="none"/>
              </w:rPr>
              <w:t>或相当于</w:t>
            </w:r>
          </w:p>
        </w:tc>
      </w:tr>
      <w:tr w14:paraId="0AD572D4">
        <w:tblPrEx>
          <w:tblCellMar>
            <w:top w:w="0" w:type="dxa"/>
            <w:left w:w="108" w:type="dxa"/>
            <w:bottom w:w="0" w:type="dxa"/>
            <w:right w:w="108" w:type="dxa"/>
          </w:tblCellMar>
        </w:tblPrEx>
        <w:trPr>
          <w:trHeight w:val="618" w:hRule="atLeast"/>
        </w:trPr>
        <w:tc>
          <w:tcPr>
            <w:tcW w:w="580" w:type="dxa"/>
            <w:tcBorders>
              <w:top w:val="single" w:color="auto" w:sz="6" w:space="0"/>
              <w:left w:val="single" w:color="auto" w:sz="6" w:space="0"/>
              <w:bottom w:val="single" w:color="auto" w:sz="6" w:space="0"/>
              <w:right w:val="single" w:color="auto" w:sz="6" w:space="0"/>
            </w:tcBorders>
            <w:vAlign w:val="center"/>
          </w:tcPr>
          <w:p w14:paraId="0FEC97A7">
            <w:pPr>
              <w:rPr>
                <w:rFonts w:ascii="宋体" w:hAnsi="宋体"/>
                <w:color w:val="auto"/>
                <w:sz w:val="22"/>
                <w:highlight w:val="none"/>
              </w:rPr>
            </w:pPr>
            <w:r>
              <w:rPr>
                <w:rFonts w:hint="eastAsia" w:ascii="宋体" w:hAnsi="宋体"/>
                <w:color w:val="auto"/>
                <w:sz w:val="22"/>
                <w:highlight w:val="none"/>
              </w:rPr>
              <w:t>29</w:t>
            </w:r>
          </w:p>
        </w:tc>
        <w:tc>
          <w:tcPr>
            <w:tcW w:w="3261" w:type="dxa"/>
            <w:tcBorders>
              <w:top w:val="single" w:color="auto" w:sz="6" w:space="0"/>
              <w:left w:val="single" w:color="auto" w:sz="6" w:space="0"/>
              <w:bottom w:val="single" w:color="auto" w:sz="6" w:space="0"/>
              <w:right w:val="single" w:color="auto" w:sz="6" w:space="0"/>
            </w:tcBorders>
            <w:vAlign w:val="center"/>
          </w:tcPr>
          <w:p w14:paraId="25718231">
            <w:pPr>
              <w:rPr>
                <w:rFonts w:ascii="宋体" w:hAnsi="宋体"/>
                <w:color w:val="auto"/>
                <w:sz w:val="22"/>
                <w:highlight w:val="none"/>
              </w:rPr>
            </w:pPr>
            <w:r>
              <w:rPr>
                <w:rFonts w:hint="eastAsia" w:ascii="宋体" w:hAnsi="宋体"/>
                <w:color w:val="auto"/>
                <w:sz w:val="22"/>
                <w:highlight w:val="none"/>
              </w:rPr>
              <w:t>安全防范系统</w:t>
            </w:r>
          </w:p>
        </w:tc>
        <w:tc>
          <w:tcPr>
            <w:tcW w:w="2970" w:type="dxa"/>
            <w:tcBorders>
              <w:top w:val="single" w:color="auto" w:sz="6" w:space="0"/>
              <w:left w:val="single" w:color="auto" w:sz="6" w:space="0"/>
              <w:bottom w:val="single" w:color="auto" w:sz="6" w:space="0"/>
              <w:right w:val="single" w:color="auto" w:sz="6" w:space="0"/>
            </w:tcBorders>
            <w:vAlign w:val="center"/>
          </w:tcPr>
          <w:p w14:paraId="3C49D239">
            <w:pPr>
              <w:rPr>
                <w:rFonts w:ascii="宋体" w:hAnsi="宋体"/>
                <w:color w:val="auto"/>
                <w:sz w:val="22"/>
                <w:highlight w:val="none"/>
              </w:rPr>
            </w:pPr>
            <w:r>
              <w:rPr>
                <w:rFonts w:hint="eastAsia" w:ascii="宋体" w:hAnsi="宋体"/>
                <w:color w:val="auto"/>
                <w:sz w:val="22"/>
                <w:highlight w:val="none"/>
              </w:rPr>
              <w:t>海康威视、大华、天地伟业</w:t>
            </w:r>
          </w:p>
        </w:tc>
        <w:tc>
          <w:tcPr>
            <w:tcW w:w="1549" w:type="dxa"/>
            <w:tcBorders>
              <w:top w:val="single" w:color="auto" w:sz="6" w:space="0"/>
              <w:left w:val="single" w:color="auto" w:sz="6" w:space="0"/>
              <w:bottom w:val="single" w:color="auto" w:sz="6" w:space="0"/>
              <w:right w:val="single" w:color="auto" w:sz="6" w:space="0"/>
            </w:tcBorders>
            <w:vAlign w:val="center"/>
          </w:tcPr>
          <w:p w14:paraId="74543F2F">
            <w:pPr>
              <w:rPr>
                <w:rFonts w:ascii="宋体" w:hAnsi="宋体"/>
                <w:color w:val="auto"/>
                <w:sz w:val="22"/>
                <w:highlight w:val="none"/>
              </w:rPr>
            </w:pPr>
            <w:r>
              <w:rPr>
                <w:rFonts w:hint="eastAsia" w:ascii="宋体" w:hAnsi="宋体"/>
                <w:color w:val="auto"/>
                <w:sz w:val="22"/>
                <w:highlight w:val="none"/>
              </w:rPr>
              <w:t>或相当于</w:t>
            </w:r>
          </w:p>
        </w:tc>
      </w:tr>
      <w:tr w14:paraId="7C0FF566">
        <w:tblPrEx>
          <w:tblCellMar>
            <w:top w:w="0" w:type="dxa"/>
            <w:left w:w="108" w:type="dxa"/>
            <w:bottom w:w="0" w:type="dxa"/>
            <w:right w:w="108" w:type="dxa"/>
          </w:tblCellMar>
        </w:tblPrEx>
        <w:trPr>
          <w:trHeight w:val="618" w:hRule="atLeast"/>
        </w:trPr>
        <w:tc>
          <w:tcPr>
            <w:tcW w:w="580" w:type="dxa"/>
            <w:tcBorders>
              <w:top w:val="single" w:color="auto" w:sz="6" w:space="0"/>
              <w:left w:val="single" w:color="auto" w:sz="6" w:space="0"/>
              <w:bottom w:val="single" w:color="auto" w:sz="6" w:space="0"/>
              <w:right w:val="single" w:color="auto" w:sz="6" w:space="0"/>
            </w:tcBorders>
            <w:vAlign w:val="center"/>
          </w:tcPr>
          <w:p w14:paraId="1C6913EB">
            <w:pPr>
              <w:rPr>
                <w:rFonts w:ascii="宋体" w:hAnsi="宋体"/>
                <w:color w:val="auto"/>
                <w:sz w:val="22"/>
                <w:highlight w:val="none"/>
              </w:rPr>
            </w:pPr>
            <w:r>
              <w:rPr>
                <w:rFonts w:hint="eastAsia" w:ascii="宋体" w:hAnsi="宋体"/>
                <w:color w:val="auto"/>
                <w:sz w:val="22"/>
                <w:highlight w:val="none"/>
              </w:rPr>
              <w:t>30</w:t>
            </w:r>
          </w:p>
        </w:tc>
        <w:tc>
          <w:tcPr>
            <w:tcW w:w="3261" w:type="dxa"/>
            <w:tcBorders>
              <w:top w:val="single" w:color="auto" w:sz="6" w:space="0"/>
              <w:left w:val="single" w:color="auto" w:sz="6" w:space="0"/>
              <w:bottom w:val="single" w:color="auto" w:sz="6" w:space="0"/>
              <w:right w:val="single" w:color="auto" w:sz="6" w:space="0"/>
            </w:tcBorders>
            <w:vAlign w:val="center"/>
          </w:tcPr>
          <w:p w14:paraId="2DF28505">
            <w:pPr>
              <w:rPr>
                <w:rFonts w:ascii="宋体" w:hAnsi="宋体"/>
                <w:color w:val="auto"/>
                <w:sz w:val="22"/>
                <w:highlight w:val="none"/>
              </w:rPr>
            </w:pPr>
            <w:r>
              <w:rPr>
                <w:rFonts w:hint="eastAsia" w:ascii="宋体" w:hAnsi="宋体"/>
                <w:color w:val="auto"/>
                <w:sz w:val="22"/>
                <w:highlight w:val="none"/>
              </w:rPr>
              <w:t>公共广播系统</w:t>
            </w:r>
          </w:p>
        </w:tc>
        <w:tc>
          <w:tcPr>
            <w:tcW w:w="2970" w:type="dxa"/>
            <w:tcBorders>
              <w:top w:val="single" w:color="auto" w:sz="6" w:space="0"/>
              <w:left w:val="single" w:color="auto" w:sz="6" w:space="0"/>
              <w:bottom w:val="single" w:color="auto" w:sz="6" w:space="0"/>
              <w:right w:val="single" w:color="auto" w:sz="6" w:space="0"/>
            </w:tcBorders>
            <w:vAlign w:val="center"/>
          </w:tcPr>
          <w:p w14:paraId="18F36269">
            <w:pPr>
              <w:rPr>
                <w:rFonts w:hint="eastAsia" w:ascii="宋体" w:hAnsi="宋体" w:eastAsiaTheme="minorEastAsia"/>
                <w:color w:val="auto"/>
                <w:sz w:val="22"/>
                <w:highlight w:val="none"/>
                <w:lang w:eastAsia="zh-CN"/>
              </w:rPr>
            </w:pPr>
            <w:r>
              <w:rPr>
                <w:rFonts w:hint="eastAsia" w:ascii="宋体" w:hAnsi="宋体"/>
                <w:color w:val="auto"/>
                <w:sz w:val="22"/>
                <w:highlight w:val="none"/>
              </w:rPr>
              <w:t>RCFIP  、KDROCK、BILIPU</w:t>
            </w:r>
            <w:r>
              <w:rPr>
                <w:rFonts w:hint="eastAsia" w:ascii="宋体" w:hAnsi="宋体"/>
                <w:color w:val="auto"/>
                <w:sz w:val="22"/>
                <w:highlight w:val="none"/>
                <w:lang w:eastAsia="zh-CN"/>
              </w:rPr>
              <w:t>、新视</w:t>
            </w:r>
          </w:p>
        </w:tc>
        <w:tc>
          <w:tcPr>
            <w:tcW w:w="1549" w:type="dxa"/>
            <w:tcBorders>
              <w:top w:val="single" w:color="auto" w:sz="6" w:space="0"/>
              <w:left w:val="single" w:color="auto" w:sz="6" w:space="0"/>
              <w:bottom w:val="single" w:color="auto" w:sz="6" w:space="0"/>
              <w:right w:val="single" w:color="auto" w:sz="6" w:space="0"/>
            </w:tcBorders>
            <w:vAlign w:val="center"/>
          </w:tcPr>
          <w:p w14:paraId="4E523C75">
            <w:pPr>
              <w:rPr>
                <w:rFonts w:ascii="宋体" w:hAnsi="宋体"/>
                <w:color w:val="auto"/>
                <w:sz w:val="22"/>
                <w:highlight w:val="none"/>
              </w:rPr>
            </w:pPr>
            <w:r>
              <w:rPr>
                <w:rFonts w:hint="eastAsia" w:ascii="宋体" w:hAnsi="宋体"/>
                <w:color w:val="auto"/>
                <w:sz w:val="22"/>
                <w:highlight w:val="none"/>
              </w:rPr>
              <w:t>或相当于</w:t>
            </w:r>
          </w:p>
        </w:tc>
      </w:tr>
      <w:tr w14:paraId="24100D5C">
        <w:tblPrEx>
          <w:tblCellMar>
            <w:top w:w="0" w:type="dxa"/>
            <w:left w:w="108" w:type="dxa"/>
            <w:bottom w:w="0" w:type="dxa"/>
            <w:right w:w="108" w:type="dxa"/>
          </w:tblCellMar>
        </w:tblPrEx>
        <w:trPr>
          <w:trHeight w:val="618" w:hRule="atLeast"/>
        </w:trPr>
        <w:tc>
          <w:tcPr>
            <w:tcW w:w="580" w:type="dxa"/>
            <w:tcBorders>
              <w:top w:val="single" w:color="auto" w:sz="6" w:space="0"/>
              <w:left w:val="single" w:color="auto" w:sz="6" w:space="0"/>
              <w:bottom w:val="single" w:color="auto" w:sz="6" w:space="0"/>
              <w:right w:val="single" w:color="auto" w:sz="6" w:space="0"/>
            </w:tcBorders>
            <w:vAlign w:val="center"/>
          </w:tcPr>
          <w:p w14:paraId="26513111">
            <w:pPr>
              <w:rPr>
                <w:rFonts w:ascii="宋体" w:hAnsi="宋体"/>
                <w:color w:val="auto"/>
                <w:sz w:val="22"/>
                <w:highlight w:val="none"/>
              </w:rPr>
            </w:pPr>
            <w:r>
              <w:rPr>
                <w:rFonts w:hint="eastAsia" w:ascii="宋体" w:hAnsi="宋体"/>
                <w:color w:val="auto"/>
                <w:sz w:val="22"/>
                <w:highlight w:val="none"/>
              </w:rPr>
              <w:t>31</w:t>
            </w:r>
          </w:p>
        </w:tc>
        <w:tc>
          <w:tcPr>
            <w:tcW w:w="3261" w:type="dxa"/>
            <w:tcBorders>
              <w:top w:val="single" w:color="auto" w:sz="6" w:space="0"/>
              <w:left w:val="single" w:color="auto" w:sz="6" w:space="0"/>
              <w:bottom w:val="single" w:color="auto" w:sz="6" w:space="0"/>
              <w:right w:val="single" w:color="auto" w:sz="6" w:space="0"/>
            </w:tcBorders>
            <w:vAlign w:val="center"/>
          </w:tcPr>
          <w:p w14:paraId="2E133A60">
            <w:pPr>
              <w:rPr>
                <w:rFonts w:ascii="宋体" w:hAnsi="宋体"/>
                <w:color w:val="auto"/>
                <w:sz w:val="22"/>
                <w:highlight w:val="none"/>
              </w:rPr>
            </w:pPr>
            <w:r>
              <w:rPr>
                <w:rFonts w:hint="eastAsia" w:ascii="宋体" w:hAnsi="宋体"/>
                <w:color w:val="auto"/>
                <w:sz w:val="22"/>
                <w:highlight w:val="none"/>
              </w:rPr>
              <w:t>多媒体教学系统</w:t>
            </w:r>
          </w:p>
        </w:tc>
        <w:tc>
          <w:tcPr>
            <w:tcW w:w="2970" w:type="dxa"/>
            <w:tcBorders>
              <w:top w:val="single" w:color="auto" w:sz="6" w:space="0"/>
              <w:left w:val="single" w:color="auto" w:sz="6" w:space="0"/>
              <w:bottom w:val="single" w:color="auto" w:sz="6" w:space="0"/>
              <w:right w:val="single" w:color="auto" w:sz="6" w:space="0"/>
            </w:tcBorders>
            <w:vAlign w:val="center"/>
          </w:tcPr>
          <w:p w14:paraId="619017A2">
            <w:pPr>
              <w:rPr>
                <w:rFonts w:ascii="宋体" w:hAnsi="宋体"/>
                <w:color w:val="auto"/>
                <w:sz w:val="22"/>
                <w:highlight w:val="none"/>
              </w:rPr>
            </w:pPr>
            <w:r>
              <w:rPr>
                <w:rFonts w:hint="eastAsia" w:ascii="宋体" w:hAnsi="宋体"/>
                <w:color w:val="auto"/>
                <w:sz w:val="22"/>
                <w:highlight w:val="none"/>
              </w:rPr>
              <w:t>RCFIP  、KDROCK、BILIPU</w:t>
            </w:r>
          </w:p>
        </w:tc>
        <w:tc>
          <w:tcPr>
            <w:tcW w:w="1549" w:type="dxa"/>
            <w:tcBorders>
              <w:top w:val="single" w:color="auto" w:sz="6" w:space="0"/>
              <w:left w:val="single" w:color="auto" w:sz="6" w:space="0"/>
              <w:bottom w:val="single" w:color="auto" w:sz="6" w:space="0"/>
              <w:right w:val="single" w:color="auto" w:sz="6" w:space="0"/>
            </w:tcBorders>
            <w:vAlign w:val="center"/>
          </w:tcPr>
          <w:p w14:paraId="721DD0E0">
            <w:pPr>
              <w:rPr>
                <w:rFonts w:ascii="宋体" w:hAnsi="宋体"/>
                <w:color w:val="auto"/>
                <w:sz w:val="22"/>
                <w:highlight w:val="none"/>
              </w:rPr>
            </w:pPr>
            <w:r>
              <w:rPr>
                <w:rFonts w:hint="eastAsia" w:ascii="宋体" w:hAnsi="宋体"/>
                <w:color w:val="auto"/>
                <w:sz w:val="22"/>
                <w:highlight w:val="none"/>
              </w:rPr>
              <w:t>或相当于</w:t>
            </w:r>
          </w:p>
        </w:tc>
      </w:tr>
      <w:tr w14:paraId="11C74FB6">
        <w:tblPrEx>
          <w:tblCellMar>
            <w:top w:w="0" w:type="dxa"/>
            <w:left w:w="108" w:type="dxa"/>
            <w:bottom w:w="0" w:type="dxa"/>
            <w:right w:w="108" w:type="dxa"/>
          </w:tblCellMar>
        </w:tblPrEx>
        <w:trPr>
          <w:trHeight w:val="618" w:hRule="atLeast"/>
        </w:trPr>
        <w:tc>
          <w:tcPr>
            <w:tcW w:w="580" w:type="dxa"/>
            <w:tcBorders>
              <w:top w:val="single" w:color="auto" w:sz="6" w:space="0"/>
              <w:left w:val="single" w:color="auto" w:sz="6" w:space="0"/>
              <w:bottom w:val="single" w:color="auto" w:sz="6" w:space="0"/>
              <w:right w:val="single" w:color="auto" w:sz="6" w:space="0"/>
            </w:tcBorders>
            <w:vAlign w:val="center"/>
          </w:tcPr>
          <w:p w14:paraId="30115425">
            <w:pPr>
              <w:rPr>
                <w:rFonts w:ascii="宋体" w:hAnsi="宋体"/>
                <w:color w:val="auto"/>
                <w:sz w:val="22"/>
                <w:highlight w:val="none"/>
              </w:rPr>
            </w:pPr>
            <w:r>
              <w:rPr>
                <w:rFonts w:hint="eastAsia" w:ascii="宋体" w:hAnsi="宋体"/>
                <w:color w:val="auto"/>
                <w:sz w:val="22"/>
                <w:highlight w:val="none"/>
              </w:rPr>
              <w:t>32</w:t>
            </w:r>
          </w:p>
        </w:tc>
        <w:tc>
          <w:tcPr>
            <w:tcW w:w="3261" w:type="dxa"/>
            <w:tcBorders>
              <w:top w:val="single" w:color="auto" w:sz="6" w:space="0"/>
              <w:left w:val="single" w:color="auto" w:sz="6" w:space="0"/>
              <w:bottom w:val="single" w:color="auto" w:sz="6" w:space="0"/>
              <w:right w:val="single" w:color="auto" w:sz="6" w:space="0"/>
            </w:tcBorders>
            <w:vAlign w:val="center"/>
          </w:tcPr>
          <w:p w14:paraId="116EDD00">
            <w:pPr>
              <w:rPr>
                <w:rFonts w:ascii="宋体" w:hAnsi="宋体"/>
                <w:color w:val="auto"/>
                <w:sz w:val="22"/>
                <w:highlight w:val="none"/>
              </w:rPr>
            </w:pPr>
            <w:r>
              <w:rPr>
                <w:rFonts w:hint="eastAsia" w:ascii="宋体" w:hAnsi="宋体"/>
                <w:color w:val="auto"/>
                <w:sz w:val="22"/>
                <w:highlight w:val="none"/>
              </w:rPr>
              <w:t>门禁、车辆进出管理系统</w:t>
            </w:r>
          </w:p>
        </w:tc>
        <w:tc>
          <w:tcPr>
            <w:tcW w:w="2970" w:type="dxa"/>
            <w:tcBorders>
              <w:top w:val="single" w:color="auto" w:sz="6" w:space="0"/>
              <w:left w:val="single" w:color="auto" w:sz="6" w:space="0"/>
              <w:bottom w:val="single" w:color="auto" w:sz="6" w:space="0"/>
              <w:right w:val="single" w:color="auto" w:sz="6" w:space="0"/>
            </w:tcBorders>
            <w:vAlign w:val="center"/>
          </w:tcPr>
          <w:p w14:paraId="2CCC051A">
            <w:pPr>
              <w:rPr>
                <w:rFonts w:hint="eastAsia" w:ascii="宋体" w:hAnsi="宋体" w:eastAsiaTheme="minorEastAsia"/>
                <w:color w:val="auto"/>
                <w:sz w:val="22"/>
                <w:highlight w:val="none"/>
                <w:lang w:eastAsia="zh-CN"/>
              </w:rPr>
            </w:pPr>
            <w:r>
              <w:rPr>
                <w:rFonts w:hint="eastAsia" w:ascii="宋体" w:hAnsi="宋体"/>
                <w:color w:val="auto"/>
                <w:sz w:val="22"/>
                <w:highlight w:val="none"/>
              </w:rPr>
              <w:t>东南创通、佳讯、艾科</w:t>
            </w:r>
            <w:r>
              <w:rPr>
                <w:rFonts w:hint="eastAsia" w:ascii="宋体" w:hAnsi="宋体"/>
                <w:color w:val="auto"/>
                <w:sz w:val="22"/>
                <w:highlight w:val="none"/>
                <w:lang w:eastAsia="zh-CN"/>
              </w:rPr>
              <w:t>、科捷智慧</w:t>
            </w:r>
          </w:p>
        </w:tc>
        <w:tc>
          <w:tcPr>
            <w:tcW w:w="1549" w:type="dxa"/>
            <w:tcBorders>
              <w:top w:val="single" w:color="auto" w:sz="6" w:space="0"/>
              <w:left w:val="single" w:color="auto" w:sz="6" w:space="0"/>
              <w:bottom w:val="single" w:color="auto" w:sz="6" w:space="0"/>
              <w:right w:val="single" w:color="auto" w:sz="6" w:space="0"/>
            </w:tcBorders>
            <w:vAlign w:val="center"/>
          </w:tcPr>
          <w:p w14:paraId="581293EE">
            <w:pPr>
              <w:rPr>
                <w:rFonts w:ascii="宋体" w:hAnsi="宋体"/>
                <w:color w:val="auto"/>
                <w:sz w:val="22"/>
                <w:highlight w:val="none"/>
              </w:rPr>
            </w:pPr>
            <w:r>
              <w:rPr>
                <w:rFonts w:hint="eastAsia" w:ascii="宋体" w:hAnsi="宋体"/>
                <w:color w:val="auto"/>
                <w:sz w:val="22"/>
                <w:highlight w:val="none"/>
              </w:rPr>
              <w:t>或相当于</w:t>
            </w:r>
          </w:p>
        </w:tc>
      </w:tr>
      <w:tr w14:paraId="3569CB18">
        <w:tblPrEx>
          <w:tblCellMar>
            <w:top w:w="0" w:type="dxa"/>
            <w:left w:w="108" w:type="dxa"/>
            <w:bottom w:w="0" w:type="dxa"/>
            <w:right w:w="108" w:type="dxa"/>
          </w:tblCellMar>
        </w:tblPrEx>
        <w:trPr>
          <w:trHeight w:val="618" w:hRule="atLeast"/>
        </w:trPr>
        <w:tc>
          <w:tcPr>
            <w:tcW w:w="580" w:type="dxa"/>
            <w:tcBorders>
              <w:top w:val="single" w:color="auto" w:sz="6" w:space="0"/>
              <w:left w:val="single" w:color="auto" w:sz="6" w:space="0"/>
              <w:bottom w:val="single" w:color="auto" w:sz="6" w:space="0"/>
              <w:right w:val="single" w:color="auto" w:sz="6" w:space="0"/>
            </w:tcBorders>
            <w:vAlign w:val="center"/>
          </w:tcPr>
          <w:p w14:paraId="51BE21B0">
            <w:pPr>
              <w:rPr>
                <w:rFonts w:ascii="宋体" w:hAnsi="宋体"/>
                <w:color w:val="auto"/>
                <w:sz w:val="22"/>
                <w:highlight w:val="none"/>
              </w:rPr>
            </w:pPr>
            <w:r>
              <w:rPr>
                <w:rFonts w:hint="eastAsia" w:ascii="宋体" w:hAnsi="宋体"/>
                <w:color w:val="auto"/>
                <w:sz w:val="22"/>
                <w:highlight w:val="none"/>
              </w:rPr>
              <w:t>33</w:t>
            </w:r>
          </w:p>
        </w:tc>
        <w:tc>
          <w:tcPr>
            <w:tcW w:w="3261" w:type="dxa"/>
            <w:tcBorders>
              <w:top w:val="single" w:color="auto" w:sz="6" w:space="0"/>
              <w:left w:val="single" w:color="auto" w:sz="6" w:space="0"/>
              <w:bottom w:val="single" w:color="auto" w:sz="6" w:space="0"/>
              <w:right w:val="single" w:color="auto" w:sz="6" w:space="0"/>
            </w:tcBorders>
            <w:vAlign w:val="center"/>
          </w:tcPr>
          <w:p w14:paraId="086E84A5">
            <w:pPr>
              <w:rPr>
                <w:rFonts w:ascii="宋体" w:hAnsi="宋体"/>
                <w:color w:val="auto"/>
                <w:sz w:val="22"/>
                <w:highlight w:val="none"/>
              </w:rPr>
            </w:pPr>
            <w:r>
              <w:rPr>
                <w:rFonts w:hint="eastAsia" w:ascii="宋体" w:hAnsi="宋体"/>
                <w:color w:val="auto"/>
                <w:sz w:val="22"/>
                <w:highlight w:val="none"/>
              </w:rPr>
              <w:t>电子巡更系统</w:t>
            </w:r>
          </w:p>
        </w:tc>
        <w:tc>
          <w:tcPr>
            <w:tcW w:w="2970" w:type="dxa"/>
            <w:tcBorders>
              <w:top w:val="single" w:color="auto" w:sz="6" w:space="0"/>
              <w:left w:val="single" w:color="auto" w:sz="6" w:space="0"/>
              <w:bottom w:val="single" w:color="auto" w:sz="6" w:space="0"/>
              <w:right w:val="single" w:color="auto" w:sz="6" w:space="0"/>
            </w:tcBorders>
            <w:vAlign w:val="center"/>
          </w:tcPr>
          <w:p w14:paraId="3C78FA75">
            <w:pPr>
              <w:rPr>
                <w:rFonts w:ascii="宋体" w:hAnsi="宋体"/>
                <w:color w:val="auto"/>
                <w:sz w:val="22"/>
                <w:highlight w:val="none"/>
              </w:rPr>
            </w:pPr>
            <w:r>
              <w:rPr>
                <w:rFonts w:hint="eastAsia" w:ascii="宋体" w:hAnsi="宋体"/>
                <w:color w:val="auto"/>
                <w:sz w:val="22"/>
                <w:highlight w:val="none"/>
              </w:rPr>
              <w:t>钧捷安、捷宾特、金海格</w:t>
            </w:r>
          </w:p>
        </w:tc>
        <w:tc>
          <w:tcPr>
            <w:tcW w:w="1549" w:type="dxa"/>
            <w:tcBorders>
              <w:top w:val="single" w:color="auto" w:sz="6" w:space="0"/>
              <w:left w:val="single" w:color="auto" w:sz="6" w:space="0"/>
              <w:bottom w:val="single" w:color="auto" w:sz="6" w:space="0"/>
              <w:right w:val="single" w:color="auto" w:sz="6" w:space="0"/>
            </w:tcBorders>
            <w:vAlign w:val="center"/>
          </w:tcPr>
          <w:p w14:paraId="496BDB14">
            <w:pPr>
              <w:rPr>
                <w:rFonts w:ascii="宋体" w:hAnsi="宋体"/>
                <w:color w:val="auto"/>
                <w:sz w:val="22"/>
                <w:highlight w:val="none"/>
              </w:rPr>
            </w:pPr>
            <w:r>
              <w:rPr>
                <w:rFonts w:hint="eastAsia" w:ascii="宋体" w:hAnsi="宋体"/>
                <w:color w:val="auto"/>
                <w:sz w:val="22"/>
                <w:highlight w:val="none"/>
              </w:rPr>
              <w:t>或相当于</w:t>
            </w:r>
          </w:p>
        </w:tc>
      </w:tr>
      <w:tr w14:paraId="231BC958">
        <w:tblPrEx>
          <w:tblCellMar>
            <w:top w:w="0" w:type="dxa"/>
            <w:left w:w="108" w:type="dxa"/>
            <w:bottom w:w="0" w:type="dxa"/>
            <w:right w:w="108" w:type="dxa"/>
          </w:tblCellMar>
        </w:tblPrEx>
        <w:trPr>
          <w:trHeight w:val="618" w:hRule="atLeast"/>
        </w:trPr>
        <w:tc>
          <w:tcPr>
            <w:tcW w:w="580" w:type="dxa"/>
            <w:tcBorders>
              <w:top w:val="single" w:color="auto" w:sz="6" w:space="0"/>
              <w:left w:val="single" w:color="auto" w:sz="6" w:space="0"/>
              <w:bottom w:val="single" w:color="auto" w:sz="6" w:space="0"/>
              <w:right w:val="single" w:color="auto" w:sz="6" w:space="0"/>
            </w:tcBorders>
            <w:vAlign w:val="center"/>
          </w:tcPr>
          <w:p w14:paraId="441673D1">
            <w:pPr>
              <w:rPr>
                <w:rFonts w:ascii="宋体" w:hAnsi="宋体"/>
                <w:color w:val="auto"/>
                <w:sz w:val="22"/>
                <w:highlight w:val="none"/>
              </w:rPr>
            </w:pPr>
            <w:r>
              <w:rPr>
                <w:rFonts w:hint="eastAsia" w:ascii="宋体" w:hAnsi="宋体"/>
                <w:color w:val="auto"/>
                <w:sz w:val="22"/>
                <w:highlight w:val="none"/>
              </w:rPr>
              <w:t>34</w:t>
            </w:r>
          </w:p>
        </w:tc>
        <w:tc>
          <w:tcPr>
            <w:tcW w:w="3261" w:type="dxa"/>
            <w:tcBorders>
              <w:top w:val="single" w:color="auto" w:sz="6" w:space="0"/>
              <w:left w:val="single" w:color="auto" w:sz="6" w:space="0"/>
              <w:bottom w:val="single" w:color="auto" w:sz="6" w:space="0"/>
              <w:right w:val="single" w:color="auto" w:sz="6" w:space="0"/>
            </w:tcBorders>
            <w:vAlign w:val="center"/>
          </w:tcPr>
          <w:p w14:paraId="66597239">
            <w:pPr>
              <w:rPr>
                <w:rFonts w:ascii="宋体" w:hAnsi="宋体"/>
                <w:color w:val="auto"/>
                <w:sz w:val="22"/>
                <w:highlight w:val="none"/>
              </w:rPr>
            </w:pPr>
            <w:r>
              <w:rPr>
                <w:rFonts w:hint="eastAsia" w:ascii="宋体" w:hAnsi="宋体"/>
                <w:color w:val="auto"/>
                <w:sz w:val="22"/>
                <w:highlight w:val="none"/>
              </w:rPr>
              <w:t>护理呼叫对讲系统</w:t>
            </w:r>
          </w:p>
        </w:tc>
        <w:tc>
          <w:tcPr>
            <w:tcW w:w="2970" w:type="dxa"/>
            <w:tcBorders>
              <w:top w:val="single" w:color="auto" w:sz="6" w:space="0"/>
              <w:left w:val="single" w:color="auto" w:sz="6" w:space="0"/>
              <w:bottom w:val="single" w:color="auto" w:sz="6" w:space="0"/>
              <w:right w:val="single" w:color="auto" w:sz="6" w:space="0"/>
            </w:tcBorders>
            <w:vAlign w:val="center"/>
          </w:tcPr>
          <w:p w14:paraId="3628A281">
            <w:pPr>
              <w:rPr>
                <w:rFonts w:ascii="宋体" w:hAnsi="宋体"/>
                <w:color w:val="auto"/>
                <w:sz w:val="22"/>
                <w:highlight w:val="none"/>
              </w:rPr>
            </w:pPr>
            <w:r>
              <w:rPr>
                <w:rFonts w:hint="eastAsia" w:ascii="宋体" w:hAnsi="宋体"/>
                <w:color w:val="auto"/>
                <w:sz w:val="22"/>
                <w:highlight w:val="none"/>
              </w:rPr>
              <w:t>快鱼、爱峰、清音</w:t>
            </w:r>
          </w:p>
        </w:tc>
        <w:tc>
          <w:tcPr>
            <w:tcW w:w="1549" w:type="dxa"/>
            <w:tcBorders>
              <w:top w:val="single" w:color="auto" w:sz="6" w:space="0"/>
              <w:left w:val="single" w:color="auto" w:sz="6" w:space="0"/>
              <w:bottom w:val="single" w:color="auto" w:sz="6" w:space="0"/>
              <w:right w:val="single" w:color="auto" w:sz="6" w:space="0"/>
            </w:tcBorders>
            <w:vAlign w:val="center"/>
          </w:tcPr>
          <w:p w14:paraId="7FAC075B">
            <w:pPr>
              <w:rPr>
                <w:rFonts w:ascii="宋体" w:hAnsi="宋体"/>
                <w:color w:val="auto"/>
                <w:sz w:val="22"/>
                <w:highlight w:val="none"/>
              </w:rPr>
            </w:pPr>
            <w:r>
              <w:rPr>
                <w:rFonts w:hint="eastAsia" w:ascii="宋体" w:hAnsi="宋体"/>
                <w:color w:val="auto"/>
                <w:sz w:val="22"/>
                <w:highlight w:val="none"/>
              </w:rPr>
              <w:t>或相当于</w:t>
            </w:r>
          </w:p>
        </w:tc>
      </w:tr>
      <w:tr w14:paraId="0CB94F6C">
        <w:tblPrEx>
          <w:tblCellMar>
            <w:top w:w="0" w:type="dxa"/>
            <w:left w:w="108" w:type="dxa"/>
            <w:bottom w:w="0" w:type="dxa"/>
            <w:right w:w="108" w:type="dxa"/>
          </w:tblCellMar>
        </w:tblPrEx>
        <w:trPr>
          <w:trHeight w:val="618" w:hRule="atLeast"/>
        </w:trPr>
        <w:tc>
          <w:tcPr>
            <w:tcW w:w="580" w:type="dxa"/>
            <w:tcBorders>
              <w:top w:val="single" w:color="auto" w:sz="6" w:space="0"/>
              <w:left w:val="single" w:color="auto" w:sz="6" w:space="0"/>
              <w:bottom w:val="single" w:color="auto" w:sz="6" w:space="0"/>
              <w:right w:val="single" w:color="auto" w:sz="6" w:space="0"/>
            </w:tcBorders>
            <w:vAlign w:val="center"/>
          </w:tcPr>
          <w:p w14:paraId="02039A60">
            <w:pPr>
              <w:rPr>
                <w:rFonts w:ascii="宋体" w:hAnsi="宋体"/>
                <w:color w:val="auto"/>
                <w:sz w:val="22"/>
                <w:highlight w:val="none"/>
              </w:rPr>
            </w:pPr>
            <w:r>
              <w:rPr>
                <w:rFonts w:hint="eastAsia" w:ascii="宋体" w:hAnsi="宋体"/>
                <w:color w:val="auto"/>
                <w:sz w:val="22"/>
                <w:highlight w:val="none"/>
              </w:rPr>
              <w:t>35</w:t>
            </w:r>
          </w:p>
        </w:tc>
        <w:tc>
          <w:tcPr>
            <w:tcW w:w="3261" w:type="dxa"/>
            <w:tcBorders>
              <w:top w:val="single" w:color="auto" w:sz="6" w:space="0"/>
              <w:left w:val="single" w:color="auto" w:sz="6" w:space="0"/>
              <w:bottom w:val="single" w:color="auto" w:sz="6" w:space="0"/>
              <w:right w:val="single" w:color="auto" w:sz="6" w:space="0"/>
            </w:tcBorders>
            <w:vAlign w:val="center"/>
          </w:tcPr>
          <w:p w14:paraId="65C63C80">
            <w:pPr>
              <w:rPr>
                <w:rFonts w:ascii="宋体" w:hAnsi="宋体"/>
                <w:color w:val="auto"/>
                <w:sz w:val="22"/>
                <w:highlight w:val="none"/>
              </w:rPr>
            </w:pPr>
            <w:r>
              <w:rPr>
                <w:rFonts w:hint="eastAsia" w:ascii="宋体" w:hAnsi="宋体"/>
                <w:color w:val="auto"/>
                <w:sz w:val="22"/>
                <w:highlight w:val="none"/>
              </w:rPr>
              <w:t>信息导引与发布系统</w:t>
            </w:r>
          </w:p>
        </w:tc>
        <w:tc>
          <w:tcPr>
            <w:tcW w:w="2970" w:type="dxa"/>
            <w:tcBorders>
              <w:top w:val="single" w:color="auto" w:sz="6" w:space="0"/>
              <w:left w:val="single" w:color="auto" w:sz="6" w:space="0"/>
              <w:bottom w:val="single" w:color="auto" w:sz="6" w:space="0"/>
              <w:right w:val="single" w:color="auto" w:sz="6" w:space="0"/>
            </w:tcBorders>
            <w:vAlign w:val="center"/>
          </w:tcPr>
          <w:p w14:paraId="501B8A1D">
            <w:pPr>
              <w:rPr>
                <w:rFonts w:ascii="宋体" w:hAnsi="宋体"/>
                <w:color w:val="auto"/>
                <w:sz w:val="22"/>
                <w:highlight w:val="none"/>
              </w:rPr>
            </w:pPr>
            <w:r>
              <w:rPr>
                <w:rFonts w:hint="eastAsia" w:ascii="宋体" w:hAnsi="宋体"/>
                <w:color w:val="auto"/>
                <w:sz w:val="22"/>
                <w:highlight w:val="none"/>
              </w:rPr>
              <w:t>星神、冠华视界、三体互联</w:t>
            </w:r>
          </w:p>
        </w:tc>
        <w:tc>
          <w:tcPr>
            <w:tcW w:w="1549" w:type="dxa"/>
            <w:tcBorders>
              <w:top w:val="single" w:color="auto" w:sz="6" w:space="0"/>
              <w:left w:val="single" w:color="auto" w:sz="6" w:space="0"/>
              <w:bottom w:val="single" w:color="auto" w:sz="6" w:space="0"/>
              <w:right w:val="single" w:color="auto" w:sz="6" w:space="0"/>
            </w:tcBorders>
            <w:vAlign w:val="center"/>
          </w:tcPr>
          <w:p w14:paraId="3EDD4B1A">
            <w:pPr>
              <w:rPr>
                <w:rFonts w:ascii="宋体" w:hAnsi="宋体"/>
                <w:color w:val="auto"/>
                <w:sz w:val="22"/>
                <w:highlight w:val="none"/>
              </w:rPr>
            </w:pPr>
            <w:r>
              <w:rPr>
                <w:rFonts w:hint="eastAsia" w:ascii="宋体" w:hAnsi="宋体"/>
                <w:color w:val="auto"/>
                <w:sz w:val="22"/>
                <w:highlight w:val="none"/>
              </w:rPr>
              <w:t>或相当于</w:t>
            </w:r>
          </w:p>
        </w:tc>
      </w:tr>
      <w:tr w14:paraId="2CC243E1">
        <w:tblPrEx>
          <w:tblCellMar>
            <w:top w:w="0" w:type="dxa"/>
            <w:left w:w="108" w:type="dxa"/>
            <w:bottom w:w="0" w:type="dxa"/>
            <w:right w:w="108" w:type="dxa"/>
          </w:tblCellMar>
        </w:tblPrEx>
        <w:trPr>
          <w:trHeight w:val="618" w:hRule="atLeast"/>
        </w:trPr>
        <w:tc>
          <w:tcPr>
            <w:tcW w:w="580" w:type="dxa"/>
            <w:tcBorders>
              <w:top w:val="single" w:color="auto" w:sz="6" w:space="0"/>
              <w:left w:val="single" w:color="auto" w:sz="6" w:space="0"/>
              <w:bottom w:val="single" w:color="auto" w:sz="6" w:space="0"/>
              <w:right w:val="single" w:color="auto" w:sz="6" w:space="0"/>
            </w:tcBorders>
            <w:vAlign w:val="center"/>
          </w:tcPr>
          <w:p w14:paraId="359C08CB">
            <w:pPr>
              <w:rPr>
                <w:rFonts w:ascii="宋体" w:hAnsi="宋体"/>
                <w:color w:val="auto"/>
                <w:sz w:val="22"/>
                <w:highlight w:val="none"/>
              </w:rPr>
            </w:pPr>
            <w:r>
              <w:rPr>
                <w:rFonts w:hint="eastAsia" w:ascii="宋体" w:hAnsi="宋体"/>
                <w:color w:val="auto"/>
                <w:sz w:val="22"/>
                <w:highlight w:val="none"/>
              </w:rPr>
              <w:t>36</w:t>
            </w:r>
          </w:p>
        </w:tc>
        <w:tc>
          <w:tcPr>
            <w:tcW w:w="3261" w:type="dxa"/>
            <w:tcBorders>
              <w:top w:val="single" w:color="auto" w:sz="6" w:space="0"/>
              <w:left w:val="single" w:color="auto" w:sz="6" w:space="0"/>
              <w:bottom w:val="single" w:color="auto" w:sz="6" w:space="0"/>
              <w:right w:val="single" w:color="auto" w:sz="6" w:space="0"/>
            </w:tcBorders>
            <w:vAlign w:val="center"/>
          </w:tcPr>
          <w:p w14:paraId="3AE430FA">
            <w:pPr>
              <w:rPr>
                <w:rFonts w:ascii="宋体" w:hAnsi="宋体"/>
                <w:color w:val="auto"/>
                <w:sz w:val="22"/>
                <w:highlight w:val="none"/>
              </w:rPr>
            </w:pPr>
            <w:r>
              <w:rPr>
                <w:rFonts w:hint="eastAsia" w:ascii="宋体" w:hAnsi="宋体"/>
                <w:color w:val="auto"/>
                <w:sz w:val="22"/>
                <w:highlight w:val="none"/>
              </w:rPr>
              <w:t>空气能设备</w:t>
            </w:r>
          </w:p>
        </w:tc>
        <w:tc>
          <w:tcPr>
            <w:tcW w:w="2970" w:type="dxa"/>
            <w:tcBorders>
              <w:top w:val="single" w:color="auto" w:sz="6" w:space="0"/>
              <w:left w:val="single" w:color="auto" w:sz="6" w:space="0"/>
              <w:bottom w:val="single" w:color="auto" w:sz="6" w:space="0"/>
              <w:right w:val="single" w:color="auto" w:sz="6" w:space="0"/>
            </w:tcBorders>
            <w:vAlign w:val="center"/>
          </w:tcPr>
          <w:p w14:paraId="0E5937A9">
            <w:pPr>
              <w:rPr>
                <w:rFonts w:ascii="宋体" w:hAnsi="宋体"/>
                <w:color w:val="auto"/>
                <w:sz w:val="22"/>
                <w:highlight w:val="none"/>
              </w:rPr>
            </w:pPr>
            <w:r>
              <w:rPr>
                <w:rFonts w:hint="eastAsia" w:ascii="宋体" w:hAnsi="宋体"/>
                <w:color w:val="auto"/>
                <w:sz w:val="22"/>
                <w:highlight w:val="none"/>
              </w:rPr>
              <w:t>格力、美的、海尔</w:t>
            </w:r>
          </w:p>
        </w:tc>
        <w:tc>
          <w:tcPr>
            <w:tcW w:w="1549" w:type="dxa"/>
            <w:tcBorders>
              <w:top w:val="single" w:color="auto" w:sz="6" w:space="0"/>
              <w:left w:val="single" w:color="auto" w:sz="6" w:space="0"/>
              <w:bottom w:val="single" w:color="auto" w:sz="6" w:space="0"/>
              <w:right w:val="single" w:color="auto" w:sz="6" w:space="0"/>
            </w:tcBorders>
            <w:vAlign w:val="center"/>
          </w:tcPr>
          <w:p w14:paraId="4017BB88">
            <w:pPr>
              <w:rPr>
                <w:rFonts w:ascii="宋体" w:hAnsi="宋体"/>
                <w:color w:val="auto"/>
                <w:sz w:val="22"/>
                <w:highlight w:val="none"/>
              </w:rPr>
            </w:pPr>
            <w:r>
              <w:rPr>
                <w:rFonts w:hint="eastAsia" w:ascii="宋体" w:hAnsi="宋体"/>
                <w:color w:val="auto"/>
                <w:sz w:val="22"/>
                <w:highlight w:val="none"/>
              </w:rPr>
              <w:t>或相当于</w:t>
            </w:r>
          </w:p>
        </w:tc>
      </w:tr>
      <w:tr w14:paraId="702B90A2">
        <w:tblPrEx>
          <w:tblCellMar>
            <w:top w:w="0" w:type="dxa"/>
            <w:left w:w="108" w:type="dxa"/>
            <w:bottom w:w="0" w:type="dxa"/>
            <w:right w:w="108" w:type="dxa"/>
          </w:tblCellMar>
        </w:tblPrEx>
        <w:trPr>
          <w:trHeight w:val="618" w:hRule="atLeast"/>
        </w:trPr>
        <w:tc>
          <w:tcPr>
            <w:tcW w:w="580" w:type="dxa"/>
            <w:tcBorders>
              <w:top w:val="single" w:color="auto" w:sz="6" w:space="0"/>
              <w:left w:val="single" w:color="auto" w:sz="6" w:space="0"/>
              <w:bottom w:val="single" w:color="auto" w:sz="6" w:space="0"/>
              <w:right w:val="single" w:color="auto" w:sz="6" w:space="0"/>
            </w:tcBorders>
            <w:vAlign w:val="center"/>
          </w:tcPr>
          <w:p w14:paraId="14812675">
            <w:pPr>
              <w:rPr>
                <w:rFonts w:ascii="宋体" w:hAnsi="宋体"/>
                <w:color w:val="auto"/>
                <w:sz w:val="22"/>
                <w:highlight w:val="none"/>
              </w:rPr>
            </w:pPr>
            <w:r>
              <w:rPr>
                <w:rFonts w:hint="eastAsia" w:ascii="宋体" w:hAnsi="宋体"/>
                <w:color w:val="auto"/>
                <w:sz w:val="22"/>
                <w:highlight w:val="none"/>
              </w:rPr>
              <w:t>37</w:t>
            </w:r>
          </w:p>
        </w:tc>
        <w:tc>
          <w:tcPr>
            <w:tcW w:w="3261" w:type="dxa"/>
            <w:tcBorders>
              <w:top w:val="single" w:color="auto" w:sz="6" w:space="0"/>
              <w:left w:val="single" w:color="auto" w:sz="6" w:space="0"/>
              <w:bottom w:val="single" w:color="auto" w:sz="6" w:space="0"/>
              <w:right w:val="single" w:color="auto" w:sz="6" w:space="0"/>
            </w:tcBorders>
            <w:vAlign w:val="center"/>
          </w:tcPr>
          <w:p w14:paraId="18505304">
            <w:pPr>
              <w:rPr>
                <w:rFonts w:ascii="宋体" w:hAnsi="宋体"/>
                <w:color w:val="auto"/>
                <w:sz w:val="22"/>
                <w:highlight w:val="none"/>
              </w:rPr>
            </w:pPr>
            <w:r>
              <w:rPr>
                <w:rFonts w:hint="eastAsia" w:ascii="宋体" w:hAnsi="宋体"/>
                <w:color w:val="auto"/>
                <w:sz w:val="22"/>
                <w:highlight w:val="none"/>
              </w:rPr>
              <w:t>无负压供水设备</w:t>
            </w:r>
          </w:p>
        </w:tc>
        <w:tc>
          <w:tcPr>
            <w:tcW w:w="2970" w:type="dxa"/>
            <w:tcBorders>
              <w:top w:val="single" w:color="auto" w:sz="6" w:space="0"/>
              <w:left w:val="single" w:color="auto" w:sz="6" w:space="0"/>
              <w:bottom w:val="single" w:color="auto" w:sz="6" w:space="0"/>
              <w:right w:val="single" w:color="auto" w:sz="6" w:space="0"/>
            </w:tcBorders>
            <w:vAlign w:val="center"/>
          </w:tcPr>
          <w:p w14:paraId="3A31F1B6">
            <w:pPr>
              <w:rPr>
                <w:rFonts w:ascii="宋体" w:hAnsi="宋体"/>
                <w:color w:val="auto"/>
                <w:sz w:val="22"/>
                <w:highlight w:val="none"/>
              </w:rPr>
            </w:pPr>
            <w:r>
              <w:rPr>
                <w:rFonts w:hint="eastAsia" w:ascii="宋体" w:hAnsi="宋体"/>
                <w:color w:val="auto"/>
                <w:sz w:val="22"/>
                <w:highlight w:val="none"/>
              </w:rPr>
              <w:t>熊猫、凯泉、杭州南方</w:t>
            </w:r>
          </w:p>
        </w:tc>
        <w:tc>
          <w:tcPr>
            <w:tcW w:w="1549" w:type="dxa"/>
            <w:tcBorders>
              <w:top w:val="single" w:color="auto" w:sz="6" w:space="0"/>
              <w:left w:val="single" w:color="auto" w:sz="6" w:space="0"/>
              <w:bottom w:val="single" w:color="auto" w:sz="6" w:space="0"/>
              <w:right w:val="single" w:color="auto" w:sz="6" w:space="0"/>
            </w:tcBorders>
            <w:vAlign w:val="center"/>
          </w:tcPr>
          <w:p w14:paraId="684A7D94">
            <w:pPr>
              <w:rPr>
                <w:rFonts w:ascii="宋体" w:hAnsi="宋体"/>
                <w:color w:val="auto"/>
                <w:sz w:val="22"/>
                <w:highlight w:val="none"/>
              </w:rPr>
            </w:pPr>
            <w:r>
              <w:rPr>
                <w:rFonts w:hint="eastAsia" w:ascii="宋体" w:hAnsi="宋体"/>
                <w:color w:val="auto"/>
                <w:sz w:val="22"/>
                <w:highlight w:val="none"/>
              </w:rPr>
              <w:t>或相当于</w:t>
            </w:r>
          </w:p>
        </w:tc>
      </w:tr>
      <w:tr w14:paraId="750266B4">
        <w:tblPrEx>
          <w:tblCellMar>
            <w:top w:w="0" w:type="dxa"/>
            <w:left w:w="108" w:type="dxa"/>
            <w:bottom w:w="0" w:type="dxa"/>
            <w:right w:w="108" w:type="dxa"/>
          </w:tblCellMar>
        </w:tblPrEx>
        <w:trPr>
          <w:trHeight w:val="618" w:hRule="atLeast"/>
        </w:trPr>
        <w:tc>
          <w:tcPr>
            <w:tcW w:w="580" w:type="dxa"/>
            <w:tcBorders>
              <w:top w:val="single" w:color="auto" w:sz="6" w:space="0"/>
              <w:left w:val="single" w:color="auto" w:sz="6" w:space="0"/>
              <w:bottom w:val="single" w:color="auto" w:sz="6" w:space="0"/>
              <w:right w:val="single" w:color="auto" w:sz="6" w:space="0"/>
            </w:tcBorders>
            <w:vAlign w:val="center"/>
          </w:tcPr>
          <w:p w14:paraId="51D63225">
            <w:pPr>
              <w:rPr>
                <w:rFonts w:ascii="宋体" w:hAnsi="宋体"/>
                <w:color w:val="auto"/>
                <w:sz w:val="22"/>
                <w:highlight w:val="none"/>
              </w:rPr>
            </w:pPr>
            <w:r>
              <w:rPr>
                <w:rFonts w:hint="eastAsia" w:ascii="宋体" w:hAnsi="宋体"/>
                <w:color w:val="auto"/>
                <w:sz w:val="22"/>
                <w:highlight w:val="none"/>
              </w:rPr>
              <w:t>38</w:t>
            </w:r>
          </w:p>
        </w:tc>
        <w:tc>
          <w:tcPr>
            <w:tcW w:w="3261" w:type="dxa"/>
            <w:tcBorders>
              <w:top w:val="single" w:color="auto" w:sz="6" w:space="0"/>
              <w:left w:val="single" w:color="auto" w:sz="6" w:space="0"/>
              <w:bottom w:val="single" w:color="auto" w:sz="6" w:space="0"/>
              <w:right w:val="single" w:color="auto" w:sz="6" w:space="0"/>
            </w:tcBorders>
            <w:vAlign w:val="center"/>
          </w:tcPr>
          <w:p w14:paraId="3E80385E">
            <w:pPr>
              <w:rPr>
                <w:rFonts w:ascii="宋体" w:hAnsi="宋体"/>
                <w:color w:val="auto"/>
                <w:sz w:val="22"/>
                <w:highlight w:val="none"/>
              </w:rPr>
            </w:pPr>
            <w:r>
              <w:rPr>
                <w:rFonts w:hint="eastAsia" w:ascii="宋体" w:hAnsi="宋体"/>
                <w:color w:val="auto"/>
                <w:sz w:val="22"/>
                <w:highlight w:val="none"/>
              </w:rPr>
              <w:t>消防稳压设备</w:t>
            </w:r>
          </w:p>
        </w:tc>
        <w:tc>
          <w:tcPr>
            <w:tcW w:w="2970" w:type="dxa"/>
            <w:tcBorders>
              <w:top w:val="single" w:color="auto" w:sz="6" w:space="0"/>
              <w:left w:val="single" w:color="auto" w:sz="6" w:space="0"/>
              <w:bottom w:val="single" w:color="auto" w:sz="6" w:space="0"/>
              <w:right w:val="single" w:color="auto" w:sz="6" w:space="0"/>
            </w:tcBorders>
            <w:vAlign w:val="center"/>
          </w:tcPr>
          <w:p w14:paraId="73F3A6D9">
            <w:pPr>
              <w:rPr>
                <w:rFonts w:ascii="宋体" w:hAnsi="宋体"/>
                <w:color w:val="auto"/>
                <w:sz w:val="22"/>
                <w:highlight w:val="none"/>
              </w:rPr>
            </w:pPr>
            <w:r>
              <w:rPr>
                <w:rFonts w:hint="eastAsia" w:ascii="宋体" w:hAnsi="宋体"/>
                <w:color w:val="auto"/>
                <w:sz w:val="22"/>
                <w:highlight w:val="none"/>
              </w:rPr>
              <w:t>熊猫、凯泉、上海威派格、</w:t>
            </w:r>
          </w:p>
        </w:tc>
        <w:tc>
          <w:tcPr>
            <w:tcW w:w="1549" w:type="dxa"/>
            <w:tcBorders>
              <w:top w:val="single" w:color="auto" w:sz="6" w:space="0"/>
              <w:left w:val="single" w:color="auto" w:sz="6" w:space="0"/>
              <w:bottom w:val="single" w:color="auto" w:sz="6" w:space="0"/>
              <w:right w:val="single" w:color="auto" w:sz="6" w:space="0"/>
            </w:tcBorders>
            <w:vAlign w:val="center"/>
          </w:tcPr>
          <w:p w14:paraId="6D6C7470">
            <w:pPr>
              <w:rPr>
                <w:rFonts w:ascii="宋体" w:hAnsi="宋体"/>
                <w:color w:val="auto"/>
                <w:sz w:val="22"/>
                <w:highlight w:val="none"/>
              </w:rPr>
            </w:pPr>
            <w:r>
              <w:rPr>
                <w:rFonts w:hint="eastAsia" w:ascii="宋体" w:hAnsi="宋体"/>
                <w:color w:val="auto"/>
                <w:sz w:val="22"/>
                <w:highlight w:val="none"/>
              </w:rPr>
              <w:t>或相当于</w:t>
            </w:r>
          </w:p>
        </w:tc>
      </w:tr>
      <w:tr w14:paraId="16C3D455">
        <w:tblPrEx>
          <w:tblCellMar>
            <w:top w:w="0" w:type="dxa"/>
            <w:left w:w="108" w:type="dxa"/>
            <w:bottom w:w="0" w:type="dxa"/>
            <w:right w:w="108" w:type="dxa"/>
          </w:tblCellMar>
        </w:tblPrEx>
        <w:trPr>
          <w:trHeight w:val="618" w:hRule="atLeast"/>
        </w:trPr>
        <w:tc>
          <w:tcPr>
            <w:tcW w:w="580" w:type="dxa"/>
            <w:tcBorders>
              <w:top w:val="single" w:color="auto" w:sz="6" w:space="0"/>
              <w:left w:val="single" w:color="auto" w:sz="6" w:space="0"/>
              <w:bottom w:val="single" w:color="auto" w:sz="6" w:space="0"/>
              <w:right w:val="single" w:color="auto" w:sz="6" w:space="0"/>
            </w:tcBorders>
            <w:vAlign w:val="center"/>
          </w:tcPr>
          <w:p w14:paraId="0FEF6198">
            <w:pPr>
              <w:rPr>
                <w:rFonts w:ascii="宋体" w:hAnsi="宋体"/>
                <w:color w:val="auto"/>
                <w:sz w:val="22"/>
                <w:highlight w:val="none"/>
              </w:rPr>
            </w:pPr>
            <w:r>
              <w:rPr>
                <w:rFonts w:hint="eastAsia" w:ascii="宋体" w:hAnsi="宋体"/>
                <w:color w:val="auto"/>
                <w:sz w:val="22"/>
                <w:highlight w:val="none"/>
              </w:rPr>
              <w:t>39</w:t>
            </w:r>
          </w:p>
        </w:tc>
        <w:tc>
          <w:tcPr>
            <w:tcW w:w="3261" w:type="dxa"/>
            <w:tcBorders>
              <w:top w:val="single" w:color="auto" w:sz="6" w:space="0"/>
              <w:left w:val="single" w:color="auto" w:sz="6" w:space="0"/>
              <w:bottom w:val="single" w:color="auto" w:sz="6" w:space="0"/>
              <w:right w:val="single" w:color="auto" w:sz="6" w:space="0"/>
            </w:tcBorders>
            <w:vAlign w:val="center"/>
          </w:tcPr>
          <w:p w14:paraId="33925C73">
            <w:pPr>
              <w:rPr>
                <w:rFonts w:ascii="宋体" w:hAnsi="宋体"/>
                <w:color w:val="auto"/>
                <w:sz w:val="22"/>
                <w:highlight w:val="none"/>
              </w:rPr>
            </w:pPr>
            <w:r>
              <w:rPr>
                <w:rFonts w:hint="eastAsia" w:ascii="宋体" w:hAnsi="宋体"/>
                <w:color w:val="auto"/>
                <w:sz w:val="22"/>
                <w:highlight w:val="none"/>
              </w:rPr>
              <w:t>消防电气</w:t>
            </w:r>
          </w:p>
        </w:tc>
        <w:tc>
          <w:tcPr>
            <w:tcW w:w="2970" w:type="dxa"/>
            <w:tcBorders>
              <w:top w:val="single" w:color="auto" w:sz="6" w:space="0"/>
              <w:left w:val="single" w:color="auto" w:sz="6" w:space="0"/>
              <w:bottom w:val="single" w:color="auto" w:sz="6" w:space="0"/>
              <w:right w:val="single" w:color="auto" w:sz="6" w:space="0"/>
            </w:tcBorders>
            <w:vAlign w:val="center"/>
          </w:tcPr>
          <w:p w14:paraId="4A8C99BE">
            <w:pPr>
              <w:rPr>
                <w:rFonts w:ascii="宋体" w:hAnsi="宋体"/>
                <w:color w:val="auto"/>
                <w:sz w:val="22"/>
                <w:highlight w:val="none"/>
              </w:rPr>
            </w:pPr>
            <w:r>
              <w:rPr>
                <w:rFonts w:hint="eastAsia" w:ascii="宋体" w:hAnsi="宋体"/>
                <w:color w:val="auto"/>
                <w:sz w:val="22"/>
                <w:highlight w:val="none"/>
              </w:rPr>
              <w:t>北大青鸟、泰和安、海湾</w:t>
            </w:r>
          </w:p>
        </w:tc>
        <w:tc>
          <w:tcPr>
            <w:tcW w:w="1549" w:type="dxa"/>
            <w:tcBorders>
              <w:top w:val="single" w:color="auto" w:sz="6" w:space="0"/>
              <w:left w:val="single" w:color="auto" w:sz="6" w:space="0"/>
              <w:bottom w:val="single" w:color="auto" w:sz="6" w:space="0"/>
              <w:right w:val="single" w:color="auto" w:sz="6" w:space="0"/>
            </w:tcBorders>
            <w:vAlign w:val="center"/>
          </w:tcPr>
          <w:p w14:paraId="26674CE3">
            <w:pPr>
              <w:rPr>
                <w:rFonts w:ascii="宋体" w:hAnsi="宋体"/>
                <w:color w:val="auto"/>
                <w:sz w:val="22"/>
                <w:highlight w:val="none"/>
              </w:rPr>
            </w:pPr>
            <w:r>
              <w:rPr>
                <w:rFonts w:hint="eastAsia" w:ascii="宋体" w:hAnsi="宋体"/>
                <w:color w:val="auto"/>
                <w:sz w:val="22"/>
                <w:highlight w:val="none"/>
              </w:rPr>
              <w:t>或相当于</w:t>
            </w:r>
          </w:p>
        </w:tc>
      </w:tr>
      <w:tr w14:paraId="03D94ABB">
        <w:tblPrEx>
          <w:tblCellMar>
            <w:top w:w="0" w:type="dxa"/>
            <w:left w:w="108" w:type="dxa"/>
            <w:bottom w:w="0" w:type="dxa"/>
            <w:right w:w="108" w:type="dxa"/>
          </w:tblCellMar>
        </w:tblPrEx>
        <w:trPr>
          <w:trHeight w:val="618" w:hRule="atLeast"/>
        </w:trPr>
        <w:tc>
          <w:tcPr>
            <w:tcW w:w="580" w:type="dxa"/>
            <w:tcBorders>
              <w:top w:val="single" w:color="auto" w:sz="6" w:space="0"/>
              <w:left w:val="single" w:color="auto" w:sz="6" w:space="0"/>
              <w:bottom w:val="single" w:color="auto" w:sz="6" w:space="0"/>
              <w:right w:val="single" w:color="auto" w:sz="6" w:space="0"/>
            </w:tcBorders>
            <w:vAlign w:val="center"/>
          </w:tcPr>
          <w:p w14:paraId="1FBE9769">
            <w:pPr>
              <w:rPr>
                <w:rFonts w:ascii="宋体" w:hAnsi="宋体"/>
                <w:color w:val="auto"/>
                <w:sz w:val="22"/>
                <w:highlight w:val="none"/>
              </w:rPr>
            </w:pPr>
            <w:r>
              <w:rPr>
                <w:rFonts w:hint="eastAsia" w:ascii="宋体" w:hAnsi="宋体"/>
                <w:color w:val="auto"/>
                <w:sz w:val="22"/>
                <w:highlight w:val="none"/>
              </w:rPr>
              <w:t>40</w:t>
            </w:r>
          </w:p>
        </w:tc>
        <w:tc>
          <w:tcPr>
            <w:tcW w:w="3261" w:type="dxa"/>
            <w:tcBorders>
              <w:top w:val="single" w:color="auto" w:sz="6" w:space="0"/>
              <w:left w:val="single" w:color="auto" w:sz="6" w:space="0"/>
              <w:bottom w:val="single" w:color="auto" w:sz="6" w:space="0"/>
              <w:right w:val="single" w:color="auto" w:sz="6" w:space="0"/>
            </w:tcBorders>
            <w:vAlign w:val="center"/>
          </w:tcPr>
          <w:p w14:paraId="4BDB771F">
            <w:pPr>
              <w:rPr>
                <w:rFonts w:ascii="宋体" w:hAnsi="宋体"/>
                <w:color w:val="auto"/>
                <w:sz w:val="22"/>
                <w:highlight w:val="none"/>
              </w:rPr>
            </w:pPr>
            <w:r>
              <w:rPr>
                <w:rFonts w:hint="eastAsia" w:ascii="宋体" w:hAnsi="宋体"/>
                <w:color w:val="auto"/>
                <w:sz w:val="22"/>
                <w:highlight w:val="none"/>
              </w:rPr>
              <w:t>UPS系统</w:t>
            </w:r>
          </w:p>
        </w:tc>
        <w:tc>
          <w:tcPr>
            <w:tcW w:w="2970" w:type="dxa"/>
            <w:tcBorders>
              <w:top w:val="single" w:color="auto" w:sz="6" w:space="0"/>
              <w:left w:val="single" w:color="auto" w:sz="6" w:space="0"/>
              <w:bottom w:val="single" w:color="auto" w:sz="6" w:space="0"/>
              <w:right w:val="single" w:color="auto" w:sz="6" w:space="0"/>
            </w:tcBorders>
            <w:vAlign w:val="center"/>
          </w:tcPr>
          <w:p w14:paraId="0AB0F6BF">
            <w:pPr>
              <w:rPr>
                <w:rFonts w:ascii="宋体" w:hAnsi="宋体"/>
                <w:color w:val="auto"/>
                <w:sz w:val="22"/>
                <w:highlight w:val="none"/>
              </w:rPr>
            </w:pPr>
            <w:r>
              <w:rPr>
                <w:rFonts w:hint="eastAsia" w:ascii="宋体" w:hAnsi="宋体"/>
                <w:color w:val="auto"/>
                <w:sz w:val="22"/>
                <w:highlight w:val="none"/>
              </w:rPr>
              <w:t>约顿、佰力盾、史图斯</w:t>
            </w:r>
          </w:p>
        </w:tc>
        <w:tc>
          <w:tcPr>
            <w:tcW w:w="1549" w:type="dxa"/>
            <w:tcBorders>
              <w:top w:val="single" w:color="auto" w:sz="6" w:space="0"/>
              <w:left w:val="single" w:color="auto" w:sz="6" w:space="0"/>
              <w:bottom w:val="single" w:color="auto" w:sz="6" w:space="0"/>
              <w:right w:val="single" w:color="auto" w:sz="6" w:space="0"/>
            </w:tcBorders>
            <w:vAlign w:val="center"/>
          </w:tcPr>
          <w:p w14:paraId="47F73DB5">
            <w:pPr>
              <w:rPr>
                <w:rFonts w:ascii="宋体" w:hAnsi="宋体"/>
                <w:color w:val="auto"/>
                <w:sz w:val="22"/>
                <w:highlight w:val="none"/>
              </w:rPr>
            </w:pPr>
            <w:r>
              <w:rPr>
                <w:rFonts w:hint="eastAsia" w:ascii="宋体" w:hAnsi="宋体"/>
                <w:color w:val="auto"/>
                <w:sz w:val="22"/>
                <w:highlight w:val="none"/>
              </w:rPr>
              <w:t>或相当于</w:t>
            </w:r>
          </w:p>
        </w:tc>
      </w:tr>
      <w:tr w14:paraId="76AC39CD">
        <w:tblPrEx>
          <w:tblCellMar>
            <w:top w:w="0" w:type="dxa"/>
            <w:left w:w="108" w:type="dxa"/>
            <w:bottom w:w="0" w:type="dxa"/>
            <w:right w:w="108" w:type="dxa"/>
          </w:tblCellMar>
        </w:tblPrEx>
        <w:trPr>
          <w:trHeight w:val="573" w:hRule="atLeast"/>
        </w:trPr>
        <w:tc>
          <w:tcPr>
            <w:tcW w:w="580" w:type="dxa"/>
            <w:tcBorders>
              <w:top w:val="single" w:color="auto" w:sz="6" w:space="0"/>
              <w:left w:val="single" w:color="auto" w:sz="6" w:space="0"/>
              <w:bottom w:val="single" w:color="auto" w:sz="4" w:space="0"/>
              <w:right w:val="single" w:color="auto" w:sz="6" w:space="0"/>
            </w:tcBorders>
            <w:vAlign w:val="center"/>
          </w:tcPr>
          <w:p w14:paraId="3B3B8234">
            <w:pPr>
              <w:rPr>
                <w:rFonts w:ascii="宋体" w:hAnsi="宋体"/>
                <w:color w:val="auto"/>
                <w:sz w:val="22"/>
                <w:highlight w:val="none"/>
              </w:rPr>
            </w:pPr>
            <w:r>
              <w:rPr>
                <w:rFonts w:hint="eastAsia" w:ascii="宋体" w:hAnsi="宋体"/>
                <w:color w:val="auto"/>
                <w:sz w:val="22"/>
                <w:highlight w:val="none"/>
              </w:rPr>
              <w:t>41</w:t>
            </w:r>
          </w:p>
        </w:tc>
        <w:tc>
          <w:tcPr>
            <w:tcW w:w="3261" w:type="dxa"/>
            <w:tcBorders>
              <w:top w:val="single" w:color="auto" w:sz="6" w:space="0"/>
              <w:left w:val="single" w:color="auto" w:sz="6" w:space="0"/>
              <w:bottom w:val="single" w:color="auto" w:sz="4" w:space="0"/>
              <w:right w:val="single" w:color="auto" w:sz="6" w:space="0"/>
            </w:tcBorders>
            <w:vAlign w:val="center"/>
          </w:tcPr>
          <w:p w14:paraId="1BF6F94E">
            <w:pPr>
              <w:rPr>
                <w:rFonts w:ascii="宋体" w:hAnsi="宋体"/>
                <w:color w:val="auto"/>
                <w:sz w:val="22"/>
                <w:highlight w:val="none"/>
              </w:rPr>
            </w:pPr>
            <w:r>
              <w:rPr>
                <w:rFonts w:hint="eastAsia" w:ascii="宋体" w:hAnsi="宋体"/>
                <w:color w:val="auto"/>
                <w:sz w:val="22"/>
                <w:highlight w:val="none"/>
              </w:rPr>
              <w:t>充电桩</w:t>
            </w:r>
          </w:p>
        </w:tc>
        <w:tc>
          <w:tcPr>
            <w:tcW w:w="2970" w:type="dxa"/>
            <w:tcBorders>
              <w:top w:val="single" w:color="auto" w:sz="6" w:space="0"/>
              <w:left w:val="single" w:color="auto" w:sz="6" w:space="0"/>
              <w:bottom w:val="single" w:color="auto" w:sz="4" w:space="0"/>
              <w:right w:val="single" w:color="auto" w:sz="6" w:space="0"/>
            </w:tcBorders>
            <w:vAlign w:val="center"/>
          </w:tcPr>
          <w:p w14:paraId="3B55D113">
            <w:pPr>
              <w:rPr>
                <w:rFonts w:ascii="宋体" w:hAnsi="宋体"/>
                <w:color w:val="auto"/>
                <w:sz w:val="22"/>
                <w:highlight w:val="none"/>
              </w:rPr>
            </w:pPr>
            <w:r>
              <w:rPr>
                <w:rFonts w:hint="eastAsia" w:ascii="宋体" w:hAnsi="宋体"/>
                <w:color w:val="auto"/>
                <w:sz w:val="22"/>
                <w:highlight w:val="none"/>
              </w:rPr>
              <w:t>数源、特莱电、北京动力源</w:t>
            </w:r>
          </w:p>
        </w:tc>
        <w:tc>
          <w:tcPr>
            <w:tcW w:w="1549" w:type="dxa"/>
            <w:tcBorders>
              <w:top w:val="single" w:color="auto" w:sz="6" w:space="0"/>
              <w:left w:val="single" w:color="auto" w:sz="6" w:space="0"/>
              <w:bottom w:val="single" w:color="auto" w:sz="4" w:space="0"/>
              <w:right w:val="single" w:color="auto" w:sz="6" w:space="0"/>
            </w:tcBorders>
            <w:vAlign w:val="center"/>
          </w:tcPr>
          <w:p w14:paraId="163A364D">
            <w:pPr>
              <w:rPr>
                <w:rFonts w:ascii="宋体" w:hAnsi="宋体"/>
                <w:color w:val="auto"/>
                <w:sz w:val="22"/>
                <w:highlight w:val="none"/>
              </w:rPr>
            </w:pPr>
            <w:r>
              <w:rPr>
                <w:rFonts w:hint="eastAsia" w:ascii="宋体" w:hAnsi="宋体"/>
                <w:color w:val="auto"/>
                <w:sz w:val="22"/>
                <w:highlight w:val="none"/>
              </w:rPr>
              <w:t>或相当于</w:t>
            </w:r>
          </w:p>
        </w:tc>
      </w:tr>
      <w:tr w14:paraId="2E2C13D8">
        <w:tblPrEx>
          <w:tblCellMar>
            <w:top w:w="0" w:type="dxa"/>
            <w:left w:w="108" w:type="dxa"/>
            <w:bottom w:w="0" w:type="dxa"/>
            <w:right w:w="108" w:type="dxa"/>
          </w:tblCellMar>
        </w:tblPrEx>
        <w:trPr>
          <w:trHeight w:val="643" w:hRule="atLeast"/>
        </w:trPr>
        <w:tc>
          <w:tcPr>
            <w:tcW w:w="580" w:type="dxa"/>
            <w:tcBorders>
              <w:top w:val="single" w:color="auto" w:sz="4" w:space="0"/>
              <w:left w:val="single" w:color="auto" w:sz="4" w:space="0"/>
              <w:bottom w:val="single" w:color="auto" w:sz="4" w:space="0"/>
              <w:right w:val="single" w:color="auto" w:sz="4" w:space="0"/>
            </w:tcBorders>
            <w:vAlign w:val="center"/>
          </w:tcPr>
          <w:p w14:paraId="5B5964E5">
            <w:pPr>
              <w:rPr>
                <w:rFonts w:ascii="宋体" w:hAnsi="宋体"/>
                <w:color w:val="auto"/>
                <w:sz w:val="22"/>
                <w:highlight w:val="none"/>
              </w:rPr>
            </w:pPr>
            <w:r>
              <w:rPr>
                <w:rFonts w:hint="eastAsia" w:ascii="宋体" w:hAnsi="宋体"/>
                <w:color w:val="auto"/>
                <w:sz w:val="22"/>
                <w:highlight w:val="none"/>
              </w:rPr>
              <w:t>42</w:t>
            </w:r>
          </w:p>
        </w:tc>
        <w:tc>
          <w:tcPr>
            <w:tcW w:w="3261" w:type="dxa"/>
            <w:tcBorders>
              <w:top w:val="single" w:color="auto" w:sz="4" w:space="0"/>
              <w:left w:val="single" w:color="auto" w:sz="4" w:space="0"/>
              <w:bottom w:val="single" w:color="auto" w:sz="4" w:space="0"/>
              <w:right w:val="single" w:color="auto" w:sz="4" w:space="0"/>
            </w:tcBorders>
            <w:vAlign w:val="center"/>
          </w:tcPr>
          <w:p w14:paraId="42B4C6F1">
            <w:pPr>
              <w:rPr>
                <w:rFonts w:ascii="宋体" w:hAnsi="宋体"/>
                <w:color w:val="auto"/>
                <w:sz w:val="22"/>
                <w:highlight w:val="none"/>
              </w:rPr>
            </w:pPr>
            <w:r>
              <w:rPr>
                <w:rFonts w:hint="eastAsia" w:ascii="宋体" w:hAnsi="宋体"/>
                <w:color w:val="auto"/>
                <w:sz w:val="22"/>
                <w:highlight w:val="none"/>
              </w:rPr>
              <w:t>空调</w:t>
            </w:r>
          </w:p>
        </w:tc>
        <w:tc>
          <w:tcPr>
            <w:tcW w:w="2970" w:type="dxa"/>
            <w:tcBorders>
              <w:top w:val="single" w:color="auto" w:sz="4" w:space="0"/>
              <w:left w:val="single" w:color="auto" w:sz="4" w:space="0"/>
              <w:bottom w:val="single" w:color="auto" w:sz="4" w:space="0"/>
              <w:right w:val="single" w:color="auto" w:sz="4" w:space="0"/>
            </w:tcBorders>
            <w:vAlign w:val="center"/>
          </w:tcPr>
          <w:p w14:paraId="0D8C9232">
            <w:pPr>
              <w:rPr>
                <w:rFonts w:ascii="宋体" w:hAnsi="宋体"/>
                <w:color w:val="auto"/>
                <w:sz w:val="22"/>
                <w:highlight w:val="none"/>
              </w:rPr>
            </w:pPr>
            <w:r>
              <w:rPr>
                <w:rFonts w:hint="eastAsia" w:ascii="宋体" w:hAnsi="宋体"/>
                <w:color w:val="auto"/>
                <w:sz w:val="22"/>
                <w:highlight w:val="none"/>
              </w:rPr>
              <w:t>美的、格力、日立</w:t>
            </w:r>
          </w:p>
        </w:tc>
        <w:tc>
          <w:tcPr>
            <w:tcW w:w="1549" w:type="dxa"/>
            <w:tcBorders>
              <w:top w:val="single" w:color="auto" w:sz="4" w:space="0"/>
              <w:left w:val="single" w:color="auto" w:sz="4" w:space="0"/>
              <w:bottom w:val="single" w:color="auto" w:sz="4" w:space="0"/>
              <w:right w:val="single" w:color="auto" w:sz="4" w:space="0"/>
            </w:tcBorders>
            <w:vAlign w:val="center"/>
          </w:tcPr>
          <w:p w14:paraId="76724840">
            <w:pPr>
              <w:rPr>
                <w:rFonts w:ascii="宋体" w:hAnsi="宋体"/>
                <w:color w:val="auto"/>
                <w:sz w:val="22"/>
                <w:highlight w:val="none"/>
              </w:rPr>
            </w:pPr>
            <w:r>
              <w:rPr>
                <w:rFonts w:hint="eastAsia" w:ascii="宋体" w:hAnsi="宋体"/>
                <w:color w:val="auto"/>
                <w:sz w:val="22"/>
                <w:highlight w:val="none"/>
              </w:rPr>
              <w:t>或相当于</w:t>
            </w:r>
          </w:p>
        </w:tc>
      </w:tr>
      <w:tr w14:paraId="4924E28D">
        <w:tblPrEx>
          <w:tblCellMar>
            <w:top w:w="0" w:type="dxa"/>
            <w:left w:w="108" w:type="dxa"/>
            <w:bottom w:w="0" w:type="dxa"/>
            <w:right w:w="108" w:type="dxa"/>
          </w:tblCellMar>
        </w:tblPrEx>
        <w:trPr>
          <w:trHeight w:val="643" w:hRule="atLeast"/>
        </w:trPr>
        <w:tc>
          <w:tcPr>
            <w:tcW w:w="580" w:type="dxa"/>
            <w:tcBorders>
              <w:top w:val="single" w:color="auto" w:sz="4" w:space="0"/>
              <w:left w:val="single" w:color="auto" w:sz="4" w:space="0"/>
              <w:bottom w:val="single" w:color="auto" w:sz="4" w:space="0"/>
              <w:right w:val="single" w:color="auto" w:sz="4" w:space="0"/>
            </w:tcBorders>
            <w:vAlign w:val="center"/>
          </w:tcPr>
          <w:p w14:paraId="7C5EF33C">
            <w:pPr>
              <w:rPr>
                <w:rFonts w:ascii="宋体" w:hAnsi="宋体"/>
                <w:color w:val="auto"/>
                <w:sz w:val="22"/>
                <w:highlight w:val="none"/>
              </w:rPr>
            </w:pPr>
            <w:r>
              <w:rPr>
                <w:rFonts w:hint="eastAsia" w:ascii="宋体" w:hAnsi="宋体"/>
                <w:color w:val="auto"/>
                <w:sz w:val="22"/>
                <w:highlight w:val="none"/>
              </w:rPr>
              <w:t>43</w:t>
            </w:r>
          </w:p>
        </w:tc>
        <w:tc>
          <w:tcPr>
            <w:tcW w:w="3261" w:type="dxa"/>
            <w:tcBorders>
              <w:top w:val="single" w:color="auto" w:sz="4" w:space="0"/>
              <w:left w:val="single" w:color="auto" w:sz="4" w:space="0"/>
              <w:bottom w:val="single" w:color="auto" w:sz="4" w:space="0"/>
              <w:right w:val="single" w:color="auto" w:sz="4" w:space="0"/>
            </w:tcBorders>
            <w:vAlign w:val="center"/>
          </w:tcPr>
          <w:p w14:paraId="599C12A9">
            <w:pPr>
              <w:rPr>
                <w:rFonts w:ascii="宋体" w:hAnsi="宋体"/>
                <w:color w:val="auto"/>
                <w:sz w:val="22"/>
                <w:highlight w:val="none"/>
              </w:rPr>
            </w:pPr>
            <w:r>
              <w:rPr>
                <w:rFonts w:hint="eastAsia" w:ascii="宋体" w:hAnsi="宋体"/>
                <w:color w:val="auto"/>
                <w:sz w:val="22"/>
                <w:highlight w:val="none"/>
              </w:rPr>
              <w:t>抗震</w:t>
            </w:r>
          </w:p>
        </w:tc>
        <w:tc>
          <w:tcPr>
            <w:tcW w:w="2970" w:type="dxa"/>
            <w:tcBorders>
              <w:top w:val="single" w:color="auto" w:sz="4" w:space="0"/>
              <w:left w:val="single" w:color="auto" w:sz="4" w:space="0"/>
              <w:bottom w:val="single" w:color="auto" w:sz="4" w:space="0"/>
              <w:right w:val="single" w:color="auto" w:sz="4" w:space="0"/>
            </w:tcBorders>
            <w:vAlign w:val="center"/>
          </w:tcPr>
          <w:p w14:paraId="63195BA3">
            <w:pPr>
              <w:rPr>
                <w:rFonts w:ascii="宋体" w:hAnsi="宋体"/>
                <w:color w:val="auto"/>
                <w:sz w:val="22"/>
                <w:highlight w:val="none"/>
              </w:rPr>
            </w:pPr>
            <w:r>
              <w:rPr>
                <w:rFonts w:hint="eastAsia" w:ascii="宋体" w:hAnsi="宋体"/>
                <w:color w:val="auto"/>
                <w:sz w:val="22"/>
                <w:highlight w:val="none"/>
              </w:rPr>
              <w:t>旗鱼（浙江）、慧鱼（江苏）、泰德阳光（北京）</w:t>
            </w:r>
          </w:p>
        </w:tc>
        <w:tc>
          <w:tcPr>
            <w:tcW w:w="1549" w:type="dxa"/>
            <w:tcBorders>
              <w:top w:val="single" w:color="auto" w:sz="4" w:space="0"/>
              <w:left w:val="single" w:color="auto" w:sz="4" w:space="0"/>
              <w:bottom w:val="single" w:color="auto" w:sz="4" w:space="0"/>
              <w:right w:val="single" w:color="auto" w:sz="4" w:space="0"/>
            </w:tcBorders>
            <w:vAlign w:val="center"/>
          </w:tcPr>
          <w:p w14:paraId="7FABAA8E">
            <w:pPr>
              <w:rPr>
                <w:rFonts w:ascii="宋体" w:hAnsi="宋体"/>
                <w:color w:val="auto"/>
                <w:sz w:val="22"/>
                <w:highlight w:val="none"/>
              </w:rPr>
            </w:pPr>
            <w:r>
              <w:rPr>
                <w:rFonts w:hint="eastAsia" w:ascii="宋体" w:hAnsi="宋体"/>
                <w:color w:val="auto"/>
                <w:sz w:val="22"/>
                <w:highlight w:val="none"/>
              </w:rPr>
              <w:t>或相当于</w:t>
            </w:r>
          </w:p>
        </w:tc>
      </w:tr>
      <w:tr w14:paraId="4F7FEEDD">
        <w:tblPrEx>
          <w:tblCellMar>
            <w:top w:w="0" w:type="dxa"/>
            <w:left w:w="108" w:type="dxa"/>
            <w:bottom w:w="0" w:type="dxa"/>
            <w:right w:w="108" w:type="dxa"/>
          </w:tblCellMar>
        </w:tblPrEx>
        <w:trPr>
          <w:trHeight w:val="653" w:hRule="atLeast"/>
        </w:trPr>
        <w:tc>
          <w:tcPr>
            <w:tcW w:w="580" w:type="dxa"/>
            <w:tcBorders>
              <w:top w:val="single" w:color="auto" w:sz="4" w:space="0"/>
              <w:left w:val="single" w:color="auto" w:sz="4" w:space="0"/>
              <w:bottom w:val="single" w:color="auto" w:sz="4" w:space="0"/>
              <w:right w:val="single" w:color="auto" w:sz="4" w:space="0"/>
            </w:tcBorders>
            <w:vAlign w:val="center"/>
          </w:tcPr>
          <w:p w14:paraId="5F84424C">
            <w:pPr>
              <w:rPr>
                <w:rFonts w:hint="default" w:ascii="宋体" w:hAnsi="宋体" w:eastAsiaTheme="minorEastAsia"/>
                <w:color w:val="auto"/>
                <w:sz w:val="22"/>
                <w:highlight w:val="none"/>
                <w:lang w:val="en-US" w:eastAsia="zh-CN"/>
              </w:rPr>
            </w:pPr>
            <w:r>
              <w:rPr>
                <w:rFonts w:hint="eastAsia" w:ascii="宋体" w:hAnsi="宋体"/>
                <w:color w:val="auto"/>
                <w:sz w:val="22"/>
                <w:highlight w:val="none"/>
                <w:lang w:val="en-US" w:eastAsia="zh-CN"/>
              </w:rPr>
              <w:t>44</w:t>
            </w:r>
          </w:p>
        </w:tc>
        <w:tc>
          <w:tcPr>
            <w:tcW w:w="3261" w:type="dxa"/>
            <w:tcBorders>
              <w:top w:val="single" w:color="auto" w:sz="4" w:space="0"/>
              <w:left w:val="single" w:color="auto" w:sz="4" w:space="0"/>
              <w:bottom w:val="single" w:color="auto" w:sz="4" w:space="0"/>
              <w:right w:val="single" w:color="auto" w:sz="4" w:space="0"/>
            </w:tcBorders>
            <w:vAlign w:val="center"/>
          </w:tcPr>
          <w:p w14:paraId="0E47982C">
            <w:pPr>
              <w:rPr>
                <w:rFonts w:hint="eastAsia" w:ascii="宋体" w:hAnsi="宋体" w:eastAsiaTheme="minorEastAsia"/>
                <w:color w:val="auto"/>
                <w:sz w:val="22"/>
                <w:highlight w:val="none"/>
                <w:lang w:val="en-US" w:eastAsia="zh-CN"/>
              </w:rPr>
            </w:pPr>
            <w:r>
              <w:rPr>
                <w:rFonts w:hint="eastAsia" w:ascii="宋体" w:hAnsi="宋体"/>
                <w:color w:val="auto"/>
                <w:sz w:val="22"/>
                <w:highlight w:val="none"/>
                <w:lang w:val="en-US" w:eastAsia="zh-CN"/>
              </w:rPr>
              <w:t>电梯</w:t>
            </w:r>
          </w:p>
        </w:tc>
        <w:tc>
          <w:tcPr>
            <w:tcW w:w="2970" w:type="dxa"/>
            <w:tcBorders>
              <w:top w:val="single" w:color="auto" w:sz="4" w:space="0"/>
              <w:left w:val="single" w:color="auto" w:sz="4" w:space="0"/>
              <w:bottom w:val="single" w:color="auto" w:sz="4" w:space="0"/>
              <w:right w:val="single" w:color="auto" w:sz="4" w:space="0"/>
            </w:tcBorders>
            <w:vAlign w:val="center"/>
          </w:tcPr>
          <w:p w14:paraId="12DEEE8D">
            <w:pPr>
              <w:rPr>
                <w:rFonts w:ascii="宋体" w:hAnsi="宋体"/>
                <w:color w:val="auto"/>
                <w:sz w:val="22"/>
                <w:highlight w:val="none"/>
              </w:rPr>
            </w:pPr>
            <w:r>
              <w:rPr>
                <w:rFonts w:hint="eastAsia" w:ascii="宋体" w:hAnsi="宋体"/>
                <w:color w:val="auto"/>
                <w:sz w:val="22"/>
                <w:highlight w:val="none"/>
              </w:rPr>
              <w:t>浙奥，巨人通力，快意</w:t>
            </w:r>
          </w:p>
        </w:tc>
        <w:tc>
          <w:tcPr>
            <w:tcW w:w="1549" w:type="dxa"/>
            <w:tcBorders>
              <w:top w:val="single" w:color="auto" w:sz="4" w:space="0"/>
              <w:left w:val="single" w:color="auto" w:sz="4" w:space="0"/>
              <w:bottom w:val="single" w:color="auto" w:sz="4" w:space="0"/>
              <w:right w:val="single" w:color="auto" w:sz="4" w:space="0"/>
            </w:tcBorders>
            <w:vAlign w:val="center"/>
          </w:tcPr>
          <w:p w14:paraId="7EEA2B17">
            <w:pPr>
              <w:rPr>
                <w:rFonts w:ascii="宋体" w:hAnsi="宋体"/>
                <w:color w:val="auto"/>
                <w:sz w:val="22"/>
                <w:highlight w:val="none"/>
              </w:rPr>
            </w:pPr>
          </w:p>
        </w:tc>
      </w:tr>
    </w:tbl>
    <w:p w14:paraId="0D57EB94">
      <w:pPr>
        <w:spacing w:line="400" w:lineRule="exact"/>
        <w:rPr>
          <w:rFonts w:hint="eastAsia"/>
          <w:color w:val="auto"/>
          <w:highlight w:val="none"/>
        </w:rPr>
      </w:pPr>
      <w:r>
        <w:rPr>
          <w:rFonts w:hint="eastAsia" w:ascii="等线" w:hAnsi="宋体" w:eastAsia="等线" w:cs="宋体"/>
          <w:color w:val="auto"/>
          <w:kern w:val="0"/>
          <w:sz w:val="22"/>
          <w:szCs w:val="22"/>
          <w:highlight w:val="none"/>
        </w:rPr>
        <w:t>注：</w:t>
      </w:r>
      <w:r>
        <w:rPr>
          <w:rFonts w:hint="eastAsia"/>
          <w:color w:val="auto"/>
          <w:highlight w:val="none"/>
        </w:rPr>
        <w:t>1.若某设备材料的品牌与厂家存在同名时，以品牌为先。</w:t>
      </w:r>
    </w:p>
    <w:p w14:paraId="552687A8">
      <w:pPr>
        <w:spacing w:line="400" w:lineRule="exact"/>
        <w:rPr>
          <w:rFonts w:hint="eastAsia" w:ascii="等线" w:hAnsi="宋体" w:eastAsia="等线" w:cs="宋体"/>
          <w:color w:val="auto"/>
          <w:kern w:val="0"/>
          <w:sz w:val="22"/>
          <w:szCs w:val="22"/>
          <w:highlight w:val="none"/>
        </w:rPr>
      </w:pPr>
      <w:r>
        <w:rPr>
          <w:rFonts w:hint="eastAsia" w:ascii="等线" w:hAnsi="宋体" w:eastAsia="等线" w:cs="宋体"/>
          <w:color w:val="auto"/>
          <w:kern w:val="0"/>
          <w:sz w:val="22"/>
          <w:szCs w:val="22"/>
          <w:highlight w:val="none"/>
          <w:lang w:val="en-US" w:eastAsia="zh-CN"/>
        </w:rPr>
        <w:t>2、</w:t>
      </w:r>
      <w:r>
        <w:rPr>
          <w:rFonts w:hint="eastAsia" w:ascii="等线" w:hAnsi="宋体" w:eastAsia="等线" w:cs="宋体"/>
          <w:color w:val="auto"/>
          <w:kern w:val="0"/>
          <w:sz w:val="22"/>
          <w:szCs w:val="22"/>
          <w:highlight w:val="none"/>
          <w:lang w:eastAsia="zh-CN"/>
        </w:rPr>
        <w:t>使用</w:t>
      </w:r>
      <w:r>
        <w:rPr>
          <w:rFonts w:hint="eastAsia" w:ascii="等线" w:hAnsi="宋体" w:eastAsia="等线" w:cs="宋体"/>
          <w:color w:val="auto"/>
          <w:kern w:val="0"/>
          <w:sz w:val="22"/>
          <w:szCs w:val="22"/>
          <w:highlight w:val="none"/>
        </w:rPr>
        <w:t>以上主要材料的</w:t>
      </w:r>
      <w:r>
        <w:rPr>
          <w:rFonts w:hint="eastAsia" w:ascii="等线" w:hAnsi="宋体" w:eastAsia="等线" w:cs="宋体"/>
          <w:color w:val="auto"/>
          <w:kern w:val="0"/>
          <w:sz w:val="22"/>
          <w:szCs w:val="22"/>
          <w:highlight w:val="none"/>
          <w:lang w:eastAsia="zh-CN"/>
        </w:rPr>
        <w:t>推荐</w:t>
      </w:r>
      <w:r>
        <w:rPr>
          <w:rFonts w:hint="eastAsia" w:ascii="等线" w:hAnsi="宋体" w:eastAsia="等线" w:cs="宋体"/>
          <w:color w:val="auto"/>
          <w:kern w:val="0"/>
          <w:sz w:val="22"/>
          <w:szCs w:val="22"/>
          <w:highlight w:val="none"/>
        </w:rPr>
        <w:t>品牌</w:t>
      </w:r>
      <w:r>
        <w:rPr>
          <w:rFonts w:hint="eastAsia" w:ascii="等线" w:hAnsi="宋体" w:eastAsia="等线" w:cs="宋体"/>
          <w:color w:val="auto"/>
          <w:kern w:val="0"/>
          <w:sz w:val="22"/>
          <w:szCs w:val="22"/>
          <w:highlight w:val="none"/>
          <w:lang w:eastAsia="zh-CN"/>
        </w:rPr>
        <w:t>以外的相当于或优于的其他品牌时，</w:t>
      </w:r>
      <w:r>
        <w:rPr>
          <w:rFonts w:hint="eastAsia" w:ascii="等线" w:hAnsi="宋体" w:eastAsia="等线" w:cs="宋体"/>
          <w:color w:val="auto"/>
          <w:kern w:val="0"/>
          <w:sz w:val="22"/>
          <w:szCs w:val="22"/>
          <w:highlight w:val="none"/>
        </w:rPr>
        <w:t>施工前须经招标人同意</w:t>
      </w:r>
      <w:r>
        <w:rPr>
          <w:rFonts w:hint="eastAsia" w:ascii="等线" w:hAnsi="宋体" w:eastAsia="等线" w:cs="宋体"/>
          <w:color w:val="auto"/>
          <w:kern w:val="0"/>
          <w:sz w:val="22"/>
          <w:szCs w:val="22"/>
          <w:highlight w:val="none"/>
          <w:lang w:eastAsia="zh-CN"/>
        </w:rPr>
        <w:t>确认</w:t>
      </w:r>
      <w:r>
        <w:rPr>
          <w:rFonts w:hint="eastAsia" w:ascii="等线" w:hAnsi="宋体" w:eastAsia="等线" w:cs="宋体"/>
          <w:color w:val="auto"/>
          <w:kern w:val="0"/>
          <w:sz w:val="22"/>
          <w:szCs w:val="22"/>
          <w:highlight w:val="none"/>
        </w:rPr>
        <w:t>后方可采购使用。</w:t>
      </w:r>
    </w:p>
    <w:p w14:paraId="601322B9">
      <w:pPr>
        <w:pStyle w:val="3"/>
        <w:jc w:val="center"/>
      </w:pPr>
    </w:p>
    <w:p w14:paraId="0D0DA177">
      <w:pPr>
        <w:pStyle w:val="3"/>
        <w:jc w:val="center"/>
      </w:pPr>
    </w:p>
    <w:p w14:paraId="1B34AE40">
      <w:pPr>
        <w:pStyle w:val="3"/>
        <w:jc w:val="center"/>
      </w:pPr>
    </w:p>
    <w:p w14:paraId="512480D1">
      <w:pPr>
        <w:pStyle w:val="3"/>
        <w:jc w:val="center"/>
      </w:pPr>
    </w:p>
    <w:p w14:paraId="74DD8C53">
      <w:pPr>
        <w:pStyle w:val="3"/>
        <w:jc w:val="center"/>
      </w:pPr>
    </w:p>
    <w:p w14:paraId="1A0AE0B4">
      <w:pPr>
        <w:pStyle w:val="3"/>
        <w:jc w:val="center"/>
      </w:pPr>
    </w:p>
    <w:p w14:paraId="1916718C">
      <w:pPr>
        <w:pStyle w:val="3"/>
        <w:jc w:val="center"/>
      </w:pPr>
    </w:p>
    <w:p w14:paraId="46AC4484">
      <w:r>
        <w:br w:type="page"/>
      </w:r>
    </w:p>
    <w:p w14:paraId="2C7692E1">
      <w:pPr>
        <w:pStyle w:val="3"/>
        <w:jc w:val="center"/>
      </w:pPr>
    </w:p>
    <w:p w14:paraId="71CBB344">
      <w:pPr>
        <w:pStyle w:val="3"/>
        <w:jc w:val="center"/>
      </w:pPr>
    </w:p>
    <w:p w14:paraId="61150A7D">
      <w:pPr>
        <w:pStyle w:val="3"/>
        <w:jc w:val="center"/>
      </w:pPr>
    </w:p>
    <w:p w14:paraId="17CE9FBD">
      <w:pPr>
        <w:pStyle w:val="3"/>
        <w:jc w:val="center"/>
      </w:pPr>
    </w:p>
    <w:p w14:paraId="25927D7F">
      <w:pPr>
        <w:pStyle w:val="3"/>
        <w:jc w:val="center"/>
      </w:pPr>
    </w:p>
    <w:p w14:paraId="7748D55D">
      <w:pPr>
        <w:pStyle w:val="3"/>
        <w:jc w:val="center"/>
      </w:pPr>
    </w:p>
    <w:p w14:paraId="0C23BE71">
      <w:pPr>
        <w:pStyle w:val="3"/>
        <w:jc w:val="center"/>
      </w:pPr>
      <w:r>
        <w:t>第八章  投标文件格式</w:t>
      </w:r>
    </w:p>
    <w:p w14:paraId="01E103F3">
      <w:pPr>
        <w:spacing w:line="400" w:lineRule="exact"/>
        <w:jc w:val="center"/>
        <w:rPr>
          <w:b/>
          <w:bCs/>
          <w:sz w:val="36"/>
          <w:szCs w:val="36"/>
        </w:rPr>
      </w:pPr>
      <w:r>
        <w:br w:type="page"/>
      </w:r>
      <w:r>
        <w:rPr>
          <w:rFonts w:hint="eastAsia"/>
          <w:b/>
          <w:bCs/>
          <w:sz w:val="36"/>
          <w:szCs w:val="36"/>
        </w:rPr>
        <w:t>目</w:t>
      </w:r>
      <w:r>
        <w:rPr>
          <w:b/>
          <w:bCs/>
          <w:sz w:val="36"/>
          <w:szCs w:val="36"/>
        </w:rPr>
        <w:t xml:space="preserve">  </w:t>
      </w:r>
      <w:r>
        <w:rPr>
          <w:rFonts w:hint="eastAsia"/>
          <w:b/>
          <w:bCs/>
          <w:sz w:val="36"/>
          <w:szCs w:val="36"/>
        </w:rPr>
        <w:t>录</w:t>
      </w:r>
    </w:p>
    <w:p w14:paraId="233BC9AA">
      <w:pPr>
        <w:spacing w:line="540" w:lineRule="exact"/>
        <w:ind w:firstLine="420" w:firstLineChars="200"/>
      </w:pPr>
      <w:r>
        <w:rPr>
          <w:rFonts w:hint="eastAsia"/>
        </w:rPr>
        <w:t>一、项目负责人简历表</w:t>
      </w:r>
    </w:p>
    <w:p w14:paraId="27AA66FF">
      <w:pPr>
        <w:spacing w:line="540" w:lineRule="exact"/>
        <w:ind w:firstLine="420" w:firstLineChars="200"/>
      </w:pPr>
      <w:r>
        <w:rPr>
          <w:rFonts w:hint="eastAsia"/>
        </w:rPr>
        <w:t>二、技术负责人简历表</w:t>
      </w:r>
    </w:p>
    <w:p w14:paraId="6BB377DB">
      <w:pPr>
        <w:spacing w:line="540" w:lineRule="exact"/>
        <w:ind w:firstLine="420" w:firstLineChars="200"/>
      </w:pPr>
      <w:r>
        <w:rPr>
          <w:rFonts w:hint="eastAsia"/>
        </w:rPr>
        <w:t>三、主要施工机械设备表</w:t>
      </w:r>
    </w:p>
    <w:p w14:paraId="76A2968B">
      <w:pPr>
        <w:spacing w:line="540" w:lineRule="exact"/>
        <w:ind w:firstLine="420" w:firstLineChars="200"/>
      </w:pPr>
      <w:r>
        <w:rPr>
          <w:rFonts w:hint="eastAsia"/>
        </w:rPr>
        <w:t>四、台州市建设工程投标人资格自查表</w:t>
      </w:r>
    </w:p>
    <w:p w14:paraId="6B18A6DE">
      <w:pPr>
        <w:spacing w:line="540" w:lineRule="exact"/>
        <w:ind w:firstLine="420" w:firstLineChars="200"/>
      </w:pPr>
      <w:r>
        <w:rPr>
          <w:rFonts w:hint="eastAsia"/>
        </w:rPr>
        <w:t>五、台州市建设工程投标项目负责人资格自查表</w:t>
      </w:r>
    </w:p>
    <w:p w14:paraId="0C294543">
      <w:pPr>
        <w:spacing w:line="540" w:lineRule="exact"/>
        <w:ind w:firstLine="420" w:firstLineChars="200"/>
      </w:pPr>
      <w:r>
        <w:rPr>
          <w:rFonts w:hint="eastAsia"/>
        </w:rPr>
        <w:t>六、建设工程投标人及项目负责人资信分自查表</w:t>
      </w:r>
    </w:p>
    <w:p w14:paraId="0848D877">
      <w:pPr>
        <w:spacing w:line="540" w:lineRule="exact"/>
        <w:ind w:firstLine="420" w:firstLineChars="200"/>
      </w:pPr>
      <w:r>
        <w:rPr>
          <w:rFonts w:hint="eastAsia"/>
        </w:rPr>
        <w:t>七、台州市建设工程诚信投标承诺书</w:t>
      </w:r>
    </w:p>
    <w:p w14:paraId="39D8F988">
      <w:pPr>
        <w:spacing w:line="540" w:lineRule="exact"/>
        <w:ind w:firstLine="420" w:firstLineChars="200"/>
      </w:pPr>
      <w:r>
        <w:rPr>
          <w:rFonts w:hint="eastAsia"/>
        </w:rPr>
        <w:t>八、法定代表人授权委托书</w:t>
      </w:r>
    </w:p>
    <w:p w14:paraId="421FD4CA">
      <w:pPr>
        <w:spacing w:line="540" w:lineRule="exact"/>
        <w:ind w:firstLine="420" w:firstLineChars="200"/>
      </w:pPr>
      <w:r>
        <w:rPr>
          <w:rFonts w:hint="eastAsia"/>
        </w:rPr>
        <w:t>九、台州市建设工程安全生产任职资格承诺书</w:t>
      </w:r>
    </w:p>
    <w:p w14:paraId="25EBC93E">
      <w:pPr>
        <w:spacing w:line="540" w:lineRule="exact"/>
        <w:ind w:firstLine="420" w:firstLineChars="200"/>
      </w:pPr>
      <w:r>
        <w:rPr>
          <w:rFonts w:hint="eastAsia"/>
        </w:rPr>
        <w:t>十、停工证明（若有）</w:t>
      </w:r>
    </w:p>
    <w:p w14:paraId="410FF815">
      <w:pPr>
        <w:spacing w:line="540" w:lineRule="exact"/>
        <w:ind w:firstLine="420" w:firstLineChars="200"/>
      </w:pPr>
      <w:r>
        <w:rPr>
          <w:rFonts w:hint="eastAsia"/>
        </w:rPr>
        <w:t>十一、未验收证明（若有）</w:t>
      </w:r>
    </w:p>
    <w:p w14:paraId="681D496A">
      <w:pPr>
        <w:spacing w:line="540" w:lineRule="exact"/>
        <w:ind w:firstLine="420" w:firstLineChars="200"/>
        <w:rPr>
          <w:rFonts w:hint="eastAsia"/>
        </w:rPr>
      </w:pPr>
      <w:r>
        <w:rPr>
          <w:rFonts w:hint="eastAsia"/>
        </w:rPr>
        <w:t>十二、法定代表人身份证明</w:t>
      </w:r>
    </w:p>
    <w:p w14:paraId="2DA4EAF3">
      <w:pPr>
        <w:spacing w:line="400" w:lineRule="exact"/>
        <w:jc w:val="center"/>
        <w:rPr>
          <w:rFonts w:hint="eastAsia" w:ascii="黑体" w:hAnsi="黑体" w:eastAsia="黑体"/>
          <w:sz w:val="32"/>
          <w:szCs w:val="32"/>
        </w:rPr>
      </w:pPr>
    </w:p>
    <w:p w14:paraId="7CEA5A6D">
      <w:pPr>
        <w:spacing w:line="400" w:lineRule="exact"/>
        <w:jc w:val="left"/>
        <w:rPr>
          <w:sz w:val="24"/>
        </w:rPr>
      </w:pPr>
      <w:r>
        <w:br w:type="page"/>
      </w:r>
      <w:bookmarkStart w:id="205" w:name="_Toc148964080"/>
      <w:r>
        <w:rPr>
          <w:szCs w:val="28"/>
        </w:rPr>
        <w:t>一、项目负责人简历表</w:t>
      </w:r>
      <w:bookmarkEnd w:id="205"/>
      <w:r>
        <w:rPr>
          <w:rFonts w:hint="eastAsia"/>
          <w:szCs w:val="28"/>
          <w:lang w:eastAsia="zh-CN"/>
        </w:rPr>
        <w:t>：</w:t>
      </w:r>
      <w:r>
        <w:rPr>
          <w:sz w:val="24"/>
        </w:rPr>
        <w:t xml:space="preserve">  </w:t>
      </w:r>
    </w:p>
    <w:p w14:paraId="524D9699">
      <w:pPr>
        <w:spacing w:line="360" w:lineRule="auto"/>
        <w:jc w:val="center"/>
        <w:rPr>
          <w:sz w:val="24"/>
        </w:rPr>
      </w:pPr>
      <w:r>
        <w:rPr>
          <w:sz w:val="24"/>
          <w:u w:val="single"/>
        </w:rPr>
        <w:t xml:space="preserve">                              </w:t>
      </w:r>
      <w:r>
        <w:rPr>
          <w:sz w:val="24"/>
        </w:rPr>
        <w:t xml:space="preserve">工程 </w:t>
      </w:r>
    </w:p>
    <w:p w14:paraId="5F0CBED0">
      <w:pPr>
        <w:spacing w:line="360" w:lineRule="auto"/>
        <w:jc w:val="center"/>
        <w:rPr>
          <w:rFonts w:eastAsia="黑体"/>
          <w:sz w:val="44"/>
        </w:rPr>
      </w:pPr>
      <w:r>
        <w:rPr>
          <w:rFonts w:eastAsia="黑体"/>
          <w:sz w:val="44"/>
        </w:rPr>
        <w:t>项目负责人简历表</w:t>
      </w:r>
    </w:p>
    <w:tbl>
      <w:tblPr>
        <w:tblStyle w:val="17"/>
        <w:tblW w:w="0" w:type="auto"/>
        <w:tblInd w:w="108" w:type="dxa"/>
        <w:tblLayout w:type="fixed"/>
        <w:tblCellMar>
          <w:top w:w="0" w:type="dxa"/>
          <w:left w:w="108" w:type="dxa"/>
          <w:bottom w:w="0" w:type="dxa"/>
          <w:right w:w="108" w:type="dxa"/>
        </w:tblCellMar>
      </w:tblPr>
      <w:tblGrid>
        <w:gridCol w:w="1090"/>
        <w:gridCol w:w="280"/>
        <w:gridCol w:w="665"/>
        <w:gridCol w:w="895"/>
        <w:gridCol w:w="1091"/>
        <w:gridCol w:w="1117"/>
        <w:gridCol w:w="935"/>
        <w:gridCol w:w="974"/>
        <w:gridCol w:w="1355"/>
      </w:tblGrid>
      <w:tr w14:paraId="41F960C9">
        <w:tblPrEx>
          <w:tblCellMar>
            <w:top w:w="0" w:type="dxa"/>
            <w:left w:w="108" w:type="dxa"/>
            <w:bottom w:w="0" w:type="dxa"/>
            <w:right w:w="108" w:type="dxa"/>
          </w:tblCellMar>
        </w:tblPrEx>
        <w:trPr>
          <w:trHeight w:val="466" w:hRule="atLeast"/>
        </w:trPr>
        <w:tc>
          <w:tcPr>
            <w:tcW w:w="10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DE2EE4">
            <w:pPr>
              <w:widowControl/>
              <w:jc w:val="center"/>
              <w:rPr>
                <w:kern w:val="0"/>
                <w:sz w:val="24"/>
              </w:rPr>
            </w:pPr>
            <w:r>
              <w:rPr>
                <w:kern w:val="0"/>
                <w:sz w:val="24"/>
              </w:rPr>
              <w:t>姓名</w:t>
            </w:r>
          </w:p>
        </w:tc>
        <w:tc>
          <w:tcPr>
            <w:tcW w:w="944" w:type="dxa"/>
            <w:gridSpan w:val="2"/>
            <w:tcBorders>
              <w:top w:val="single" w:color="000000" w:sz="4" w:space="0"/>
              <w:left w:val="nil"/>
              <w:bottom w:val="single" w:color="000000" w:sz="4" w:space="0"/>
              <w:right w:val="single" w:color="000000" w:sz="4" w:space="0"/>
            </w:tcBorders>
            <w:shd w:val="clear" w:color="auto" w:fill="FFFFFF"/>
            <w:noWrap w:val="0"/>
            <w:vAlign w:val="center"/>
          </w:tcPr>
          <w:p w14:paraId="03F948E7">
            <w:pPr>
              <w:widowControl/>
              <w:jc w:val="center"/>
              <w:rPr>
                <w:kern w:val="0"/>
                <w:sz w:val="24"/>
              </w:rPr>
            </w:pPr>
            <w:r>
              <w:rPr>
                <w:kern w:val="0"/>
                <w:sz w:val="24"/>
              </w:rPr>
              <w:t>　</w:t>
            </w:r>
          </w:p>
        </w:tc>
        <w:tc>
          <w:tcPr>
            <w:tcW w:w="895" w:type="dxa"/>
            <w:tcBorders>
              <w:top w:val="single" w:color="000000" w:sz="4" w:space="0"/>
              <w:left w:val="nil"/>
              <w:bottom w:val="single" w:color="000000" w:sz="4" w:space="0"/>
              <w:right w:val="single" w:color="000000" w:sz="4" w:space="0"/>
            </w:tcBorders>
            <w:shd w:val="clear" w:color="auto" w:fill="FFFFFF"/>
            <w:noWrap w:val="0"/>
            <w:vAlign w:val="center"/>
          </w:tcPr>
          <w:p w14:paraId="0DD78B0D">
            <w:pPr>
              <w:widowControl/>
              <w:jc w:val="center"/>
              <w:rPr>
                <w:kern w:val="0"/>
                <w:sz w:val="24"/>
              </w:rPr>
            </w:pPr>
            <w:r>
              <w:rPr>
                <w:kern w:val="0"/>
                <w:sz w:val="24"/>
              </w:rPr>
              <w:t>性别</w:t>
            </w:r>
          </w:p>
        </w:tc>
        <w:tc>
          <w:tcPr>
            <w:tcW w:w="1090" w:type="dxa"/>
            <w:tcBorders>
              <w:top w:val="single" w:color="000000" w:sz="4" w:space="0"/>
              <w:left w:val="nil"/>
              <w:bottom w:val="single" w:color="000000" w:sz="4" w:space="0"/>
              <w:right w:val="single" w:color="000000" w:sz="4" w:space="0"/>
            </w:tcBorders>
            <w:shd w:val="clear" w:color="auto" w:fill="FFFFFF"/>
            <w:noWrap w:val="0"/>
            <w:vAlign w:val="center"/>
          </w:tcPr>
          <w:p w14:paraId="6D3578E4">
            <w:pPr>
              <w:widowControl/>
              <w:jc w:val="center"/>
              <w:rPr>
                <w:kern w:val="0"/>
                <w:sz w:val="24"/>
              </w:rPr>
            </w:pPr>
            <w:r>
              <w:rPr>
                <w:kern w:val="0"/>
                <w:sz w:val="24"/>
              </w:rPr>
              <w:t>　</w:t>
            </w:r>
          </w:p>
        </w:tc>
        <w:tc>
          <w:tcPr>
            <w:tcW w:w="1117" w:type="dxa"/>
            <w:tcBorders>
              <w:top w:val="single" w:color="000000" w:sz="4" w:space="0"/>
              <w:left w:val="nil"/>
              <w:bottom w:val="single" w:color="000000" w:sz="4" w:space="0"/>
              <w:right w:val="single" w:color="000000" w:sz="4" w:space="0"/>
            </w:tcBorders>
            <w:shd w:val="clear" w:color="auto" w:fill="FFFFFF"/>
            <w:noWrap w:val="0"/>
            <w:vAlign w:val="center"/>
          </w:tcPr>
          <w:p w14:paraId="4E9D2DB6">
            <w:pPr>
              <w:widowControl/>
              <w:jc w:val="center"/>
              <w:rPr>
                <w:kern w:val="0"/>
                <w:sz w:val="24"/>
              </w:rPr>
            </w:pPr>
            <w:r>
              <w:rPr>
                <w:kern w:val="0"/>
                <w:sz w:val="24"/>
              </w:rPr>
              <w:t>年龄</w:t>
            </w:r>
          </w:p>
        </w:tc>
        <w:tc>
          <w:tcPr>
            <w:tcW w:w="934" w:type="dxa"/>
            <w:tcBorders>
              <w:top w:val="single" w:color="000000" w:sz="4" w:space="0"/>
              <w:left w:val="nil"/>
              <w:bottom w:val="single" w:color="000000" w:sz="4" w:space="0"/>
              <w:right w:val="single" w:color="000000" w:sz="4" w:space="0"/>
            </w:tcBorders>
            <w:shd w:val="clear" w:color="auto" w:fill="FFFFFF"/>
            <w:noWrap w:val="0"/>
            <w:vAlign w:val="center"/>
          </w:tcPr>
          <w:p w14:paraId="26EB5E8E">
            <w:pPr>
              <w:widowControl/>
              <w:jc w:val="center"/>
              <w:rPr>
                <w:kern w:val="0"/>
                <w:sz w:val="24"/>
              </w:rPr>
            </w:pPr>
            <w:r>
              <w:rPr>
                <w:kern w:val="0"/>
                <w:sz w:val="24"/>
              </w:rPr>
              <w:t>　</w:t>
            </w:r>
          </w:p>
        </w:tc>
        <w:tc>
          <w:tcPr>
            <w:tcW w:w="973" w:type="dxa"/>
            <w:tcBorders>
              <w:top w:val="single" w:color="000000" w:sz="4" w:space="0"/>
              <w:left w:val="nil"/>
              <w:bottom w:val="single" w:color="000000" w:sz="4" w:space="0"/>
              <w:right w:val="single" w:color="000000" w:sz="4" w:space="0"/>
            </w:tcBorders>
            <w:shd w:val="clear" w:color="auto" w:fill="FFFFFF"/>
            <w:noWrap w:val="0"/>
            <w:vAlign w:val="center"/>
          </w:tcPr>
          <w:p w14:paraId="1FF9B461">
            <w:pPr>
              <w:widowControl/>
              <w:jc w:val="center"/>
              <w:rPr>
                <w:kern w:val="0"/>
                <w:sz w:val="24"/>
              </w:rPr>
            </w:pPr>
            <w:r>
              <w:rPr>
                <w:kern w:val="0"/>
                <w:sz w:val="24"/>
              </w:rPr>
              <w:t>专业</w:t>
            </w:r>
          </w:p>
        </w:tc>
        <w:tc>
          <w:tcPr>
            <w:tcW w:w="1354" w:type="dxa"/>
            <w:tcBorders>
              <w:top w:val="single" w:color="000000" w:sz="4" w:space="0"/>
              <w:left w:val="nil"/>
              <w:bottom w:val="single" w:color="000000" w:sz="4" w:space="0"/>
              <w:right w:val="single" w:color="000000" w:sz="4" w:space="0"/>
            </w:tcBorders>
            <w:shd w:val="clear" w:color="auto" w:fill="FFFFFF"/>
            <w:noWrap w:val="0"/>
            <w:vAlign w:val="center"/>
          </w:tcPr>
          <w:p w14:paraId="1D31FD54">
            <w:pPr>
              <w:widowControl/>
              <w:jc w:val="center"/>
              <w:rPr>
                <w:kern w:val="0"/>
                <w:sz w:val="24"/>
              </w:rPr>
            </w:pPr>
            <w:r>
              <w:rPr>
                <w:kern w:val="0"/>
                <w:sz w:val="24"/>
              </w:rPr>
              <w:t>　</w:t>
            </w:r>
          </w:p>
        </w:tc>
      </w:tr>
      <w:tr w14:paraId="3B347372">
        <w:tblPrEx>
          <w:tblCellMar>
            <w:top w:w="0" w:type="dxa"/>
            <w:left w:w="108" w:type="dxa"/>
            <w:bottom w:w="0" w:type="dxa"/>
            <w:right w:w="108" w:type="dxa"/>
          </w:tblCellMar>
        </w:tblPrEx>
        <w:trPr>
          <w:trHeight w:val="480" w:hRule="atLeast"/>
        </w:trPr>
        <w:tc>
          <w:tcPr>
            <w:tcW w:w="137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570B47">
            <w:pPr>
              <w:widowControl/>
              <w:jc w:val="center"/>
              <w:rPr>
                <w:kern w:val="0"/>
                <w:sz w:val="24"/>
              </w:rPr>
            </w:pPr>
            <w:r>
              <w:rPr>
                <w:kern w:val="0"/>
                <w:sz w:val="24"/>
              </w:rPr>
              <w:t>资质等级</w:t>
            </w:r>
          </w:p>
        </w:tc>
        <w:tc>
          <w:tcPr>
            <w:tcW w:w="1560" w:type="dxa"/>
            <w:gridSpan w:val="2"/>
            <w:tcBorders>
              <w:top w:val="single" w:color="000000" w:sz="4" w:space="0"/>
              <w:left w:val="nil"/>
              <w:bottom w:val="single" w:color="000000" w:sz="4" w:space="0"/>
              <w:right w:val="single" w:color="000000" w:sz="4" w:space="0"/>
            </w:tcBorders>
            <w:shd w:val="clear" w:color="auto" w:fill="FFFFFF"/>
            <w:noWrap w:val="0"/>
            <w:vAlign w:val="center"/>
          </w:tcPr>
          <w:p w14:paraId="77D99478">
            <w:pPr>
              <w:widowControl/>
              <w:jc w:val="center"/>
              <w:rPr>
                <w:kern w:val="0"/>
                <w:sz w:val="24"/>
              </w:rPr>
            </w:pPr>
            <w:r>
              <w:rPr>
                <w:kern w:val="0"/>
                <w:sz w:val="24"/>
              </w:rPr>
              <w:t>　</w:t>
            </w:r>
          </w:p>
        </w:tc>
        <w:tc>
          <w:tcPr>
            <w:tcW w:w="1090" w:type="dxa"/>
            <w:tcBorders>
              <w:top w:val="nil"/>
              <w:left w:val="nil"/>
              <w:bottom w:val="single" w:color="000000" w:sz="4" w:space="0"/>
              <w:right w:val="single" w:color="000000" w:sz="4" w:space="0"/>
            </w:tcBorders>
            <w:shd w:val="clear" w:color="auto" w:fill="FFFFFF"/>
            <w:noWrap w:val="0"/>
            <w:vAlign w:val="center"/>
          </w:tcPr>
          <w:p w14:paraId="25416844">
            <w:pPr>
              <w:widowControl/>
              <w:jc w:val="center"/>
              <w:rPr>
                <w:kern w:val="0"/>
                <w:sz w:val="24"/>
              </w:rPr>
            </w:pPr>
            <w:r>
              <w:rPr>
                <w:kern w:val="0"/>
                <w:sz w:val="24"/>
              </w:rPr>
              <w:t>职称</w:t>
            </w:r>
          </w:p>
        </w:tc>
        <w:tc>
          <w:tcPr>
            <w:tcW w:w="2052" w:type="dxa"/>
            <w:gridSpan w:val="2"/>
            <w:tcBorders>
              <w:top w:val="single" w:color="000000" w:sz="4" w:space="0"/>
              <w:left w:val="nil"/>
              <w:bottom w:val="single" w:color="000000" w:sz="4" w:space="0"/>
              <w:right w:val="single" w:color="000000" w:sz="4" w:space="0"/>
            </w:tcBorders>
            <w:shd w:val="clear" w:color="auto" w:fill="FFFFFF"/>
            <w:noWrap w:val="0"/>
            <w:vAlign w:val="center"/>
          </w:tcPr>
          <w:p w14:paraId="5FA6D206">
            <w:pPr>
              <w:widowControl/>
              <w:jc w:val="center"/>
              <w:rPr>
                <w:kern w:val="0"/>
                <w:sz w:val="24"/>
              </w:rPr>
            </w:pPr>
            <w:r>
              <w:rPr>
                <w:kern w:val="0"/>
                <w:sz w:val="24"/>
              </w:rPr>
              <w:t>　</w:t>
            </w:r>
          </w:p>
        </w:tc>
        <w:tc>
          <w:tcPr>
            <w:tcW w:w="973" w:type="dxa"/>
            <w:tcBorders>
              <w:top w:val="nil"/>
              <w:left w:val="nil"/>
              <w:bottom w:val="single" w:color="000000" w:sz="4" w:space="0"/>
              <w:right w:val="single" w:color="000000" w:sz="4" w:space="0"/>
            </w:tcBorders>
            <w:shd w:val="clear" w:color="auto" w:fill="FFFFFF"/>
            <w:noWrap w:val="0"/>
            <w:vAlign w:val="center"/>
          </w:tcPr>
          <w:p w14:paraId="063ED746">
            <w:pPr>
              <w:widowControl/>
              <w:jc w:val="center"/>
              <w:rPr>
                <w:kern w:val="0"/>
                <w:sz w:val="24"/>
              </w:rPr>
            </w:pPr>
            <w:r>
              <w:rPr>
                <w:kern w:val="0"/>
                <w:sz w:val="24"/>
              </w:rPr>
              <w:t>学历</w:t>
            </w:r>
          </w:p>
        </w:tc>
        <w:tc>
          <w:tcPr>
            <w:tcW w:w="1354" w:type="dxa"/>
            <w:tcBorders>
              <w:top w:val="nil"/>
              <w:left w:val="nil"/>
              <w:bottom w:val="single" w:color="000000" w:sz="4" w:space="0"/>
              <w:right w:val="single" w:color="000000" w:sz="4" w:space="0"/>
            </w:tcBorders>
            <w:shd w:val="clear" w:color="auto" w:fill="FFFFFF"/>
            <w:noWrap w:val="0"/>
            <w:vAlign w:val="center"/>
          </w:tcPr>
          <w:p w14:paraId="091DCE99">
            <w:pPr>
              <w:widowControl/>
              <w:jc w:val="center"/>
              <w:rPr>
                <w:kern w:val="0"/>
                <w:sz w:val="24"/>
              </w:rPr>
            </w:pPr>
            <w:r>
              <w:rPr>
                <w:kern w:val="0"/>
                <w:sz w:val="24"/>
              </w:rPr>
              <w:t>　</w:t>
            </w:r>
          </w:p>
        </w:tc>
      </w:tr>
      <w:tr w14:paraId="0D3BEAE7">
        <w:tblPrEx>
          <w:tblCellMar>
            <w:top w:w="0" w:type="dxa"/>
            <w:left w:w="108" w:type="dxa"/>
            <w:bottom w:w="0" w:type="dxa"/>
            <w:right w:w="108" w:type="dxa"/>
          </w:tblCellMar>
        </w:tblPrEx>
        <w:trPr>
          <w:trHeight w:val="491" w:hRule="atLeast"/>
        </w:trPr>
        <w:tc>
          <w:tcPr>
            <w:tcW w:w="2035"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867774E">
            <w:pPr>
              <w:widowControl/>
              <w:jc w:val="center"/>
              <w:rPr>
                <w:kern w:val="0"/>
                <w:sz w:val="24"/>
              </w:rPr>
            </w:pPr>
            <w:r>
              <w:rPr>
                <w:kern w:val="0"/>
                <w:sz w:val="24"/>
              </w:rPr>
              <w:t>参加工作时间</w:t>
            </w:r>
          </w:p>
        </w:tc>
        <w:tc>
          <w:tcPr>
            <w:tcW w:w="1986" w:type="dxa"/>
            <w:gridSpan w:val="2"/>
            <w:tcBorders>
              <w:top w:val="single" w:color="000000" w:sz="4" w:space="0"/>
              <w:left w:val="nil"/>
              <w:bottom w:val="single" w:color="000000" w:sz="4" w:space="0"/>
              <w:right w:val="single" w:color="000000" w:sz="4" w:space="0"/>
            </w:tcBorders>
            <w:shd w:val="clear" w:color="auto" w:fill="FFFFFF"/>
            <w:noWrap w:val="0"/>
            <w:vAlign w:val="center"/>
          </w:tcPr>
          <w:p w14:paraId="40F98D4E">
            <w:pPr>
              <w:widowControl/>
              <w:ind w:leftChars="-137" w:hanging="288" w:hangingChars="120"/>
              <w:jc w:val="left"/>
              <w:rPr>
                <w:kern w:val="0"/>
                <w:sz w:val="24"/>
              </w:rPr>
            </w:pPr>
          </w:p>
        </w:tc>
        <w:tc>
          <w:tcPr>
            <w:tcW w:w="3026" w:type="dxa"/>
            <w:gridSpan w:val="3"/>
            <w:tcBorders>
              <w:top w:val="single" w:color="000000" w:sz="4" w:space="0"/>
              <w:left w:val="nil"/>
              <w:bottom w:val="single" w:color="000000" w:sz="4" w:space="0"/>
              <w:right w:val="single" w:color="000000" w:sz="4" w:space="0"/>
            </w:tcBorders>
            <w:shd w:val="clear" w:color="auto" w:fill="FFFFFF"/>
            <w:noWrap w:val="0"/>
            <w:vAlign w:val="center"/>
          </w:tcPr>
          <w:p w14:paraId="0E0C9301">
            <w:pPr>
              <w:widowControl/>
              <w:jc w:val="center"/>
              <w:rPr>
                <w:kern w:val="0"/>
                <w:sz w:val="24"/>
              </w:rPr>
            </w:pPr>
            <w:r>
              <w:rPr>
                <w:kern w:val="0"/>
                <w:sz w:val="24"/>
              </w:rPr>
              <w:t>从事项目负责人年限</w:t>
            </w:r>
          </w:p>
        </w:tc>
        <w:tc>
          <w:tcPr>
            <w:tcW w:w="1354" w:type="dxa"/>
            <w:tcBorders>
              <w:top w:val="nil"/>
              <w:left w:val="nil"/>
              <w:bottom w:val="single" w:color="000000" w:sz="4" w:space="0"/>
              <w:right w:val="single" w:color="000000" w:sz="4" w:space="0"/>
            </w:tcBorders>
            <w:shd w:val="clear" w:color="auto" w:fill="FFFFFF"/>
            <w:noWrap w:val="0"/>
            <w:vAlign w:val="center"/>
          </w:tcPr>
          <w:p w14:paraId="7BEF6368">
            <w:pPr>
              <w:widowControl/>
              <w:jc w:val="left"/>
              <w:rPr>
                <w:kern w:val="0"/>
                <w:sz w:val="24"/>
              </w:rPr>
            </w:pPr>
            <w:r>
              <w:rPr>
                <w:kern w:val="0"/>
                <w:sz w:val="24"/>
              </w:rPr>
              <w:t>　</w:t>
            </w:r>
          </w:p>
        </w:tc>
      </w:tr>
      <w:tr w14:paraId="37AE9994">
        <w:tblPrEx>
          <w:tblCellMar>
            <w:top w:w="0" w:type="dxa"/>
            <w:left w:w="108" w:type="dxa"/>
            <w:bottom w:w="0" w:type="dxa"/>
            <w:right w:w="108" w:type="dxa"/>
          </w:tblCellMar>
        </w:tblPrEx>
        <w:trPr>
          <w:trHeight w:val="504" w:hRule="atLeast"/>
        </w:trPr>
        <w:tc>
          <w:tcPr>
            <w:tcW w:w="137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C8A5BB">
            <w:pPr>
              <w:widowControl/>
              <w:jc w:val="center"/>
              <w:rPr>
                <w:kern w:val="0"/>
                <w:sz w:val="24"/>
              </w:rPr>
            </w:pPr>
            <w:r>
              <w:rPr>
                <w:kern w:val="0"/>
                <w:sz w:val="24"/>
              </w:rPr>
              <w:t>证书号</w:t>
            </w:r>
          </w:p>
        </w:tc>
        <w:tc>
          <w:tcPr>
            <w:tcW w:w="2651" w:type="dxa"/>
            <w:gridSpan w:val="3"/>
            <w:tcBorders>
              <w:top w:val="single" w:color="000000" w:sz="4" w:space="0"/>
              <w:left w:val="nil"/>
              <w:bottom w:val="single" w:color="000000" w:sz="4" w:space="0"/>
              <w:right w:val="single" w:color="000000" w:sz="4" w:space="0"/>
            </w:tcBorders>
            <w:shd w:val="clear" w:color="auto" w:fill="FFFFFF"/>
            <w:noWrap w:val="0"/>
            <w:vAlign w:val="center"/>
          </w:tcPr>
          <w:p w14:paraId="45AA6D3A">
            <w:pPr>
              <w:widowControl/>
              <w:jc w:val="center"/>
              <w:rPr>
                <w:kern w:val="0"/>
                <w:sz w:val="24"/>
              </w:rPr>
            </w:pPr>
            <w:r>
              <w:rPr>
                <w:kern w:val="0"/>
                <w:sz w:val="24"/>
              </w:rPr>
              <w:t>　</w:t>
            </w:r>
          </w:p>
        </w:tc>
        <w:tc>
          <w:tcPr>
            <w:tcW w:w="1117" w:type="dxa"/>
            <w:tcBorders>
              <w:top w:val="nil"/>
              <w:left w:val="nil"/>
              <w:bottom w:val="single" w:color="000000" w:sz="4" w:space="0"/>
              <w:right w:val="single" w:color="000000" w:sz="4" w:space="0"/>
            </w:tcBorders>
            <w:shd w:val="clear" w:color="auto" w:fill="FFFFFF"/>
            <w:noWrap w:val="0"/>
            <w:vAlign w:val="center"/>
          </w:tcPr>
          <w:p w14:paraId="479EF67D">
            <w:pPr>
              <w:widowControl/>
              <w:jc w:val="center"/>
              <w:rPr>
                <w:kern w:val="0"/>
                <w:sz w:val="24"/>
              </w:rPr>
            </w:pPr>
            <w:r>
              <w:rPr>
                <w:kern w:val="0"/>
                <w:sz w:val="24"/>
              </w:rPr>
              <w:t>身份证</w:t>
            </w:r>
          </w:p>
        </w:tc>
        <w:tc>
          <w:tcPr>
            <w:tcW w:w="3262" w:type="dxa"/>
            <w:gridSpan w:val="3"/>
            <w:tcBorders>
              <w:top w:val="single" w:color="000000" w:sz="4" w:space="0"/>
              <w:left w:val="nil"/>
              <w:bottom w:val="single" w:color="000000" w:sz="4" w:space="0"/>
              <w:right w:val="single" w:color="000000" w:sz="4" w:space="0"/>
            </w:tcBorders>
            <w:shd w:val="clear" w:color="auto" w:fill="FFFFFF"/>
            <w:noWrap w:val="0"/>
            <w:vAlign w:val="center"/>
          </w:tcPr>
          <w:p w14:paraId="2FDF0C03">
            <w:pPr>
              <w:widowControl/>
              <w:jc w:val="center"/>
              <w:rPr>
                <w:kern w:val="0"/>
                <w:sz w:val="24"/>
              </w:rPr>
            </w:pPr>
            <w:r>
              <w:rPr>
                <w:kern w:val="0"/>
                <w:sz w:val="24"/>
              </w:rPr>
              <w:t>　</w:t>
            </w:r>
          </w:p>
        </w:tc>
      </w:tr>
      <w:tr w14:paraId="2DB2A86E">
        <w:tblPrEx>
          <w:tblCellMar>
            <w:top w:w="0" w:type="dxa"/>
            <w:left w:w="108" w:type="dxa"/>
            <w:bottom w:w="0" w:type="dxa"/>
            <w:right w:w="108" w:type="dxa"/>
          </w:tblCellMar>
        </w:tblPrEx>
        <w:trPr>
          <w:trHeight w:val="7278" w:hRule="atLeast"/>
        </w:trPr>
        <w:tc>
          <w:tcPr>
            <w:tcW w:w="1090" w:type="dxa"/>
            <w:vMerge w:val="restart"/>
            <w:tcBorders>
              <w:top w:val="nil"/>
              <w:left w:val="single" w:color="000000" w:sz="4" w:space="0"/>
              <w:bottom w:val="single" w:color="000000" w:sz="4" w:space="0"/>
              <w:right w:val="single" w:color="000000" w:sz="4" w:space="0"/>
            </w:tcBorders>
            <w:shd w:val="clear" w:color="auto" w:fill="FFFFFF"/>
            <w:noWrap w:val="0"/>
            <w:vAlign w:val="center"/>
          </w:tcPr>
          <w:p w14:paraId="2A57FEB5">
            <w:pPr>
              <w:widowControl/>
              <w:jc w:val="center"/>
              <w:rPr>
                <w:kern w:val="0"/>
                <w:sz w:val="24"/>
              </w:rPr>
            </w:pPr>
            <w:r>
              <w:rPr>
                <w:kern w:val="0"/>
                <w:sz w:val="24"/>
              </w:rPr>
              <w:t>简</w:t>
            </w:r>
          </w:p>
          <w:p w14:paraId="31276F1E">
            <w:pPr>
              <w:widowControl/>
              <w:jc w:val="center"/>
              <w:rPr>
                <w:kern w:val="0"/>
                <w:sz w:val="24"/>
              </w:rPr>
            </w:pPr>
          </w:p>
          <w:p w14:paraId="3B07643E">
            <w:pPr>
              <w:widowControl/>
              <w:jc w:val="center"/>
              <w:rPr>
                <w:kern w:val="0"/>
                <w:sz w:val="24"/>
              </w:rPr>
            </w:pPr>
          </w:p>
          <w:p w14:paraId="158B833C">
            <w:pPr>
              <w:widowControl/>
              <w:jc w:val="center"/>
              <w:rPr>
                <w:kern w:val="0"/>
                <w:sz w:val="24"/>
              </w:rPr>
            </w:pPr>
          </w:p>
          <w:p w14:paraId="54981842">
            <w:pPr>
              <w:widowControl/>
              <w:jc w:val="center"/>
              <w:rPr>
                <w:kern w:val="0"/>
                <w:sz w:val="24"/>
              </w:rPr>
            </w:pPr>
          </w:p>
          <w:p w14:paraId="7CC3E6E9">
            <w:pPr>
              <w:widowControl/>
              <w:jc w:val="center"/>
              <w:rPr>
                <w:kern w:val="0"/>
                <w:sz w:val="24"/>
              </w:rPr>
            </w:pPr>
          </w:p>
          <w:p w14:paraId="671B8940">
            <w:pPr>
              <w:widowControl/>
              <w:jc w:val="center"/>
              <w:rPr>
                <w:kern w:val="0"/>
                <w:sz w:val="24"/>
              </w:rPr>
            </w:pPr>
            <w:r>
              <w:rPr>
                <w:kern w:val="0"/>
                <w:sz w:val="24"/>
              </w:rPr>
              <w:t>历</w:t>
            </w:r>
          </w:p>
        </w:tc>
        <w:tc>
          <w:tcPr>
            <w:tcW w:w="7312" w:type="dxa"/>
            <w:gridSpan w:val="8"/>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2E16F585">
            <w:pPr>
              <w:widowControl/>
              <w:jc w:val="left"/>
              <w:rPr>
                <w:kern w:val="0"/>
                <w:sz w:val="24"/>
              </w:rPr>
            </w:pPr>
          </w:p>
        </w:tc>
      </w:tr>
      <w:tr w14:paraId="3EB4B0C3">
        <w:tblPrEx>
          <w:tblCellMar>
            <w:top w:w="0" w:type="dxa"/>
            <w:left w:w="108" w:type="dxa"/>
            <w:bottom w:w="0" w:type="dxa"/>
            <w:right w:w="108" w:type="dxa"/>
          </w:tblCellMar>
        </w:tblPrEx>
        <w:trPr>
          <w:trHeight w:val="312" w:hRule="atLeast"/>
        </w:trPr>
        <w:tc>
          <w:tcPr>
            <w:tcW w:w="1090" w:type="dxa"/>
            <w:vMerge w:val="continue"/>
            <w:tcBorders>
              <w:top w:val="nil"/>
              <w:left w:val="single" w:color="000000" w:sz="4" w:space="0"/>
              <w:bottom w:val="single" w:color="000000" w:sz="4" w:space="0"/>
              <w:right w:val="single" w:color="000000" w:sz="4" w:space="0"/>
            </w:tcBorders>
            <w:noWrap w:val="0"/>
            <w:vAlign w:val="center"/>
          </w:tcPr>
          <w:p w14:paraId="0A05B37B">
            <w:pPr>
              <w:widowControl/>
              <w:jc w:val="left"/>
              <w:rPr>
                <w:kern w:val="0"/>
                <w:sz w:val="22"/>
                <w:szCs w:val="22"/>
              </w:rPr>
            </w:pPr>
          </w:p>
        </w:tc>
        <w:tc>
          <w:tcPr>
            <w:tcW w:w="7312" w:type="dxa"/>
            <w:gridSpan w:val="8"/>
            <w:vMerge w:val="continue"/>
            <w:tcBorders>
              <w:top w:val="single" w:color="000000" w:sz="4" w:space="0"/>
              <w:left w:val="single" w:color="000000" w:sz="4" w:space="0"/>
              <w:bottom w:val="single" w:color="000000" w:sz="4" w:space="0"/>
              <w:right w:val="single" w:color="000000" w:sz="4" w:space="0"/>
            </w:tcBorders>
            <w:noWrap w:val="0"/>
            <w:vAlign w:val="center"/>
          </w:tcPr>
          <w:p w14:paraId="0EE4FC67">
            <w:pPr>
              <w:widowControl/>
              <w:jc w:val="left"/>
              <w:rPr>
                <w:kern w:val="0"/>
                <w:sz w:val="22"/>
                <w:szCs w:val="22"/>
              </w:rPr>
            </w:pPr>
          </w:p>
        </w:tc>
      </w:tr>
    </w:tbl>
    <w:p w14:paraId="0DA97482">
      <w:pPr>
        <w:spacing w:line="440" w:lineRule="exact"/>
        <w:ind w:right="480" w:firstLine="4800" w:firstLineChars="2000"/>
        <w:rPr>
          <w:rFonts w:hint="eastAsia"/>
          <w:sz w:val="24"/>
        </w:rPr>
      </w:pPr>
    </w:p>
    <w:p w14:paraId="61A65E3B">
      <w:pPr>
        <w:spacing w:line="440" w:lineRule="exact"/>
        <w:ind w:right="480" w:firstLine="4800" w:firstLineChars="2000"/>
        <w:rPr>
          <w:sz w:val="24"/>
        </w:rPr>
      </w:pPr>
      <w:r>
        <w:rPr>
          <w:sz w:val="24"/>
        </w:rPr>
        <w:t xml:space="preserve">法定代表人（签字或盖章）： </w:t>
      </w:r>
    </w:p>
    <w:p w14:paraId="03931B6D">
      <w:pPr>
        <w:spacing w:line="440" w:lineRule="exact"/>
        <w:ind w:right="480"/>
        <w:jc w:val="center"/>
        <w:rPr>
          <w:rFonts w:hint="eastAsia"/>
          <w:sz w:val="24"/>
        </w:rPr>
      </w:pPr>
      <w:r>
        <w:t xml:space="preserve">                                  </w:t>
      </w:r>
      <w:r>
        <w:rPr>
          <w:sz w:val="24"/>
        </w:rPr>
        <w:t xml:space="preserve">   投 标 人（盖章）：  </w:t>
      </w:r>
    </w:p>
    <w:p w14:paraId="206AC1E7">
      <w:pPr>
        <w:spacing w:line="440" w:lineRule="exact"/>
        <w:ind w:right="840"/>
        <w:jc w:val="right"/>
        <w:rPr>
          <w:sz w:val="24"/>
        </w:rPr>
      </w:pPr>
      <w:r>
        <w:rPr>
          <w:sz w:val="24"/>
        </w:rPr>
        <w:t>日期：    年   月   日</w:t>
      </w:r>
    </w:p>
    <w:p w14:paraId="3A4FFB49">
      <w:pPr>
        <w:pStyle w:val="29"/>
        <w:rPr>
          <w:rFonts w:cs="Times New Roman"/>
          <w:szCs w:val="28"/>
        </w:rPr>
      </w:pPr>
    </w:p>
    <w:p w14:paraId="04762DE4">
      <w:pPr>
        <w:pStyle w:val="29"/>
        <w:rPr>
          <w:rFonts w:cs="Times New Roman"/>
          <w:szCs w:val="28"/>
        </w:rPr>
      </w:pPr>
      <w:r>
        <w:rPr>
          <w:rFonts w:cs="Times New Roman"/>
          <w:szCs w:val="28"/>
        </w:rPr>
        <w:t>二、技术负责人简历表</w:t>
      </w:r>
    </w:p>
    <w:p w14:paraId="669FDDE2">
      <w:pPr>
        <w:spacing w:line="440" w:lineRule="exact"/>
        <w:jc w:val="center"/>
        <w:rPr>
          <w:rFonts w:eastAsia="黑体"/>
          <w:sz w:val="20"/>
          <w:szCs w:val="20"/>
        </w:rPr>
      </w:pPr>
    </w:p>
    <w:p w14:paraId="6FC7876C">
      <w:pPr>
        <w:spacing w:line="360" w:lineRule="auto"/>
        <w:jc w:val="center"/>
        <w:rPr>
          <w:sz w:val="24"/>
        </w:rPr>
      </w:pPr>
      <w:r>
        <w:rPr>
          <w:sz w:val="24"/>
          <w:u w:val="single"/>
        </w:rPr>
        <w:t xml:space="preserve">                              </w:t>
      </w:r>
      <w:r>
        <w:rPr>
          <w:sz w:val="24"/>
        </w:rPr>
        <w:t>工程</w:t>
      </w:r>
    </w:p>
    <w:p w14:paraId="151C60CB">
      <w:pPr>
        <w:spacing w:line="360" w:lineRule="auto"/>
        <w:jc w:val="center"/>
        <w:rPr>
          <w:rFonts w:eastAsia="黑体"/>
          <w:sz w:val="44"/>
        </w:rPr>
      </w:pPr>
      <w:r>
        <w:rPr>
          <w:rFonts w:eastAsia="黑体"/>
          <w:sz w:val="44"/>
        </w:rPr>
        <w:t>技术负责人简历表</w:t>
      </w:r>
    </w:p>
    <w:tbl>
      <w:tblPr>
        <w:tblStyle w:val="17"/>
        <w:tblW w:w="0" w:type="auto"/>
        <w:tblInd w:w="-72" w:type="dxa"/>
        <w:tblLayout w:type="fixed"/>
        <w:tblCellMar>
          <w:top w:w="0" w:type="dxa"/>
          <w:left w:w="108" w:type="dxa"/>
          <w:bottom w:w="0" w:type="dxa"/>
          <w:right w:w="108" w:type="dxa"/>
        </w:tblCellMar>
      </w:tblPr>
      <w:tblGrid>
        <w:gridCol w:w="1140"/>
        <w:gridCol w:w="1380"/>
        <w:gridCol w:w="920"/>
        <w:gridCol w:w="700"/>
        <w:gridCol w:w="820"/>
        <w:gridCol w:w="980"/>
        <w:gridCol w:w="1080"/>
        <w:gridCol w:w="1500"/>
      </w:tblGrid>
      <w:tr w14:paraId="196EC713">
        <w:tblPrEx>
          <w:tblCellMar>
            <w:top w:w="0" w:type="dxa"/>
            <w:left w:w="108" w:type="dxa"/>
            <w:bottom w:w="0" w:type="dxa"/>
            <w:right w:w="108" w:type="dxa"/>
          </w:tblCellMar>
        </w:tblPrEx>
        <w:trPr>
          <w:trHeight w:val="525" w:hRule="atLeast"/>
        </w:trPr>
        <w:tc>
          <w:tcPr>
            <w:tcW w:w="11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3E0AD5D">
            <w:pPr>
              <w:widowControl/>
              <w:jc w:val="center"/>
              <w:rPr>
                <w:kern w:val="0"/>
                <w:sz w:val="24"/>
              </w:rPr>
            </w:pPr>
            <w:r>
              <w:rPr>
                <w:kern w:val="0"/>
                <w:sz w:val="24"/>
              </w:rPr>
              <w:t>姓名</w:t>
            </w:r>
          </w:p>
        </w:tc>
        <w:tc>
          <w:tcPr>
            <w:tcW w:w="1380" w:type="dxa"/>
            <w:tcBorders>
              <w:top w:val="single" w:color="000000" w:sz="4" w:space="0"/>
              <w:left w:val="nil"/>
              <w:bottom w:val="single" w:color="000000" w:sz="4" w:space="0"/>
              <w:right w:val="single" w:color="000000" w:sz="4" w:space="0"/>
            </w:tcBorders>
            <w:shd w:val="clear" w:color="auto" w:fill="FFFFFF"/>
            <w:noWrap w:val="0"/>
            <w:vAlign w:val="center"/>
          </w:tcPr>
          <w:p w14:paraId="00C7E126">
            <w:pPr>
              <w:widowControl/>
              <w:jc w:val="center"/>
              <w:rPr>
                <w:kern w:val="0"/>
                <w:sz w:val="24"/>
              </w:rPr>
            </w:pPr>
            <w:r>
              <w:rPr>
                <w:kern w:val="0"/>
                <w:sz w:val="24"/>
              </w:rPr>
              <w:t>　</w:t>
            </w: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14:paraId="75799753">
            <w:pPr>
              <w:widowControl/>
              <w:jc w:val="center"/>
              <w:rPr>
                <w:kern w:val="0"/>
                <w:sz w:val="24"/>
              </w:rPr>
            </w:pPr>
            <w:r>
              <w:rPr>
                <w:kern w:val="0"/>
                <w:sz w:val="24"/>
              </w:rPr>
              <w:t>性别</w:t>
            </w:r>
          </w:p>
        </w:tc>
        <w:tc>
          <w:tcPr>
            <w:tcW w:w="700" w:type="dxa"/>
            <w:tcBorders>
              <w:top w:val="single" w:color="000000" w:sz="4" w:space="0"/>
              <w:left w:val="nil"/>
              <w:bottom w:val="single" w:color="000000" w:sz="4" w:space="0"/>
              <w:right w:val="single" w:color="000000" w:sz="4" w:space="0"/>
            </w:tcBorders>
            <w:shd w:val="clear" w:color="auto" w:fill="FFFFFF"/>
            <w:noWrap w:val="0"/>
            <w:vAlign w:val="center"/>
          </w:tcPr>
          <w:p w14:paraId="6C9748B8">
            <w:pPr>
              <w:widowControl/>
              <w:jc w:val="center"/>
              <w:rPr>
                <w:kern w:val="0"/>
                <w:sz w:val="24"/>
              </w:rPr>
            </w:pPr>
            <w:r>
              <w:rPr>
                <w:kern w:val="0"/>
                <w:sz w:val="24"/>
              </w:rPr>
              <w:t>　</w:t>
            </w:r>
          </w:p>
        </w:tc>
        <w:tc>
          <w:tcPr>
            <w:tcW w:w="820" w:type="dxa"/>
            <w:tcBorders>
              <w:top w:val="single" w:color="000000" w:sz="4" w:space="0"/>
              <w:left w:val="nil"/>
              <w:bottom w:val="single" w:color="000000" w:sz="4" w:space="0"/>
              <w:right w:val="single" w:color="000000" w:sz="4" w:space="0"/>
            </w:tcBorders>
            <w:shd w:val="clear" w:color="auto" w:fill="FFFFFF"/>
            <w:noWrap w:val="0"/>
            <w:vAlign w:val="center"/>
          </w:tcPr>
          <w:p w14:paraId="2CB93989">
            <w:pPr>
              <w:widowControl/>
              <w:jc w:val="center"/>
              <w:rPr>
                <w:kern w:val="0"/>
                <w:sz w:val="24"/>
              </w:rPr>
            </w:pPr>
            <w:r>
              <w:rPr>
                <w:kern w:val="0"/>
                <w:sz w:val="24"/>
              </w:rPr>
              <w:t>年龄</w:t>
            </w:r>
          </w:p>
        </w:tc>
        <w:tc>
          <w:tcPr>
            <w:tcW w:w="980" w:type="dxa"/>
            <w:tcBorders>
              <w:top w:val="single" w:color="000000" w:sz="4" w:space="0"/>
              <w:left w:val="nil"/>
              <w:bottom w:val="single" w:color="000000" w:sz="4" w:space="0"/>
              <w:right w:val="single" w:color="000000" w:sz="4" w:space="0"/>
            </w:tcBorders>
            <w:shd w:val="clear" w:color="auto" w:fill="FFFFFF"/>
            <w:noWrap w:val="0"/>
            <w:vAlign w:val="center"/>
          </w:tcPr>
          <w:p w14:paraId="440D40AE">
            <w:pPr>
              <w:widowControl/>
              <w:jc w:val="center"/>
              <w:rPr>
                <w:kern w:val="0"/>
                <w:sz w:val="24"/>
              </w:rPr>
            </w:pPr>
            <w:r>
              <w:rPr>
                <w:kern w:val="0"/>
                <w:sz w:val="24"/>
              </w:rPr>
              <w:t>　</w:t>
            </w:r>
          </w:p>
        </w:tc>
        <w:tc>
          <w:tcPr>
            <w:tcW w:w="1080" w:type="dxa"/>
            <w:tcBorders>
              <w:top w:val="single" w:color="000000" w:sz="4" w:space="0"/>
              <w:left w:val="nil"/>
              <w:bottom w:val="single" w:color="000000" w:sz="4" w:space="0"/>
              <w:right w:val="single" w:color="000000" w:sz="4" w:space="0"/>
            </w:tcBorders>
            <w:shd w:val="clear" w:color="auto" w:fill="FFFFFF"/>
            <w:noWrap w:val="0"/>
            <w:vAlign w:val="center"/>
          </w:tcPr>
          <w:p w14:paraId="526CEDA7">
            <w:pPr>
              <w:widowControl/>
              <w:jc w:val="center"/>
              <w:rPr>
                <w:kern w:val="0"/>
                <w:sz w:val="24"/>
              </w:rPr>
            </w:pPr>
            <w:r>
              <w:rPr>
                <w:kern w:val="0"/>
                <w:sz w:val="24"/>
              </w:rPr>
              <w:t>专业</w:t>
            </w:r>
          </w:p>
        </w:tc>
        <w:tc>
          <w:tcPr>
            <w:tcW w:w="1500" w:type="dxa"/>
            <w:tcBorders>
              <w:top w:val="single" w:color="000000" w:sz="4" w:space="0"/>
              <w:left w:val="nil"/>
              <w:bottom w:val="single" w:color="000000" w:sz="4" w:space="0"/>
              <w:right w:val="single" w:color="000000" w:sz="4" w:space="0"/>
            </w:tcBorders>
            <w:shd w:val="clear" w:color="auto" w:fill="FFFFFF"/>
            <w:noWrap w:val="0"/>
            <w:vAlign w:val="center"/>
          </w:tcPr>
          <w:p w14:paraId="6097647B">
            <w:pPr>
              <w:widowControl/>
              <w:jc w:val="center"/>
              <w:rPr>
                <w:kern w:val="0"/>
                <w:sz w:val="24"/>
              </w:rPr>
            </w:pPr>
            <w:r>
              <w:rPr>
                <w:kern w:val="0"/>
                <w:sz w:val="24"/>
              </w:rPr>
              <w:t>　</w:t>
            </w:r>
          </w:p>
        </w:tc>
      </w:tr>
      <w:tr w14:paraId="671C17D4">
        <w:tblPrEx>
          <w:tblCellMar>
            <w:top w:w="0" w:type="dxa"/>
            <w:left w:w="108" w:type="dxa"/>
            <w:bottom w:w="0" w:type="dxa"/>
            <w:right w:w="108" w:type="dxa"/>
          </w:tblCellMar>
        </w:tblPrEx>
        <w:trPr>
          <w:trHeight w:val="540" w:hRule="atLeast"/>
        </w:trPr>
        <w:tc>
          <w:tcPr>
            <w:tcW w:w="1140" w:type="dxa"/>
            <w:tcBorders>
              <w:top w:val="nil"/>
              <w:left w:val="single" w:color="000000" w:sz="4" w:space="0"/>
              <w:bottom w:val="single" w:color="000000" w:sz="4" w:space="0"/>
              <w:right w:val="single" w:color="000000" w:sz="4" w:space="0"/>
            </w:tcBorders>
            <w:shd w:val="clear" w:color="auto" w:fill="FFFFFF"/>
            <w:noWrap w:val="0"/>
            <w:vAlign w:val="center"/>
          </w:tcPr>
          <w:p w14:paraId="5E3CF553">
            <w:pPr>
              <w:widowControl/>
              <w:jc w:val="center"/>
              <w:rPr>
                <w:kern w:val="0"/>
                <w:sz w:val="24"/>
              </w:rPr>
            </w:pPr>
            <w:r>
              <w:rPr>
                <w:kern w:val="0"/>
                <w:sz w:val="24"/>
              </w:rPr>
              <w:t>职称</w:t>
            </w:r>
          </w:p>
        </w:tc>
        <w:tc>
          <w:tcPr>
            <w:tcW w:w="1380" w:type="dxa"/>
            <w:tcBorders>
              <w:top w:val="single" w:color="000000" w:sz="4" w:space="0"/>
              <w:left w:val="nil"/>
              <w:bottom w:val="single" w:color="000000" w:sz="4" w:space="0"/>
              <w:right w:val="single" w:color="000000" w:sz="4" w:space="0"/>
            </w:tcBorders>
            <w:shd w:val="clear" w:color="auto" w:fill="FFFFFF"/>
            <w:noWrap w:val="0"/>
            <w:vAlign w:val="center"/>
          </w:tcPr>
          <w:p w14:paraId="2B6920E3">
            <w:pPr>
              <w:widowControl/>
              <w:jc w:val="center"/>
              <w:rPr>
                <w:kern w:val="0"/>
                <w:sz w:val="24"/>
              </w:rPr>
            </w:pPr>
            <w:r>
              <w:rPr>
                <w:kern w:val="0"/>
                <w:sz w:val="24"/>
              </w:rPr>
              <w:t>　</w:t>
            </w:r>
          </w:p>
        </w:tc>
        <w:tc>
          <w:tcPr>
            <w:tcW w:w="1620" w:type="dxa"/>
            <w:gridSpan w:val="2"/>
            <w:tcBorders>
              <w:top w:val="single" w:color="000000" w:sz="4" w:space="0"/>
              <w:left w:val="nil"/>
              <w:bottom w:val="single" w:color="000000" w:sz="4" w:space="0"/>
              <w:right w:val="single" w:color="000000" w:sz="4" w:space="0"/>
            </w:tcBorders>
            <w:shd w:val="clear" w:color="auto" w:fill="FFFFFF"/>
            <w:noWrap w:val="0"/>
            <w:vAlign w:val="center"/>
          </w:tcPr>
          <w:p w14:paraId="33F922DB">
            <w:pPr>
              <w:widowControl/>
              <w:jc w:val="center"/>
              <w:rPr>
                <w:kern w:val="0"/>
                <w:sz w:val="24"/>
              </w:rPr>
            </w:pPr>
            <w:r>
              <w:rPr>
                <w:kern w:val="0"/>
                <w:sz w:val="24"/>
              </w:rPr>
              <w:t>毕业院校</w:t>
            </w:r>
          </w:p>
        </w:tc>
        <w:tc>
          <w:tcPr>
            <w:tcW w:w="1800" w:type="dxa"/>
            <w:gridSpan w:val="2"/>
            <w:tcBorders>
              <w:top w:val="single" w:color="000000" w:sz="4" w:space="0"/>
              <w:left w:val="nil"/>
              <w:bottom w:val="single" w:color="000000" w:sz="4" w:space="0"/>
              <w:right w:val="single" w:color="000000" w:sz="4" w:space="0"/>
            </w:tcBorders>
            <w:shd w:val="clear" w:color="auto" w:fill="FFFFFF"/>
            <w:noWrap w:val="0"/>
            <w:vAlign w:val="center"/>
          </w:tcPr>
          <w:p w14:paraId="5F611CA6">
            <w:pPr>
              <w:widowControl/>
              <w:jc w:val="center"/>
              <w:rPr>
                <w:kern w:val="0"/>
                <w:sz w:val="24"/>
              </w:rPr>
            </w:pPr>
            <w:r>
              <w:rPr>
                <w:kern w:val="0"/>
                <w:sz w:val="24"/>
              </w:rPr>
              <w:t>　</w:t>
            </w:r>
          </w:p>
        </w:tc>
        <w:tc>
          <w:tcPr>
            <w:tcW w:w="1080" w:type="dxa"/>
            <w:tcBorders>
              <w:top w:val="nil"/>
              <w:left w:val="nil"/>
              <w:bottom w:val="single" w:color="000000" w:sz="4" w:space="0"/>
              <w:right w:val="single" w:color="000000" w:sz="4" w:space="0"/>
            </w:tcBorders>
            <w:shd w:val="clear" w:color="auto" w:fill="FFFFFF"/>
            <w:noWrap w:val="0"/>
            <w:vAlign w:val="center"/>
          </w:tcPr>
          <w:p w14:paraId="48DDDD48">
            <w:pPr>
              <w:widowControl/>
              <w:jc w:val="center"/>
              <w:rPr>
                <w:kern w:val="0"/>
                <w:sz w:val="24"/>
              </w:rPr>
            </w:pPr>
            <w:r>
              <w:rPr>
                <w:kern w:val="0"/>
                <w:sz w:val="24"/>
              </w:rPr>
              <w:t>学历</w:t>
            </w:r>
          </w:p>
        </w:tc>
        <w:tc>
          <w:tcPr>
            <w:tcW w:w="1500" w:type="dxa"/>
            <w:tcBorders>
              <w:top w:val="nil"/>
              <w:left w:val="nil"/>
              <w:bottom w:val="single" w:color="000000" w:sz="4" w:space="0"/>
              <w:right w:val="single" w:color="000000" w:sz="4" w:space="0"/>
            </w:tcBorders>
            <w:shd w:val="clear" w:color="auto" w:fill="FFFFFF"/>
            <w:noWrap w:val="0"/>
            <w:vAlign w:val="center"/>
          </w:tcPr>
          <w:p w14:paraId="2D6042DD">
            <w:pPr>
              <w:widowControl/>
              <w:jc w:val="center"/>
              <w:rPr>
                <w:kern w:val="0"/>
                <w:sz w:val="24"/>
              </w:rPr>
            </w:pPr>
            <w:r>
              <w:rPr>
                <w:kern w:val="0"/>
                <w:sz w:val="24"/>
              </w:rPr>
              <w:t>　</w:t>
            </w:r>
          </w:p>
        </w:tc>
      </w:tr>
      <w:tr w14:paraId="321ED66F">
        <w:tblPrEx>
          <w:tblCellMar>
            <w:top w:w="0" w:type="dxa"/>
            <w:left w:w="108" w:type="dxa"/>
            <w:bottom w:w="0" w:type="dxa"/>
            <w:right w:w="108" w:type="dxa"/>
          </w:tblCellMar>
        </w:tblPrEx>
        <w:trPr>
          <w:trHeight w:val="567" w:hRule="atLeast"/>
        </w:trPr>
        <w:tc>
          <w:tcPr>
            <w:tcW w:w="252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24DFDFE">
            <w:pPr>
              <w:widowControl/>
              <w:jc w:val="center"/>
              <w:rPr>
                <w:kern w:val="0"/>
                <w:sz w:val="24"/>
              </w:rPr>
            </w:pPr>
            <w:r>
              <w:rPr>
                <w:kern w:val="0"/>
                <w:sz w:val="24"/>
              </w:rPr>
              <w:t>参加工作时间</w:t>
            </w:r>
          </w:p>
        </w:tc>
        <w:tc>
          <w:tcPr>
            <w:tcW w:w="1620" w:type="dxa"/>
            <w:gridSpan w:val="2"/>
            <w:tcBorders>
              <w:top w:val="single" w:color="000000" w:sz="4" w:space="0"/>
              <w:left w:val="nil"/>
              <w:bottom w:val="single" w:color="000000" w:sz="4" w:space="0"/>
              <w:right w:val="single" w:color="000000" w:sz="4" w:space="0"/>
            </w:tcBorders>
            <w:shd w:val="clear" w:color="auto" w:fill="FFFFFF"/>
            <w:noWrap w:val="0"/>
            <w:vAlign w:val="center"/>
          </w:tcPr>
          <w:p w14:paraId="67DEC22A">
            <w:pPr>
              <w:widowControl/>
              <w:jc w:val="center"/>
              <w:rPr>
                <w:kern w:val="0"/>
                <w:sz w:val="24"/>
              </w:rPr>
            </w:pPr>
            <w:r>
              <w:rPr>
                <w:kern w:val="0"/>
                <w:sz w:val="24"/>
              </w:rPr>
              <w:t>　</w:t>
            </w:r>
          </w:p>
        </w:tc>
        <w:tc>
          <w:tcPr>
            <w:tcW w:w="2880" w:type="dxa"/>
            <w:gridSpan w:val="3"/>
            <w:tcBorders>
              <w:top w:val="single" w:color="000000" w:sz="4" w:space="0"/>
              <w:left w:val="nil"/>
              <w:bottom w:val="single" w:color="000000" w:sz="4" w:space="0"/>
              <w:right w:val="single" w:color="000000" w:sz="4" w:space="0"/>
            </w:tcBorders>
            <w:shd w:val="clear" w:color="auto" w:fill="FFFFFF"/>
            <w:noWrap w:val="0"/>
            <w:vAlign w:val="center"/>
          </w:tcPr>
          <w:p w14:paraId="7952DEAD">
            <w:pPr>
              <w:widowControl/>
              <w:jc w:val="center"/>
              <w:rPr>
                <w:kern w:val="0"/>
                <w:sz w:val="24"/>
              </w:rPr>
            </w:pPr>
            <w:r>
              <w:rPr>
                <w:kern w:val="0"/>
                <w:sz w:val="24"/>
              </w:rPr>
              <w:t>从事技术负责人年限</w:t>
            </w:r>
          </w:p>
        </w:tc>
        <w:tc>
          <w:tcPr>
            <w:tcW w:w="1500" w:type="dxa"/>
            <w:tcBorders>
              <w:top w:val="nil"/>
              <w:left w:val="nil"/>
              <w:bottom w:val="single" w:color="000000" w:sz="4" w:space="0"/>
              <w:right w:val="single" w:color="000000" w:sz="4" w:space="0"/>
            </w:tcBorders>
            <w:shd w:val="clear" w:color="auto" w:fill="FFFFFF"/>
            <w:noWrap w:val="0"/>
            <w:vAlign w:val="center"/>
          </w:tcPr>
          <w:p w14:paraId="25D2A221">
            <w:pPr>
              <w:widowControl/>
              <w:jc w:val="center"/>
              <w:rPr>
                <w:kern w:val="0"/>
                <w:sz w:val="24"/>
              </w:rPr>
            </w:pPr>
            <w:r>
              <w:rPr>
                <w:kern w:val="0"/>
                <w:sz w:val="24"/>
              </w:rPr>
              <w:t>　</w:t>
            </w:r>
          </w:p>
        </w:tc>
      </w:tr>
      <w:tr w14:paraId="0DF64A5A">
        <w:tblPrEx>
          <w:tblCellMar>
            <w:top w:w="0" w:type="dxa"/>
            <w:left w:w="108" w:type="dxa"/>
            <w:bottom w:w="0" w:type="dxa"/>
            <w:right w:w="108" w:type="dxa"/>
          </w:tblCellMar>
        </w:tblPrEx>
        <w:trPr>
          <w:trHeight w:val="7387" w:hRule="atLeast"/>
        </w:trPr>
        <w:tc>
          <w:tcPr>
            <w:tcW w:w="1140" w:type="dxa"/>
            <w:tcBorders>
              <w:top w:val="nil"/>
              <w:left w:val="single" w:color="000000" w:sz="4" w:space="0"/>
              <w:bottom w:val="single" w:color="auto" w:sz="4" w:space="0"/>
              <w:right w:val="single" w:color="000000" w:sz="4" w:space="0"/>
            </w:tcBorders>
            <w:shd w:val="clear" w:color="auto" w:fill="FFFFFF"/>
            <w:noWrap w:val="0"/>
            <w:vAlign w:val="center"/>
          </w:tcPr>
          <w:p w14:paraId="35E7601A">
            <w:pPr>
              <w:widowControl/>
              <w:jc w:val="center"/>
              <w:rPr>
                <w:kern w:val="0"/>
                <w:sz w:val="24"/>
              </w:rPr>
            </w:pPr>
            <w:r>
              <w:rPr>
                <w:kern w:val="0"/>
                <w:sz w:val="24"/>
              </w:rPr>
              <w:t>简</w:t>
            </w:r>
          </w:p>
          <w:p w14:paraId="16851D15">
            <w:pPr>
              <w:widowControl/>
              <w:jc w:val="center"/>
              <w:rPr>
                <w:kern w:val="0"/>
                <w:sz w:val="24"/>
              </w:rPr>
            </w:pPr>
          </w:p>
          <w:p w14:paraId="08598E76">
            <w:pPr>
              <w:widowControl/>
              <w:jc w:val="center"/>
              <w:rPr>
                <w:kern w:val="0"/>
                <w:sz w:val="24"/>
              </w:rPr>
            </w:pPr>
          </w:p>
          <w:p w14:paraId="58466ACF">
            <w:pPr>
              <w:widowControl/>
              <w:jc w:val="center"/>
              <w:rPr>
                <w:kern w:val="0"/>
                <w:sz w:val="24"/>
              </w:rPr>
            </w:pPr>
          </w:p>
          <w:p w14:paraId="67CEC751">
            <w:pPr>
              <w:widowControl/>
              <w:jc w:val="center"/>
              <w:rPr>
                <w:kern w:val="0"/>
                <w:sz w:val="24"/>
              </w:rPr>
            </w:pPr>
          </w:p>
          <w:p w14:paraId="3C8D6735">
            <w:pPr>
              <w:widowControl/>
              <w:jc w:val="center"/>
              <w:rPr>
                <w:kern w:val="0"/>
                <w:sz w:val="24"/>
              </w:rPr>
            </w:pPr>
          </w:p>
          <w:p w14:paraId="011F2CD2">
            <w:pPr>
              <w:widowControl/>
              <w:jc w:val="center"/>
              <w:rPr>
                <w:kern w:val="0"/>
                <w:sz w:val="24"/>
              </w:rPr>
            </w:pPr>
            <w:r>
              <w:rPr>
                <w:kern w:val="0"/>
                <w:sz w:val="24"/>
              </w:rPr>
              <w:t>历</w:t>
            </w:r>
          </w:p>
        </w:tc>
        <w:tc>
          <w:tcPr>
            <w:tcW w:w="7380" w:type="dxa"/>
            <w:gridSpan w:val="7"/>
            <w:tcBorders>
              <w:top w:val="single" w:color="000000" w:sz="4" w:space="0"/>
              <w:left w:val="nil"/>
              <w:bottom w:val="single" w:color="auto" w:sz="4" w:space="0"/>
              <w:right w:val="single" w:color="000000" w:sz="4" w:space="0"/>
            </w:tcBorders>
            <w:shd w:val="clear" w:color="auto" w:fill="FFFFFF"/>
            <w:noWrap w:val="0"/>
            <w:vAlign w:val="top"/>
          </w:tcPr>
          <w:p w14:paraId="2E3A2AF6">
            <w:pPr>
              <w:widowControl/>
              <w:jc w:val="left"/>
              <w:rPr>
                <w:kern w:val="0"/>
                <w:sz w:val="24"/>
              </w:rPr>
            </w:pPr>
            <w:r>
              <w:rPr>
                <w:kern w:val="0"/>
                <w:sz w:val="24"/>
              </w:rPr>
              <w:t>　</w:t>
            </w:r>
          </w:p>
        </w:tc>
      </w:tr>
    </w:tbl>
    <w:p w14:paraId="2A7BA8A1">
      <w:pPr>
        <w:spacing w:line="440" w:lineRule="exact"/>
        <w:ind w:right="480" w:firstLine="4800" w:firstLineChars="2000"/>
        <w:rPr>
          <w:rFonts w:hint="eastAsia"/>
          <w:sz w:val="24"/>
        </w:rPr>
      </w:pPr>
    </w:p>
    <w:p w14:paraId="6A03E685">
      <w:pPr>
        <w:spacing w:line="440" w:lineRule="exact"/>
        <w:ind w:right="480" w:firstLine="4800" w:firstLineChars="2000"/>
        <w:rPr>
          <w:sz w:val="24"/>
        </w:rPr>
      </w:pPr>
      <w:r>
        <w:rPr>
          <w:sz w:val="24"/>
        </w:rPr>
        <w:t xml:space="preserve">法定代表人（签字或盖章）： </w:t>
      </w:r>
    </w:p>
    <w:p w14:paraId="30ED996F">
      <w:pPr>
        <w:spacing w:line="440" w:lineRule="exact"/>
        <w:ind w:right="480"/>
        <w:jc w:val="center"/>
        <w:rPr>
          <w:sz w:val="24"/>
        </w:rPr>
      </w:pPr>
      <w:r>
        <w:rPr>
          <w:sz w:val="24"/>
        </w:rPr>
        <w:t xml:space="preserve">                                投 标 人（盖章）：  </w:t>
      </w:r>
    </w:p>
    <w:p w14:paraId="0DA7F5EE">
      <w:pPr>
        <w:spacing w:line="440" w:lineRule="exact"/>
        <w:ind w:right="480" w:firstLine="4800" w:firstLineChars="2000"/>
        <w:rPr>
          <w:rFonts w:hint="eastAsia"/>
          <w:sz w:val="24"/>
        </w:rPr>
      </w:pPr>
      <w:r>
        <w:rPr>
          <w:sz w:val="24"/>
        </w:rPr>
        <w:t>日期：    年   月   日</w:t>
      </w:r>
    </w:p>
    <w:p w14:paraId="5B681220">
      <w:pPr>
        <w:pStyle w:val="29"/>
        <w:rPr>
          <w:rFonts w:cs="Times New Roman"/>
          <w:szCs w:val="28"/>
        </w:rPr>
      </w:pPr>
      <w:bookmarkStart w:id="206" w:name="_Toc148964082"/>
      <w:r>
        <w:rPr>
          <w:rFonts w:cs="Times New Roman"/>
          <w:szCs w:val="28"/>
        </w:rPr>
        <w:t>三、主要施工机械设备表</w:t>
      </w:r>
      <w:bookmarkEnd w:id="206"/>
    </w:p>
    <w:p w14:paraId="7C821CB5">
      <w:pPr>
        <w:spacing w:line="440" w:lineRule="exact"/>
        <w:jc w:val="center"/>
        <w:rPr>
          <w:rFonts w:eastAsia="黑体"/>
          <w:sz w:val="20"/>
          <w:szCs w:val="20"/>
        </w:rPr>
      </w:pPr>
    </w:p>
    <w:p w14:paraId="7DB6E577">
      <w:pPr>
        <w:spacing w:line="360" w:lineRule="auto"/>
        <w:jc w:val="center"/>
        <w:rPr>
          <w:sz w:val="24"/>
        </w:rPr>
      </w:pPr>
      <w:r>
        <w:rPr>
          <w:sz w:val="24"/>
          <w:u w:val="single"/>
        </w:rPr>
        <w:t xml:space="preserve">                              </w:t>
      </w:r>
      <w:r>
        <w:rPr>
          <w:sz w:val="24"/>
        </w:rPr>
        <w:t>工程</w:t>
      </w:r>
    </w:p>
    <w:p w14:paraId="14A5D673">
      <w:pPr>
        <w:spacing w:line="360" w:lineRule="auto"/>
        <w:jc w:val="center"/>
        <w:rPr>
          <w:rFonts w:eastAsia="黑体"/>
          <w:sz w:val="44"/>
        </w:rPr>
      </w:pPr>
      <w:r>
        <w:rPr>
          <w:rFonts w:eastAsia="黑体"/>
          <w:sz w:val="44"/>
        </w:rPr>
        <w:t>主要施工机械设备表</w:t>
      </w:r>
    </w:p>
    <w:tbl>
      <w:tblPr>
        <w:tblStyle w:val="17"/>
        <w:tblW w:w="0" w:type="auto"/>
        <w:tblInd w:w="0" w:type="dxa"/>
        <w:tblLayout w:type="fixed"/>
        <w:tblCellMar>
          <w:top w:w="0" w:type="dxa"/>
          <w:left w:w="108" w:type="dxa"/>
          <w:bottom w:w="0" w:type="dxa"/>
          <w:right w:w="108" w:type="dxa"/>
        </w:tblCellMar>
      </w:tblPr>
      <w:tblGrid>
        <w:gridCol w:w="828"/>
        <w:gridCol w:w="1440"/>
        <w:gridCol w:w="1440"/>
        <w:gridCol w:w="1060"/>
        <w:gridCol w:w="1420"/>
        <w:gridCol w:w="1340"/>
        <w:gridCol w:w="920"/>
      </w:tblGrid>
      <w:tr w14:paraId="12C21849">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2E2CC4">
            <w:pPr>
              <w:widowControl/>
              <w:jc w:val="center"/>
              <w:rPr>
                <w:kern w:val="0"/>
                <w:sz w:val="22"/>
                <w:szCs w:val="22"/>
              </w:rPr>
            </w:pPr>
            <w:r>
              <w:rPr>
                <w:kern w:val="0"/>
                <w:sz w:val="22"/>
                <w:szCs w:val="22"/>
              </w:rPr>
              <w:t>序号</w:t>
            </w: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4572FBB3">
            <w:pPr>
              <w:widowControl/>
              <w:jc w:val="center"/>
              <w:rPr>
                <w:kern w:val="0"/>
                <w:sz w:val="22"/>
                <w:szCs w:val="22"/>
              </w:rPr>
            </w:pPr>
            <w:r>
              <w:rPr>
                <w:kern w:val="0"/>
                <w:sz w:val="22"/>
                <w:szCs w:val="22"/>
              </w:rPr>
              <w:t>设备名称</w:t>
            </w: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4627F9AC">
            <w:pPr>
              <w:widowControl/>
              <w:jc w:val="center"/>
              <w:rPr>
                <w:kern w:val="0"/>
                <w:sz w:val="22"/>
                <w:szCs w:val="22"/>
              </w:rPr>
            </w:pPr>
            <w:r>
              <w:rPr>
                <w:kern w:val="0"/>
                <w:sz w:val="22"/>
                <w:szCs w:val="22"/>
              </w:rPr>
              <w:t>规格型号</w:t>
            </w: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14:paraId="0A6C2B63">
            <w:pPr>
              <w:widowControl/>
              <w:jc w:val="center"/>
              <w:rPr>
                <w:kern w:val="0"/>
                <w:sz w:val="22"/>
                <w:szCs w:val="22"/>
              </w:rPr>
            </w:pPr>
            <w:r>
              <w:rPr>
                <w:kern w:val="0"/>
                <w:sz w:val="22"/>
                <w:szCs w:val="22"/>
              </w:rPr>
              <w:t>数量</w:t>
            </w: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14:paraId="349BB347">
            <w:pPr>
              <w:widowControl/>
              <w:jc w:val="center"/>
              <w:rPr>
                <w:kern w:val="0"/>
                <w:sz w:val="22"/>
                <w:szCs w:val="22"/>
              </w:rPr>
            </w:pPr>
            <w:r>
              <w:rPr>
                <w:kern w:val="0"/>
                <w:sz w:val="22"/>
                <w:szCs w:val="22"/>
              </w:rPr>
              <w:t>设备能力</w:t>
            </w: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14:paraId="0EC9B80C">
            <w:pPr>
              <w:widowControl/>
              <w:jc w:val="center"/>
              <w:rPr>
                <w:kern w:val="0"/>
                <w:sz w:val="22"/>
                <w:szCs w:val="22"/>
              </w:rPr>
            </w:pPr>
            <w:r>
              <w:rPr>
                <w:kern w:val="0"/>
                <w:sz w:val="22"/>
                <w:szCs w:val="22"/>
              </w:rPr>
              <w:t>进场时间</w:t>
            </w: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14:paraId="2EE90B49">
            <w:pPr>
              <w:widowControl/>
              <w:jc w:val="center"/>
              <w:rPr>
                <w:kern w:val="0"/>
                <w:sz w:val="22"/>
                <w:szCs w:val="22"/>
              </w:rPr>
            </w:pPr>
            <w:r>
              <w:rPr>
                <w:kern w:val="0"/>
                <w:sz w:val="22"/>
                <w:szCs w:val="22"/>
              </w:rPr>
              <w:t>备注</w:t>
            </w:r>
          </w:p>
        </w:tc>
      </w:tr>
      <w:tr w14:paraId="725C548A">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A71AF90">
            <w:pPr>
              <w:widowControl/>
              <w:jc w:val="center"/>
              <w:rPr>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4270BFAA">
            <w:pPr>
              <w:widowControl/>
              <w:jc w:val="center"/>
              <w:rPr>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293FD9AE">
            <w:pPr>
              <w:widowControl/>
              <w:jc w:val="center"/>
              <w:rPr>
                <w:kern w:val="0"/>
                <w:sz w:val="22"/>
                <w:szCs w:val="22"/>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14:paraId="6EA9FB7F">
            <w:pPr>
              <w:widowControl/>
              <w:jc w:val="center"/>
              <w:rPr>
                <w:kern w:val="0"/>
                <w:sz w:val="22"/>
                <w:szCs w:val="22"/>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14:paraId="6B51EC17">
            <w:pPr>
              <w:widowControl/>
              <w:jc w:val="center"/>
              <w:rPr>
                <w:kern w:val="0"/>
                <w:sz w:val="22"/>
                <w:szCs w:val="22"/>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14:paraId="79071529">
            <w:pPr>
              <w:widowControl/>
              <w:jc w:val="center"/>
              <w:rPr>
                <w:kern w:val="0"/>
                <w:sz w:val="22"/>
                <w:szCs w:val="22"/>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14:paraId="0E75A8AD">
            <w:pPr>
              <w:widowControl/>
              <w:jc w:val="center"/>
              <w:rPr>
                <w:kern w:val="0"/>
                <w:sz w:val="22"/>
                <w:szCs w:val="22"/>
              </w:rPr>
            </w:pPr>
          </w:p>
        </w:tc>
      </w:tr>
      <w:tr w14:paraId="4E561D5C">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B53E77">
            <w:pPr>
              <w:widowControl/>
              <w:jc w:val="center"/>
              <w:rPr>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6C95A35E">
            <w:pPr>
              <w:widowControl/>
              <w:jc w:val="center"/>
              <w:rPr>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68A5BBC0">
            <w:pPr>
              <w:widowControl/>
              <w:jc w:val="center"/>
              <w:rPr>
                <w:kern w:val="0"/>
                <w:sz w:val="22"/>
                <w:szCs w:val="22"/>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14:paraId="5E9DE71D">
            <w:pPr>
              <w:widowControl/>
              <w:jc w:val="center"/>
              <w:rPr>
                <w:kern w:val="0"/>
                <w:sz w:val="22"/>
                <w:szCs w:val="22"/>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14:paraId="5AAC7147">
            <w:pPr>
              <w:widowControl/>
              <w:jc w:val="center"/>
              <w:rPr>
                <w:kern w:val="0"/>
                <w:sz w:val="22"/>
                <w:szCs w:val="22"/>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14:paraId="79821423">
            <w:pPr>
              <w:widowControl/>
              <w:jc w:val="center"/>
              <w:rPr>
                <w:kern w:val="0"/>
                <w:sz w:val="22"/>
                <w:szCs w:val="22"/>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14:paraId="770A35EB">
            <w:pPr>
              <w:widowControl/>
              <w:jc w:val="center"/>
              <w:rPr>
                <w:kern w:val="0"/>
                <w:sz w:val="22"/>
                <w:szCs w:val="22"/>
              </w:rPr>
            </w:pPr>
          </w:p>
        </w:tc>
      </w:tr>
      <w:tr w14:paraId="6FBB03B7">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5D5412A">
            <w:pPr>
              <w:widowControl/>
              <w:jc w:val="center"/>
              <w:rPr>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600A889A">
            <w:pPr>
              <w:widowControl/>
              <w:jc w:val="center"/>
              <w:rPr>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4FEE7DAD">
            <w:pPr>
              <w:widowControl/>
              <w:jc w:val="center"/>
              <w:rPr>
                <w:kern w:val="0"/>
                <w:sz w:val="22"/>
                <w:szCs w:val="22"/>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14:paraId="278ABB58">
            <w:pPr>
              <w:widowControl/>
              <w:jc w:val="center"/>
              <w:rPr>
                <w:kern w:val="0"/>
                <w:sz w:val="22"/>
                <w:szCs w:val="22"/>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14:paraId="75E9C827">
            <w:pPr>
              <w:widowControl/>
              <w:jc w:val="center"/>
              <w:rPr>
                <w:kern w:val="0"/>
                <w:sz w:val="22"/>
                <w:szCs w:val="22"/>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14:paraId="7A238712">
            <w:pPr>
              <w:widowControl/>
              <w:jc w:val="center"/>
              <w:rPr>
                <w:kern w:val="0"/>
                <w:sz w:val="22"/>
                <w:szCs w:val="22"/>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14:paraId="16CD8C7D">
            <w:pPr>
              <w:widowControl/>
              <w:jc w:val="center"/>
              <w:rPr>
                <w:kern w:val="0"/>
                <w:sz w:val="22"/>
                <w:szCs w:val="22"/>
              </w:rPr>
            </w:pPr>
          </w:p>
        </w:tc>
      </w:tr>
      <w:tr w14:paraId="7BD10503">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88E3E42">
            <w:pPr>
              <w:widowControl/>
              <w:jc w:val="center"/>
              <w:rPr>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1DCAAFDA">
            <w:pPr>
              <w:widowControl/>
              <w:jc w:val="center"/>
              <w:rPr>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4C68FF0C">
            <w:pPr>
              <w:widowControl/>
              <w:jc w:val="center"/>
              <w:rPr>
                <w:kern w:val="0"/>
                <w:sz w:val="22"/>
                <w:szCs w:val="22"/>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14:paraId="2109CE4B">
            <w:pPr>
              <w:widowControl/>
              <w:jc w:val="center"/>
              <w:rPr>
                <w:kern w:val="0"/>
                <w:sz w:val="22"/>
                <w:szCs w:val="22"/>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14:paraId="55A75A17">
            <w:pPr>
              <w:widowControl/>
              <w:jc w:val="center"/>
              <w:rPr>
                <w:kern w:val="0"/>
                <w:sz w:val="22"/>
                <w:szCs w:val="22"/>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14:paraId="4EF73E97">
            <w:pPr>
              <w:widowControl/>
              <w:jc w:val="center"/>
              <w:rPr>
                <w:kern w:val="0"/>
                <w:sz w:val="22"/>
                <w:szCs w:val="22"/>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14:paraId="5032F8EE">
            <w:pPr>
              <w:widowControl/>
              <w:jc w:val="center"/>
              <w:rPr>
                <w:kern w:val="0"/>
                <w:sz w:val="22"/>
                <w:szCs w:val="22"/>
              </w:rPr>
            </w:pPr>
          </w:p>
        </w:tc>
      </w:tr>
      <w:tr w14:paraId="2A01EAC4">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F6D6C6C">
            <w:pPr>
              <w:widowControl/>
              <w:jc w:val="center"/>
              <w:rPr>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35A6595A">
            <w:pPr>
              <w:widowControl/>
              <w:jc w:val="center"/>
              <w:rPr>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413E5548">
            <w:pPr>
              <w:widowControl/>
              <w:jc w:val="center"/>
              <w:rPr>
                <w:kern w:val="0"/>
                <w:sz w:val="22"/>
                <w:szCs w:val="22"/>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14:paraId="37E5D90A">
            <w:pPr>
              <w:widowControl/>
              <w:jc w:val="center"/>
              <w:rPr>
                <w:kern w:val="0"/>
                <w:sz w:val="22"/>
                <w:szCs w:val="22"/>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14:paraId="3B225CC5">
            <w:pPr>
              <w:widowControl/>
              <w:jc w:val="center"/>
              <w:rPr>
                <w:kern w:val="0"/>
                <w:sz w:val="22"/>
                <w:szCs w:val="22"/>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14:paraId="5F3D3E16">
            <w:pPr>
              <w:widowControl/>
              <w:jc w:val="center"/>
              <w:rPr>
                <w:kern w:val="0"/>
                <w:sz w:val="22"/>
                <w:szCs w:val="22"/>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14:paraId="45C4499A">
            <w:pPr>
              <w:widowControl/>
              <w:jc w:val="center"/>
              <w:rPr>
                <w:kern w:val="0"/>
                <w:sz w:val="22"/>
                <w:szCs w:val="22"/>
              </w:rPr>
            </w:pPr>
          </w:p>
        </w:tc>
      </w:tr>
      <w:tr w14:paraId="1B702A82">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0C93FD">
            <w:pPr>
              <w:widowControl/>
              <w:jc w:val="center"/>
              <w:rPr>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780802E2">
            <w:pPr>
              <w:widowControl/>
              <w:jc w:val="center"/>
              <w:rPr>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7A93B06E">
            <w:pPr>
              <w:widowControl/>
              <w:jc w:val="center"/>
              <w:rPr>
                <w:kern w:val="0"/>
                <w:sz w:val="22"/>
                <w:szCs w:val="22"/>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14:paraId="4B8AD34B">
            <w:pPr>
              <w:widowControl/>
              <w:jc w:val="center"/>
              <w:rPr>
                <w:kern w:val="0"/>
                <w:sz w:val="22"/>
                <w:szCs w:val="22"/>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14:paraId="62D48585">
            <w:pPr>
              <w:widowControl/>
              <w:jc w:val="center"/>
              <w:rPr>
                <w:kern w:val="0"/>
                <w:sz w:val="22"/>
                <w:szCs w:val="22"/>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14:paraId="0ED7F1C8">
            <w:pPr>
              <w:widowControl/>
              <w:jc w:val="center"/>
              <w:rPr>
                <w:kern w:val="0"/>
                <w:sz w:val="22"/>
                <w:szCs w:val="22"/>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14:paraId="26DF108F">
            <w:pPr>
              <w:widowControl/>
              <w:jc w:val="center"/>
              <w:rPr>
                <w:kern w:val="0"/>
                <w:sz w:val="22"/>
                <w:szCs w:val="22"/>
              </w:rPr>
            </w:pPr>
          </w:p>
        </w:tc>
      </w:tr>
      <w:tr w14:paraId="458B5BAF">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49F0945">
            <w:pPr>
              <w:widowControl/>
              <w:jc w:val="center"/>
              <w:rPr>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2D7FE95D">
            <w:pPr>
              <w:widowControl/>
              <w:jc w:val="center"/>
              <w:rPr>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592A1DA4">
            <w:pPr>
              <w:widowControl/>
              <w:jc w:val="center"/>
              <w:rPr>
                <w:kern w:val="0"/>
                <w:sz w:val="22"/>
                <w:szCs w:val="22"/>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14:paraId="78E6DFF2">
            <w:pPr>
              <w:widowControl/>
              <w:jc w:val="center"/>
              <w:rPr>
                <w:kern w:val="0"/>
                <w:sz w:val="22"/>
                <w:szCs w:val="22"/>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14:paraId="74BC87CE">
            <w:pPr>
              <w:widowControl/>
              <w:jc w:val="center"/>
              <w:rPr>
                <w:kern w:val="0"/>
                <w:sz w:val="22"/>
                <w:szCs w:val="22"/>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14:paraId="4E1499F5">
            <w:pPr>
              <w:widowControl/>
              <w:jc w:val="center"/>
              <w:rPr>
                <w:kern w:val="0"/>
                <w:sz w:val="22"/>
                <w:szCs w:val="22"/>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14:paraId="60A8468A">
            <w:pPr>
              <w:widowControl/>
              <w:jc w:val="center"/>
              <w:rPr>
                <w:kern w:val="0"/>
                <w:sz w:val="22"/>
                <w:szCs w:val="22"/>
              </w:rPr>
            </w:pPr>
          </w:p>
        </w:tc>
      </w:tr>
      <w:tr w14:paraId="1D7E9C55">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C2B4C8">
            <w:pPr>
              <w:widowControl/>
              <w:jc w:val="center"/>
              <w:rPr>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4C8C4D96">
            <w:pPr>
              <w:widowControl/>
              <w:jc w:val="center"/>
              <w:rPr>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5CDE26EA">
            <w:pPr>
              <w:widowControl/>
              <w:jc w:val="center"/>
              <w:rPr>
                <w:kern w:val="0"/>
                <w:sz w:val="22"/>
                <w:szCs w:val="22"/>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14:paraId="2E159212">
            <w:pPr>
              <w:widowControl/>
              <w:jc w:val="center"/>
              <w:rPr>
                <w:kern w:val="0"/>
                <w:sz w:val="22"/>
                <w:szCs w:val="22"/>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14:paraId="3C983B26">
            <w:pPr>
              <w:widowControl/>
              <w:jc w:val="center"/>
              <w:rPr>
                <w:kern w:val="0"/>
                <w:sz w:val="22"/>
                <w:szCs w:val="22"/>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14:paraId="2B99EE77">
            <w:pPr>
              <w:widowControl/>
              <w:jc w:val="center"/>
              <w:rPr>
                <w:kern w:val="0"/>
                <w:sz w:val="22"/>
                <w:szCs w:val="22"/>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14:paraId="5EAC738A">
            <w:pPr>
              <w:widowControl/>
              <w:jc w:val="center"/>
              <w:rPr>
                <w:kern w:val="0"/>
                <w:sz w:val="22"/>
                <w:szCs w:val="22"/>
              </w:rPr>
            </w:pPr>
          </w:p>
        </w:tc>
      </w:tr>
      <w:tr w14:paraId="28F4FEF3">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4E5E347">
            <w:pPr>
              <w:widowControl/>
              <w:jc w:val="center"/>
              <w:rPr>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0CC4E6DB">
            <w:pPr>
              <w:widowControl/>
              <w:jc w:val="center"/>
              <w:rPr>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03D24967">
            <w:pPr>
              <w:widowControl/>
              <w:jc w:val="center"/>
              <w:rPr>
                <w:kern w:val="0"/>
                <w:sz w:val="22"/>
                <w:szCs w:val="22"/>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14:paraId="3FFBDADB">
            <w:pPr>
              <w:widowControl/>
              <w:jc w:val="center"/>
              <w:rPr>
                <w:kern w:val="0"/>
                <w:sz w:val="22"/>
                <w:szCs w:val="22"/>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14:paraId="03D497FD">
            <w:pPr>
              <w:widowControl/>
              <w:jc w:val="center"/>
              <w:rPr>
                <w:kern w:val="0"/>
                <w:sz w:val="22"/>
                <w:szCs w:val="22"/>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14:paraId="2C8B86CA">
            <w:pPr>
              <w:widowControl/>
              <w:jc w:val="center"/>
              <w:rPr>
                <w:kern w:val="0"/>
                <w:sz w:val="22"/>
                <w:szCs w:val="22"/>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14:paraId="74C3EF39">
            <w:pPr>
              <w:widowControl/>
              <w:jc w:val="center"/>
              <w:rPr>
                <w:kern w:val="0"/>
                <w:sz w:val="22"/>
                <w:szCs w:val="22"/>
              </w:rPr>
            </w:pPr>
          </w:p>
        </w:tc>
      </w:tr>
      <w:tr w14:paraId="489FF456">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7648D89">
            <w:pPr>
              <w:widowControl/>
              <w:jc w:val="center"/>
              <w:rPr>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0483F162">
            <w:pPr>
              <w:widowControl/>
              <w:jc w:val="center"/>
              <w:rPr>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111D220C">
            <w:pPr>
              <w:widowControl/>
              <w:jc w:val="center"/>
              <w:rPr>
                <w:kern w:val="0"/>
                <w:sz w:val="22"/>
                <w:szCs w:val="22"/>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14:paraId="2F27D076">
            <w:pPr>
              <w:widowControl/>
              <w:jc w:val="center"/>
              <w:rPr>
                <w:kern w:val="0"/>
                <w:sz w:val="22"/>
                <w:szCs w:val="22"/>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14:paraId="4406660F">
            <w:pPr>
              <w:widowControl/>
              <w:jc w:val="center"/>
              <w:rPr>
                <w:kern w:val="0"/>
                <w:sz w:val="22"/>
                <w:szCs w:val="22"/>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14:paraId="6B46482E">
            <w:pPr>
              <w:widowControl/>
              <w:jc w:val="center"/>
              <w:rPr>
                <w:kern w:val="0"/>
                <w:sz w:val="22"/>
                <w:szCs w:val="22"/>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14:paraId="00034EAF">
            <w:pPr>
              <w:widowControl/>
              <w:jc w:val="center"/>
              <w:rPr>
                <w:kern w:val="0"/>
                <w:sz w:val="22"/>
                <w:szCs w:val="22"/>
              </w:rPr>
            </w:pPr>
          </w:p>
        </w:tc>
      </w:tr>
      <w:tr w14:paraId="44B8528B">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32FD643">
            <w:pPr>
              <w:widowControl/>
              <w:jc w:val="center"/>
              <w:rPr>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1041905C">
            <w:pPr>
              <w:widowControl/>
              <w:jc w:val="center"/>
              <w:rPr>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7B1DBF68">
            <w:pPr>
              <w:widowControl/>
              <w:jc w:val="center"/>
              <w:rPr>
                <w:kern w:val="0"/>
                <w:sz w:val="22"/>
                <w:szCs w:val="22"/>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14:paraId="33685794">
            <w:pPr>
              <w:widowControl/>
              <w:jc w:val="center"/>
              <w:rPr>
                <w:kern w:val="0"/>
                <w:sz w:val="22"/>
                <w:szCs w:val="22"/>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14:paraId="6354C51D">
            <w:pPr>
              <w:widowControl/>
              <w:jc w:val="center"/>
              <w:rPr>
                <w:kern w:val="0"/>
                <w:sz w:val="22"/>
                <w:szCs w:val="22"/>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14:paraId="09A09C07">
            <w:pPr>
              <w:widowControl/>
              <w:jc w:val="center"/>
              <w:rPr>
                <w:kern w:val="0"/>
                <w:sz w:val="22"/>
                <w:szCs w:val="22"/>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14:paraId="6789AB13">
            <w:pPr>
              <w:widowControl/>
              <w:jc w:val="center"/>
              <w:rPr>
                <w:kern w:val="0"/>
                <w:sz w:val="22"/>
                <w:szCs w:val="22"/>
              </w:rPr>
            </w:pPr>
          </w:p>
        </w:tc>
      </w:tr>
      <w:tr w14:paraId="63E0BAA5">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0EFEBB">
            <w:pPr>
              <w:widowControl/>
              <w:jc w:val="center"/>
              <w:rPr>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4817F5BA">
            <w:pPr>
              <w:widowControl/>
              <w:jc w:val="center"/>
              <w:rPr>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73AD77D2">
            <w:pPr>
              <w:widowControl/>
              <w:jc w:val="center"/>
              <w:rPr>
                <w:kern w:val="0"/>
                <w:sz w:val="22"/>
                <w:szCs w:val="22"/>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14:paraId="032E3711">
            <w:pPr>
              <w:widowControl/>
              <w:jc w:val="center"/>
              <w:rPr>
                <w:kern w:val="0"/>
                <w:sz w:val="22"/>
                <w:szCs w:val="22"/>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14:paraId="74236ECA">
            <w:pPr>
              <w:widowControl/>
              <w:jc w:val="center"/>
              <w:rPr>
                <w:kern w:val="0"/>
                <w:sz w:val="22"/>
                <w:szCs w:val="22"/>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14:paraId="74F769DE">
            <w:pPr>
              <w:widowControl/>
              <w:jc w:val="center"/>
              <w:rPr>
                <w:kern w:val="0"/>
                <w:sz w:val="22"/>
                <w:szCs w:val="22"/>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14:paraId="6B139E64">
            <w:pPr>
              <w:widowControl/>
              <w:jc w:val="center"/>
              <w:rPr>
                <w:kern w:val="0"/>
                <w:sz w:val="22"/>
                <w:szCs w:val="22"/>
              </w:rPr>
            </w:pPr>
          </w:p>
        </w:tc>
      </w:tr>
    </w:tbl>
    <w:p w14:paraId="711983BB">
      <w:pPr>
        <w:spacing w:line="440" w:lineRule="exact"/>
        <w:jc w:val="right"/>
        <w:rPr>
          <w:sz w:val="24"/>
        </w:rPr>
      </w:pPr>
    </w:p>
    <w:p w14:paraId="36F2F477">
      <w:pPr>
        <w:spacing w:line="440" w:lineRule="exact"/>
        <w:ind w:right="480" w:firstLine="4800" w:firstLineChars="2000"/>
        <w:rPr>
          <w:sz w:val="24"/>
        </w:rPr>
      </w:pPr>
      <w:r>
        <w:rPr>
          <w:sz w:val="24"/>
        </w:rPr>
        <w:t xml:space="preserve">法定代表人（签字或盖章）： </w:t>
      </w:r>
    </w:p>
    <w:p w14:paraId="14AABDA6">
      <w:pPr>
        <w:spacing w:line="440" w:lineRule="exact"/>
        <w:jc w:val="right"/>
        <w:rPr>
          <w:sz w:val="24"/>
        </w:rPr>
      </w:pPr>
      <w:r>
        <w:rPr>
          <w:sz w:val="24"/>
        </w:rPr>
        <w:t xml:space="preserve"> </w:t>
      </w:r>
    </w:p>
    <w:p w14:paraId="3D58F496">
      <w:pPr>
        <w:spacing w:line="440" w:lineRule="exact"/>
        <w:ind w:right="480"/>
        <w:jc w:val="center"/>
        <w:rPr>
          <w:sz w:val="24"/>
        </w:rPr>
      </w:pPr>
      <w:r>
        <w:rPr>
          <w:sz w:val="24"/>
        </w:rPr>
        <w:t xml:space="preserve">                                投 标 人（盖章）：  </w:t>
      </w:r>
    </w:p>
    <w:p w14:paraId="6F459A5F">
      <w:pPr>
        <w:spacing w:line="440" w:lineRule="exact"/>
        <w:jc w:val="right"/>
        <w:rPr>
          <w:sz w:val="24"/>
        </w:rPr>
      </w:pPr>
      <w:r>
        <w:rPr>
          <w:sz w:val="24"/>
        </w:rPr>
        <w:t xml:space="preserve"> </w:t>
      </w:r>
    </w:p>
    <w:p w14:paraId="64E2FB76">
      <w:pPr>
        <w:spacing w:line="440" w:lineRule="exact"/>
        <w:ind w:firstLine="480"/>
        <w:jc w:val="right"/>
        <w:rPr>
          <w:sz w:val="24"/>
        </w:rPr>
      </w:pPr>
      <w:r>
        <w:rPr>
          <w:sz w:val="24"/>
        </w:rPr>
        <w:t>日期：    年   月   日</w:t>
      </w:r>
    </w:p>
    <w:p w14:paraId="0358071B">
      <w:pPr>
        <w:pStyle w:val="11"/>
        <w:rPr>
          <w:rFonts w:hint="eastAsia"/>
        </w:rPr>
      </w:pPr>
    </w:p>
    <w:p w14:paraId="53ABEBBB">
      <w:pPr>
        <w:pStyle w:val="29"/>
        <w:rPr>
          <w:rFonts w:hint="eastAsia" w:cs="Times New Roman"/>
          <w:szCs w:val="28"/>
        </w:rPr>
      </w:pPr>
      <w:bookmarkStart w:id="207" w:name="_Toc288556325"/>
      <w:bookmarkStart w:id="208" w:name="_Toc12085"/>
      <w:bookmarkStart w:id="209" w:name="_Toc148964083"/>
      <w:bookmarkStart w:id="210" w:name="_Toc365645478"/>
      <w:bookmarkStart w:id="211" w:name="_Toc370743415"/>
      <w:r>
        <w:rPr>
          <w:rFonts w:cs="Times New Roman"/>
          <w:szCs w:val="28"/>
        </w:rPr>
        <w:t>四、</w:t>
      </w:r>
      <w:bookmarkEnd w:id="207"/>
      <w:r>
        <w:rPr>
          <w:rFonts w:cs="Times New Roman"/>
          <w:szCs w:val="28"/>
        </w:rPr>
        <w:t>台州市建设工程投标人资格自查表</w:t>
      </w:r>
      <w:bookmarkEnd w:id="208"/>
      <w:bookmarkEnd w:id="209"/>
      <w:bookmarkEnd w:id="210"/>
      <w:bookmarkEnd w:id="211"/>
    </w:p>
    <w:p w14:paraId="2189B7AC">
      <w:pPr>
        <w:spacing w:line="360" w:lineRule="auto"/>
        <w:jc w:val="center"/>
        <w:rPr>
          <w:sz w:val="24"/>
        </w:rPr>
      </w:pPr>
      <w:r>
        <w:rPr>
          <w:sz w:val="24"/>
          <w:u w:val="single"/>
        </w:rPr>
        <w:t xml:space="preserve">                              </w:t>
      </w:r>
      <w:r>
        <w:rPr>
          <w:sz w:val="24"/>
        </w:rPr>
        <w:t>工程</w:t>
      </w:r>
    </w:p>
    <w:p w14:paraId="405D67F4">
      <w:pPr>
        <w:ind w:leftChars="-95" w:hanging="199" w:hangingChars="66"/>
        <w:jc w:val="center"/>
        <w:rPr>
          <w:rFonts w:hint="eastAsia" w:eastAsia="黑体"/>
          <w:b/>
          <w:sz w:val="30"/>
          <w:szCs w:val="30"/>
        </w:rPr>
      </w:pPr>
      <w:r>
        <w:rPr>
          <w:rFonts w:eastAsia="黑体"/>
          <w:b/>
          <w:sz w:val="30"/>
          <w:szCs w:val="30"/>
        </w:rPr>
        <w:t>台州市建设工程投标人资格自查表</w:t>
      </w:r>
    </w:p>
    <w:tbl>
      <w:tblPr>
        <w:tblStyle w:val="17"/>
        <w:tblW w:w="0" w:type="auto"/>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4819"/>
        <w:gridCol w:w="1463"/>
        <w:gridCol w:w="1192"/>
        <w:gridCol w:w="1189"/>
      </w:tblGrid>
      <w:tr w14:paraId="52011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trPr>
        <w:tc>
          <w:tcPr>
            <w:tcW w:w="675" w:type="dxa"/>
            <w:noWrap w:val="0"/>
            <w:vAlign w:val="center"/>
          </w:tcPr>
          <w:p w14:paraId="32628BF7">
            <w:pPr>
              <w:spacing w:line="360" w:lineRule="auto"/>
              <w:jc w:val="center"/>
              <w:rPr>
                <w:rFonts w:eastAsia="黑体"/>
                <w:b/>
                <w:szCs w:val="21"/>
              </w:rPr>
            </w:pPr>
            <w:r>
              <w:rPr>
                <w:rFonts w:eastAsia="黑体"/>
                <w:b/>
                <w:szCs w:val="21"/>
              </w:rPr>
              <w:t>序号</w:t>
            </w:r>
          </w:p>
        </w:tc>
        <w:tc>
          <w:tcPr>
            <w:tcW w:w="4819" w:type="dxa"/>
            <w:noWrap w:val="0"/>
            <w:vAlign w:val="center"/>
          </w:tcPr>
          <w:p w14:paraId="59C65191">
            <w:pPr>
              <w:spacing w:line="360" w:lineRule="auto"/>
              <w:jc w:val="center"/>
              <w:rPr>
                <w:rFonts w:eastAsia="黑体"/>
                <w:b/>
                <w:szCs w:val="21"/>
              </w:rPr>
            </w:pPr>
            <w:r>
              <w:rPr>
                <w:rFonts w:eastAsia="黑体"/>
                <w:b/>
                <w:szCs w:val="21"/>
              </w:rPr>
              <w:t>自查内容</w:t>
            </w:r>
          </w:p>
        </w:tc>
        <w:tc>
          <w:tcPr>
            <w:tcW w:w="1463" w:type="dxa"/>
            <w:noWrap w:val="0"/>
            <w:vAlign w:val="center"/>
          </w:tcPr>
          <w:p w14:paraId="217929DF">
            <w:pPr>
              <w:adjustRightInd w:val="0"/>
              <w:snapToGrid w:val="0"/>
              <w:jc w:val="center"/>
              <w:rPr>
                <w:rFonts w:eastAsia="黑体"/>
                <w:b/>
                <w:szCs w:val="21"/>
              </w:rPr>
            </w:pPr>
            <w:r>
              <w:rPr>
                <w:rFonts w:eastAsia="黑体"/>
                <w:b/>
                <w:szCs w:val="21"/>
              </w:rPr>
              <w:t>招标文件</w:t>
            </w:r>
          </w:p>
          <w:p w14:paraId="7BA3DFAA">
            <w:pPr>
              <w:adjustRightInd w:val="0"/>
              <w:snapToGrid w:val="0"/>
              <w:jc w:val="center"/>
              <w:rPr>
                <w:rFonts w:eastAsia="黑体"/>
                <w:b/>
                <w:szCs w:val="21"/>
              </w:rPr>
            </w:pPr>
            <w:r>
              <w:rPr>
                <w:rFonts w:eastAsia="黑体"/>
                <w:b/>
                <w:szCs w:val="21"/>
              </w:rPr>
              <w:t>条款号</w:t>
            </w:r>
          </w:p>
        </w:tc>
        <w:tc>
          <w:tcPr>
            <w:tcW w:w="1192" w:type="dxa"/>
            <w:noWrap w:val="0"/>
            <w:vAlign w:val="center"/>
          </w:tcPr>
          <w:p w14:paraId="457CEFA7">
            <w:pPr>
              <w:spacing w:line="360" w:lineRule="auto"/>
              <w:jc w:val="center"/>
              <w:rPr>
                <w:rFonts w:eastAsia="黑体"/>
                <w:b/>
                <w:szCs w:val="21"/>
              </w:rPr>
            </w:pPr>
            <w:r>
              <w:rPr>
                <w:rFonts w:eastAsia="黑体"/>
                <w:b/>
                <w:szCs w:val="21"/>
              </w:rPr>
              <w:t>投标要求</w:t>
            </w:r>
          </w:p>
        </w:tc>
        <w:tc>
          <w:tcPr>
            <w:tcW w:w="1189" w:type="dxa"/>
            <w:noWrap w:val="0"/>
            <w:vAlign w:val="center"/>
          </w:tcPr>
          <w:p w14:paraId="7599164D">
            <w:pPr>
              <w:spacing w:line="360" w:lineRule="auto"/>
              <w:jc w:val="center"/>
              <w:rPr>
                <w:rFonts w:eastAsia="黑体"/>
                <w:b/>
                <w:szCs w:val="21"/>
              </w:rPr>
            </w:pPr>
            <w:r>
              <w:rPr>
                <w:rFonts w:eastAsia="黑体"/>
                <w:b/>
                <w:szCs w:val="21"/>
              </w:rPr>
              <w:t>自查情况</w:t>
            </w:r>
          </w:p>
        </w:tc>
      </w:tr>
      <w:tr w14:paraId="6FD45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exact"/>
        </w:trPr>
        <w:tc>
          <w:tcPr>
            <w:tcW w:w="675" w:type="dxa"/>
            <w:noWrap w:val="0"/>
            <w:vAlign w:val="center"/>
          </w:tcPr>
          <w:p w14:paraId="65CCE518">
            <w:pPr>
              <w:spacing w:line="360" w:lineRule="auto"/>
              <w:jc w:val="center"/>
              <w:rPr>
                <w:sz w:val="21"/>
                <w:szCs w:val="21"/>
              </w:rPr>
            </w:pPr>
            <w:r>
              <w:rPr>
                <w:sz w:val="21"/>
                <w:szCs w:val="21"/>
              </w:rPr>
              <w:t>1</w:t>
            </w:r>
          </w:p>
        </w:tc>
        <w:tc>
          <w:tcPr>
            <w:tcW w:w="4819" w:type="dxa"/>
            <w:noWrap w:val="0"/>
            <w:vAlign w:val="center"/>
          </w:tcPr>
          <w:p w14:paraId="25C49035">
            <w:pPr>
              <w:rPr>
                <w:sz w:val="21"/>
                <w:szCs w:val="21"/>
              </w:rPr>
            </w:pPr>
            <w:r>
              <w:rPr>
                <w:sz w:val="21"/>
                <w:szCs w:val="21"/>
              </w:rPr>
              <w:t>投标人资质条件是否符合</w:t>
            </w:r>
          </w:p>
        </w:tc>
        <w:tc>
          <w:tcPr>
            <w:tcW w:w="1463" w:type="dxa"/>
            <w:noWrap w:val="0"/>
            <w:vAlign w:val="center"/>
          </w:tcPr>
          <w:p w14:paraId="5CDD3651">
            <w:pPr>
              <w:spacing w:line="360" w:lineRule="auto"/>
              <w:jc w:val="center"/>
              <w:rPr>
                <w:sz w:val="21"/>
                <w:szCs w:val="21"/>
              </w:rPr>
            </w:pPr>
            <w:r>
              <w:rPr>
                <w:sz w:val="21"/>
                <w:szCs w:val="21"/>
              </w:rPr>
              <w:t>1.4.1（1）</w:t>
            </w:r>
          </w:p>
        </w:tc>
        <w:tc>
          <w:tcPr>
            <w:tcW w:w="1192" w:type="dxa"/>
            <w:noWrap w:val="0"/>
            <w:vAlign w:val="center"/>
          </w:tcPr>
          <w:p w14:paraId="1644085A">
            <w:pPr>
              <w:spacing w:line="360" w:lineRule="auto"/>
              <w:jc w:val="center"/>
              <w:rPr>
                <w:sz w:val="21"/>
                <w:szCs w:val="21"/>
              </w:rPr>
            </w:pPr>
            <w:r>
              <w:rPr>
                <w:sz w:val="21"/>
                <w:szCs w:val="21"/>
              </w:rPr>
              <w:t>是</w:t>
            </w:r>
          </w:p>
        </w:tc>
        <w:tc>
          <w:tcPr>
            <w:tcW w:w="1189" w:type="dxa"/>
            <w:noWrap w:val="0"/>
            <w:vAlign w:val="center"/>
          </w:tcPr>
          <w:p w14:paraId="02807A12">
            <w:pPr>
              <w:spacing w:line="360" w:lineRule="auto"/>
              <w:jc w:val="center"/>
              <w:rPr>
                <w:rFonts w:eastAsia="黑体"/>
                <w:b/>
                <w:szCs w:val="21"/>
              </w:rPr>
            </w:pPr>
          </w:p>
        </w:tc>
      </w:tr>
      <w:tr w14:paraId="3F8E8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exact"/>
        </w:trPr>
        <w:tc>
          <w:tcPr>
            <w:tcW w:w="675" w:type="dxa"/>
            <w:noWrap w:val="0"/>
            <w:vAlign w:val="center"/>
          </w:tcPr>
          <w:p w14:paraId="6F2AC597">
            <w:pPr>
              <w:spacing w:line="360" w:lineRule="auto"/>
              <w:jc w:val="center"/>
              <w:rPr>
                <w:sz w:val="21"/>
                <w:szCs w:val="21"/>
              </w:rPr>
            </w:pPr>
            <w:r>
              <w:rPr>
                <w:sz w:val="21"/>
                <w:szCs w:val="21"/>
              </w:rPr>
              <w:t>2</w:t>
            </w:r>
          </w:p>
        </w:tc>
        <w:tc>
          <w:tcPr>
            <w:tcW w:w="4819" w:type="dxa"/>
            <w:noWrap w:val="0"/>
            <w:vAlign w:val="center"/>
          </w:tcPr>
          <w:p w14:paraId="594BDFAD">
            <w:pPr>
              <w:spacing w:line="260" w:lineRule="exact"/>
              <w:rPr>
                <w:sz w:val="21"/>
                <w:szCs w:val="21"/>
              </w:rPr>
            </w:pPr>
            <w:r>
              <w:rPr>
                <w:sz w:val="21"/>
                <w:szCs w:val="21"/>
              </w:rPr>
              <w:t>是否为招标人不具有独立法人资格的附属机构（单位）</w:t>
            </w:r>
          </w:p>
        </w:tc>
        <w:tc>
          <w:tcPr>
            <w:tcW w:w="1463" w:type="dxa"/>
            <w:noWrap w:val="0"/>
            <w:vAlign w:val="center"/>
          </w:tcPr>
          <w:p w14:paraId="7046DA10">
            <w:pPr>
              <w:spacing w:line="360" w:lineRule="auto"/>
              <w:jc w:val="center"/>
              <w:rPr>
                <w:sz w:val="21"/>
                <w:szCs w:val="21"/>
              </w:rPr>
            </w:pPr>
            <w:r>
              <w:rPr>
                <w:sz w:val="21"/>
                <w:szCs w:val="21"/>
              </w:rPr>
              <w:t>1.4.4（1）</w:t>
            </w:r>
          </w:p>
        </w:tc>
        <w:tc>
          <w:tcPr>
            <w:tcW w:w="1192" w:type="dxa"/>
            <w:noWrap w:val="0"/>
            <w:vAlign w:val="center"/>
          </w:tcPr>
          <w:p w14:paraId="55830834">
            <w:pPr>
              <w:spacing w:line="360" w:lineRule="auto"/>
              <w:jc w:val="center"/>
              <w:rPr>
                <w:sz w:val="21"/>
                <w:szCs w:val="21"/>
              </w:rPr>
            </w:pPr>
            <w:r>
              <w:rPr>
                <w:sz w:val="21"/>
                <w:szCs w:val="21"/>
              </w:rPr>
              <w:t>否</w:t>
            </w:r>
          </w:p>
        </w:tc>
        <w:tc>
          <w:tcPr>
            <w:tcW w:w="1189" w:type="dxa"/>
            <w:noWrap w:val="0"/>
            <w:vAlign w:val="center"/>
          </w:tcPr>
          <w:p w14:paraId="0BF74C03">
            <w:pPr>
              <w:spacing w:line="360" w:lineRule="auto"/>
              <w:jc w:val="center"/>
              <w:rPr>
                <w:rFonts w:eastAsia="黑体"/>
                <w:b/>
                <w:szCs w:val="21"/>
              </w:rPr>
            </w:pPr>
          </w:p>
        </w:tc>
      </w:tr>
      <w:tr w14:paraId="00AD6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exact"/>
        </w:trPr>
        <w:tc>
          <w:tcPr>
            <w:tcW w:w="675" w:type="dxa"/>
            <w:noWrap w:val="0"/>
            <w:vAlign w:val="center"/>
          </w:tcPr>
          <w:p w14:paraId="70F9DFE1">
            <w:pPr>
              <w:spacing w:line="360" w:lineRule="auto"/>
              <w:jc w:val="center"/>
              <w:rPr>
                <w:sz w:val="21"/>
                <w:szCs w:val="21"/>
              </w:rPr>
            </w:pPr>
            <w:r>
              <w:rPr>
                <w:rFonts w:hint="eastAsia"/>
                <w:sz w:val="21"/>
                <w:szCs w:val="21"/>
              </w:rPr>
              <w:t>3</w:t>
            </w:r>
          </w:p>
        </w:tc>
        <w:tc>
          <w:tcPr>
            <w:tcW w:w="4819" w:type="dxa"/>
            <w:noWrap w:val="0"/>
            <w:vAlign w:val="center"/>
          </w:tcPr>
          <w:p w14:paraId="00DE4B7A">
            <w:pPr>
              <w:spacing w:line="260" w:lineRule="exact"/>
              <w:rPr>
                <w:sz w:val="21"/>
                <w:szCs w:val="21"/>
              </w:rPr>
            </w:pPr>
            <w:r>
              <w:rPr>
                <w:rFonts w:hint="eastAsia"/>
                <w:sz w:val="21"/>
                <w:szCs w:val="21"/>
              </w:rPr>
              <w:t>是否为与招标人存在利害关系可能影响招标公正性的法人、其他组织或者个人</w:t>
            </w:r>
          </w:p>
        </w:tc>
        <w:tc>
          <w:tcPr>
            <w:tcW w:w="1463" w:type="dxa"/>
            <w:noWrap w:val="0"/>
            <w:vAlign w:val="center"/>
          </w:tcPr>
          <w:p w14:paraId="2769967E">
            <w:pPr>
              <w:spacing w:line="360" w:lineRule="auto"/>
              <w:jc w:val="center"/>
              <w:rPr>
                <w:sz w:val="21"/>
                <w:szCs w:val="21"/>
              </w:rPr>
            </w:pPr>
            <w:r>
              <w:rPr>
                <w:rFonts w:hint="eastAsia"/>
                <w:sz w:val="21"/>
                <w:szCs w:val="21"/>
              </w:rPr>
              <w:t>1.4.4（2）</w:t>
            </w:r>
          </w:p>
        </w:tc>
        <w:tc>
          <w:tcPr>
            <w:tcW w:w="1192" w:type="dxa"/>
            <w:noWrap w:val="0"/>
            <w:vAlign w:val="center"/>
          </w:tcPr>
          <w:p w14:paraId="1250757B">
            <w:pPr>
              <w:spacing w:line="360" w:lineRule="auto"/>
              <w:jc w:val="center"/>
              <w:rPr>
                <w:sz w:val="21"/>
                <w:szCs w:val="21"/>
              </w:rPr>
            </w:pPr>
            <w:r>
              <w:rPr>
                <w:rFonts w:hint="eastAsia"/>
                <w:sz w:val="21"/>
                <w:szCs w:val="21"/>
              </w:rPr>
              <w:t>否</w:t>
            </w:r>
          </w:p>
        </w:tc>
        <w:tc>
          <w:tcPr>
            <w:tcW w:w="1189" w:type="dxa"/>
            <w:noWrap w:val="0"/>
            <w:vAlign w:val="center"/>
          </w:tcPr>
          <w:p w14:paraId="0D87BBB9">
            <w:pPr>
              <w:spacing w:line="360" w:lineRule="auto"/>
              <w:jc w:val="center"/>
              <w:rPr>
                <w:rFonts w:eastAsia="黑体"/>
                <w:b/>
                <w:szCs w:val="21"/>
              </w:rPr>
            </w:pPr>
          </w:p>
        </w:tc>
      </w:tr>
      <w:tr w14:paraId="29655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exact"/>
        </w:trPr>
        <w:tc>
          <w:tcPr>
            <w:tcW w:w="675" w:type="dxa"/>
            <w:noWrap w:val="0"/>
            <w:vAlign w:val="center"/>
          </w:tcPr>
          <w:p w14:paraId="480C4DD2">
            <w:pPr>
              <w:spacing w:line="360" w:lineRule="auto"/>
              <w:jc w:val="center"/>
              <w:rPr>
                <w:sz w:val="21"/>
                <w:szCs w:val="21"/>
              </w:rPr>
            </w:pPr>
            <w:r>
              <w:rPr>
                <w:rFonts w:hint="eastAsia"/>
                <w:sz w:val="21"/>
                <w:szCs w:val="21"/>
              </w:rPr>
              <w:t>4</w:t>
            </w:r>
          </w:p>
        </w:tc>
        <w:tc>
          <w:tcPr>
            <w:tcW w:w="4819" w:type="dxa"/>
            <w:noWrap w:val="0"/>
            <w:vAlign w:val="center"/>
          </w:tcPr>
          <w:p w14:paraId="180E6F0D">
            <w:pPr>
              <w:spacing w:line="260" w:lineRule="exact"/>
              <w:rPr>
                <w:sz w:val="21"/>
                <w:szCs w:val="21"/>
              </w:rPr>
            </w:pPr>
            <w:r>
              <w:rPr>
                <w:rFonts w:hint="eastAsia"/>
                <w:sz w:val="21"/>
                <w:szCs w:val="21"/>
              </w:rPr>
              <w:t>是否不同投标人的单位负责人为同一人或者互相存在控股、管理关系的</w:t>
            </w:r>
          </w:p>
        </w:tc>
        <w:tc>
          <w:tcPr>
            <w:tcW w:w="1463" w:type="dxa"/>
            <w:noWrap w:val="0"/>
            <w:vAlign w:val="center"/>
          </w:tcPr>
          <w:p w14:paraId="1C956BC5">
            <w:pPr>
              <w:spacing w:line="360" w:lineRule="auto"/>
              <w:jc w:val="center"/>
              <w:rPr>
                <w:sz w:val="21"/>
                <w:szCs w:val="21"/>
              </w:rPr>
            </w:pPr>
            <w:r>
              <w:rPr>
                <w:rFonts w:hint="eastAsia"/>
                <w:sz w:val="21"/>
                <w:szCs w:val="21"/>
              </w:rPr>
              <w:t>1.4.4（3）</w:t>
            </w:r>
          </w:p>
        </w:tc>
        <w:tc>
          <w:tcPr>
            <w:tcW w:w="1192" w:type="dxa"/>
            <w:noWrap w:val="0"/>
            <w:vAlign w:val="center"/>
          </w:tcPr>
          <w:p w14:paraId="307CDDD5">
            <w:pPr>
              <w:spacing w:line="360" w:lineRule="auto"/>
              <w:jc w:val="center"/>
              <w:rPr>
                <w:sz w:val="21"/>
                <w:szCs w:val="21"/>
              </w:rPr>
            </w:pPr>
            <w:r>
              <w:rPr>
                <w:rFonts w:hint="eastAsia"/>
                <w:sz w:val="21"/>
                <w:szCs w:val="21"/>
              </w:rPr>
              <w:t>否</w:t>
            </w:r>
          </w:p>
        </w:tc>
        <w:tc>
          <w:tcPr>
            <w:tcW w:w="1189" w:type="dxa"/>
            <w:noWrap w:val="0"/>
            <w:vAlign w:val="center"/>
          </w:tcPr>
          <w:p w14:paraId="1B50F084">
            <w:pPr>
              <w:spacing w:line="360" w:lineRule="auto"/>
              <w:jc w:val="center"/>
              <w:rPr>
                <w:rFonts w:eastAsia="黑体"/>
                <w:b/>
                <w:szCs w:val="21"/>
              </w:rPr>
            </w:pPr>
          </w:p>
        </w:tc>
      </w:tr>
      <w:tr w14:paraId="0D6C0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exact"/>
        </w:trPr>
        <w:tc>
          <w:tcPr>
            <w:tcW w:w="675" w:type="dxa"/>
            <w:noWrap w:val="0"/>
            <w:vAlign w:val="center"/>
          </w:tcPr>
          <w:p w14:paraId="35126188">
            <w:pPr>
              <w:spacing w:line="360" w:lineRule="auto"/>
              <w:jc w:val="center"/>
              <w:rPr>
                <w:sz w:val="21"/>
                <w:szCs w:val="21"/>
              </w:rPr>
            </w:pPr>
            <w:r>
              <w:rPr>
                <w:sz w:val="21"/>
                <w:szCs w:val="21"/>
              </w:rPr>
              <w:t>5</w:t>
            </w:r>
          </w:p>
        </w:tc>
        <w:tc>
          <w:tcPr>
            <w:tcW w:w="4819" w:type="dxa"/>
            <w:noWrap w:val="0"/>
            <w:vAlign w:val="center"/>
          </w:tcPr>
          <w:p w14:paraId="2D679A18">
            <w:pPr>
              <w:rPr>
                <w:sz w:val="21"/>
                <w:szCs w:val="21"/>
              </w:rPr>
            </w:pPr>
            <w:r>
              <w:rPr>
                <w:sz w:val="21"/>
                <w:szCs w:val="21"/>
              </w:rPr>
              <w:t>是否为本</w:t>
            </w:r>
            <w:r>
              <w:rPr>
                <w:rFonts w:hint="eastAsia"/>
                <w:sz w:val="21"/>
                <w:szCs w:val="21"/>
              </w:rPr>
              <w:t>标段</w:t>
            </w:r>
            <w:r>
              <w:rPr>
                <w:sz w:val="21"/>
                <w:szCs w:val="21"/>
              </w:rPr>
              <w:t>前期准备提供设计或咨询服务的</w:t>
            </w:r>
          </w:p>
        </w:tc>
        <w:tc>
          <w:tcPr>
            <w:tcW w:w="1463" w:type="dxa"/>
            <w:noWrap w:val="0"/>
            <w:vAlign w:val="center"/>
          </w:tcPr>
          <w:p w14:paraId="2D0F1156">
            <w:pPr>
              <w:spacing w:line="360" w:lineRule="auto"/>
              <w:jc w:val="center"/>
              <w:rPr>
                <w:sz w:val="21"/>
                <w:szCs w:val="21"/>
              </w:rPr>
            </w:pPr>
            <w:r>
              <w:rPr>
                <w:sz w:val="21"/>
                <w:szCs w:val="21"/>
              </w:rPr>
              <w:t>1.4.4（4）</w:t>
            </w:r>
          </w:p>
        </w:tc>
        <w:tc>
          <w:tcPr>
            <w:tcW w:w="1192" w:type="dxa"/>
            <w:noWrap w:val="0"/>
            <w:vAlign w:val="center"/>
          </w:tcPr>
          <w:p w14:paraId="784285D5">
            <w:pPr>
              <w:spacing w:line="360" w:lineRule="auto"/>
              <w:jc w:val="center"/>
              <w:rPr>
                <w:sz w:val="21"/>
                <w:szCs w:val="21"/>
              </w:rPr>
            </w:pPr>
            <w:r>
              <w:rPr>
                <w:sz w:val="21"/>
                <w:szCs w:val="21"/>
              </w:rPr>
              <w:t>否</w:t>
            </w:r>
          </w:p>
        </w:tc>
        <w:tc>
          <w:tcPr>
            <w:tcW w:w="1189" w:type="dxa"/>
            <w:noWrap w:val="0"/>
            <w:vAlign w:val="center"/>
          </w:tcPr>
          <w:p w14:paraId="441AC6B8">
            <w:pPr>
              <w:spacing w:line="360" w:lineRule="auto"/>
              <w:jc w:val="center"/>
              <w:rPr>
                <w:rFonts w:eastAsia="黑体"/>
                <w:b/>
                <w:szCs w:val="21"/>
              </w:rPr>
            </w:pPr>
          </w:p>
        </w:tc>
      </w:tr>
      <w:tr w14:paraId="12F25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exact"/>
        </w:trPr>
        <w:tc>
          <w:tcPr>
            <w:tcW w:w="675" w:type="dxa"/>
            <w:noWrap w:val="0"/>
            <w:vAlign w:val="center"/>
          </w:tcPr>
          <w:p w14:paraId="7E2C68CF">
            <w:pPr>
              <w:spacing w:line="360" w:lineRule="auto"/>
              <w:jc w:val="center"/>
              <w:rPr>
                <w:sz w:val="21"/>
                <w:szCs w:val="21"/>
              </w:rPr>
            </w:pPr>
            <w:r>
              <w:rPr>
                <w:sz w:val="21"/>
                <w:szCs w:val="21"/>
              </w:rPr>
              <w:t>6</w:t>
            </w:r>
          </w:p>
        </w:tc>
        <w:tc>
          <w:tcPr>
            <w:tcW w:w="4819" w:type="dxa"/>
            <w:noWrap w:val="0"/>
            <w:vAlign w:val="center"/>
          </w:tcPr>
          <w:p w14:paraId="2527EC03">
            <w:pPr>
              <w:rPr>
                <w:sz w:val="21"/>
                <w:szCs w:val="21"/>
              </w:rPr>
            </w:pPr>
            <w:r>
              <w:rPr>
                <w:sz w:val="21"/>
                <w:szCs w:val="21"/>
              </w:rPr>
              <w:t>是否为本</w:t>
            </w:r>
            <w:r>
              <w:rPr>
                <w:rFonts w:hint="eastAsia"/>
                <w:sz w:val="21"/>
                <w:szCs w:val="21"/>
              </w:rPr>
              <w:t>标段</w:t>
            </w:r>
            <w:r>
              <w:rPr>
                <w:sz w:val="21"/>
                <w:szCs w:val="21"/>
              </w:rPr>
              <w:t>的监理人</w:t>
            </w:r>
          </w:p>
        </w:tc>
        <w:tc>
          <w:tcPr>
            <w:tcW w:w="1463" w:type="dxa"/>
            <w:noWrap w:val="0"/>
            <w:vAlign w:val="center"/>
          </w:tcPr>
          <w:p w14:paraId="5509125A">
            <w:pPr>
              <w:spacing w:line="360" w:lineRule="auto"/>
              <w:jc w:val="center"/>
              <w:rPr>
                <w:sz w:val="21"/>
                <w:szCs w:val="21"/>
              </w:rPr>
            </w:pPr>
            <w:r>
              <w:rPr>
                <w:sz w:val="21"/>
                <w:szCs w:val="21"/>
              </w:rPr>
              <w:t>1.4.4（5）</w:t>
            </w:r>
          </w:p>
        </w:tc>
        <w:tc>
          <w:tcPr>
            <w:tcW w:w="1192" w:type="dxa"/>
            <w:noWrap w:val="0"/>
            <w:vAlign w:val="center"/>
          </w:tcPr>
          <w:p w14:paraId="2862A6AE">
            <w:pPr>
              <w:spacing w:line="360" w:lineRule="auto"/>
              <w:jc w:val="center"/>
              <w:rPr>
                <w:sz w:val="21"/>
                <w:szCs w:val="21"/>
              </w:rPr>
            </w:pPr>
            <w:r>
              <w:rPr>
                <w:sz w:val="21"/>
                <w:szCs w:val="21"/>
              </w:rPr>
              <w:t>否</w:t>
            </w:r>
          </w:p>
        </w:tc>
        <w:tc>
          <w:tcPr>
            <w:tcW w:w="1189" w:type="dxa"/>
            <w:noWrap w:val="0"/>
            <w:vAlign w:val="center"/>
          </w:tcPr>
          <w:p w14:paraId="77A4BEE4">
            <w:pPr>
              <w:spacing w:line="360" w:lineRule="auto"/>
              <w:jc w:val="center"/>
              <w:rPr>
                <w:rFonts w:eastAsia="黑体"/>
                <w:b/>
                <w:szCs w:val="21"/>
              </w:rPr>
            </w:pPr>
          </w:p>
        </w:tc>
      </w:tr>
      <w:tr w14:paraId="31982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exact"/>
        </w:trPr>
        <w:tc>
          <w:tcPr>
            <w:tcW w:w="675" w:type="dxa"/>
            <w:noWrap w:val="0"/>
            <w:vAlign w:val="center"/>
          </w:tcPr>
          <w:p w14:paraId="79FFF964">
            <w:pPr>
              <w:spacing w:line="360" w:lineRule="auto"/>
              <w:jc w:val="center"/>
              <w:rPr>
                <w:sz w:val="21"/>
                <w:szCs w:val="21"/>
              </w:rPr>
            </w:pPr>
            <w:r>
              <w:rPr>
                <w:sz w:val="21"/>
                <w:szCs w:val="21"/>
              </w:rPr>
              <w:t>7</w:t>
            </w:r>
          </w:p>
        </w:tc>
        <w:tc>
          <w:tcPr>
            <w:tcW w:w="4819" w:type="dxa"/>
            <w:noWrap w:val="0"/>
            <w:vAlign w:val="center"/>
          </w:tcPr>
          <w:p w14:paraId="4F005D75">
            <w:pPr>
              <w:rPr>
                <w:sz w:val="21"/>
                <w:szCs w:val="21"/>
              </w:rPr>
            </w:pPr>
            <w:r>
              <w:rPr>
                <w:sz w:val="21"/>
                <w:szCs w:val="21"/>
              </w:rPr>
              <w:t>是否为本</w:t>
            </w:r>
            <w:r>
              <w:rPr>
                <w:rFonts w:hint="eastAsia"/>
                <w:sz w:val="21"/>
                <w:szCs w:val="21"/>
              </w:rPr>
              <w:t>标段</w:t>
            </w:r>
            <w:r>
              <w:rPr>
                <w:sz w:val="21"/>
                <w:szCs w:val="21"/>
              </w:rPr>
              <w:t>的代建人</w:t>
            </w:r>
          </w:p>
        </w:tc>
        <w:tc>
          <w:tcPr>
            <w:tcW w:w="1463" w:type="dxa"/>
            <w:noWrap w:val="0"/>
            <w:vAlign w:val="center"/>
          </w:tcPr>
          <w:p w14:paraId="76E9BCB1">
            <w:pPr>
              <w:spacing w:line="360" w:lineRule="auto"/>
              <w:jc w:val="center"/>
              <w:rPr>
                <w:sz w:val="21"/>
                <w:szCs w:val="21"/>
              </w:rPr>
            </w:pPr>
            <w:r>
              <w:rPr>
                <w:sz w:val="21"/>
                <w:szCs w:val="21"/>
              </w:rPr>
              <w:t>1.4.4（6）</w:t>
            </w:r>
          </w:p>
        </w:tc>
        <w:tc>
          <w:tcPr>
            <w:tcW w:w="1192" w:type="dxa"/>
            <w:noWrap w:val="0"/>
            <w:vAlign w:val="center"/>
          </w:tcPr>
          <w:p w14:paraId="3F9A17B2">
            <w:pPr>
              <w:spacing w:line="360" w:lineRule="auto"/>
              <w:jc w:val="center"/>
              <w:rPr>
                <w:sz w:val="21"/>
                <w:szCs w:val="21"/>
              </w:rPr>
            </w:pPr>
            <w:r>
              <w:rPr>
                <w:sz w:val="21"/>
                <w:szCs w:val="21"/>
              </w:rPr>
              <w:t>否</w:t>
            </w:r>
          </w:p>
        </w:tc>
        <w:tc>
          <w:tcPr>
            <w:tcW w:w="1189" w:type="dxa"/>
            <w:noWrap w:val="0"/>
            <w:vAlign w:val="center"/>
          </w:tcPr>
          <w:p w14:paraId="0BB99558">
            <w:pPr>
              <w:spacing w:line="360" w:lineRule="auto"/>
              <w:jc w:val="center"/>
              <w:rPr>
                <w:rFonts w:eastAsia="黑体"/>
                <w:b/>
                <w:szCs w:val="21"/>
              </w:rPr>
            </w:pPr>
          </w:p>
        </w:tc>
      </w:tr>
      <w:tr w14:paraId="6F05D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exact"/>
        </w:trPr>
        <w:tc>
          <w:tcPr>
            <w:tcW w:w="675" w:type="dxa"/>
            <w:noWrap w:val="0"/>
            <w:vAlign w:val="center"/>
          </w:tcPr>
          <w:p w14:paraId="7EADF962">
            <w:pPr>
              <w:spacing w:line="360" w:lineRule="auto"/>
              <w:jc w:val="center"/>
              <w:rPr>
                <w:sz w:val="21"/>
                <w:szCs w:val="21"/>
              </w:rPr>
            </w:pPr>
            <w:r>
              <w:rPr>
                <w:sz w:val="21"/>
                <w:szCs w:val="21"/>
              </w:rPr>
              <w:t>8</w:t>
            </w:r>
          </w:p>
        </w:tc>
        <w:tc>
          <w:tcPr>
            <w:tcW w:w="4819" w:type="dxa"/>
            <w:noWrap w:val="0"/>
            <w:vAlign w:val="center"/>
          </w:tcPr>
          <w:p w14:paraId="721865EF">
            <w:pPr>
              <w:rPr>
                <w:sz w:val="21"/>
                <w:szCs w:val="21"/>
              </w:rPr>
            </w:pPr>
            <w:r>
              <w:rPr>
                <w:sz w:val="21"/>
                <w:szCs w:val="21"/>
              </w:rPr>
              <w:t>是否为本</w:t>
            </w:r>
            <w:r>
              <w:rPr>
                <w:rFonts w:hint="eastAsia"/>
                <w:sz w:val="21"/>
                <w:szCs w:val="21"/>
              </w:rPr>
              <w:t>标段</w:t>
            </w:r>
            <w:r>
              <w:rPr>
                <w:sz w:val="21"/>
                <w:szCs w:val="21"/>
              </w:rPr>
              <w:t>提供招标代理服务</w:t>
            </w:r>
          </w:p>
        </w:tc>
        <w:tc>
          <w:tcPr>
            <w:tcW w:w="1463" w:type="dxa"/>
            <w:noWrap w:val="0"/>
            <w:vAlign w:val="center"/>
          </w:tcPr>
          <w:p w14:paraId="1874F14E">
            <w:pPr>
              <w:spacing w:line="360" w:lineRule="auto"/>
              <w:jc w:val="center"/>
              <w:rPr>
                <w:sz w:val="21"/>
                <w:szCs w:val="21"/>
              </w:rPr>
            </w:pPr>
            <w:r>
              <w:rPr>
                <w:sz w:val="21"/>
                <w:szCs w:val="21"/>
              </w:rPr>
              <w:t>1.4.4（7）</w:t>
            </w:r>
          </w:p>
        </w:tc>
        <w:tc>
          <w:tcPr>
            <w:tcW w:w="1192" w:type="dxa"/>
            <w:noWrap w:val="0"/>
            <w:vAlign w:val="center"/>
          </w:tcPr>
          <w:p w14:paraId="530AEC7B">
            <w:pPr>
              <w:spacing w:line="360" w:lineRule="auto"/>
              <w:jc w:val="center"/>
              <w:rPr>
                <w:sz w:val="21"/>
                <w:szCs w:val="21"/>
              </w:rPr>
            </w:pPr>
            <w:r>
              <w:rPr>
                <w:sz w:val="21"/>
                <w:szCs w:val="21"/>
              </w:rPr>
              <w:t>否</w:t>
            </w:r>
          </w:p>
        </w:tc>
        <w:tc>
          <w:tcPr>
            <w:tcW w:w="1189" w:type="dxa"/>
            <w:noWrap w:val="0"/>
            <w:vAlign w:val="center"/>
          </w:tcPr>
          <w:p w14:paraId="6782EC87">
            <w:pPr>
              <w:spacing w:line="360" w:lineRule="auto"/>
              <w:jc w:val="center"/>
              <w:rPr>
                <w:rFonts w:eastAsia="黑体"/>
                <w:b/>
                <w:szCs w:val="21"/>
              </w:rPr>
            </w:pPr>
          </w:p>
        </w:tc>
      </w:tr>
      <w:tr w14:paraId="32367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exact"/>
        </w:trPr>
        <w:tc>
          <w:tcPr>
            <w:tcW w:w="675" w:type="dxa"/>
            <w:noWrap w:val="0"/>
            <w:vAlign w:val="center"/>
          </w:tcPr>
          <w:p w14:paraId="435658B8">
            <w:pPr>
              <w:spacing w:line="360" w:lineRule="auto"/>
              <w:jc w:val="center"/>
              <w:rPr>
                <w:sz w:val="21"/>
                <w:szCs w:val="21"/>
              </w:rPr>
            </w:pPr>
            <w:r>
              <w:rPr>
                <w:sz w:val="21"/>
                <w:szCs w:val="21"/>
              </w:rPr>
              <w:t>9</w:t>
            </w:r>
          </w:p>
        </w:tc>
        <w:tc>
          <w:tcPr>
            <w:tcW w:w="4819" w:type="dxa"/>
            <w:noWrap w:val="0"/>
            <w:vAlign w:val="center"/>
          </w:tcPr>
          <w:p w14:paraId="0B5CF115">
            <w:pPr>
              <w:spacing w:line="260" w:lineRule="exact"/>
              <w:rPr>
                <w:sz w:val="21"/>
                <w:szCs w:val="21"/>
              </w:rPr>
            </w:pPr>
            <w:r>
              <w:rPr>
                <w:sz w:val="21"/>
                <w:szCs w:val="21"/>
              </w:rPr>
              <w:t>是否与本</w:t>
            </w:r>
            <w:r>
              <w:rPr>
                <w:rFonts w:hint="eastAsia"/>
                <w:sz w:val="21"/>
                <w:szCs w:val="21"/>
              </w:rPr>
              <w:t>标段</w:t>
            </w:r>
            <w:r>
              <w:rPr>
                <w:sz w:val="21"/>
                <w:szCs w:val="21"/>
              </w:rPr>
              <w:t>的监理人或代建人或招标代理机构同为一个法定代表人</w:t>
            </w:r>
          </w:p>
        </w:tc>
        <w:tc>
          <w:tcPr>
            <w:tcW w:w="1463" w:type="dxa"/>
            <w:noWrap w:val="0"/>
            <w:vAlign w:val="center"/>
          </w:tcPr>
          <w:p w14:paraId="49EE0DDE">
            <w:pPr>
              <w:spacing w:line="360" w:lineRule="auto"/>
              <w:jc w:val="center"/>
              <w:rPr>
                <w:sz w:val="21"/>
                <w:szCs w:val="21"/>
              </w:rPr>
            </w:pPr>
            <w:r>
              <w:rPr>
                <w:sz w:val="21"/>
                <w:szCs w:val="21"/>
              </w:rPr>
              <w:t>1.4.4（8）</w:t>
            </w:r>
          </w:p>
        </w:tc>
        <w:tc>
          <w:tcPr>
            <w:tcW w:w="1192" w:type="dxa"/>
            <w:noWrap w:val="0"/>
            <w:vAlign w:val="center"/>
          </w:tcPr>
          <w:p w14:paraId="4EB4B474">
            <w:pPr>
              <w:spacing w:line="360" w:lineRule="auto"/>
              <w:jc w:val="center"/>
              <w:rPr>
                <w:sz w:val="21"/>
                <w:szCs w:val="21"/>
              </w:rPr>
            </w:pPr>
            <w:r>
              <w:rPr>
                <w:sz w:val="21"/>
                <w:szCs w:val="21"/>
              </w:rPr>
              <w:t>否</w:t>
            </w:r>
          </w:p>
        </w:tc>
        <w:tc>
          <w:tcPr>
            <w:tcW w:w="1189" w:type="dxa"/>
            <w:noWrap w:val="0"/>
            <w:vAlign w:val="center"/>
          </w:tcPr>
          <w:p w14:paraId="6DB6401F">
            <w:pPr>
              <w:spacing w:line="360" w:lineRule="auto"/>
              <w:jc w:val="center"/>
              <w:rPr>
                <w:rFonts w:eastAsia="黑体"/>
                <w:b/>
                <w:szCs w:val="21"/>
              </w:rPr>
            </w:pPr>
          </w:p>
        </w:tc>
      </w:tr>
      <w:tr w14:paraId="20E33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exact"/>
        </w:trPr>
        <w:tc>
          <w:tcPr>
            <w:tcW w:w="675" w:type="dxa"/>
            <w:noWrap w:val="0"/>
            <w:vAlign w:val="center"/>
          </w:tcPr>
          <w:p w14:paraId="3CD6DFF7">
            <w:pPr>
              <w:spacing w:line="360" w:lineRule="auto"/>
              <w:jc w:val="center"/>
              <w:rPr>
                <w:sz w:val="21"/>
                <w:szCs w:val="21"/>
              </w:rPr>
            </w:pPr>
            <w:r>
              <w:rPr>
                <w:sz w:val="21"/>
                <w:szCs w:val="21"/>
              </w:rPr>
              <w:t>10</w:t>
            </w:r>
          </w:p>
        </w:tc>
        <w:tc>
          <w:tcPr>
            <w:tcW w:w="4819" w:type="dxa"/>
            <w:noWrap w:val="0"/>
            <w:vAlign w:val="center"/>
          </w:tcPr>
          <w:p w14:paraId="73CD2C30">
            <w:pPr>
              <w:spacing w:line="260" w:lineRule="exact"/>
              <w:rPr>
                <w:sz w:val="21"/>
                <w:szCs w:val="21"/>
              </w:rPr>
            </w:pPr>
            <w:r>
              <w:rPr>
                <w:sz w:val="21"/>
                <w:szCs w:val="21"/>
              </w:rPr>
              <w:t>是否与本</w:t>
            </w:r>
            <w:r>
              <w:rPr>
                <w:rFonts w:hint="eastAsia"/>
                <w:sz w:val="21"/>
                <w:szCs w:val="21"/>
              </w:rPr>
              <w:t>标段</w:t>
            </w:r>
            <w:r>
              <w:rPr>
                <w:sz w:val="21"/>
                <w:szCs w:val="21"/>
              </w:rPr>
              <w:t>的监理人或代建人或招标代理机构相互控股或参股</w:t>
            </w:r>
          </w:p>
        </w:tc>
        <w:tc>
          <w:tcPr>
            <w:tcW w:w="1463" w:type="dxa"/>
            <w:noWrap w:val="0"/>
            <w:vAlign w:val="center"/>
          </w:tcPr>
          <w:p w14:paraId="286BB17A">
            <w:pPr>
              <w:spacing w:line="360" w:lineRule="auto"/>
              <w:jc w:val="center"/>
              <w:rPr>
                <w:sz w:val="21"/>
                <w:szCs w:val="21"/>
              </w:rPr>
            </w:pPr>
            <w:r>
              <w:rPr>
                <w:sz w:val="21"/>
                <w:szCs w:val="21"/>
              </w:rPr>
              <w:t>1.4.4（9）</w:t>
            </w:r>
          </w:p>
        </w:tc>
        <w:tc>
          <w:tcPr>
            <w:tcW w:w="1192" w:type="dxa"/>
            <w:noWrap w:val="0"/>
            <w:vAlign w:val="center"/>
          </w:tcPr>
          <w:p w14:paraId="04E70FCD">
            <w:pPr>
              <w:spacing w:line="360" w:lineRule="auto"/>
              <w:jc w:val="center"/>
              <w:rPr>
                <w:sz w:val="21"/>
                <w:szCs w:val="21"/>
              </w:rPr>
            </w:pPr>
            <w:r>
              <w:rPr>
                <w:sz w:val="21"/>
                <w:szCs w:val="21"/>
              </w:rPr>
              <w:t>否</w:t>
            </w:r>
          </w:p>
        </w:tc>
        <w:tc>
          <w:tcPr>
            <w:tcW w:w="1189" w:type="dxa"/>
            <w:noWrap w:val="0"/>
            <w:vAlign w:val="center"/>
          </w:tcPr>
          <w:p w14:paraId="23658BD1">
            <w:pPr>
              <w:spacing w:line="360" w:lineRule="auto"/>
              <w:jc w:val="center"/>
              <w:rPr>
                <w:rFonts w:eastAsia="黑体"/>
                <w:b/>
                <w:szCs w:val="21"/>
              </w:rPr>
            </w:pPr>
          </w:p>
        </w:tc>
      </w:tr>
      <w:tr w14:paraId="18F6D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exact"/>
        </w:trPr>
        <w:tc>
          <w:tcPr>
            <w:tcW w:w="675" w:type="dxa"/>
            <w:noWrap w:val="0"/>
            <w:vAlign w:val="center"/>
          </w:tcPr>
          <w:p w14:paraId="3FD61E71">
            <w:pPr>
              <w:spacing w:line="360" w:lineRule="auto"/>
              <w:jc w:val="center"/>
              <w:rPr>
                <w:sz w:val="21"/>
                <w:szCs w:val="21"/>
              </w:rPr>
            </w:pPr>
            <w:r>
              <w:rPr>
                <w:sz w:val="21"/>
                <w:szCs w:val="21"/>
              </w:rPr>
              <w:t>11</w:t>
            </w:r>
          </w:p>
        </w:tc>
        <w:tc>
          <w:tcPr>
            <w:tcW w:w="4819" w:type="dxa"/>
            <w:noWrap w:val="0"/>
            <w:vAlign w:val="center"/>
          </w:tcPr>
          <w:p w14:paraId="301A0B33">
            <w:pPr>
              <w:spacing w:line="260" w:lineRule="exact"/>
              <w:rPr>
                <w:sz w:val="21"/>
                <w:szCs w:val="21"/>
              </w:rPr>
            </w:pPr>
            <w:r>
              <w:rPr>
                <w:sz w:val="21"/>
                <w:szCs w:val="21"/>
              </w:rPr>
              <w:t>是否与本</w:t>
            </w:r>
            <w:r>
              <w:rPr>
                <w:rFonts w:hint="eastAsia"/>
                <w:sz w:val="21"/>
                <w:szCs w:val="21"/>
              </w:rPr>
              <w:t>标段</w:t>
            </w:r>
            <w:r>
              <w:rPr>
                <w:sz w:val="21"/>
                <w:szCs w:val="21"/>
              </w:rPr>
              <w:t>的监理人或代建人或招标代理机构相互任职或工作</w:t>
            </w:r>
          </w:p>
        </w:tc>
        <w:tc>
          <w:tcPr>
            <w:tcW w:w="1463" w:type="dxa"/>
            <w:noWrap w:val="0"/>
            <w:vAlign w:val="center"/>
          </w:tcPr>
          <w:p w14:paraId="3BA66CF9">
            <w:pPr>
              <w:spacing w:line="360" w:lineRule="auto"/>
              <w:jc w:val="center"/>
              <w:rPr>
                <w:sz w:val="21"/>
                <w:szCs w:val="21"/>
              </w:rPr>
            </w:pPr>
            <w:r>
              <w:rPr>
                <w:sz w:val="21"/>
                <w:szCs w:val="21"/>
              </w:rPr>
              <w:t>1.4.4（10）</w:t>
            </w:r>
          </w:p>
        </w:tc>
        <w:tc>
          <w:tcPr>
            <w:tcW w:w="1192" w:type="dxa"/>
            <w:noWrap w:val="0"/>
            <w:vAlign w:val="center"/>
          </w:tcPr>
          <w:p w14:paraId="38B7E6E2">
            <w:pPr>
              <w:spacing w:line="360" w:lineRule="auto"/>
              <w:jc w:val="center"/>
              <w:rPr>
                <w:sz w:val="21"/>
                <w:szCs w:val="21"/>
              </w:rPr>
            </w:pPr>
            <w:r>
              <w:rPr>
                <w:sz w:val="21"/>
                <w:szCs w:val="21"/>
              </w:rPr>
              <w:t>否</w:t>
            </w:r>
          </w:p>
        </w:tc>
        <w:tc>
          <w:tcPr>
            <w:tcW w:w="1189" w:type="dxa"/>
            <w:noWrap w:val="0"/>
            <w:vAlign w:val="center"/>
          </w:tcPr>
          <w:p w14:paraId="14AB5A11">
            <w:pPr>
              <w:spacing w:line="360" w:lineRule="auto"/>
              <w:jc w:val="center"/>
              <w:rPr>
                <w:rFonts w:eastAsia="黑体"/>
                <w:b/>
                <w:szCs w:val="21"/>
              </w:rPr>
            </w:pPr>
          </w:p>
        </w:tc>
      </w:tr>
      <w:tr w14:paraId="641B3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exact"/>
        </w:trPr>
        <w:tc>
          <w:tcPr>
            <w:tcW w:w="675" w:type="dxa"/>
            <w:noWrap w:val="0"/>
            <w:vAlign w:val="center"/>
          </w:tcPr>
          <w:p w14:paraId="5E34417C">
            <w:pPr>
              <w:spacing w:line="360" w:lineRule="auto"/>
              <w:jc w:val="center"/>
              <w:rPr>
                <w:sz w:val="21"/>
                <w:szCs w:val="21"/>
              </w:rPr>
            </w:pPr>
            <w:r>
              <w:rPr>
                <w:sz w:val="21"/>
                <w:szCs w:val="21"/>
              </w:rPr>
              <w:t>12</w:t>
            </w:r>
          </w:p>
        </w:tc>
        <w:tc>
          <w:tcPr>
            <w:tcW w:w="4819" w:type="dxa"/>
            <w:noWrap w:val="0"/>
            <w:vAlign w:val="center"/>
          </w:tcPr>
          <w:p w14:paraId="7952DBCD">
            <w:pPr>
              <w:spacing w:line="260" w:lineRule="exact"/>
              <w:rPr>
                <w:sz w:val="21"/>
                <w:szCs w:val="21"/>
              </w:rPr>
            </w:pPr>
            <w:r>
              <w:rPr>
                <w:sz w:val="21"/>
                <w:szCs w:val="21"/>
              </w:rPr>
              <w:t>是否</w:t>
            </w:r>
            <w:r>
              <w:rPr>
                <w:rFonts w:hint="eastAsia"/>
                <w:sz w:val="21"/>
                <w:szCs w:val="21"/>
              </w:rPr>
              <w:t>被责令停产停业、暂扣或者吊销许可证、暂扣或者吊销执照</w:t>
            </w:r>
          </w:p>
        </w:tc>
        <w:tc>
          <w:tcPr>
            <w:tcW w:w="1463" w:type="dxa"/>
            <w:noWrap w:val="0"/>
            <w:vAlign w:val="center"/>
          </w:tcPr>
          <w:p w14:paraId="68AC51C6">
            <w:pPr>
              <w:spacing w:line="360" w:lineRule="auto"/>
              <w:jc w:val="center"/>
              <w:rPr>
                <w:sz w:val="21"/>
                <w:szCs w:val="21"/>
              </w:rPr>
            </w:pPr>
            <w:r>
              <w:rPr>
                <w:sz w:val="21"/>
                <w:szCs w:val="21"/>
              </w:rPr>
              <w:t>1.4.4（11）</w:t>
            </w:r>
          </w:p>
        </w:tc>
        <w:tc>
          <w:tcPr>
            <w:tcW w:w="1192" w:type="dxa"/>
            <w:noWrap w:val="0"/>
            <w:vAlign w:val="center"/>
          </w:tcPr>
          <w:p w14:paraId="7C733057">
            <w:pPr>
              <w:spacing w:line="360" w:lineRule="auto"/>
              <w:jc w:val="center"/>
              <w:rPr>
                <w:sz w:val="21"/>
                <w:szCs w:val="21"/>
              </w:rPr>
            </w:pPr>
            <w:r>
              <w:rPr>
                <w:sz w:val="21"/>
                <w:szCs w:val="21"/>
              </w:rPr>
              <w:t>否</w:t>
            </w:r>
          </w:p>
        </w:tc>
        <w:tc>
          <w:tcPr>
            <w:tcW w:w="1189" w:type="dxa"/>
            <w:noWrap w:val="0"/>
            <w:vAlign w:val="center"/>
          </w:tcPr>
          <w:p w14:paraId="19539F84">
            <w:pPr>
              <w:spacing w:line="360" w:lineRule="auto"/>
              <w:jc w:val="center"/>
              <w:rPr>
                <w:rFonts w:eastAsia="黑体"/>
                <w:b/>
                <w:szCs w:val="21"/>
              </w:rPr>
            </w:pPr>
          </w:p>
        </w:tc>
      </w:tr>
      <w:tr w14:paraId="7263B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exact"/>
        </w:trPr>
        <w:tc>
          <w:tcPr>
            <w:tcW w:w="675" w:type="dxa"/>
            <w:noWrap w:val="0"/>
            <w:vAlign w:val="center"/>
          </w:tcPr>
          <w:p w14:paraId="0A89720A">
            <w:pPr>
              <w:spacing w:line="360" w:lineRule="auto"/>
              <w:jc w:val="center"/>
              <w:rPr>
                <w:sz w:val="21"/>
                <w:szCs w:val="21"/>
              </w:rPr>
            </w:pPr>
            <w:r>
              <w:rPr>
                <w:sz w:val="21"/>
                <w:szCs w:val="21"/>
              </w:rPr>
              <w:t>13</w:t>
            </w:r>
          </w:p>
        </w:tc>
        <w:tc>
          <w:tcPr>
            <w:tcW w:w="4819" w:type="dxa"/>
            <w:noWrap w:val="0"/>
            <w:vAlign w:val="center"/>
          </w:tcPr>
          <w:p w14:paraId="65BCDFC6">
            <w:pPr>
              <w:rPr>
                <w:sz w:val="21"/>
                <w:szCs w:val="21"/>
              </w:rPr>
            </w:pPr>
            <w:r>
              <w:rPr>
                <w:sz w:val="21"/>
                <w:szCs w:val="21"/>
              </w:rPr>
              <w:t>是否</w:t>
            </w:r>
            <w:r>
              <w:rPr>
                <w:rFonts w:hint="eastAsia"/>
                <w:sz w:val="21"/>
                <w:szCs w:val="21"/>
              </w:rPr>
              <w:t>进入清算程序，或被宣告破产</w:t>
            </w:r>
          </w:p>
        </w:tc>
        <w:tc>
          <w:tcPr>
            <w:tcW w:w="1463" w:type="dxa"/>
            <w:noWrap w:val="0"/>
            <w:vAlign w:val="center"/>
          </w:tcPr>
          <w:p w14:paraId="54DE87BA">
            <w:pPr>
              <w:spacing w:line="360" w:lineRule="auto"/>
              <w:jc w:val="center"/>
              <w:rPr>
                <w:sz w:val="21"/>
                <w:szCs w:val="21"/>
              </w:rPr>
            </w:pPr>
            <w:r>
              <w:rPr>
                <w:sz w:val="21"/>
                <w:szCs w:val="21"/>
              </w:rPr>
              <w:t>1.4.4（12）</w:t>
            </w:r>
          </w:p>
        </w:tc>
        <w:tc>
          <w:tcPr>
            <w:tcW w:w="1192" w:type="dxa"/>
            <w:noWrap w:val="0"/>
            <w:vAlign w:val="center"/>
          </w:tcPr>
          <w:p w14:paraId="05554421">
            <w:pPr>
              <w:spacing w:line="360" w:lineRule="auto"/>
              <w:jc w:val="center"/>
              <w:rPr>
                <w:sz w:val="21"/>
                <w:szCs w:val="21"/>
              </w:rPr>
            </w:pPr>
            <w:r>
              <w:rPr>
                <w:sz w:val="21"/>
                <w:szCs w:val="21"/>
              </w:rPr>
              <w:t>否</w:t>
            </w:r>
          </w:p>
        </w:tc>
        <w:tc>
          <w:tcPr>
            <w:tcW w:w="1189" w:type="dxa"/>
            <w:noWrap w:val="0"/>
            <w:vAlign w:val="center"/>
          </w:tcPr>
          <w:p w14:paraId="28048E04">
            <w:pPr>
              <w:spacing w:line="360" w:lineRule="auto"/>
              <w:jc w:val="center"/>
              <w:rPr>
                <w:rFonts w:eastAsia="黑体"/>
                <w:b/>
                <w:szCs w:val="21"/>
              </w:rPr>
            </w:pPr>
          </w:p>
        </w:tc>
      </w:tr>
      <w:tr w14:paraId="04F76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exact"/>
        </w:trPr>
        <w:tc>
          <w:tcPr>
            <w:tcW w:w="675" w:type="dxa"/>
            <w:noWrap w:val="0"/>
            <w:vAlign w:val="center"/>
          </w:tcPr>
          <w:p w14:paraId="17718BC6">
            <w:pPr>
              <w:spacing w:line="360" w:lineRule="auto"/>
              <w:jc w:val="center"/>
              <w:rPr>
                <w:sz w:val="21"/>
                <w:szCs w:val="21"/>
              </w:rPr>
            </w:pPr>
            <w:r>
              <w:rPr>
                <w:rFonts w:hint="eastAsia"/>
                <w:sz w:val="21"/>
                <w:szCs w:val="21"/>
              </w:rPr>
              <w:t>1</w:t>
            </w:r>
            <w:r>
              <w:rPr>
                <w:sz w:val="21"/>
                <w:szCs w:val="21"/>
              </w:rPr>
              <w:t>4</w:t>
            </w:r>
          </w:p>
        </w:tc>
        <w:tc>
          <w:tcPr>
            <w:tcW w:w="4819" w:type="dxa"/>
            <w:noWrap w:val="0"/>
            <w:vAlign w:val="center"/>
          </w:tcPr>
          <w:p w14:paraId="3D9F0203">
            <w:pPr>
              <w:rPr>
                <w:sz w:val="21"/>
                <w:szCs w:val="21"/>
              </w:rPr>
            </w:pPr>
            <w:r>
              <w:rPr>
                <w:rFonts w:hint="eastAsia"/>
                <w:sz w:val="21"/>
                <w:szCs w:val="21"/>
              </w:rPr>
              <w:t>是否</w:t>
            </w:r>
            <w:r>
              <w:rPr>
                <w:rFonts w:hint="eastAsia" w:hAnsi="宋体"/>
                <w:sz w:val="21"/>
                <w:szCs w:val="21"/>
              </w:rPr>
              <w:t>被依法暂停或取消投标资格</w:t>
            </w:r>
          </w:p>
        </w:tc>
        <w:tc>
          <w:tcPr>
            <w:tcW w:w="1463" w:type="dxa"/>
            <w:noWrap w:val="0"/>
            <w:vAlign w:val="center"/>
          </w:tcPr>
          <w:p w14:paraId="696FB050">
            <w:pPr>
              <w:spacing w:line="360" w:lineRule="auto"/>
              <w:jc w:val="center"/>
              <w:rPr>
                <w:sz w:val="21"/>
                <w:szCs w:val="21"/>
              </w:rPr>
            </w:pPr>
            <w:r>
              <w:rPr>
                <w:rFonts w:hint="eastAsia"/>
                <w:sz w:val="21"/>
                <w:szCs w:val="21"/>
              </w:rPr>
              <w:t>1.4.4（13）</w:t>
            </w:r>
          </w:p>
        </w:tc>
        <w:tc>
          <w:tcPr>
            <w:tcW w:w="1192" w:type="dxa"/>
            <w:noWrap w:val="0"/>
            <w:vAlign w:val="center"/>
          </w:tcPr>
          <w:p w14:paraId="0EFCE306">
            <w:pPr>
              <w:spacing w:line="360" w:lineRule="auto"/>
              <w:jc w:val="center"/>
              <w:rPr>
                <w:sz w:val="21"/>
                <w:szCs w:val="21"/>
              </w:rPr>
            </w:pPr>
            <w:r>
              <w:rPr>
                <w:rFonts w:hint="eastAsia"/>
                <w:sz w:val="21"/>
                <w:szCs w:val="21"/>
              </w:rPr>
              <w:t>否</w:t>
            </w:r>
          </w:p>
        </w:tc>
        <w:tc>
          <w:tcPr>
            <w:tcW w:w="1189" w:type="dxa"/>
            <w:noWrap w:val="0"/>
            <w:vAlign w:val="center"/>
          </w:tcPr>
          <w:p w14:paraId="4C2A184F">
            <w:pPr>
              <w:spacing w:line="360" w:lineRule="auto"/>
              <w:jc w:val="center"/>
              <w:rPr>
                <w:rFonts w:eastAsia="黑体"/>
                <w:b/>
                <w:szCs w:val="21"/>
              </w:rPr>
            </w:pPr>
          </w:p>
        </w:tc>
      </w:tr>
      <w:tr w14:paraId="185BB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exact"/>
        </w:trPr>
        <w:tc>
          <w:tcPr>
            <w:tcW w:w="675" w:type="dxa"/>
            <w:noWrap w:val="0"/>
            <w:vAlign w:val="center"/>
          </w:tcPr>
          <w:p w14:paraId="13F0D007">
            <w:pPr>
              <w:spacing w:line="360" w:lineRule="auto"/>
              <w:jc w:val="center"/>
              <w:rPr>
                <w:rFonts w:hint="eastAsia"/>
                <w:sz w:val="21"/>
                <w:szCs w:val="21"/>
              </w:rPr>
            </w:pPr>
            <w:r>
              <w:rPr>
                <w:rFonts w:hint="eastAsia"/>
                <w:sz w:val="21"/>
                <w:szCs w:val="21"/>
              </w:rPr>
              <w:t>15</w:t>
            </w:r>
          </w:p>
        </w:tc>
        <w:tc>
          <w:tcPr>
            <w:tcW w:w="4819" w:type="dxa"/>
            <w:noWrap w:val="0"/>
            <w:vAlign w:val="center"/>
          </w:tcPr>
          <w:p w14:paraId="3B53B431">
            <w:pPr>
              <w:spacing w:line="260" w:lineRule="exact"/>
              <w:rPr>
                <w:rFonts w:hint="eastAsia"/>
                <w:sz w:val="21"/>
                <w:szCs w:val="21"/>
              </w:rPr>
            </w:pPr>
            <w:r>
              <w:rPr>
                <w:rFonts w:hint="eastAsia"/>
                <w:sz w:val="21"/>
                <w:szCs w:val="21"/>
              </w:rPr>
              <w:t>是否存在法律法规或投标人须知前附表规定的其他情形</w:t>
            </w:r>
          </w:p>
        </w:tc>
        <w:tc>
          <w:tcPr>
            <w:tcW w:w="1463" w:type="dxa"/>
            <w:noWrap w:val="0"/>
            <w:vAlign w:val="center"/>
          </w:tcPr>
          <w:p w14:paraId="5932982B">
            <w:pPr>
              <w:spacing w:line="360" w:lineRule="auto"/>
              <w:jc w:val="center"/>
              <w:rPr>
                <w:rFonts w:hint="eastAsia"/>
                <w:sz w:val="21"/>
                <w:szCs w:val="21"/>
              </w:rPr>
            </w:pPr>
            <w:r>
              <w:rPr>
                <w:rFonts w:hint="eastAsia"/>
                <w:sz w:val="21"/>
                <w:szCs w:val="21"/>
              </w:rPr>
              <w:t>1.4.4（14）</w:t>
            </w:r>
          </w:p>
        </w:tc>
        <w:tc>
          <w:tcPr>
            <w:tcW w:w="1192" w:type="dxa"/>
            <w:noWrap w:val="0"/>
            <w:vAlign w:val="center"/>
          </w:tcPr>
          <w:p w14:paraId="4A10643B">
            <w:pPr>
              <w:spacing w:line="360" w:lineRule="auto"/>
              <w:jc w:val="center"/>
              <w:rPr>
                <w:rFonts w:hint="eastAsia"/>
                <w:sz w:val="21"/>
                <w:szCs w:val="21"/>
              </w:rPr>
            </w:pPr>
            <w:r>
              <w:rPr>
                <w:rFonts w:hint="eastAsia"/>
                <w:sz w:val="21"/>
                <w:szCs w:val="21"/>
              </w:rPr>
              <w:t>否</w:t>
            </w:r>
          </w:p>
        </w:tc>
        <w:tc>
          <w:tcPr>
            <w:tcW w:w="1189" w:type="dxa"/>
            <w:noWrap w:val="0"/>
            <w:vAlign w:val="center"/>
          </w:tcPr>
          <w:p w14:paraId="361F5C2F">
            <w:pPr>
              <w:spacing w:line="360" w:lineRule="auto"/>
              <w:jc w:val="center"/>
              <w:rPr>
                <w:rFonts w:eastAsia="黑体"/>
                <w:b/>
                <w:szCs w:val="21"/>
              </w:rPr>
            </w:pPr>
          </w:p>
        </w:tc>
      </w:tr>
      <w:tr w14:paraId="1D4AA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exact"/>
        </w:trPr>
        <w:tc>
          <w:tcPr>
            <w:tcW w:w="675" w:type="dxa"/>
            <w:noWrap w:val="0"/>
            <w:vAlign w:val="center"/>
          </w:tcPr>
          <w:p w14:paraId="40A09341">
            <w:pPr>
              <w:spacing w:line="360" w:lineRule="auto"/>
              <w:jc w:val="center"/>
              <w:rPr>
                <w:sz w:val="21"/>
                <w:szCs w:val="21"/>
              </w:rPr>
            </w:pPr>
            <w:r>
              <w:rPr>
                <w:sz w:val="21"/>
                <w:szCs w:val="21"/>
              </w:rPr>
              <w:t>16</w:t>
            </w:r>
          </w:p>
        </w:tc>
        <w:tc>
          <w:tcPr>
            <w:tcW w:w="4819" w:type="dxa"/>
            <w:noWrap w:val="0"/>
            <w:vAlign w:val="center"/>
          </w:tcPr>
          <w:p w14:paraId="141D9883">
            <w:pPr>
              <w:spacing w:line="260" w:lineRule="exact"/>
              <w:rPr>
                <w:sz w:val="21"/>
                <w:szCs w:val="21"/>
              </w:rPr>
            </w:pPr>
            <w:r>
              <w:rPr>
                <w:sz w:val="21"/>
                <w:szCs w:val="21"/>
              </w:rPr>
              <w:t>是否存在安全生产许可证超出有效期或处于暂扣时限内</w:t>
            </w:r>
          </w:p>
        </w:tc>
        <w:tc>
          <w:tcPr>
            <w:tcW w:w="1463" w:type="dxa"/>
            <w:noWrap w:val="0"/>
            <w:vAlign w:val="center"/>
          </w:tcPr>
          <w:p w14:paraId="282C7047">
            <w:pPr>
              <w:spacing w:line="360" w:lineRule="auto"/>
              <w:jc w:val="center"/>
              <w:rPr>
                <w:sz w:val="21"/>
                <w:szCs w:val="21"/>
              </w:rPr>
            </w:pPr>
            <w:r>
              <w:rPr>
                <w:sz w:val="21"/>
                <w:szCs w:val="21"/>
              </w:rPr>
              <w:t>1.4.4（15）</w:t>
            </w:r>
          </w:p>
        </w:tc>
        <w:tc>
          <w:tcPr>
            <w:tcW w:w="1192" w:type="dxa"/>
            <w:noWrap w:val="0"/>
            <w:vAlign w:val="center"/>
          </w:tcPr>
          <w:p w14:paraId="79C0F9E4">
            <w:pPr>
              <w:spacing w:line="360" w:lineRule="auto"/>
              <w:jc w:val="center"/>
              <w:rPr>
                <w:sz w:val="21"/>
                <w:szCs w:val="21"/>
              </w:rPr>
            </w:pPr>
            <w:r>
              <w:rPr>
                <w:sz w:val="21"/>
                <w:szCs w:val="21"/>
              </w:rPr>
              <w:t>否</w:t>
            </w:r>
          </w:p>
        </w:tc>
        <w:tc>
          <w:tcPr>
            <w:tcW w:w="1189" w:type="dxa"/>
            <w:noWrap w:val="0"/>
            <w:vAlign w:val="center"/>
          </w:tcPr>
          <w:p w14:paraId="02AFDC13">
            <w:pPr>
              <w:spacing w:line="360" w:lineRule="auto"/>
              <w:jc w:val="center"/>
              <w:rPr>
                <w:rFonts w:eastAsia="黑体"/>
                <w:b/>
                <w:szCs w:val="21"/>
              </w:rPr>
            </w:pPr>
          </w:p>
        </w:tc>
      </w:tr>
      <w:tr w14:paraId="6AFAC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exact"/>
        </w:trPr>
        <w:tc>
          <w:tcPr>
            <w:tcW w:w="675" w:type="dxa"/>
            <w:noWrap w:val="0"/>
            <w:vAlign w:val="center"/>
          </w:tcPr>
          <w:p w14:paraId="053C6641">
            <w:pPr>
              <w:spacing w:line="360" w:lineRule="auto"/>
              <w:jc w:val="center"/>
              <w:rPr>
                <w:sz w:val="21"/>
                <w:szCs w:val="21"/>
              </w:rPr>
            </w:pPr>
            <w:r>
              <w:rPr>
                <w:rFonts w:hint="eastAsia"/>
                <w:sz w:val="21"/>
                <w:szCs w:val="21"/>
              </w:rPr>
              <w:t>17</w:t>
            </w:r>
          </w:p>
        </w:tc>
        <w:tc>
          <w:tcPr>
            <w:tcW w:w="4819" w:type="dxa"/>
            <w:noWrap w:val="0"/>
            <w:vAlign w:val="center"/>
          </w:tcPr>
          <w:p w14:paraId="363109BF">
            <w:pPr>
              <w:spacing w:line="260" w:lineRule="exact"/>
              <w:rPr>
                <w:sz w:val="21"/>
                <w:szCs w:val="21"/>
              </w:rPr>
            </w:pPr>
            <w:r>
              <w:rPr>
                <w:rFonts w:hint="eastAsia"/>
                <w:sz w:val="21"/>
                <w:szCs w:val="21"/>
              </w:rPr>
              <w:t>是否存在投标人及相关管理人员安全生产任职资格不符合相关规定</w:t>
            </w:r>
          </w:p>
        </w:tc>
        <w:tc>
          <w:tcPr>
            <w:tcW w:w="1463" w:type="dxa"/>
            <w:noWrap w:val="0"/>
            <w:vAlign w:val="center"/>
          </w:tcPr>
          <w:p w14:paraId="6D9E18F3">
            <w:pPr>
              <w:spacing w:line="360" w:lineRule="auto"/>
              <w:jc w:val="center"/>
              <w:rPr>
                <w:sz w:val="21"/>
                <w:szCs w:val="21"/>
              </w:rPr>
            </w:pPr>
            <w:r>
              <w:rPr>
                <w:rFonts w:hint="eastAsia"/>
                <w:sz w:val="21"/>
                <w:szCs w:val="21"/>
              </w:rPr>
              <w:t>1.4.4（16）</w:t>
            </w:r>
          </w:p>
        </w:tc>
        <w:tc>
          <w:tcPr>
            <w:tcW w:w="1192" w:type="dxa"/>
            <w:noWrap w:val="0"/>
            <w:vAlign w:val="center"/>
          </w:tcPr>
          <w:p w14:paraId="385363A2">
            <w:pPr>
              <w:spacing w:line="360" w:lineRule="auto"/>
              <w:jc w:val="center"/>
              <w:rPr>
                <w:sz w:val="21"/>
                <w:szCs w:val="21"/>
              </w:rPr>
            </w:pPr>
            <w:r>
              <w:rPr>
                <w:rFonts w:hint="eastAsia"/>
                <w:sz w:val="21"/>
                <w:szCs w:val="21"/>
              </w:rPr>
              <w:t>否</w:t>
            </w:r>
          </w:p>
        </w:tc>
        <w:tc>
          <w:tcPr>
            <w:tcW w:w="1189" w:type="dxa"/>
            <w:noWrap w:val="0"/>
            <w:vAlign w:val="center"/>
          </w:tcPr>
          <w:p w14:paraId="39DBDD4A">
            <w:pPr>
              <w:spacing w:line="360" w:lineRule="auto"/>
              <w:jc w:val="center"/>
              <w:rPr>
                <w:rFonts w:eastAsia="黑体"/>
                <w:b/>
                <w:szCs w:val="21"/>
              </w:rPr>
            </w:pPr>
          </w:p>
        </w:tc>
      </w:tr>
      <w:tr w14:paraId="7DB85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exact"/>
        </w:trPr>
        <w:tc>
          <w:tcPr>
            <w:tcW w:w="675" w:type="dxa"/>
            <w:noWrap w:val="0"/>
            <w:vAlign w:val="center"/>
          </w:tcPr>
          <w:p w14:paraId="7C555FCE">
            <w:pPr>
              <w:spacing w:line="360" w:lineRule="auto"/>
              <w:jc w:val="center"/>
              <w:rPr>
                <w:sz w:val="21"/>
                <w:szCs w:val="21"/>
              </w:rPr>
            </w:pPr>
            <w:r>
              <w:rPr>
                <w:sz w:val="21"/>
                <w:szCs w:val="21"/>
              </w:rPr>
              <w:t>18</w:t>
            </w:r>
          </w:p>
        </w:tc>
        <w:tc>
          <w:tcPr>
            <w:tcW w:w="4819" w:type="dxa"/>
            <w:noWrap w:val="0"/>
            <w:vAlign w:val="center"/>
          </w:tcPr>
          <w:p w14:paraId="114B590D">
            <w:pPr>
              <w:spacing w:line="260" w:lineRule="exact"/>
              <w:rPr>
                <w:sz w:val="21"/>
                <w:szCs w:val="21"/>
              </w:rPr>
            </w:pPr>
            <w:r>
              <w:rPr>
                <w:sz w:val="21"/>
                <w:szCs w:val="21"/>
              </w:rPr>
              <w:t>是否存在投标人（包括法定代表人）有行贿犯罪记录的（由投标文件提交截止之日上溯3年，行贿犯罪记录日期以法院判决生效日期为准）</w:t>
            </w:r>
          </w:p>
        </w:tc>
        <w:tc>
          <w:tcPr>
            <w:tcW w:w="1463" w:type="dxa"/>
            <w:noWrap w:val="0"/>
            <w:vAlign w:val="center"/>
          </w:tcPr>
          <w:p w14:paraId="3D1FEEBF">
            <w:pPr>
              <w:spacing w:line="360" w:lineRule="auto"/>
              <w:jc w:val="center"/>
              <w:rPr>
                <w:sz w:val="21"/>
                <w:szCs w:val="21"/>
              </w:rPr>
            </w:pPr>
            <w:r>
              <w:rPr>
                <w:sz w:val="21"/>
                <w:szCs w:val="21"/>
              </w:rPr>
              <w:t>1.4.4（17）</w:t>
            </w:r>
          </w:p>
        </w:tc>
        <w:tc>
          <w:tcPr>
            <w:tcW w:w="1192" w:type="dxa"/>
            <w:noWrap w:val="0"/>
            <w:vAlign w:val="center"/>
          </w:tcPr>
          <w:p w14:paraId="0F78524B">
            <w:pPr>
              <w:spacing w:line="360" w:lineRule="auto"/>
              <w:jc w:val="center"/>
              <w:rPr>
                <w:sz w:val="21"/>
                <w:szCs w:val="21"/>
              </w:rPr>
            </w:pPr>
            <w:r>
              <w:rPr>
                <w:sz w:val="21"/>
                <w:szCs w:val="21"/>
              </w:rPr>
              <w:t>否</w:t>
            </w:r>
          </w:p>
        </w:tc>
        <w:tc>
          <w:tcPr>
            <w:tcW w:w="1189" w:type="dxa"/>
            <w:noWrap w:val="0"/>
            <w:vAlign w:val="center"/>
          </w:tcPr>
          <w:p w14:paraId="713A06C4">
            <w:pPr>
              <w:spacing w:line="360" w:lineRule="auto"/>
              <w:jc w:val="center"/>
              <w:rPr>
                <w:rFonts w:eastAsia="黑体"/>
                <w:b/>
                <w:szCs w:val="21"/>
              </w:rPr>
            </w:pPr>
          </w:p>
        </w:tc>
      </w:tr>
      <w:tr w14:paraId="00A90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3" w:hRule="exact"/>
        </w:trPr>
        <w:tc>
          <w:tcPr>
            <w:tcW w:w="675" w:type="dxa"/>
            <w:noWrap w:val="0"/>
            <w:vAlign w:val="center"/>
          </w:tcPr>
          <w:p w14:paraId="44AD65EF">
            <w:pPr>
              <w:spacing w:line="360" w:lineRule="auto"/>
              <w:jc w:val="center"/>
              <w:rPr>
                <w:sz w:val="21"/>
                <w:szCs w:val="21"/>
              </w:rPr>
            </w:pPr>
            <w:r>
              <w:rPr>
                <w:sz w:val="21"/>
                <w:szCs w:val="21"/>
              </w:rPr>
              <w:t>19</w:t>
            </w:r>
          </w:p>
        </w:tc>
        <w:tc>
          <w:tcPr>
            <w:tcW w:w="4819" w:type="dxa"/>
            <w:noWrap w:val="0"/>
            <w:vAlign w:val="center"/>
          </w:tcPr>
          <w:p w14:paraId="12AE64DD">
            <w:pPr>
              <w:spacing w:line="260" w:lineRule="exact"/>
              <w:rPr>
                <w:sz w:val="21"/>
                <w:szCs w:val="21"/>
              </w:rPr>
            </w:pPr>
            <w:r>
              <w:rPr>
                <w:rFonts w:hint="eastAsia"/>
                <w:sz w:val="21"/>
                <w:szCs w:val="21"/>
              </w:rPr>
              <w:t>是否存在《省外企业进浙承接业务备案证明》超出有效期或未能在“浙江省建筑市场监管公共服务系统”对外发布形成的备案信息中显示的或已注销的（仅指浙江省省外企业）（若为联合体，联合体成员为省外企业均应提供）</w:t>
            </w:r>
          </w:p>
        </w:tc>
        <w:tc>
          <w:tcPr>
            <w:tcW w:w="1463" w:type="dxa"/>
            <w:noWrap w:val="0"/>
            <w:vAlign w:val="center"/>
          </w:tcPr>
          <w:p w14:paraId="62ACAFAA">
            <w:pPr>
              <w:spacing w:line="360" w:lineRule="auto"/>
              <w:jc w:val="center"/>
              <w:rPr>
                <w:sz w:val="21"/>
                <w:szCs w:val="21"/>
              </w:rPr>
            </w:pPr>
            <w:r>
              <w:rPr>
                <w:sz w:val="21"/>
                <w:szCs w:val="21"/>
              </w:rPr>
              <w:t>1.4.4（18）</w:t>
            </w:r>
          </w:p>
        </w:tc>
        <w:tc>
          <w:tcPr>
            <w:tcW w:w="1192" w:type="dxa"/>
            <w:noWrap w:val="0"/>
            <w:vAlign w:val="center"/>
          </w:tcPr>
          <w:p w14:paraId="626EB206">
            <w:pPr>
              <w:spacing w:line="360" w:lineRule="auto"/>
              <w:jc w:val="center"/>
              <w:rPr>
                <w:sz w:val="21"/>
                <w:szCs w:val="21"/>
              </w:rPr>
            </w:pPr>
            <w:r>
              <w:rPr>
                <w:sz w:val="21"/>
                <w:szCs w:val="21"/>
              </w:rPr>
              <w:t>否</w:t>
            </w:r>
          </w:p>
        </w:tc>
        <w:tc>
          <w:tcPr>
            <w:tcW w:w="1189" w:type="dxa"/>
            <w:noWrap w:val="0"/>
            <w:vAlign w:val="center"/>
          </w:tcPr>
          <w:p w14:paraId="10BBD6B3">
            <w:pPr>
              <w:spacing w:line="360" w:lineRule="auto"/>
              <w:jc w:val="center"/>
              <w:rPr>
                <w:rFonts w:eastAsia="黑体"/>
                <w:b/>
                <w:szCs w:val="21"/>
              </w:rPr>
            </w:pPr>
          </w:p>
        </w:tc>
      </w:tr>
    </w:tbl>
    <w:p w14:paraId="4BEBF465">
      <w:pPr>
        <w:spacing w:line="440" w:lineRule="exact"/>
        <w:rPr>
          <w:szCs w:val="21"/>
        </w:rPr>
      </w:pPr>
      <w:r>
        <w:rPr>
          <w:szCs w:val="21"/>
        </w:rPr>
        <w:t xml:space="preserve">法定代表人（签字或盖章）：            投  标  人（盖章）：       年    月    日 </w:t>
      </w:r>
    </w:p>
    <w:p w14:paraId="275CE53B">
      <w:pPr>
        <w:pStyle w:val="11"/>
        <w:rPr>
          <w:szCs w:val="21"/>
        </w:rPr>
      </w:pPr>
    </w:p>
    <w:p w14:paraId="7B3BF3C2">
      <w:pPr>
        <w:pStyle w:val="5"/>
        <w:rPr>
          <w:szCs w:val="21"/>
        </w:rPr>
      </w:pPr>
    </w:p>
    <w:p w14:paraId="620207DD">
      <w:pPr>
        <w:pStyle w:val="11"/>
      </w:pPr>
    </w:p>
    <w:p w14:paraId="7B40EF38">
      <w:pPr>
        <w:spacing w:line="440" w:lineRule="exact"/>
        <w:rPr>
          <w:sz w:val="24"/>
          <w:u w:val="single"/>
        </w:rPr>
      </w:pPr>
      <w:r>
        <w:rPr>
          <w:rFonts w:ascii="黑体" w:hAnsi="黑体" w:eastAsia="黑体"/>
          <w:sz w:val="28"/>
          <w:szCs w:val="28"/>
        </w:rPr>
        <w:t>五、台州市建设工程投标项目负责人资格自查表</w:t>
      </w:r>
    </w:p>
    <w:p w14:paraId="35250770">
      <w:pPr>
        <w:spacing w:line="360" w:lineRule="auto"/>
        <w:jc w:val="center"/>
        <w:rPr>
          <w:sz w:val="24"/>
        </w:rPr>
      </w:pPr>
      <w:r>
        <w:rPr>
          <w:sz w:val="24"/>
          <w:u w:val="single"/>
        </w:rPr>
        <w:t xml:space="preserve">                              </w:t>
      </w:r>
      <w:r>
        <w:rPr>
          <w:sz w:val="24"/>
        </w:rPr>
        <w:t>工程</w:t>
      </w:r>
    </w:p>
    <w:p w14:paraId="78E41A22">
      <w:pPr>
        <w:spacing w:line="440" w:lineRule="exact"/>
        <w:jc w:val="center"/>
        <w:rPr>
          <w:rFonts w:eastAsia="黑体"/>
          <w:b/>
          <w:sz w:val="30"/>
          <w:szCs w:val="30"/>
        </w:rPr>
      </w:pPr>
      <w:r>
        <w:rPr>
          <w:rFonts w:eastAsia="黑体"/>
          <w:b/>
          <w:sz w:val="30"/>
          <w:szCs w:val="30"/>
        </w:rPr>
        <w:t>台州市建设工程投标项目负责人资格自查表</w:t>
      </w:r>
    </w:p>
    <w:p w14:paraId="20D41CC7">
      <w:pPr>
        <w:spacing w:line="440" w:lineRule="exact"/>
        <w:jc w:val="center"/>
        <w:rPr>
          <w:rFonts w:eastAsia="黑体"/>
          <w:b/>
          <w:sz w:val="30"/>
          <w:szCs w:val="30"/>
        </w:rPr>
      </w:pP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8"/>
        <w:gridCol w:w="4754"/>
        <w:gridCol w:w="1097"/>
        <w:gridCol w:w="1462"/>
        <w:gridCol w:w="707"/>
      </w:tblGrid>
      <w:tr w14:paraId="64126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658" w:type="dxa"/>
            <w:noWrap w:val="0"/>
            <w:vAlign w:val="center"/>
          </w:tcPr>
          <w:p w14:paraId="5D525C02">
            <w:pPr>
              <w:adjustRightInd w:val="0"/>
              <w:snapToGrid w:val="0"/>
              <w:jc w:val="center"/>
              <w:rPr>
                <w:rFonts w:eastAsia="黑体"/>
                <w:b/>
                <w:sz w:val="21"/>
                <w:szCs w:val="21"/>
              </w:rPr>
            </w:pPr>
            <w:r>
              <w:rPr>
                <w:rFonts w:eastAsia="黑体"/>
                <w:b/>
                <w:sz w:val="21"/>
                <w:szCs w:val="21"/>
              </w:rPr>
              <w:t>序号</w:t>
            </w:r>
          </w:p>
        </w:tc>
        <w:tc>
          <w:tcPr>
            <w:tcW w:w="4754" w:type="dxa"/>
            <w:noWrap w:val="0"/>
            <w:vAlign w:val="center"/>
          </w:tcPr>
          <w:p w14:paraId="4EEC20D9">
            <w:pPr>
              <w:adjustRightInd w:val="0"/>
              <w:snapToGrid w:val="0"/>
              <w:jc w:val="center"/>
              <w:rPr>
                <w:rFonts w:eastAsia="黑体"/>
                <w:b/>
                <w:sz w:val="21"/>
                <w:szCs w:val="21"/>
              </w:rPr>
            </w:pPr>
            <w:r>
              <w:rPr>
                <w:rFonts w:eastAsia="黑体"/>
                <w:b/>
                <w:sz w:val="21"/>
                <w:szCs w:val="21"/>
              </w:rPr>
              <w:t>自查内容</w:t>
            </w:r>
          </w:p>
        </w:tc>
        <w:tc>
          <w:tcPr>
            <w:tcW w:w="1097" w:type="dxa"/>
            <w:noWrap w:val="0"/>
            <w:vAlign w:val="center"/>
          </w:tcPr>
          <w:p w14:paraId="702A5C87">
            <w:pPr>
              <w:adjustRightInd w:val="0"/>
              <w:snapToGrid w:val="0"/>
              <w:jc w:val="center"/>
              <w:rPr>
                <w:rFonts w:eastAsia="黑体"/>
                <w:b/>
                <w:sz w:val="21"/>
                <w:szCs w:val="21"/>
              </w:rPr>
            </w:pPr>
            <w:r>
              <w:rPr>
                <w:rFonts w:eastAsia="黑体"/>
                <w:b/>
                <w:sz w:val="21"/>
                <w:szCs w:val="21"/>
              </w:rPr>
              <w:t>招标文件条款号</w:t>
            </w:r>
          </w:p>
        </w:tc>
        <w:tc>
          <w:tcPr>
            <w:tcW w:w="1462" w:type="dxa"/>
            <w:noWrap w:val="0"/>
            <w:vAlign w:val="center"/>
          </w:tcPr>
          <w:p w14:paraId="07528D37">
            <w:pPr>
              <w:adjustRightInd w:val="0"/>
              <w:snapToGrid w:val="0"/>
              <w:jc w:val="center"/>
              <w:rPr>
                <w:rFonts w:eastAsia="黑体"/>
                <w:b/>
                <w:sz w:val="21"/>
                <w:szCs w:val="21"/>
              </w:rPr>
            </w:pPr>
            <w:r>
              <w:rPr>
                <w:rFonts w:eastAsia="黑体"/>
                <w:b/>
                <w:sz w:val="21"/>
                <w:szCs w:val="21"/>
              </w:rPr>
              <w:t>投标要求</w:t>
            </w:r>
          </w:p>
        </w:tc>
        <w:tc>
          <w:tcPr>
            <w:tcW w:w="707" w:type="dxa"/>
            <w:noWrap w:val="0"/>
            <w:vAlign w:val="center"/>
          </w:tcPr>
          <w:p w14:paraId="57F02A6B">
            <w:pPr>
              <w:adjustRightInd w:val="0"/>
              <w:snapToGrid w:val="0"/>
              <w:jc w:val="center"/>
              <w:rPr>
                <w:rFonts w:eastAsia="黑体"/>
                <w:b/>
                <w:sz w:val="21"/>
                <w:szCs w:val="21"/>
              </w:rPr>
            </w:pPr>
            <w:r>
              <w:rPr>
                <w:rFonts w:eastAsia="黑体"/>
                <w:b/>
                <w:sz w:val="21"/>
                <w:szCs w:val="21"/>
              </w:rPr>
              <w:t>自查情况</w:t>
            </w:r>
          </w:p>
        </w:tc>
      </w:tr>
      <w:tr w14:paraId="20064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exact"/>
        </w:trPr>
        <w:tc>
          <w:tcPr>
            <w:tcW w:w="658" w:type="dxa"/>
            <w:noWrap w:val="0"/>
            <w:vAlign w:val="center"/>
          </w:tcPr>
          <w:p w14:paraId="387AB72A">
            <w:pPr>
              <w:spacing w:line="360" w:lineRule="auto"/>
              <w:jc w:val="center"/>
              <w:rPr>
                <w:sz w:val="21"/>
                <w:szCs w:val="21"/>
              </w:rPr>
            </w:pPr>
            <w:r>
              <w:rPr>
                <w:sz w:val="21"/>
                <w:szCs w:val="21"/>
              </w:rPr>
              <w:t>1</w:t>
            </w:r>
          </w:p>
        </w:tc>
        <w:tc>
          <w:tcPr>
            <w:tcW w:w="4754" w:type="dxa"/>
            <w:noWrap w:val="0"/>
            <w:vAlign w:val="center"/>
          </w:tcPr>
          <w:p w14:paraId="3366FAB4">
            <w:pPr>
              <w:spacing w:line="360" w:lineRule="auto"/>
              <w:rPr>
                <w:b/>
                <w:sz w:val="21"/>
                <w:szCs w:val="21"/>
              </w:rPr>
            </w:pPr>
            <w:r>
              <w:rPr>
                <w:sz w:val="21"/>
                <w:szCs w:val="21"/>
              </w:rPr>
              <w:t>投标项目负责人建造师专业和等级是否符合</w:t>
            </w:r>
          </w:p>
        </w:tc>
        <w:tc>
          <w:tcPr>
            <w:tcW w:w="1097" w:type="dxa"/>
            <w:noWrap w:val="0"/>
            <w:vAlign w:val="center"/>
          </w:tcPr>
          <w:p w14:paraId="4CBCA959">
            <w:pPr>
              <w:spacing w:line="360" w:lineRule="auto"/>
              <w:jc w:val="center"/>
              <w:rPr>
                <w:sz w:val="21"/>
                <w:szCs w:val="21"/>
              </w:rPr>
            </w:pPr>
            <w:r>
              <w:rPr>
                <w:sz w:val="21"/>
                <w:szCs w:val="21"/>
              </w:rPr>
              <w:t>1.4.1（3）</w:t>
            </w:r>
          </w:p>
        </w:tc>
        <w:tc>
          <w:tcPr>
            <w:tcW w:w="1462" w:type="dxa"/>
            <w:noWrap w:val="0"/>
            <w:vAlign w:val="center"/>
          </w:tcPr>
          <w:p w14:paraId="334902A7">
            <w:pPr>
              <w:spacing w:line="360" w:lineRule="auto"/>
              <w:jc w:val="center"/>
              <w:rPr>
                <w:rFonts w:eastAsia="黑体"/>
                <w:sz w:val="21"/>
                <w:szCs w:val="21"/>
              </w:rPr>
            </w:pPr>
            <w:r>
              <w:rPr>
                <w:rFonts w:eastAsia="黑体"/>
                <w:sz w:val="21"/>
                <w:szCs w:val="21"/>
              </w:rPr>
              <w:t>是</w:t>
            </w:r>
          </w:p>
        </w:tc>
        <w:tc>
          <w:tcPr>
            <w:tcW w:w="707" w:type="dxa"/>
            <w:noWrap w:val="0"/>
            <w:vAlign w:val="top"/>
          </w:tcPr>
          <w:p w14:paraId="50A0C266">
            <w:pPr>
              <w:spacing w:line="360" w:lineRule="auto"/>
              <w:jc w:val="center"/>
              <w:rPr>
                <w:rFonts w:eastAsia="黑体"/>
                <w:b/>
                <w:sz w:val="21"/>
                <w:szCs w:val="21"/>
              </w:rPr>
            </w:pPr>
          </w:p>
        </w:tc>
      </w:tr>
      <w:tr w14:paraId="0F1B0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5" w:hRule="exact"/>
        </w:trPr>
        <w:tc>
          <w:tcPr>
            <w:tcW w:w="658" w:type="dxa"/>
            <w:noWrap w:val="0"/>
            <w:vAlign w:val="center"/>
          </w:tcPr>
          <w:p w14:paraId="534A4F07">
            <w:pPr>
              <w:spacing w:line="360" w:lineRule="auto"/>
              <w:jc w:val="center"/>
              <w:rPr>
                <w:b/>
                <w:sz w:val="21"/>
                <w:szCs w:val="21"/>
              </w:rPr>
            </w:pPr>
            <w:r>
              <w:rPr>
                <w:b/>
                <w:sz w:val="21"/>
                <w:szCs w:val="21"/>
              </w:rPr>
              <w:t>2</w:t>
            </w:r>
          </w:p>
        </w:tc>
        <w:tc>
          <w:tcPr>
            <w:tcW w:w="4754" w:type="dxa"/>
            <w:noWrap w:val="0"/>
            <w:vAlign w:val="center"/>
          </w:tcPr>
          <w:p w14:paraId="33D4DA28">
            <w:pPr>
              <w:adjustRightInd w:val="0"/>
              <w:snapToGrid w:val="0"/>
              <w:rPr>
                <w:rFonts w:hint="eastAsia"/>
                <w:b/>
                <w:sz w:val="21"/>
                <w:szCs w:val="21"/>
              </w:rPr>
            </w:pPr>
            <w:r>
              <w:rPr>
                <w:rFonts w:hint="eastAsia"/>
                <w:b/>
                <w:sz w:val="21"/>
                <w:szCs w:val="21"/>
              </w:rPr>
              <w:t>投标项目负责人在建状态存在下列四种之一情形的：</w:t>
            </w:r>
          </w:p>
          <w:p w14:paraId="5D02EDE4">
            <w:pPr>
              <w:adjustRightInd w:val="0"/>
              <w:snapToGrid w:val="0"/>
              <w:ind w:firstLine="413" w:firstLineChars="196"/>
              <w:rPr>
                <w:rFonts w:hint="eastAsia"/>
                <w:b/>
                <w:sz w:val="21"/>
                <w:szCs w:val="21"/>
              </w:rPr>
            </w:pPr>
            <w:r>
              <w:rPr>
                <w:rFonts w:hint="eastAsia"/>
                <w:b/>
                <w:sz w:val="21"/>
                <w:szCs w:val="21"/>
              </w:rPr>
              <w:t>（1）无在建；</w:t>
            </w:r>
          </w:p>
          <w:p w14:paraId="29487ED5">
            <w:pPr>
              <w:adjustRightInd w:val="0"/>
              <w:snapToGrid w:val="0"/>
              <w:ind w:firstLine="413" w:firstLineChars="196"/>
              <w:rPr>
                <w:rFonts w:hint="eastAsia"/>
                <w:b/>
                <w:sz w:val="21"/>
                <w:szCs w:val="21"/>
              </w:rPr>
            </w:pPr>
            <w:r>
              <w:rPr>
                <w:rFonts w:hint="eastAsia"/>
                <w:b/>
                <w:sz w:val="21"/>
                <w:szCs w:val="21"/>
              </w:rPr>
              <w:t>（2）原承接的项目与本工程属于同一工程相邻分段发包或分期施工的；（证明格式自拟）</w:t>
            </w:r>
          </w:p>
          <w:p w14:paraId="3CFE41D9">
            <w:pPr>
              <w:adjustRightInd w:val="0"/>
              <w:snapToGrid w:val="0"/>
              <w:ind w:firstLine="413" w:firstLineChars="196"/>
              <w:rPr>
                <w:rFonts w:hint="eastAsia"/>
                <w:b/>
                <w:sz w:val="21"/>
                <w:szCs w:val="21"/>
              </w:rPr>
            </w:pPr>
            <w:r>
              <w:rPr>
                <w:rFonts w:hint="eastAsia"/>
                <w:b/>
                <w:sz w:val="21"/>
                <w:szCs w:val="21"/>
              </w:rPr>
              <w:t>（3）因非承包方原因致使工程项目停工超过120天（含），经原建设单位同意的（须提供停工报告和经工程所在地建设（建筑业）行政主管部门盖章的书面停工证明（格式详见附件十一））；</w:t>
            </w:r>
          </w:p>
          <w:p w14:paraId="5CD026DF">
            <w:pPr>
              <w:adjustRightInd w:val="0"/>
              <w:snapToGrid w:val="0"/>
              <w:ind w:firstLine="413" w:firstLineChars="196"/>
              <w:rPr>
                <w:rFonts w:hint="eastAsia"/>
                <w:b/>
                <w:sz w:val="21"/>
                <w:szCs w:val="21"/>
              </w:rPr>
            </w:pPr>
            <w:r>
              <w:rPr>
                <w:rFonts w:hint="eastAsia"/>
                <w:b/>
                <w:sz w:val="21"/>
                <w:szCs w:val="21"/>
              </w:rPr>
              <w:t>（4）合同约定的工程已完工，承包方向建设单位提交竣工报告时间已超过120天（含），经原建设单位同意的（须提供竣工报告和工程所在地建设（建筑业）行政主管部门书面证明（格式详见附件十二））。</w:t>
            </w:r>
          </w:p>
          <w:p w14:paraId="430E9AF3">
            <w:pPr>
              <w:adjustRightInd w:val="0"/>
              <w:snapToGrid w:val="0"/>
              <w:rPr>
                <w:rFonts w:hint="eastAsia"/>
                <w:b/>
                <w:sz w:val="21"/>
                <w:szCs w:val="21"/>
              </w:rPr>
            </w:pPr>
            <w:r>
              <w:rPr>
                <w:rFonts w:hint="eastAsia"/>
                <w:b/>
                <w:sz w:val="21"/>
                <w:szCs w:val="21"/>
              </w:rPr>
              <w:t>属上述（2）、（3）、（4）情形的，投标人应在投标文件中提交有关书面证明材料（以电子文档形式随资信标上传）。</w:t>
            </w:r>
          </w:p>
        </w:tc>
        <w:tc>
          <w:tcPr>
            <w:tcW w:w="1097" w:type="dxa"/>
            <w:noWrap w:val="0"/>
            <w:vAlign w:val="center"/>
          </w:tcPr>
          <w:p w14:paraId="3C4516C9">
            <w:pPr>
              <w:spacing w:line="360" w:lineRule="auto"/>
              <w:jc w:val="center"/>
              <w:rPr>
                <w:sz w:val="21"/>
                <w:szCs w:val="21"/>
              </w:rPr>
            </w:pPr>
            <w:r>
              <w:rPr>
                <w:sz w:val="21"/>
                <w:szCs w:val="21"/>
              </w:rPr>
              <w:t>10.3</w:t>
            </w:r>
          </w:p>
        </w:tc>
        <w:tc>
          <w:tcPr>
            <w:tcW w:w="1462" w:type="dxa"/>
            <w:noWrap w:val="0"/>
            <w:vAlign w:val="center"/>
          </w:tcPr>
          <w:p w14:paraId="7A1CD57B">
            <w:pPr>
              <w:spacing w:line="360" w:lineRule="auto"/>
              <w:rPr>
                <w:sz w:val="21"/>
                <w:szCs w:val="21"/>
              </w:rPr>
            </w:pPr>
            <w:r>
              <w:rPr>
                <w:b/>
                <w:sz w:val="21"/>
                <w:szCs w:val="21"/>
              </w:rPr>
              <w:t>应是（1）、（2）、（3）、（4）之一情形。自查应填写属何种情形</w:t>
            </w:r>
          </w:p>
        </w:tc>
        <w:tc>
          <w:tcPr>
            <w:tcW w:w="707" w:type="dxa"/>
            <w:noWrap w:val="0"/>
            <w:vAlign w:val="center"/>
          </w:tcPr>
          <w:p w14:paraId="3D774ACC">
            <w:pPr>
              <w:spacing w:line="360" w:lineRule="auto"/>
              <w:rPr>
                <w:rFonts w:eastAsia="黑体"/>
                <w:b/>
                <w:sz w:val="21"/>
                <w:szCs w:val="21"/>
              </w:rPr>
            </w:pPr>
            <w:r>
              <w:rPr>
                <w:sz w:val="21"/>
                <w:szCs w:val="21"/>
              </w:rPr>
              <w:t>属</w:t>
            </w:r>
            <w:r>
              <w:rPr>
                <w:sz w:val="21"/>
                <w:szCs w:val="21"/>
                <w:u w:val="single"/>
              </w:rPr>
              <w:t xml:space="preserve">   </w:t>
            </w:r>
            <w:r>
              <w:rPr>
                <w:sz w:val="21"/>
                <w:szCs w:val="21"/>
              </w:rPr>
              <w:t>情形</w:t>
            </w:r>
          </w:p>
        </w:tc>
      </w:tr>
      <w:tr w14:paraId="5A270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 w:hRule="exact"/>
        </w:trPr>
        <w:tc>
          <w:tcPr>
            <w:tcW w:w="658" w:type="dxa"/>
            <w:noWrap w:val="0"/>
            <w:vAlign w:val="center"/>
          </w:tcPr>
          <w:p w14:paraId="7966BB55">
            <w:pPr>
              <w:spacing w:line="360" w:lineRule="auto"/>
              <w:jc w:val="center"/>
              <w:rPr>
                <w:b/>
                <w:sz w:val="21"/>
                <w:szCs w:val="21"/>
              </w:rPr>
            </w:pPr>
            <w:r>
              <w:rPr>
                <w:b/>
                <w:sz w:val="21"/>
                <w:szCs w:val="21"/>
              </w:rPr>
              <w:t>3</w:t>
            </w:r>
          </w:p>
        </w:tc>
        <w:tc>
          <w:tcPr>
            <w:tcW w:w="4754" w:type="dxa"/>
            <w:noWrap w:val="0"/>
            <w:vAlign w:val="center"/>
          </w:tcPr>
          <w:p w14:paraId="2B756134">
            <w:pPr>
              <w:adjustRightInd w:val="0"/>
              <w:snapToGrid w:val="0"/>
              <w:rPr>
                <w:b/>
                <w:sz w:val="21"/>
                <w:szCs w:val="21"/>
              </w:rPr>
            </w:pPr>
            <w:r>
              <w:rPr>
                <w:b/>
                <w:sz w:val="21"/>
                <w:szCs w:val="21"/>
              </w:rPr>
              <w:t>项目负责人是否存在同时在两个或者两个以上单位受聘或者执业的情形（仅指项目负责人不得同时是其他单位的公务员或者事业单位在编人员，涉及到其他情形的，投标资格不受影响）</w:t>
            </w:r>
          </w:p>
        </w:tc>
        <w:tc>
          <w:tcPr>
            <w:tcW w:w="1097" w:type="dxa"/>
            <w:noWrap w:val="0"/>
            <w:vAlign w:val="center"/>
          </w:tcPr>
          <w:p w14:paraId="2CACD6A8">
            <w:pPr>
              <w:spacing w:line="360" w:lineRule="auto"/>
              <w:jc w:val="center"/>
              <w:rPr>
                <w:rFonts w:hint="eastAsia"/>
                <w:sz w:val="21"/>
                <w:szCs w:val="21"/>
              </w:rPr>
            </w:pPr>
            <w:r>
              <w:rPr>
                <w:sz w:val="21"/>
                <w:szCs w:val="21"/>
              </w:rPr>
              <w:t>1.4.1</w:t>
            </w:r>
            <w:r>
              <w:rPr>
                <w:rFonts w:hint="eastAsia"/>
                <w:sz w:val="21"/>
                <w:szCs w:val="21"/>
              </w:rPr>
              <w:t>（4）</w:t>
            </w:r>
          </w:p>
        </w:tc>
        <w:tc>
          <w:tcPr>
            <w:tcW w:w="1462" w:type="dxa"/>
            <w:noWrap w:val="0"/>
            <w:vAlign w:val="center"/>
          </w:tcPr>
          <w:p w14:paraId="0EDE92B3">
            <w:pPr>
              <w:spacing w:line="360" w:lineRule="auto"/>
              <w:jc w:val="center"/>
              <w:rPr>
                <w:sz w:val="21"/>
                <w:szCs w:val="21"/>
              </w:rPr>
            </w:pPr>
            <w:r>
              <w:rPr>
                <w:sz w:val="21"/>
                <w:szCs w:val="21"/>
              </w:rPr>
              <w:t>否</w:t>
            </w:r>
          </w:p>
        </w:tc>
        <w:tc>
          <w:tcPr>
            <w:tcW w:w="707" w:type="dxa"/>
            <w:noWrap w:val="0"/>
            <w:vAlign w:val="top"/>
          </w:tcPr>
          <w:p w14:paraId="18D1F53E">
            <w:pPr>
              <w:spacing w:line="360" w:lineRule="auto"/>
              <w:rPr>
                <w:rFonts w:eastAsia="黑体"/>
                <w:b/>
                <w:sz w:val="21"/>
                <w:szCs w:val="21"/>
              </w:rPr>
            </w:pPr>
          </w:p>
        </w:tc>
      </w:tr>
      <w:tr w14:paraId="49AEA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exact"/>
        </w:trPr>
        <w:tc>
          <w:tcPr>
            <w:tcW w:w="658" w:type="dxa"/>
            <w:noWrap w:val="0"/>
            <w:vAlign w:val="center"/>
          </w:tcPr>
          <w:p w14:paraId="070F3620">
            <w:pPr>
              <w:spacing w:line="360" w:lineRule="auto"/>
              <w:jc w:val="center"/>
              <w:rPr>
                <w:sz w:val="21"/>
                <w:szCs w:val="21"/>
              </w:rPr>
            </w:pPr>
            <w:r>
              <w:rPr>
                <w:sz w:val="21"/>
                <w:szCs w:val="21"/>
              </w:rPr>
              <w:t>4</w:t>
            </w:r>
          </w:p>
        </w:tc>
        <w:tc>
          <w:tcPr>
            <w:tcW w:w="4754" w:type="dxa"/>
            <w:noWrap w:val="0"/>
            <w:vAlign w:val="center"/>
          </w:tcPr>
          <w:p w14:paraId="71CBE835">
            <w:pPr>
              <w:spacing w:line="360" w:lineRule="auto"/>
              <w:rPr>
                <w:sz w:val="21"/>
                <w:szCs w:val="21"/>
              </w:rPr>
            </w:pPr>
            <w:r>
              <w:rPr>
                <w:sz w:val="21"/>
                <w:szCs w:val="21"/>
              </w:rPr>
              <w:t>投标项目负责人是否</w:t>
            </w:r>
            <w:r>
              <w:rPr>
                <w:rFonts w:hint="eastAsia" w:hAnsi="宋体"/>
                <w:sz w:val="21"/>
                <w:szCs w:val="21"/>
              </w:rPr>
              <w:t>被依法</w:t>
            </w:r>
            <w:r>
              <w:rPr>
                <w:sz w:val="21"/>
                <w:szCs w:val="21"/>
              </w:rPr>
              <w:t>暂停或取消投标资格</w:t>
            </w:r>
          </w:p>
        </w:tc>
        <w:tc>
          <w:tcPr>
            <w:tcW w:w="1097" w:type="dxa"/>
            <w:noWrap w:val="0"/>
            <w:vAlign w:val="center"/>
          </w:tcPr>
          <w:p w14:paraId="4B908079">
            <w:pPr>
              <w:spacing w:line="360" w:lineRule="auto"/>
              <w:jc w:val="center"/>
              <w:rPr>
                <w:sz w:val="21"/>
                <w:szCs w:val="21"/>
              </w:rPr>
            </w:pPr>
            <w:r>
              <w:rPr>
                <w:sz w:val="21"/>
                <w:szCs w:val="21"/>
              </w:rPr>
              <w:t>1.4.3（13）</w:t>
            </w:r>
          </w:p>
        </w:tc>
        <w:tc>
          <w:tcPr>
            <w:tcW w:w="1462" w:type="dxa"/>
            <w:noWrap w:val="0"/>
            <w:vAlign w:val="center"/>
          </w:tcPr>
          <w:p w14:paraId="36A2970B">
            <w:pPr>
              <w:spacing w:line="360" w:lineRule="auto"/>
              <w:jc w:val="center"/>
              <w:rPr>
                <w:sz w:val="21"/>
                <w:szCs w:val="21"/>
              </w:rPr>
            </w:pPr>
            <w:r>
              <w:rPr>
                <w:sz w:val="21"/>
                <w:szCs w:val="21"/>
              </w:rPr>
              <w:t>否</w:t>
            </w:r>
          </w:p>
        </w:tc>
        <w:tc>
          <w:tcPr>
            <w:tcW w:w="707" w:type="dxa"/>
            <w:noWrap w:val="0"/>
            <w:vAlign w:val="top"/>
          </w:tcPr>
          <w:p w14:paraId="09ABB0A4">
            <w:pPr>
              <w:spacing w:line="360" w:lineRule="auto"/>
              <w:rPr>
                <w:rFonts w:eastAsia="黑体"/>
                <w:b/>
                <w:sz w:val="21"/>
                <w:szCs w:val="21"/>
              </w:rPr>
            </w:pPr>
          </w:p>
        </w:tc>
      </w:tr>
      <w:tr w14:paraId="6D364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exact"/>
        </w:trPr>
        <w:tc>
          <w:tcPr>
            <w:tcW w:w="658" w:type="dxa"/>
            <w:noWrap w:val="0"/>
            <w:vAlign w:val="center"/>
          </w:tcPr>
          <w:p w14:paraId="226661B9">
            <w:pPr>
              <w:spacing w:line="360" w:lineRule="auto"/>
              <w:jc w:val="center"/>
              <w:rPr>
                <w:sz w:val="21"/>
                <w:szCs w:val="21"/>
              </w:rPr>
            </w:pPr>
            <w:r>
              <w:rPr>
                <w:rFonts w:hint="eastAsia"/>
                <w:sz w:val="21"/>
                <w:szCs w:val="21"/>
              </w:rPr>
              <w:t>5</w:t>
            </w:r>
          </w:p>
        </w:tc>
        <w:tc>
          <w:tcPr>
            <w:tcW w:w="4754" w:type="dxa"/>
            <w:noWrap w:val="0"/>
            <w:vAlign w:val="center"/>
          </w:tcPr>
          <w:p w14:paraId="1AE66FAE">
            <w:pPr>
              <w:adjustRightInd w:val="0"/>
              <w:snapToGrid w:val="0"/>
              <w:rPr>
                <w:sz w:val="21"/>
                <w:szCs w:val="21"/>
              </w:rPr>
            </w:pPr>
            <w:r>
              <w:rPr>
                <w:sz w:val="21"/>
                <w:szCs w:val="21"/>
              </w:rPr>
              <w:t>投标项目负责人安全生产任职资格是否符合相关规定</w:t>
            </w:r>
          </w:p>
        </w:tc>
        <w:tc>
          <w:tcPr>
            <w:tcW w:w="1097" w:type="dxa"/>
            <w:noWrap w:val="0"/>
            <w:vAlign w:val="center"/>
          </w:tcPr>
          <w:p w14:paraId="760FBC24">
            <w:pPr>
              <w:spacing w:line="360" w:lineRule="auto"/>
              <w:jc w:val="center"/>
              <w:rPr>
                <w:sz w:val="21"/>
                <w:szCs w:val="21"/>
              </w:rPr>
            </w:pPr>
            <w:r>
              <w:rPr>
                <w:sz w:val="21"/>
                <w:szCs w:val="21"/>
              </w:rPr>
              <w:t>1.4.3（16）</w:t>
            </w:r>
          </w:p>
        </w:tc>
        <w:tc>
          <w:tcPr>
            <w:tcW w:w="1462" w:type="dxa"/>
            <w:noWrap w:val="0"/>
            <w:vAlign w:val="center"/>
          </w:tcPr>
          <w:p w14:paraId="40811613">
            <w:pPr>
              <w:spacing w:line="360" w:lineRule="auto"/>
              <w:jc w:val="center"/>
              <w:rPr>
                <w:sz w:val="21"/>
                <w:szCs w:val="21"/>
              </w:rPr>
            </w:pPr>
            <w:r>
              <w:rPr>
                <w:sz w:val="21"/>
                <w:szCs w:val="21"/>
              </w:rPr>
              <w:t>是</w:t>
            </w:r>
          </w:p>
        </w:tc>
        <w:tc>
          <w:tcPr>
            <w:tcW w:w="707" w:type="dxa"/>
            <w:noWrap w:val="0"/>
            <w:vAlign w:val="top"/>
          </w:tcPr>
          <w:p w14:paraId="326012F7">
            <w:pPr>
              <w:spacing w:line="360" w:lineRule="auto"/>
              <w:rPr>
                <w:rFonts w:eastAsia="黑体"/>
                <w:b/>
                <w:sz w:val="21"/>
                <w:szCs w:val="21"/>
              </w:rPr>
            </w:pPr>
          </w:p>
        </w:tc>
      </w:tr>
      <w:tr w14:paraId="23231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exact"/>
        </w:trPr>
        <w:tc>
          <w:tcPr>
            <w:tcW w:w="658" w:type="dxa"/>
            <w:noWrap w:val="0"/>
            <w:vAlign w:val="center"/>
          </w:tcPr>
          <w:p w14:paraId="64D77F27">
            <w:pPr>
              <w:spacing w:line="360" w:lineRule="auto"/>
              <w:jc w:val="center"/>
              <w:rPr>
                <w:sz w:val="21"/>
                <w:szCs w:val="21"/>
              </w:rPr>
            </w:pPr>
            <w:r>
              <w:rPr>
                <w:sz w:val="21"/>
                <w:szCs w:val="21"/>
              </w:rPr>
              <w:t>6</w:t>
            </w:r>
          </w:p>
        </w:tc>
        <w:tc>
          <w:tcPr>
            <w:tcW w:w="4754" w:type="dxa"/>
            <w:noWrap w:val="0"/>
            <w:vAlign w:val="center"/>
          </w:tcPr>
          <w:p w14:paraId="54B2C826">
            <w:pPr>
              <w:adjustRightInd w:val="0"/>
              <w:snapToGrid w:val="0"/>
              <w:rPr>
                <w:sz w:val="21"/>
                <w:szCs w:val="21"/>
              </w:rPr>
            </w:pPr>
            <w:r>
              <w:rPr>
                <w:sz w:val="21"/>
                <w:szCs w:val="21"/>
              </w:rPr>
              <w:t>投标项目负责人是否有行贿犯罪记录的（由投标文件提交截止之日上溯3年，行贿犯罪记录日期以法院判决生效日期为准）</w:t>
            </w:r>
          </w:p>
        </w:tc>
        <w:tc>
          <w:tcPr>
            <w:tcW w:w="1097" w:type="dxa"/>
            <w:noWrap w:val="0"/>
            <w:vAlign w:val="center"/>
          </w:tcPr>
          <w:p w14:paraId="12543F44">
            <w:pPr>
              <w:spacing w:line="360" w:lineRule="auto"/>
              <w:ind w:left="445" w:hanging="445" w:hangingChars="212"/>
              <w:jc w:val="center"/>
              <w:rPr>
                <w:sz w:val="21"/>
                <w:szCs w:val="21"/>
              </w:rPr>
            </w:pPr>
            <w:r>
              <w:rPr>
                <w:sz w:val="21"/>
                <w:szCs w:val="21"/>
              </w:rPr>
              <w:t>1.4.3（17）</w:t>
            </w:r>
          </w:p>
        </w:tc>
        <w:tc>
          <w:tcPr>
            <w:tcW w:w="1462" w:type="dxa"/>
            <w:noWrap w:val="0"/>
            <w:vAlign w:val="center"/>
          </w:tcPr>
          <w:p w14:paraId="78E94C64">
            <w:pPr>
              <w:spacing w:line="360" w:lineRule="auto"/>
              <w:jc w:val="center"/>
              <w:rPr>
                <w:sz w:val="21"/>
                <w:szCs w:val="21"/>
              </w:rPr>
            </w:pPr>
            <w:r>
              <w:rPr>
                <w:sz w:val="21"/>
                <w:szCs w:val="21"/>
              </w:rPr>
              <w:t>否</w:t>
            </w:r>
          </w:p>
        </w:tc>
        <w:tc>
          <w:tcPr>
            <w:tcW w:w="707" w:type="dxa"/>
            <w:noWrap w:val="0"/>
            <w:vAlign w:val="top"/>
          </w:tcPr>
          <w:p w14:paraId="5E0E284F">
            <w:pPr>
              <w:spacing w:line="360" w:lineRule="auto"/>
              <w:rPr>
                <w:rFonts w:eastAsia="黑体"/>
                <w:b/>
                <w:sz w:val="21"/>
                <w:szCs w:val="21"/>
              </w:rPr>
            </w:pPr>
          </w:p>
        </w:tc>
      </w:tr>
    </w:tbl>
    <w:p w14:paraId="5350AFC7">
      <w:pPr>
        <w:adjustRightInd w:val="0"/>
        <w:snapToGrid w:val="0"/>
        <w:spacing w:line="360" w:lineRule="auto"/>
        <w:rPr>
          <w:rFonts w:hint="eastAsia"/>
          <w:b/>
          <w:szCs w:val="21"/>
        </w:rPr>
      </w:pPr>
      <w:r>
        <w:rPr>
          <w:szCs w:val="21"/>
        </w:rPr>
        <w:t xml:space="preserve">法定代表人（签字或盖章）：         </w:t>
      </w:r>
      <w:r>
        <w:rPr>
          <w:b/>
          <w:szCs w:val="21"/>
        </w:rPr>
        <w:t xml:space="preserve"> </w:t>
      </w:r>
    </w:p>
    <w:p w14:paraId="7BDEB309">
      <w:pPr>
        <w:adjustRightInd w:val="0"/>
        <w:snapToGrid w:val="0"/>
        <w:spacing w:line="360" w:lineRule="auto"/>
        <w:ind w:firstLine="415" w:firstLineChars="198"/>
        <w:rPr>
          <w:rFonts w:hint="eastAsia"/>
          <w:szCs w:val="21"/>
        </w:rPr>
      </w:pPr>
    </w:p>
    <w:p w14:paraId="6C73C428">
      <w:pPr>
        <w:adjustRightInd w:val="0"/>
        <w:snapToGrid w:val="0"/>
        <w:spacing w:line="360" w:lineRule="auto"/>
        <w:ind w:firstLine="415" w:firstLineChars="198"/>
      </w:pPr>
      <w:r>
        <w:t xml:space="preserve">投  标  人（盖章）：              </w:t>
      </w:r>
      <w:r>
        <w:rPr>
          <w:rFonts w:hint="eastAsia"/>
        </w:rPr>
        <w:t xml:space="preserve">                       </w:t>
      </w:r>
      <w:r>
        <w:t>年    月    日</w:t>
      </w:r>
    </w:p>
    <w:p w14:paraId="02AB60FE">
      <w:pPr>
        <w:pStyle w:val="11"/>
      </w:pPr>
    </w:p>
    <w:p w14:paraId="7C443B15">
      <w:pPr>
        <w:pStyle w:val="5"/>
      </w:pPr>
    </w:p>
    <w:p w14:paraId="04B0D5E2">
      <w:pPr>
        <w:pStyle w:val="11"/>
        <w:rPr>
          <w:rFonts w:hint="eastAsia"/>
        </w:rPr>
      </w:pPr>
    </w:p>
    <w:p w14:paraId="40C894B3">
      <w:pPr>
        <w:pStyle w:val="29"/>
        <w:rPr>
          <w:rFonts w:cs="Times New Roman"/>
          <w:szCs w:val="28"/>
        </w:rPr>
      </w:pPr>
      <w:bookmarkStart w:id="212" w:name="_Toc148964084"/>
      <w:r>
        <w:rPr>
          <w:rFonts w:hint="eastAsia" w:cs="Times New Roman"/>
          <w:szCs w:val="28"/>
        </w:rPr>
        <w:t>六、建设工程投标人及项目负责人资信分自查表</w:t>
      </w:r>
      <w:bookmarkEnd w:id="212"/>
    </w:p>
    <w:p w14:paraId="12C28BC8">
      <w:pPr>
        <w:pStyle w:val="8"/>
        <w:kinsoku w:val="0"/>
        <w:overflowPunct w:val="0"/>
        <w:spacing w:before="2"/>
        <w:rPr>
          <w:sz w:val="24"/>
        </w:rPr>
      </w:pPr>
    </w:p>
    <w:p w14:paraId="110C05DF">
      <w:pPr>
        <w:pStyle w:val="8"/>
        <w:tabs>
          <w:tab w:val="left" w:pos="6050"/>
        </w:tabs>
        <w:kinsoku w:val="0"/>
        <w:overflowPunct w:val="0"/>
        <w:ind w:left="2112"/>
        <w:rPr>
          <w:rFonts w:ascii="微软雅黑" w:eastAsia="微软雅黑" w:cs="微软雅黑"/>
          <w:b/>
          <w:bCs/>
          <w:sz w:val="28"/>
          <w:szCs w:val="28"/>
        </w:rPr>
      </w:pPr>
      <w:r>
        <w:rPr>
          <w:b/>
          <w:bCs/>
          <w:sz w:val="28"/>
          <w:szCs w:val="28"/>
          <w:u w:val="single"/>
        </w:rPr>
        <w:t xml:space="preserve"> </w:t>
      </w:r>
      <w:r>
        <w:rPr>
          <w:b/>
          <w:bCs/>
          <w:sz w:val="28"/>
          <w:szCs w:val="28"/>
          <w:u w:val="single"/>
        </w:rPr>
        <w:tab/>
      </w:r>
      <w:r>
        <w:rPr>
          <w:rFonts w:hint="eastAsia" w:ascii="微软雅黑" w:eastAsia="微软雅黑" w:cs="微软雅黑"/>
          <w:b/>
          <w:bCs/>
          <w:sz w:val="28"/>
          <w:szCs w:val="28"/>
        </w:rPr>
        <w:t>工程</w:t>
      </w:r>
    </w:p>
    <w:p w14:paraId="27FCBD3D">
      <w:pPr>
        <w:pStyle w:val="8"/>
        <w:kinsoku w:val="0"/>
        <w:overflowPunct w:val="0"/>
        <w:spacing w:before="13"/>
        <w:rPr>
          <w:rFonts w:ascii="微软雅黑" w:eastAsia="微软雅黑" w:cs="微软雅黑"/>
          <w:b/>
          <w:bCs/>
          <w:sz w:val="6"/>
          <w:szCs w:val="6"/>
        </w:rPr>
      </w:pPr>
    </w:p>
    <w:p w14:paraId="1E14BABD">
      <w:pPr>
        <w:jc w:val="center"/>
        <w:rPr>
          <w:rFonts w:ascii="宋体" w:hAnsi="宋体"/>
          <w:b/>
          <w:sz w:val="30"/>
          <w:szCs w:val="30"/>
        </w:rPr>
      </w:pPr>
      <w:r>
        <w:rPr>
          <w:rFonts w:hint="eastAsia" w:ascii="宋体" w:hAnsi="宋体"/>
          <w:b/>
          <w:sz w:val="30"/>
          <w:szCs w:val="30"/>
        </w:rPr>
        <w:t>建设工程投标人及项目负责人资信分自查表</w:t>
      </w:r>
    </w:p>
    <w:p w14:paraId="6E7C17B1">
      <w:pPr>
        <w:ind w:firstLine="560" w:firstLineChars="200"/>
        <w:rPr>
          <w:rFonts w:ascii="宋体" w:hAnsi="宋体"/>
          <w:sz w:val="10"/>
          <w:szCs w:val="10"/>
        </w:rPr>
      </w:pPr>
      <w:r>
        <w:rPr>
          <w:rFonts w:hint="eastAsia" w:ascii="宋体" w:hAnsi="宋体"/>
          <w:sz w:val="28"/>
          <w:szCs w:val="28"/>
        </w:rPr>
        <w:t>根据本工程投标截止日前两个月，经台州市建筑业信息管理网网站（http://tzjzy.jsj.zjtz.gov.cn/）省信用评价公示公布系统公布栏发布的评审结果，我公司及项目负责人的信用评价等级以及省信用评价总分如下：</w:t>
      </w:r>
    </w:p>
    <w:p w14:paraId="0F345B8E">
      <w:pPr>
        <w:rPr>
          <w:rFonts w:ascii="宋体" w:hAnsi="宋体"/>
          <w:sz w:val="10"/>
          <w:szCs w:val="10"/>
        </w:rPr>
      </w:pPr>
    </w:p>
    <w:tbl>
      <w:tblPr>
        <w:tblStyle w:val="17"/>
        <w:tblW w:w="90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6"/>
        <w:gridCol w:w="3729"/>
        <w:gridCol w:w="3243"/>
      </w:tblGrid>
      <w:tr w14:paraId="67944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2106" w:type="dxa"/>
            <w:noWrap w:val="0"/>
            <w:vAlign w:val="center"/>
          </w:tcPr>
          <w:p w14:paraId="37B961E6">
            <w:pPr>
              <w:jc w:val="center"/>
              <w:rPr>
                <w:rFonts w:ascii="宋体" w:hAnsi="宋体"/>
                <w:sz w:val="28"/>
                <w:szCs w:val="28"/>
              </w:rPr>
            </w:pPr>
          </w:p>
        </w:tc>
        <w:tc>
          <w:tcPr>
            <w:tcW w:w="3729" w:type="dxa"/>
            <w:noWrap w:val="0"/>
            <w:vAlign w:val="center"/>
          </w:tcPr>
          <w:p w14:paraId="62B8772F">
            <w:pPr>
              <w:jc w:val="center"/>
              <w:rPr>
                <w:rFonts w:ascii="宋体" w:hAnsi="宋体"/>
                <w:sz w:val="28"/>
                <w:szCs w:val="28"/>
              </w:rPr>
            </w:pPr>
            <w:r>
              <w:rPr>
                <w:rFonts w:hint="eastAsia" w:ascii="宋体" w:hAnsi="宋体"/>
                <w:sz w:val="28"/>
                <w:szCs w:val="28"/>
              </w:rPr>
              <w:t>信用评价等级</w:t>
            </w:r>
          </w:p>
        </w:tc>
        <w:tc>
          <w:tcPr>
            <w:tcW w:w="3243" w:type="dxa"/>
            <w:noWrap w:val="0"/>
            <w:vAlign w:val="center"/>
          </w:tcPr>
          <w:p w14:paraId="108BE410">
            <w:pPr>
              <w:jc w:val="center"/>
              <w:rPr>
                <w:rFonts w:ascii="宋体" w:hAnsi="宋体"/>
                <w:sz w:val="28"/>
                <w:szCs w:val="28"/>
              </w:rPr>
            </w:pPr>
            <w:r>
              <w:rPr>
                <w:rFonts w:hint="eastAsia" w:ascii="宋体" w:hAnsi="宋体"/>
                <w:sz w:val="28"/>
                <w:szCs w:val="28"/>
              </w:rPr>
              <w:t>省信用评价总分</w:t>
            </w:r>
          </w:p>
        </w:tc>
      </w:tr>
      <w:tr w14:paraId="319C1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2106" w:type="dxa"/>
            <w:noWrap w:val="0"/>
            <w:vAlign w:val="center"/>
          </w:tcPr>
          <w:p w14:paraId="6A9CBC3A">
            <w:pPr>
              <w:jc w:val="center"/>
              <w:rPr>
                <w:rFonts w:ascii="宋体" w:hAnsi="宋体"/>
                <w:sz w:val="28"/>
                <w:szCs w:val="28"/>
              </w:rPr>
            </w:pPr>
            <w:r>
              <w:rPr>
                <w:rFonts w:hint="eastAsia" w:ascii="宋体" w:hAnsi="宋体"/>
                <w:sz w:val="28"/>
                <w:szCs w:val="28"/>
              </w:rPr>
              <w:t>投标人</w:t>
            </w:r>
          </w:p>
        </w:tc>
        <w:tc>
          <w:tcPr>
            <w:tcW w:w="3729" w:type="dxa"/>
            <w:noWrap w:val="0"/>
            <w:vAlign w:val="center"/>
          </w:tcPr>
          <w:p w14:paraId="52C7E976">
            <w:pPr>
              <w:jc w:val="center"/>
              <w:rPr>
                <w:rFonts w:ascii="宋体" w:hAnsi="宋体"/>
                <w:sz w:val="28"/>
                <w:szCs w:val="28"/>
              </w:rPr>
            </w:pPr>
          </w:p>
        </w:tc>
        <w:tc>
          <w:tcPr>
            <w:tcW w:w="3243" w:type="dxa"/>
            <w:noWrap w:val="0"/>
            <w:vAlign w:val="center"/>
          </w:tcPr>
          <w:p w14:paraId="56688FB1">
            <w:pPr>
              <w:jc w:val="center"/>
              <w:rPr>
                <w:rFonts w:ascii="宋体" w:hAnsi="宋体"/>
                <w:sz w:val="28"/>
                <w:szCs w:val="28"/>
              </w:rPr>
            </w:pPr>
          </w:p>
        </w:tc>
      </w:tr>
      <w:tr w14:paraId="67ABB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106" w:type="dxa"/>
            <w:noWrap w:val="0"/>
            <w:vAlign w:val="center"/>
          </w:tcPr>
          <w:p w14:paraId="377E4A8F">
            <w:pPr>
              <w:jc w:val="center"/>
              <w:rPr>
                <w:rFonts w:ascii="宋体" w:hAnsi="宋体"/>
                <w:sz w:val="28"/>
                <w:szCs w:val="28"/>
              </w:rPr>
            </w:pPr>
            <w:r>
              <w:rPr>
                <w:rFonts w:hint="eastAsia" w:ascii="宋体" w:hAnsi="宋体"/>
                <w:sz w:val="28"/>
                <w:szCs w:val="28"/>
              </w:rPr>
              <w:t>项目负责人</w:t>
            </w:r>
          </w:p>
        </w:tc>
        <w:tc>
          <w:tcPr>
            <w:tcW w:w="3729" w:type="dxa"/>
            <w:noWrap w:val="0"/>
            <w:vAlign w:val="center"/>
          </w:tcPr>
          <w:p w14:paraId="32C0C823">
            <w:pPr>
              <w:jc w:val="center"/>
              <w:rPr>
                <w:rFonts w:hint="eastAsia" w:ascii="宋体" w:hAnsi="宋体" w:eastAsiaTheme="minorEastAsia"/>
                <w:sz w:val="28"/>
                <w:szCs w:val="28"/>
                <w:lang w:val="en-US" w:eastAsia="zh-CN"/>
              </w:rPr>
            </w:pPr>
            <w:r>
              <w:rPr>
                <w:rFonts w:hint="eastAsia" w:ascii="宋体" w:hAnsi="宋体"/>
                <w:sz w:val="28"/>
                <w:szCs w:val="28"/>
                <w:lang w:val="en-US" w:eastAsia="zh-CN"/>
              </w:rPr>
              <w:t>/</w:t>
            </w:r>
          </w:p>
        </w:tc>
        <w:tc>
          <w:tcPr>
            <w:tcW w:w="3243" w:type="dxa"/>
            <w:noWrap w:val="0"/>
            <w:vAlign w:val="center"/>
          </w:tcPr>
          <w:p w14:paraId="0D89B904">
            <w:pPr>
              <w:jc w:val="center"/>
              <w:rPr>
                <w:rFonts w:hint="eastAsia" w:ascii="宋体" w:hAnsi="宋体" w:eastAsiaTheme="minorEastAsia"/>
                <w:sz w:val="28"/>
                <w:szCs w:val="28"/>
                <w:lang w:val="en-US" w:eastAsia="zh-CN"/>
              </w:rPr>
            </w:pPr>
            <w:r>
              <w:rPr>
                <w:rFonts w:hint="eastAsia" w:ascii="宋体" w:hAnsi="宋体"/>
                <w:sz w:val="28"/>
                <w:szCs w:val="28"/>
                <w:lang w:val="en-US" w:eastAsia="zh-CN"/>
              </w:rPr>
              <w:t>/</w:t>
            </w:r>
          </w:p>
        </w:tc>
      </w:tr>
    </w:tbl>
    <w:p w14:paraId="64F3EDC0">
      <w:pPr>
        <w:rPr>
          <w:rFonts w:ascii="宋体" w:hAnsi="宋体"/>
          <w:sz w:val="28"/>
          <w:szCs w:val="28"/>
          <w:u w:val="single"/>
        </w:rPr>
      </w:pPr>
    </w:p>
    <w:tbl>
      <w:tblPr>
        <w:tblStyle w:val="17"/>
        <w:tblpPr w:leftFromText="180" w:rightFromText="180" w:vertAnchor="text" w:horzAnchor="page" w:tblpX="1674" w:tblpY="7"/>
        <w:tblOverlap w:val="never"/>
        <w:tblW w:w="9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40"/>
        <w:gridCol w:w="4540"/>
      </w:tblGrid>
      <w:tr w14:paraId="775D9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trPr>
        <w:tc>
          <w:tcPr>
            <w:tcW w:w="4540" w:type="dxa"/>
            <w:noWrap w:val="0"/>
            <w:vAlign w:val="top"/>
          </w:tcPr>
          <w:p w14:paraId="697B2C17">
            <w:pPr>
              <w:rPr>
                <w:rFonts w:ascii="宋体" w:hAnsi="宋体"/>
                <w:sz w:val="28"/>
                <w:szCs w:val="28"/>
                <w:u w:val="single"/>
              </w:rPr>
            </w:pPr>
          </w:p>
        </w:tc>
        <w:tc>
          <w:tcPr>
            <w:tcW w:w="4540" w:type="dxa"/>
            <w:noWrap w:val="0"/>
            <w:vAlign w:val="top"/>
          </w:tcPr>
          <w:p w14:paraId="15798CE7">
            <w:pPr>
              <w:jc w:val="center"/>
              <w:rPr>
                <w:rFonts w:ascii="宋体" w:hAnsi="宋体"/>
                <w:sz w:val="28"/>
                <w:szCs w:val="28"/>
              </w:rPr>
            </w:pPr>
            <w:r>
              <w:rPr>
                <w:rFonts w:hint="eastAsia" w:ascii="宋体" w:hAnsi="宋体"/>
                <w:sz w:val="28"/>
                <w:szCs w:val="28"/>
              </w:rPr>
              <w:t>姓名</w:t>
            </w:r>
          </w:p>
        </w:tc>
      </w:tr>
      <w:tr w14:paraId="7CA6C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trPr>
        <w:tc>
          <w:tcPr>
            <w:tcW w:w="4540" w:type="dxa"/>
            <w:noWrap w:val="0"/>
            <w:vAlign w:val="top"/>
          </w:tcPr>
          <w:p w14:paraId="5DECCE25">
            <w:pPr>
              <w:jc w:val="center"/>
              <w:rPr>
                <w:rFonts w:ascii="宋体" w:hAnsi="宋体"/>
                <w:sz w:val="28"/>
                <w:szCs w:val="28"/>
              </w:rPr>
            </w:pPr>
            <w:r>
              <w:rPr>
                <w:rFonts w:hint="eastAsia" w:ascii="宋体" w:hAnsi="宋体"/>
                <w:sz w:val="28"/>
                <w:szCs w:val="28"/>
              </w:rPr>
              <w:t>项目负责人</w:t>
            </w:r>
          </w:p>
        </w:tc>
        <w:tc>
          <w:tcPr>
            <w:tcW w:w="4540" w:type="dxa"/>
            <w:noWrap w:val="0"/>
            <w:vAlign w:val="top"/>
          </w:tcPr>
          <w:p w14:paraId="4F0A8BE2">
            <w:pPr>
              <w:rPr>
                <w:rFonts w:ascii="宋体" w:hAnsi="宋体"/>
                <w:sz w:val="28"/>
                <w:szCs w:val="28"/>
                <w:u w:val="single"/>
              </w:rPr>
            </w:pPr>
          </w:p>
        </w:tc>
      </w:tr>
    </w:tbl>
    <w:p w14:paraId="21E84F1C">
      <w:pPr>
        <w:rPr>
          <w:rFonts w:ascii="宋体" w:hAnsi="宋体"/>
          <w:sz w:val="28"/>
          <w:szCs w:val="28"/>
        </w:rPr>
      </w:pPr>
    </w:p>
    <w:p w14:paraId="6B10D4E5">
      <w:pPr>
        <w:pStyle w:val="8"/>
        <w:kinsoku w:val="0"/>
        <w:overflowPunct w:val="0"/>
        <w:rPr>
          <w:sz w:val="20"/>
          <w:szCs w:val="20"/>
        </w:rPr>
      </w:pPr>
    </w:p>
    <w:p w14:paraId="2F814407">
      <w:pPr>
        <w:pStyle w:val="8"/>
        <w:kinsoku w:val="0"/>
        <w:overflowPunct w:val="0"/>
        <w:rPr>
          <w:sz w:val="20"/>
          <w:szCs w:val="20"/>
        </w:rPr>
      </w:pPr>
    </w:p>
    <w:p w14:paraId="01271E77">
      <w:pPr>
        <w:adjustRightInd w:val="0"/>
        <w:snapToGrid w:val="0"/>
        <w:spacing w:line="360" w:lineRule="auto"/>
        <w:ind w:firstLine="475" w:firstLineChars="198"/>
        <w:rPr>
          <w:rFonts w:hint="eastAsia"/>
          <w:b/>
          <w:sz w:val="24"/>
        </w:rPr>
      </w:pPr>
      <w:r>
        <w:rPr>
          <w:sz w:val="24"/>
        </w:rPr>
        <w:t xml:space="preserve">法定代表人（签字或盖章）：         </w:t>
      </w:r>
      <w:r>
        <w:rPr>
          <w:b/>
          <w:sz w:val="24"/>
        </w:rPr>
        <w:t xml:space="preserve"> </w:t>
      </w:r>
    </w:p>
    <w:p w14:paraId="2DB26540">
      <w:pPr>
        <w:adjustRightInd w:val="0"/>
        <w:snapToGrid w:val="0"/>
        <w:spacing w:line="360" w:lineRule="auto"/>
        <w:ind w:firstLine="475" w:firstLineChars="198"/>
        <w:rPr>
          <w:rFonts w:hint="eastAsia"/>
          <w:sz w:val="24"/>
        </w:rPr>
      </w:pPr>
    </w:p>
    <w:p w14:paraId="4DFB3759">
      <w:pPr>
        <w:pStyle w:val="8"/>
        <w:kinsoku w:val="0"/>
        <w:overflowPunct w:val="0"/>
        <w:ind w:firstLine="720" w:firstLineChars="300"/>
        <w:rPr>
          <w:rFonts w:hint="eastAsia"/>
          <w:sz w:val="24"/>
        </w:rPr>
      </w:pPr>
      <w:r>
        <w:rPr>
          <w:sz w:val="24"/>
        </w:rPr>
        <w:t xml:space="preserve">投  标  人（盖章）：              </w:t>
      </w:r>
      <w:r>
        <w:rPr>
          <w:rFonts w:hint="eastAsia"/>
          <w:sz w:val="24"/>
        </w:rPr>
        <w:t xml:space="preserve">               </w:t>
      </w:r>
    </w:p>
    <w:p w14:paraId="2A4062DF">
      <w:pPr>
        <w:pStyle w:val="8"/>
        <w:kinsoku w:val="0"/>
        <w:overflowPunct w:val="0"/>
        <w:ind w:firstLine="720" w:firstLineChars="300"/>
        <w:rPr>
          <w:rFonts w:hint="eastAsia"/>
          <w:sz w:val="24"/>
        </w:rPr>
      </w:pPr>
    </w:p>
    <w:p w14:paraId="3FD372B6">
      <w:pPr>
        <w:pStyle w:val="8"/>
        <w:kinsoku w:val="0"/>
        <w:overflowPunct w:val="0"/>
        <w:ind w:firstLine="720" w:firstLineChars="300"/>
        <w:rPr>
          <w:sz w:val="24"/>
        </w:rPr>
      </w:pPr>
      <w:r>
        <w:rPr>
          <w:rFonts w:hint="eastAsia"/>
          <w:sz w:val="24"/>
        </w:rPr>
        <w:t xml:space="preserve">                                               </w:t>
      </w:r>
      <w:r>
        <w:rPr>
          <w:sz w:val="24"/>
        </w:rPr>
        <w:t>年    月    日</w:t>
      </w:r>
    </w:p>
    <w:p w14:paraId="30534D8B">
      <w:pPr>
        <w:pStyle w:val="8"/>
        <w:kinsoku w:val="0"/>
        <w:overflowPunct w:val="0"/>
        <w:ind w:firstLine="720" w:firstLineChars="300"/>
        <w:rPr>
          <w:sz w:val="24"/>
        </w:rPr>
      </w:pPr>
    </w:p>
    <w:p w14:paraId="1A6D8CE8">
      <w:pPr>
        <w:pStyle w:val="8"/>
        <w:kinsoku w:val="0"/>
        <w:overflowPunct w:val="0"/>
        <w:ind w:firstLine="720" w:firstLineChars="300"/>
        <w:rPr>
          <w:sz w:val="24"/>
        </w:rPr>
      </w:pPr>
    </w:p>
    <w:p w14:paraId="46A88764">
      <w:pPr>
        <w:pStyle w:val="8"/>
        <w:kinsoku w:val="0"/>
        <w:overflowPunct w:val="0"/>
        <w:ind w:firstLine="720" w:firstLineChars="300"/>
        <w:rPr>
          <w:sz w:val="24"/>
        </w:rPr>
      </w:pPr>
    </w:p>
    <w:p w14:paraId="4FF951FC">
      <w:pPr>
        <w:pStyle w:val="8"/>
        <w:kinsoku w:val="0"/>
        <w:overflowPunct w:val="0"/>
        <w:spacing w:before="9"/>
        <w:rPr>
          <w:sz w:val="26"/>
          <w:szCs w:val="26"/>
        </w:rPr>
      </w:pPr>
    </w:p>
    <w:p w14:paraId="756BD990">
      <w:pPr>
        <w:adjustRightInd w:val="0"/>
        <w:snapToGrid w:val="0"/>
        <w:spacing w:line="586" w:lineRule="exact"/>
        <w:ind w:right="640" w:firstLine="2940" w:firstLineChars="1400"/>
        <w:jc w:val="center"/>
        <w:rPr>
          <w:rFonts w:hint="eastAsia"/>
          <w:szCs w:val="21"/>
        </w:rPr>
      </w:pPr>
    </w:p>
    <w:p w14:paraId="217D0C81">
      <w:pPr>
        <w:pStyle w:val="11"/>
        <w:rPr>
          <w:rFonts w:hint="eastAsia"/>
          <w:szCs w:val="21"/>
        </w:rPr>
      </w:pPr>
    </w:p>
    <w:p w14:paraId="665FDDA5">
      <w:pPr>
        <w:pStyle w:val="5"/>
        <w:rPr>
          <w:rFonts w:hint="eastAsia"/>
          <w:szCs w:val="21"/>
        </w:rPr>
      </w:pPr>
    </w:p>
    <w:p w14:paraId="33CF9884">
      <w:pPr>
        <w:pStyle w:val="11"/>
        <w:rPr>
          <w:rFonts w:hint="eastAsia"/>
          <w:szCs w:val="21"/>
        </w:rPr>
      </w:pPr>
    </w:p>
    <w:p w14:paraId="4251352C">
      <w:pPr>
        <w:pStyle w:val="5"/>
        <w:rPr>
          <w:rFonts w:hint="eastAsia"/>
          <w:szCs w:val="21"/>
        </w:rPr>
      </w:pPr>
    </w:p>
    <w:p w14:paraId="508FE14F">
      <w:pPr>
        <w:pStyle w:val="11"/>
        <w:rPr>
          <w:rFonts w:hint="eastAsia"/>
          <w:szCs w:val="21"/>
        </w:rPr>
      </w:pPr>
    </w:p>
    <w:p w14:paraId="7A8E85FB">
      <w:pPr>
        <w:pStyle w:val="5"/>
        <w:ind w:left="0" w:leftChars="0" w:firstLine="0" w:firstLineChars="0"/>
        <w:rPr>
          <w:rFonts w:hint="eastAsia"/>
        </w:rPr>
      </w:pPr>
    </w:p>
    <w:p w14:paraId="7721560E">
      <w:pPr>
        <w:pStyle w:val="29"/>
        <w:rPr>
          <w:rFonts w:cs="Times New Roman"/>
          <w:szCs w:val="28"/>
        </w:rPr>
      </w:pPr>
      <w:bookmarkStart w:id="213" w:name="_Toc365645477"/>
      <w:bookmarkStart w:id="214" w:name="_Toc370743414"/>
      <w:bookmarkStart w:id="215" w:name="_Toc148964085"/>
      <w:r>
        <w:rPr>
          <w:rFonts w:hint="eastAsia" w:cs="Times New Roman"/>
          <w:szCs w:val="28"/>
        </w:rPr>
        <w:t>七</w:t>
      </w:r>
      <w:r>
        <w:rPr>
          <w:rFonts w:cs="Times New Roman"/>
          <w:szCs w:val="28"/>
        </w:rPr>
        <w:t>、台州市建设工程诚信投标承诺书</w:t>
      </w:r>
      <w:bookmarkEnd w:id="213"/>
      <w:bookmarkEnd w:id="214"/>
      <w:bookmarkEnd w:id="215"/>
    </w:p>
    <w:p w14:paraId="4D71546C">
      <w:pPr>
        <w:spacing w:line="440" w:lineRule="exact"/>
        <w:ind w:firstLine="700" w:firstLineChars="250"/>
        <w:jc w:val="center"/>
        <w:rPr>
          <w:rFonts w:eastAsia="黑体"/>
          <w:sz w:val="28"/>
          <w:szCs w:val="28"/>
        </w:rPr>
      </w:pPr>
    </w:p>
    <w:p w14:paraId="0A8F39FF">
      <w:pPr>
        <w:spacing w:line="360" w:lineRule="auto"/>
        <w:jc w:val="center"/>
        <w:rPr>
          <w:sz w:val="24"/>
        </w:rPr>
      </w:pPr>
      <w:r>
        <w:rPr>
          <w:rFonts w:eastAsia="黑体"/>
          <w:sz w:val="44"/>
        </w:rPr>
        <w:t>台州市建设工程诚信投标承诺书</w:t>
      </w:r>
    </w:p>
    <w:p w14:paraId="6572429F">
      <w:pPr>
        <w:adjustRightInd w:val="0"/>
        <w:snapToGrid w:val="0"/>
        <w:spacing w:line="480" w:lineRule="exact"/>
        <w:ind w:firstLine="491" w:firstLineChars="205"/>
        <w:rPr>
          <w:sz w:val="24"/>
        </w:rPr>
      </w:pPr>
      <w:r>
        <w:rPr>
          <w:sz w:val="24"/>
        </w:rPr>
        <w:t>本人以企业法定代表人的身份郑重承诺：</w:t>
      </w:r>
    </w:p>
    <w:p w14:paraId="2C0C651D">
      <w:pPr>
        <w:adjustRightInd w:val="0"/>
        <w:snapToGrid w:val="0"/>
        <w:spacing w:line="480" w:lineRule="exact"/>
        <w:ind w:firstLine="513" w:firstLineChars="214"/>
        <w:rPr>
          <w:sz w:val="24"/>
        </w:rPr>
      </w:pPr>
      <w:r>
        <w:rPr>
          <w:sz w:val="24"/>
        </w:rPr>
        <w:t>一、将遵循公开、公平、公正和诚实信用的原则参加</w:t>
      </w:r>
      <w:r>
        <w:rPr>
          <w:sz w:val="24"/>
          <w:u w:val="single"/>
        </w:rPr>
        <w:t xml:space="preserve">                  </w:t>
      </w:r>
      <w:r>
        <w:rPr>
          <w:sz w:val="24"/>
        </w:rPr>
        <w:t>（工程项目名称）的投标；</w:t>
      </w:r>
    </w:p>
    <w:p w14:paraId="110AF320">
      <w:pPr>
        <w:adjustRightInd w:val="0"/>
        <w:snapToGrid w:val="0"/>
        <w:spacing w:line="480" w:lineRule="exact"/>
        <w:ind w:firstLine="523" w:firstLineChars="218"/>
        <w:rPr>
          <w:sz w:val="24"/>
        </w:rPr>
      </w:pPr>
      <w:r>
        <w:rPr>
          <w:sz w:val="24"/>
        </w:rPr>
        <w:t>二、所提供的一切材料都是真实、有效、合法的；</w:t>
      </w:r>
    </w:p>
    <w:p w14:paraId="52F5057D">
      <w:pPr>
        <w:adjustRightInd w:val="0"/>
        <w:snapToGrid w:val="0"/>
        <w:spacing w:line="480" w:lineRule="exact"/>
        <w:ind w:firstLine="535" w:firstLineChars="223"/>
        <w:rPr>
          <w:sz w:val="24"/>
        </w:rPr>
      </w:pPr>
      <w:r>
        <w:rPr>
          <w:sz w:val="24"/>
        </w:rPr>
        <w:t>三、本公司的投标资格已按照《台州市建设工程投标人资格自查表》和《台州市建设工程投标项目负责人资格自查表》逐条自查，并如实填写；</w:t>
      </w:r>
    </w:p>
    <w:p w14:paraId="11E68EA3">
      <w:pPr>
        <w:adjustRightInd w:val="0"/>
        <w:snapToGrid w:val="0"/>
        <w:spacing w:line="480" w:lineRule="exact"/>
        <w:ind w:firstLine="480" w:firstLineChars="200"/>
        <w:rPr>
          <w:sz w:val="24"/>
        </w:rPr>
      </w:pPr>
      <w:r>
        <w:rPr>
          <w:sz w:val="24"/>
        </w:rPr>
        <w:t>四、不存在串通投标行为（包括不存在招标文件</w:t>
      </w:r>
      <w:r>
        <w:rPr>
          <w:rFonts w:hint="eastAsia"/>
          <w:sz w:val="24"/>
        </w:rPr>
        <w:t>第三章“评标办法”第3.1.2和第3.1.3项规定的情形</w:t>
      </w:r>
      <w:r>
        <w:rPr>
          <w:sz w:val="24"/>
        </w:rPr>
        <w:t>）；</w:t>
      </w:r>
    </w:p>
    <w:p w14:paraId="0660E5CA">
      <w:pPr>
        <w:adjustRightInd w:val="0"/>
        <w:snapToGrid w:val="0"/>
        <w:spacing w:line="480" w:lineRule="exact"/>
        <w:ind w:firstLine="513" w:firstLineChars="214"/>
        <w:rPr>
          <w:sz w:val="24"/>
        </w:rPr>
      </w:pPr>
      <w:r>
        <w:rPr>
          <w:sz w:val="24"/>
        </w:rPr>
        <w:t>五、不存在他人以本公司名义投标或者不存在以其他方式弄虚作假的行为；</w:t>
      </w:r>
    </w:p>
    <w:p w14:paraId="38B76560">
      <w:pPr>
        <w:adjustRightInd w:val="0"/>
        <w:snapToGrid w:val="0"/>
        <w:spacing w:line="480" w:lineRule="exact"/>
        <w:ind w:firstLine="513" w:firstLineChars="214"/>
        <w:rPr>
          <w:sz w:val="24"/>
        </w:rPr>
      </w:pPr>
      <w:r>
        <w:rPr>
          <w:sz w:val="24"/>
        </w:rPr>
        <w:t>六、不存在向招标人或者评标委员会成员行贿以牟取中标的行为。</w:t>
      </w:r>
    </w:p>
    <w:p w14:paraId="549AA94D">
      <w:pPr>
        <w:adjustRightInd w:val="0"/>
        <w:snapToGrid w:val="0"/>
        <w:spacing w:line="480" w:lineRule="exact"/>
        <w:ind w:firstLine="516" w:firstLineChars="214"/>
        <w:rPr>
          <w:rFonts w:hint="eastAsia"/>
          <w:b/>
          <w:sz w:val="24"/>
        </w:rPr>
      </w:pPr>
      <w:r>
        <w:rPr>
          <w:rFonts w:hint="eastAsia"/>
          <w:b/>
          <w:sz w:val="24"/>
        </w:rPr>
        <w:t>七</w:t>
      </w:r>
      <w:r>
        <w:rPr>
          <w:b/>
          <w:sz w:val="24"/>
        </w:rPr>
        <w:t>、</w:t>
      </w:r>
      <w:r>
        <w:rPr>
          <w:rFonts w:hint="eastAsia"/>
          <w:b/>
          <w:sz w:val="24"/>
        </w:rPr>
        <w:t>承诺我单位在投标期间（招标公告发布之日至中标通知书发出之日），参与投标资质在“浙江省建筑市场监管公共服务系统”上动态核查结果处于“合格”状态，若为“不合格”状态（或者资质“合格”状态的等级低于投标要求的资质等级）同意作否决投标处理或取消中标资格。</w:t>
      </w:r>
    </w:p>
    <w:p w14:paraId="7E6E9CF2">
      <w:pPr>
        <w:adjustRightInd w:val="0"/>
        <w:snapToGrid w:val="0"/>
        <w:spacing w:line="480" w:lineRule="exact"/>
        <w:ind w:firstLine="513" w:firstLineChars="214"/>
        <w:rPr>
          <w:sz w:val="24"/>
          <w:u w:val="single"/>
        </w:rPr>
      </w:pPr>
      <w:r>
        <w:rPr>
          <w:sz w:val="24"/>
        </w:rPr>
        <w:t>如招标人需要调查了解的，本公司负责本次投标的主管人员（分管经营的副总）将积极配合。主管人员：</w:t>
      </w:r>
      <w:r>
        <w:rPr>
          <w:sz w:val="24"/>
          <w:u w:val="single"/>
        </w:rPr>
        <w:t xml:space="preserve">            </w:t>
      </w:r>
      <w:r>
        <w:rPr>
          <w:sz w:val="24"/>
        </w:rPr>
        <w:t xml:space="preserve">      手机：</w:t>
      </w:r>
      <w:r>
        <w:rPr>
          <w:sz w:val="24"/>
          <w:u w:val="single"/>
        </w:rPr>
        <w:t xml:space="preserve">                </w:t>
      </w:r>
    </w:p>
    <w:p w14:paraId="55957B58">
      <w:pPr>
        <w:adjustRightInd w:val="0"/>
        <w:snapToGrid w:val="0"/>
        <w:spacing w:line="480" w:lineRule="exact"/>
        <w:ind w:firstLine="482" w:firstLineChars="200"/>
        <w:rPr>
          <w:b/>
          <w:sz w:val="24"/>
        </w:rPr>
      </w:pPr>
      <w:r>
        <w:rPr>
          <w:b/>
          <w:sz w:val="24"/>
        </w:rPr>
        <w:t>本公司若有违反本承诺内容的行为，愿意按招标文件规定接受投标担保的处理。如已中标的，自动放弃中标资格；给招标人造成损失的，依法承担赔偿责任。</w:t>
      </w:r>
    </w:p>
    <w:p w14:paraId="1EED55A5">
      <w:pPr>
        <w:adjustRightInd w:val="0"/>
        <w:snapToGrid w:val="0"/>
        <w:spacing w:line="480" w:lineRule="exact"/>
        <w:rPr>
          <w:sz w:val="24"/>
          <w:u w:val="single"/>
        </w:rPr>
      </w:pPr>
    </w:p>
    <w:p w14:paraId="35267D46">
      <w:pPr>
        <w:adjustRightInd w:val="0"/>
        <w:snapToGrid w:val="0"/>
        <w:spacing w:line="480" w:lineRule="exact"/>
        <w:rPr>
          <w:rFonts w:hint="eastAsia"/>
          <w:sz w:val="24"/>
          <w:u w:val="single"/>
        </w:rPr>
      </w:pPr>
    </w:p>
    <w:p w14:paraId="2B8D827F">
      <w:pPr>
        <w:adjustRightInd w:val="0"/>
        <w:snapToGrid w:val="0"/>
        <w:spacing w:line="480" w:lineRule="exact"/>
        <w:ind w:firstLine="3360" w:firstLineChars="1400"/>
        <w:rPr>
          <w:sz w:val="24"/>
        </w:rPr>
      </w:pPr>
      <w:r>
        <w:rPr>
          <w:sz w:val="24"/>
        </w:rPr>
        <w:t>法定代表人（签字或盖章）：</w:t>
      </w:r>
    </w:p>
    <w:p w14:paraId="058023E3">
      <w:pPr>
        <w:adjustRightInd w:val="0"/>
        <w:snapToGrid w:val="0"/>
        <w:spacing w:line="480" w:lineRule="exact"/>
        <w:ind w:firstLine="3360" w:firstLineChars="1400"/>
        <w:rPr>
          <w:rFonts w:hint="eastAsia"/>
          <w:sz w:val="24"/>
        </w:rPr>
      </w:pPr>
    </w:p>
    <w:p w14:paraId="6C14BD88">
      <w:pPr>
        <w:adjustRightInd w:val="0"/>
        <w:snapToGrid w:val="0"/>
        <w:spacing w:line="480" w:lineRule="exact"/>
        <w:ind w:firstLine="3360" w:firstLineChars="1400"/>
        <w:rPr>
          <w:sz w:val="24"/>
        </w:rPr>
      </w:pPr>
      <w:r>
        <w:rPr>
          <w:sz w:val="24"/>
        </w:rPr>
        <w:t>投  标  人（盖章）：</w:t>
      </w:r>
    </w:p>
    <w:p w14:paraId="288F550E">
      <w:pPr>
        <w:spacing w:line="480" w:lineRule="exact"/>
        <w:jc w:val="right"/>
        <w:rPr>
          <w:sz w:val="24"/>
        </w:rPr>
      </w:pPr>
      <w:r>
        <w:rPr>
          <w:sz w:val="24"/>
        </w:rPr>
        <w:t xml:space="preserve">       年    月    日</w:t>
      </w:r>
    </w:p>
    <w:p w14:paraId="44374449">
      <w:pPr>
        <w:pStyle w:val="29"/>
        <w:rPr>
          <w:rFonts w:cs="Times New Roman"/>
          <w:szCs w:val="28"/>
        </w:rPr>
      </w:pPr>
      <w:r>
        <w:rPr>
          <w:sz w:val="24"/>
        </w:rPr>
        <w:br w:type="page"/>
      </w:r>
      <w:bookmarkStart w:id="216" w:name="_Toc148964087"/>
      <w:r>
        <w:rPr>
          <w:rFonts w:hint="eastAsia" w:cs="Times New Roman"/>
          <w:szCs w:val="28"/>
        </w:rPr>
        <w:t>八</w:t>
      </w:r>
      <w:r>
        <w:rPr>
          <w:rFonts w:cs="Times New Roman"/>
          <w:szCs w:val="28"/>
        </w:rPr>
        <w:t>、法定代表人授权委托书</w:t>
      </w:r>
      <w:bookmarkEnd w:id="216"/>
    </w:p>
    <w:p w14:paraId="72A9B679">
      <w:pPr>
        <w:pStyle w:val="29"/>
        <w:rPr>
          <w:rFonts w:hint="eastAsia" w:cs="Times New Roman"/>
          <w:szCs w:val="28"/>
        </w:rPr>
      </w:pPr>
    </w:p>
    <w:p w14:paraId="720D02A2">
      <w:pPr>
        <w:adjustRightInd w:val="0"/>
        <w:snapToGrid w:val="0"/>
        <w:spacing w:before="156" w:beforeLines="50" w:line="360" w:lineRule="auto"/>
        <w:jc w:val="center"/>
        <w:rPr>
          <w:rFonts w:eastAsia="黑体"/>
          <w:sz w:val="44"/>
        </w:rPr>
      </w:pPr>
      <w:r>
        <w:rPr>
          <w:rFonts w:eastAsia="黑体"/>
          <w:sz w:val="44"/>
        </w:rPr>
        <w:t>法定代表人授权委托书</w:t>
      </w:r>
    </w:p>
    <w:p w14:paraId="1E42DEB7">
      <w:pPr>
        <w:adjustRightInd w:val="0"/>
        <w:snapToGrid w:val="0"/>
        <w:spacing w:before="156" w:beforeLines="50" w:line="360" w:lineRule="auto"/>
        <w:jc w:val="center"/>
        <w:rPr>
          <w:sz w:val="28"/>
        </w:rPr>
      </w:pPr>
      <w:r>
        <w:rPr>
          <w:sz w:val="28"/>
        </w:rPr>
        <w:t>（参考样张）</w:t>
      </w:r>
    </w:p>
    <w:p w14:paraId="4CCC99D6">
      <w:pPr>
        <w:snapToGrid w:val="0"/>
        <w:spacing w:before="156" w:beforeLines="50" w:line="400" w:lineRule="exact"/>
        <w:ind w:firstLine="480" w:firstLineChars="200"/>
        <w:rPr>
          <w:rFonts w:hint="eastAsia" w:ascii="宋体" w:hAnsi="宋体" w:cs="宋体"/>
          <w:sz w:val="24"/>
          <w:u w:val="single"/>
        </w:rPr>
      </w:pPr>
      <w:r>
        <w:rPr>
          <w:rFonts w:hint="eastAsia" w:ascii="宋体" w:hAnsi="宋体" w:cs="宋体"/>
          <w:sz w:val="24"/>
        </w:rPr>
        <w:t>本授权委托书声明：我</w:t>
      </w:r>
      <w:r>
        <w:rPr>
          <w:rFonts w:hint="eastAsia" w:ascii="宋体" w:hAnsi="宋体" w:cs="宋体"/>
          <w:sz w:val="24"/>
          <w:u w:val="single"/>
        </w:rPr>
        <w:t xml:space="preserve">         </w:t>
      </w:r>
      <w:r>
        <w:rPr>
          <w:rFonts w:hint="eastAsia" w:ascii="宋体" w:hAnsi="宋体" w:cs="宋体"/>
          <w:sz w:val="24"/>
        </w:rPr>
        <w:t>（姓名）系</w:t>
      </w:r>
      <w:r>
        <w:rPr>
          <w:rFonts w:hint="eastAsia" w:ascii="宋体" w:hAnsi="宋体" w:cs="宋体"/>
          <w:sz w:val="24"/>
          <w:u w:val="single"/>
        </w:rPr>
        <w:t xml:space="preserve">                     </w:t>
      </w:r>
      <w:r>
        <w:rPr>
          <w:rFonts w:hint="eastAsia" w:ascii="宋体" w:hAnsi="宋体" w:cs="宋体"/>
          <w:sz w:val="24"/>
        </w:rPr>
        <w:t>（投标单位名称）的法定代表人，现授权委托</w:t>
      </w:r>
      <w:r>
        <w:rPr>
          <w:rFonts w:hint="eastAsia" w:ascii="宋体" w:hAnsi="宋体" w:cs="宋体"/>
          <w:sz w:val="24"/>
          <w:u w:val="single"/>
        </w:rPr>
        <w:t xml:space="preserve">        </w:t>
      </w:r>
      <w:r>
        <w:rPr>
          <w:rFonts w:hint="eastAsia" w:ascii="宋体" w:hAnsi="宋体" w:cs="宋体"/>
          <w:sz w:val="24"/>
        </w:rPr>
        <w:t xml:space="preserve">（姓名）在  </w:t>
      </w:r>
      <w:r>
        <w:rPr>
          <w:rFonts w:ascii="宋体" w:hAnsi="宋体" w:cs="宋体"/>
          <w:sz w:val="24"/>
        </w:rPr>
        <w:t xml:space="preserve"> </w:t>
      </w:r>
      <w:r>
        <w:rPr>
          <w:rFonts w:hint="eastAsia" w:ascii="宋体" w:hAnsi="宋体" w:cs="宋体"/>
          <w:sz w:val="24"/>
        </w:rPr>
        <w:t xml:space="preserve"> 年 </w:t>
      </w:r>
      <w:r>
        <w:rPr>
          <w:rFonts w:ascii="宋体" w:hAnsi="宋体" w:cs="宋体"/>
          <w:sz w:val="24"/>
        </w:rPr>
        <w:t xml:space="preserve"> </w:t>
      </w:r>
      <w:r>
        <w:rPr>
          <w:rFonts w:hint="eastAsia" w:ascii="宋体" w:hAnsi="宋体" w:cs="宋体"/>
          <w:sz w:val="24"/>
        </w:rPr>
        <w:t>月   日至       年    月    日（代理时限）为我公司的代理人，以本公司的名义参加</w:t>
      </w:r>
      <w:r>
        <w:rPr>
          <w:rFonts w:hint="eastAsia" w:ascii="宋体" w:hAnsi="宋体" w:cs="宋体"/>
          <w:sz w:val="24"/>
          <w:u w:val="single"/>
        </w:rPr>
        <w:t xml:space="preserve">     工程     </w:t>
      </w:r>
      <w:r>
        <w:rPr>
          <w:rFonts w:hint="eastAsia" w:ascii="宋体" w:hAnsi="宋体" w:cs="宋体"/>
          <w:sz w:val="24"/>
        </w:rPr>
        <w:t>的投标活动。代理人在代理时间内参加投标、开标、询标过程中所签署的一切文件和处理与之相关的一切事务，本人均予以承认</w:t>
      </w:r>
    </w:p>
    <w:p w14:paraId="3CBAE7E7">
      <w:pPr>
        <w:snapToGrid w:val="0"/>
        <w:spacing w:before="156" w:beforeLines="50" w:line="400" w:lineRule="exact"/>
        <w:ind w:firstLine="480" w:firstLineChars="200"/>
        <w:rPr>
          <w:rFonts w:hint="eastAsia" w:ascii="宋体" w:hAnsi="宋体" w:cs="宋体"/>
          <w:sz w:val="24"/>
        </w:rPr>
      </w:pPr>
      <w:r>
        <w:rPr>
          <w:rFonts w:hint="eastAsia" w:ascii="宋体" w:hAnsi="宋体" w:cs="宋体"/>
          <w:sz w:val="24"/>
        </w:rPr>
        <w:t>代理人无权转委托，特此委托。</w:t>
      </w:r>
    </w:p>
    <w:p w14:paraId="34AD0929">
      <w:pPr>
        <w:pStyle w:val="16"/>
        <w:spacing w:line="400" w:lineRule="exact"/>
        <w:ind w:left="420"/>
        <w:rPr>
          <w:rFonts w:ascii="宋体" w:hAnsi="宋体" w:cs="宋体"/>
        </w:rPr>
      </w:pPr>
      <w:r>
        <w:rPr>
          <w:rFonts w:hint="eastAsia" w:ascii="宋体" w:hAnsi="宋体" w:cs="宋体"/>
        </w:rPr>
        <w:t xml:space="preserve"> 代理人手机号码：</w:t>
      </w:r>
      <w:r>
        <w:rPr>
          <w:rFonts w:hint="eastAsia" w:ascii="宋体" w:hAnsi="宋体" w:cs="宋体"/>
          <w:u w:val="single"/>
        </w:rPr>
        <w:t xml:space="preserve">              </w:t>
      </w:r>
    </w:p>
    <w:p w14:paraId="55E38607">
      <w:pPr>
        <w:snapToGrid w:val="0"/>
        <w:spacing w:before="156" w:beforeLines="50"/>
        <w:ind w:firstLine="420" w:firstLineChars="200"/>
        <w:rPr>
          <w:sz w:val="28"/>
        </w:rPr>
      </w:pPr>
      <w:r>
        <w:rPr>
          <w:rFonts w:hint="eastAsia" w:ascii="宋体" w:hAnsi="宋体" w:cs="宋体"/>
        </w:rPr>
        <mc:AlternateContent>
          <mc:Choice Requires="wps">
            <w:drawing>
              <wp:anchor distT="0" distB="0" distL="114300" distR="114300" simplePos="0" relativeHeight="251662336" behindDoc="0" locked="0" layoutInCell="1" allowOverlap="1">
                <wp:simplePos x="0" y="0"/>
                <wp:positionH relativeFrom="column">
                  <wp:posOffset>650875</wp:posOffset>
                </wp:positionH>
                <wp:positionV relativeFrom="paragraph">
                  <wp:posOffset>71120</wp:posOffset>
                </wp:positionV>
                <wp:extent cx="3251200" cy="3576955"/>
                <wp:effectExtent l="12700" t="12700" r="12700" b="22225"/>
                <wp:wrapNone/>
                <wp:docPr id="1" name="矩形 1"/>
                <wp:cNvGraphicFramePr/>
                <a:graphic xmlns:a="http://schemas.openxmlformats.org/drawingml/2006/main">
                  <a:graphicData uri="http://schemas.microsoft.com/office/word/2010/wordprocessingShape">
                    <wps:wsp>
                      <wps:cNvSpPr/>
                      <wps:spPr>
                        <a:xfrm>
                          <a:off x="1808480" y="6329680"/>
                          <a:ext cx="4781550" cy="4652645"/>
                        </a:xfrm>
                        <a:prstGeom prst="rect">
                          <a:avLst/>
                        </a:prstGeom>
                        <a:noFill/>
                        <a:ln w="25400" cap="flat" cmpd="sng" algn="ctr">
                          <a:solidFill>
                            <a:srgbClr val="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51.25pt;margin-top:5.6pt;height:281.65pt;width:256pt;z-index:251662336;v-text-anchor:middle;mso-width-relative:page;mso-height-relative:page;" filled="f" stroked="t" coordsize="21600,21600" o:gfxdata="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JZ6mk7XAAAACgEAAA8AAAAAAAAAAQAgAAAAIgAAAGRycy9kb3ducmV2Lnht&#10;bFBLAQIUABQAAAAIAIdO4kCkIO+dbAIAAM8EAAAOAAAAAAAAAAEAIAAAACYBAABkcnMvZTJvRG9j&#10;LnhtbFBLBQYAAAAABgAGAFkBAAAEBgAAAAA=&#10;">
                <v:fill on="f" focussize="0,0"/>
                <v:stroke weight="2pt" color="#000000" joinstyle="round"/>
                <v:imagedata o:title=""/>
                <o:lock v:ext="edit" aspectratio="f"/>
              </v:rect>
            </w:pict>
          </mc:Fallback>
        </mc:AlternateContent>
      </w:r>
      <w:r>
        <w:rPr>
          <w:rFonts w:hint="eastAsia"/>
          <w:sz w:val="28"/>
        </w:rPr>
        <w:t>附</w:t>
      </w:r>
    </w:p>
    <w:p w14:paraId="5169BA00"/>
    <w:p w14:paraId="1A1DF012">
      <w:pPr>
        <w:snapToGrid w:val="0"/>
        <w:ind w:firstLine="420" w:firstLineChars="200"/>
      </w:pPr>
    </w:p>
    <w:p w14:paraId="4F873666">
      <w:pPr>
        <w:wordWrap w:val="0"/>
        <w:snapToGrid w:val="0"/>
        <w:ind w:firstLine="640" w:firstLineChars="200"/>
        <w:jc w:val="right"/>
        <w:rPr>
          <w:rFonts w:hint="eastAsia" w:ascii="宋体" w:hAnsi="宋体"/>
          <w:bCs/>
          <w:sz w:val="32"/>
          <w:szCs w:val="32"/>
        </w:rPr>
      </w:pPr>
    </w:p>
    <w:p w14:paraId="75CAC97E">
      <w:pPr>
        <w:wordWrap w:val="0"/>
        <w:snapToGrid w:val="0"/>
        <w:ind w:firstLine="420" w:firstLineChars="200"/>
        <w:jc w:val="right"/>
        <w:rPr>
          <w:rFonts w:hint="eastAsia" w:ascii="宋体" w:hAnsi="宋体"/>
          <w:bCs/>
          <w:sz w:val="32"/>
          <w:szCs w:val="32"/>
        </w:rPr>
      </w:pPr>
      <w:r>
        <mc:AlternateContent>
          <mc:Choice Requires="wps">
            <w:drawing>
              <wp:anchor distT="0" distB="0" distL="114300" distR="114300" simplePos="0" relativeHeight="251664384" behindDoc="0" locked="0" layoutInCell="1" allowOverlap="1">
                <wp:simplePos x="0" y="0"/>
                <wp:positionH relativeFrom="column">
                  <wp:posOffset>1327150</wp:posOffset>
                </wp:positionH>
                <wp:positionV relativeFrom="paragraph">
                  <wp:posOffset>100330</wp:posOffset>
                </wp:positionV>
                <wp:extent cx="2364105" cy="408940"/>
                <wp:effectExtent l="4445" t="4445" r="8890" b="13335"/>
                <wp:wrapNone/>
                <wp:docPr id="2" name="文本框 5"/>
                <wp:cNvGraphicFramePr/>
                <a:graphic xmlns:a="http://schemas.openxmlformats.org/drawingml/2006/main">
                  <a:graphicData uri="http://schemas.microsoft.com/office/word/2010/wordprocessingShape">
                    <wps:wsp>
                      <wps:cNvSpPr txBox="1"/>
                      <wps:spPr>
                        <a:xfrm>
                          <a:off x="2303780" y="6463030"/>
                          <a:ext cx="3476625" cy="324485"/>
                        </a:xfrm>
                        <a:prstGeom prst="rect">
                          <a:avLst/>
                        </a:prstGeom>
                        <a:solidFill>
                          <a:srgbClr val="FFFFFF"/>
                        </a:solidFill>
                        <a:ln w="6350">
                          <a:solidFill>
                            <a:prstClr val="black"/>
                          </a:solidFill>
                        </a:ln>
                        <a:effectLst/>
                      </wps:spPr>
                      <wps:txbx>
                        <w:txbxContent>
                          <w:p w14:paraId="2073A371">
                            <w:pPr>
                              <w:jc w:val="center"/>
                              <w:rPr>
                                <w:rFonts w:hint="eastAsia"/>
                              </w:rPr>
                            </w:pPr>
                            <w:r>
                              <w:rPr>
                                <w:rFonts w:hint="eastAsia"/>
                              </w:rPr>
                              <w:t>代理人身份证正面复印件粘贴处</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5" o:spid="_x0000_s1026" o:spt="202" type="#_x0000_t202" style="position:absolute;left:0pt;margin-left:104.5pt;margin-top:7.9pt;height:32.2pt;width:186.15pt;z-index:251664384;mso-width-relative:page;mso-height-relative:page;" fillcolor="#FFFFFF" filled="t" stroked="t" coordsize="21600,21600" o:gfxdata="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849QJ9YAAAAJAQAADwAAAAAAAAABACAAAAAiAAAAZHJzL2Rvd25yZXYueG1s&#10;UEsBAhQAFAAAAAgAh07iQI4fKdtsAgAA0QQAAA4AAAAAAAAAAQAgAAAAJQEAAGRycy9lMm9Eb2Mu&#10;eG1sUEsFBgAAAAAGAAYAWQEAAAMGAAAAAA==&#10;">
                <v:fill on="t" focussize="0,0"/>
                <v:stroke weight="0.5pt" color="#000000" joinstyle="round"/>
                <v:imagedata o:title=""/>
                <o:lock v:ext="edit" aspectratio="f"/>
                <v:textbox>
                  <w:txbxContent>
                    <w:p w14:paraId="2073A371">
                      <w:pPr>
                        <w:jc w:val="center"/>
                        <w:rPr>
                          <w:rFonts w:hint="eastAsia"/>
                        </w:rPr>
                      </w:pPr>
                      <w:r>
                        <w:rPr>
                          <w:rFonts w:hint="eastAsia"/>
                        </w:rPr>
                        <w:t>代理人身份证正面复印件粘贴处</w:t>
                      </w:r>
                    </w:p>
                  </w:txbxContent>
                </v:textbox>
              </v:shape>
            </w:pict>
          </mc:Fallback>
        </mc:AlternateContent>
      </w:r>
    </w:p>
    <w:p w14:paraId="4A057770">
      <w:pPr>
        <w:wordWrap w:val="0"/>
        <w:snapToGrid w:val="0"/>
        <w:ind w:firstLine="640" w:firstLineChars="200"/>
        <w:jc w:val="right"/>
        <w:rPr>
          <w:rFonts w:hint="eastAsia" w:ascii="宋体" w:hAnsi="宋体"/>
          <w:bCs/>
          <w:sz w:val="32"/>
          <w:szCs w:val="32"/>
        </w:rPr>
      </w:pPr>
    </w:p>
    <w:p w14:paraId="0779A7B9">
      <w:pPr>
        <w:wordWrap w:val="0"/>
        <w:snapToGrid w:val="0"/>
        <w:ind w:firstLine="640" w:firstLineChars="200"/>
        <w:jc w:val="right"/>
        <w:rPr>
          <w:rFonts w:hint="eastAsia" w:ascii="宋体" w:hAnsi="宋体"/>
          <w:bCs/>
          <w:sz w:val="32"/>
          <w:szCs w:val="32"/>
        </w:rPr>
      </w:pPr>
    </w:p>
    <w:p w14:paraId="5ACE6780">
      <w:pPr>
        <w:wordWrap w:val="0"/>
        <w:snapToGrid w:val="0"/>
        <w:ind w:firstLine="640" w:firstLineChars="200"/>
        <w:jc w:val="right"/>
        <w:rPr>
          <w:rFonts w:hint="eastAsia" w:ascii="宋体" w:hAnsi="宋体"/>
          <w:bCs/>
          <w:sz w:val="32"/>
          <w:szCs w:val="32"/>
        </w:rPr>
      </w:pPr>
    </w:p>
    <w:p w14:paraId="5B4FB869">
      <w:pPr>
        <w:wordWrap w:val="0"/>
        <w:snapToGrid w:val="0"/>
        <w:ind w:firstLine="420" w:firstLineChars="200"/>
        <w:jc w:val="right"/>
        <w:rPr>
          <w:rFonts w:hint="eastAsia" w:ascii="宋体" w:hAnsi="宋体"/>
          <w:bCs/>
          <w:sz w:val="32"/>
          <w:szCs w:val="32"/>
        </w:rPr>
      </w:pPr>
      <w:r>
        <mc:AlternateContent>
          <mc:Choice Requires="wps">
            <w:drawing>
              <wp:anchor distT="0" distB="0" distL="114300" distR="114300" simplePos="0" relativeHeight="251663360" behindDoc="0" locked="0" layoutInCell="1" allowOverlap="1">
                <wp:simplePos x="0" y="0"/>
                <wp:positionH relativeFrom="column">
                  <wp:posOffset>687070</wp:posOffset>
                </wp:positionH>
                <wp:positionV relativeFrom="paragraph">
                  <wp:posOffset>9525</wp:posOffset>
                </wp:positionV>
                <wp:extent cx="3251200" cy="0"/>
                <wp:effectExtent l="0" t="4445" r="0" b="5080"/>
                <wp:wrapNone/>
                <wp:docPr id="3" name="直接连接符 4"/>
                <wp:cNvGraphicFramePr/>
                <a:graphic xmlns:a="http://schemas.openxmlformats.org/drawingml/2006/main">
                  <a:graphicData uri="http://schemas.microsoft.com/office/word/2010/wordprocessingShape">
                    <wps:wsp>
                      <wps:cNvCnPr>
                        <a:stCxn id="1" idx="1"/>
                        <a:endCxn id="1" idx="3"/>
                      </wps:cNvCnPr>
                      <wps:spPr>
                        <a:xfrm>
                          <a:off x="1732280" y="7520305"/>
                          <a:ext cx="4781550" cy="0"/>
                        </a:xfrm>
                        <a:prstGeom prst="line">
                          <a:avLst/>
                        </a:prstGeom>
                        <a:noFill/>
                        <a:ln w="9525" cap="flat" cmpd="sng" algn="ctr">
                          <a:solidFill>
                            <a:srgbClr val="000000"/>
                          </a:solidFill>
                          <a:prstDash val="solid"/>
                        </a:ln>
                        <a:effectLst/>
                      </wps:spPr>
                      <wps:bodyPr rot="0" vert="horz" wrap="square" lIns="91440" tIns="45720" rIns="91440" bIns="45720" anchor="t" anchorCtr="0"/>
                    </wps:wsp>
                  </a:graphicData>
                </a:graphic>
              </wp:anchor>
            </w:drawing>
          </mc:Choice>
          <mc:Fallback>
            <w:pict>
              <v:line id="直接连接符 4" o:spid="_x0000_s1026" o:spt="20" style="position:absolute;left:0pt;margin-left:54.1pt;margin-top:0.75pt;height:0pt;width:256pt;z-index:251663360;mso-width-relative:page;mso-height-relative:page;" filled="f" stroked="t" coordsize="21600,21600" o:gfxdata="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N8j5b9IAAAAHAQAADwAAAAAAAAABACAAAAAiAAAAZHJzL2Rvd25yZXYu&#10;eG1sUEsBAhQAFAAAAAgAh07iQP/upaU6AgAAYwQAAA4AAAAAAAAAAQAgAAAAIQEAAGRycy9lMm9E&#10;b2MueG1sUEsFBgAAAAAGAAYAWQEAAM0FAAAAAA==&#10;">
                <v:fill on="f" focussize="0,0"/>
                <v:stroke color="#000000" joinstyle="round"/>
                <v:imagedata o:title=""/>
                <o:lock v:ext="edit" aspectratio="f"/>
              </v:line>
            </w:pict>
          </mc:Fallback>
        </mc:AlternateContent>
      </w:r>
    </w:p>
    <w:p w14:paraId="13D96477">
      <w:pPr>
        <w:wordWrap w:val="0"/>
        <w:snapToGrid w:val="0"/>
        <w:ind w:firstLine="640" w:firstLineChars="200"/>
        <w:jc w:val="right"/>
        <w:rPr>
          <w:rFonts w:hint="eastAsia" w:ascii="宋体" w:hAnsi="宋体"/>
          <w:bCs/>
          <w:sz w:val="32"/>
          <w:szCs w:val="32"/>
        </w:rPr>
      </w:pPr>
    </w:p>
    <w:p w14:paraId="1505C6A6">
      <w:pPr>
        <w:wordWrap w:val="0"/>
        <w:snapToGrid w:val="0"/>
        <w:ind w:firstLine="420" w:firstLineChars="200"/>
        <w:jc w:val="right"/>
        <w:rPr>
          <w:rFonts w:hint="eastAsia" w:ascii="宋体" w:hAnsi="宋体"/>
          <w:bCs/>
          <w:sz w:val="32"/>
          <w:szCs w:val="32"/>
        </w:rPr>
      </w:pPr>
      <w:r>
        <mc:AlternateContent>
          <mc:Choice Requires="wps">
            <w:drawing>
              <wp:anchor distT="0" distB="0" distL="114300" distR="114300" simplePos="0" relativeHeight="251665408" behindDoc="0" locked="0" layoutInCell="1" allowOverlap="1">
                <wp:simplePos x="0" y="0"/>
                <wp:positionH relativeFrom="column">
                  <wp:posOffset>934720</wp:posOffset>
                </wp:positionH>
                <wp:positionV relativeFrom="paragraph">
                  <wp:posOffset>10160</wp:posOffset>
                </wp:positionV>
                <wp:extent cx="2499360" cy="388620"/>
                <wp:effectExtent l="4445" t="4445" r="10795" b="18415"/>
                <wp:wrapNone/>
                <wp:docPr id="4" name="文本框 6"/>
                <wp:cNvGraphicFramePr/>
                <a:graphic xmlns:a="http://schemas.openxmlformats.org/drawingml/2006/main">
                  <a:graphicData uri="http://schemas.microsoft.com/office/word/2010/wordprocessingShape">
                    <wps:wsp>
                      <wps:cNvSpPr txBox="1"/>
                      <wps:spPr>
                        <a:xfrm>
                          <a:off x="0" y="0"/>
                          <a:ext cx="3476625" cy="324485"/>
                        </a:xfrm>
                        <a:prstGeom prst="rect">
                          <a:avLst/>
                        </a:prstGeom>
                        <a:solidFill>
                          <a:srgbClr val="FFFFFF"/>
                        </a:solidFill>
                        <a:ln w="6350">
                          <a:solidFill>
                            <a:prstClr val="black"/>
                          </a:solidFill>
                        </a:ln>
                        <a:effectLst/>
                      </wps:spPr>
                      <wps:txbx>
                        <w:txbxContent>
                          <w:p w14:paraId="26620413">
                            <w:pPr>
                              <w:jc w:val="center"/>
                              <w:rPr>
                                <w:rFonts w:hint="eastAsia"/>
                              </w:rPr>
                            </w:pPr>
                            <w:r>
                              <w:rPr>
                                <w:rFonts w:hint="eastAsia"/>
                              </w:rPr>
                              <w:t>代理人身份证背面复印件粘贴处</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6" o:spid="_x0000_s1026" o:spt="202" type="#_x0000_t202" style="position:absolute;left:0pt;margin-left:73.6pt;margin-top:0.8pt;height:30.6pt;width:196.8pt;z-index:251665408;mso-width-relative:page;mso-height-relative:page;" fillcolor="#FFFFFF" filled="t" stroked="t" coordsize="21600,21600" o:gfxdata="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H25&#10;5xfVAAAACAEAAA8AAAAAAAAAAQAgAAAAIgAAAGRycy9kb3ducmV2LnhtbFBLAQIUABQAAAAIAIdO&#10;4kBoU3hnXwIAAMUEAAAOAAAAAAAAAAEAIAAAACQBAABkcnMvZTJvRG9jLnhtbFBLBQYAAAAABgAG&#10;AFkBAAD1BQAAAAA=&#10;">
                <v:fill on="t" focussize="0,0"/>
                <v:stroke weight="0.5pt" color="#000000" joinstyle="round"/>
                <v:imagedata o:title=""/>
                <o:lock v:ext="edit" aspectratio="f"/>
                <v:textbox>
                  <w:txbxContent>
                    <w:p w14:paraId="26620413">
                      <w:pPr>
                        <w:jc w:val="center"/>
                        <w:rPr>
                          <w:rFonts w:hint="eastAsia"/>
                        </w:rPr>
                      </w:pPr>
                      <w:r>
                        <w:rPr>
                          <w:rFonts w:hint="eastAsia"/>
                        </w:rPr>
                        <w:t>代理人身份证背面复印件粘贴处</w:t>
                      </w:r>
                    </w:p>
                  </w:txbxContent>
                </v:textbox>
              </v:shape>
            </w:pict>
          </mc:Fallback>
        </mc:AlternateContent>
      </w:r>
    </w:p>
    <w:p w14:paraId="7AD3ACA8">
      <w:pPr>
        <w:wordWrap w:val="0"/>
        <w:snapToGrid w:val="0"/>
        <w:ind w:firstLine="640" w:firstLineChars="200"/>
        <w:jc w:val="right"/>
        <w:rPr>
          <w:rFonts w:hint="eastAsia" w:ascii="宋体" w:hAnsi="宋体"/>
          <w:bCs/>
          <w:sz w:val="32"/>
          <w:szCs w:val="32"/>
        </w:rPr>
      </w:pPr>
    </w:p>
    <w:p w14:paraId="2E752335">
      <w:pPr>
        <w:wordWrap w:val="0"/>
        <w:snapToGrid w:val="0"/>
        <w:rPr>
          <w:rFonts w:hint="eastAsia" w:ascii="宋体" w:hAnsi="宋体"/>
          <w:bCs/>
          <w:sz w:val="32"/>
          <w:szCs w:val="32"/>
        </w:rPr>
      </w:pPr>
    </w:p>
    <w:p w14:paraId="3B73665E">
      <w:pPr>
        <w:wordWrap w:val="0"/>
        <w:snapToGrid w:val="0"/>
        <w:ind w:firstLine="640" w:firstLineChars="200"/>
        <w:jc w:val="right"/>
        <w:rPr>
          <w:rFonts w:hint="eastAsia" w:ascii="宋体" w:hAnsi="宋体"/>
          <w:bCs/>
          <w:sz w:val="32"/>
          <w:szCs w:val="32"/>
        </w:rPr>
      </w:pPr>
    </w:p>
    <w:p w14:paraId="06A084D8">
      <w:pPr>
        <w:snapToGrid w:val="0"/>
        <w:ind w:right="640"/>
        <w:rPr>
          <w:rFonts w:hint="eastAsia" w:ascii="宋体" w:hAnsi="宋体"/>
          <w:bCs/>
          <w:sz w:val="32"/>
          <w:szCs w:val="32"/>
        </w:rPr>
      </w:pPr>
    </w:p>
    <w:p w14:paraId="5AEF5DA0">
      <w:pPr>
        <w:wordWrap w:val="0"/>
        <w:snapToGrid w:val="0"/>
        <w:ind w:firstLine="560" w:firstLineChars="200"/>
        <w:jc w:val="right"/>
        <w:rPr>
          <w:rFonts w:hint="eastAsia" w:ascii="宋体" w:hAnsi="宋体"/>
          <w:bCs/>
          <w:sz w:val="28"/>
          <w:szCs w:val="28"/>
        </w:rPr>
      </w:pPr>
    </w:p>
    <w:p w14:paraId="2C5B3DA9">
      <w:pPr>
        <w:adjustRightInd w:val="0"/>
        <w:snapToGrid w:val="0"/>
        <w:spacing w:line="360" w:lineRule="auto"/>
        <w:rPr>
          <w:sz w:val="24"/>
        </w:rPr>
      </w:pPr>
      <w:r>
        <w:rPr>
          <w:sz w:val="24"/>
        </w:rPr>
        <w:t xml:space="preserve">法定代表人（签字或盖章）：              </w:t>
      </w:r>
    </w:p>
    <w:p w14:paraId="6FD729E8">
      <w:pPr>
        <w:adjustRightInd w:val="0"/>
        <w:snapToGrid w:val="0"/>
        <w:spacing w:line="360" w:lineRule="auto"/>
        <w:rPr>
          <w:sz w:val="24"/>
        </w:rPr>
      </w:pPr>
      <w:r>
        <w:rPr>
          <w:sz w:val="24"/>
        </w:rPr>
        <w:t>投  标  人（盖章）：                                年    月   日</w:t>
      </w:r>
    </w:p>
    <w:p w14:paraId="1EBF2733">
      <w:pPr>
        <w:pStyle w:val="11"/>
        <w:rPr>
          <w:sz w:val="24"/>
        </w:rPr>
      </w:pPr>
    </w:p>
    <w:p w14:paraId="76B63DB4">
      <w:pPr>
        <w:pStyle w:val="5"/>
        <w:rPr>
          <w:rFonts w:hint="eastAsia"/>
        </w:rPr>
      </w:pPr>
    </w:p>
    <w:p w14:paraId="296DCC1C">
      <w:pPr>
        <w:pStyle w:val="29"/>
        <w:rPr>
          <w:rFonts w:cs="Times New Roman"/>
          <w:szCs w:val="28"/>
        </w:rPr>
      </w:pPr>
      <w:r>
        <w:rPr>
          <w:rFonts w:hint="eastAsia" w:cs="Times New Roman"/>
          <w:szCs w:val="28"/>
        </w:rPr>
        <w:t>九</w:t>
      </w:r>
      <w:r>
        <w:rPr>
          <w:rFonts w:cs="Times New Roman"/>
          <w:szCs w:val="28"/>
        </w:rPr>
        <w:t>、台州市建设工程安全生产任职资格承诺书</w:t>
      </w:r>
    </w:p>
    <w:p w14:paraId="4F3E3782">
      <w:pPr>
        <w:adjustRightInd w:val="0"/>
        <w:snapToGrid w:val="0"/>
        <w:spacing w:before="156" w:beforeLines="50" w:line="360" w:lineRule="auto"/>
        <w:rPr>
          <w:b/>
          <w:sz w:val="28"/>
          <w:szCs w:val="28"/>
        </w:rPr>
      </w:pPr>
    </w:p>
    <w:p w14:paraId="50A82DAF">
      <w:pPr>
        <w:adjustRightInd w:val="0"/>
        <w:snapToGrid w:val="0"/>
        <w:spacing w:before="156" w:beforeLines="50" w:line="360" w:lineRule="auto"/>
        <w:rPr>
          <w:b/>
          <w:sz w:val="28"/>
          <w:szCs w:val="28"/>
        </w:rPr>
      </w:pPr>
    </w:p>
    <w:p w14:paraId="4FD94BC6">
      <w:pPr>
        <w:adjustRightInd w:val="0"/>
        <w:snapToGrid w:val="0"/>
        <w:ind w:firstLine="1738" w:firstLineChars="541"/>
        <w:rPr>
          <w:b/>
          <w:sz w:val="32"/>
          <w:szCs w:val="32"/>
        </w:rPr>
      </w:pPr>
      <w:r>
        <w:rPr>
          <w:b/>
          <w:sz w:val="32"/>
          <w:szCs w:val="32"/>
        </w:rPr>
        <w:t xml:space="preserve"> </w:t>
      </w:r>
      <w:r>
        <w:rPr>
          <w:b/>
          <w:sz w:val="32"/>
          <w:szCs w:val="32"/>
          <w:u w:val="single"/>
        </w:rPr>
        <w:t xml:space="preserve">                            </w:t>
      </w:r>
      <w:r>
        <w:rPr>
          <w:b/>
          <w:sz w:val="32"/>
          <w:szCs w:val="32"/>
        </w:rPr>
        <w:t>工程</w:t>
      </w:r>
    </w:p>
    <w:p w14:paraId="2BBED7FB">
      <w:pPr>
        <w:adjustRightInd w:val="0"/>
        <w:snapToGrid w:val="0"/>
        <w:ind w:firstLine="1738" w:firstLineChars="541"/>
        <w:rPr>
          <w:b/>
          <w:sz w:val="32"/>
          <w:szCs w:val="32"/>
        </w:rPr>
      </w:pPr>
    </w:p>
    <w:p w14:paraId="3D43D6A8">
      <w:pPr>
        <w:adjustRightInd w:val="0"/>
        <w:snapToGrid w:val="0"/>
        <w:jc w:val="center"/>
        <w:rPr>
          <w:b/>
          <w:sz w:val="32"/>
          <w:szCs w:val="32"/>
        </w:rPr>
      </w:pPr>
      <w:r>
        <w:rPr>
          <w:b/>
          <w:sz w:val="32"/>
          <w:szCs w:val="32"/>
        </w:rPr>
        <w:t>台州市建设工程安全生产任职资格承诺书</w:t>
      </w:r>
    </w:p>
    <w:p w14:paraId="6989C75C">
      <w:pPr>
        <w:adjustRightInd w:val="0"/>
        <w:snapToGrid w:val="0"/>
        <w:jc w:val="center"/>
        <w:rPr>
          <w:b/>
          <w:sz w:val="32"/>
          <w:szCs w:val="32"/>
        </w:rPr>
      </w:pPr>
    </w:p>
    <w:p w14:paraId="5EFEF3EB">
      <w:pPr>
        <w:rPr>
          <w:sz w:val="30"/>
          <w:szCs w:val="30"/>
        </w:rPr>
      </w:pPr>
      <w:r>
        <w:t xml:space="preserve">  </w:t>
      </w:r>
      <w:r>
        <w:rPr>
          <w:sz w:val="30"/>
          <w:szCs w:val="30"/>
        </w:rPr>
        <w:t xml:space="preserve">   本人以企业法定代表人的身份郑重承诺：</w:t>
      </w:r>
    </w:p>
    <w:p w14:paraId="26CDB20D">
      <w:pPr>
        <w:adjustRightInd w:val="0"/>
        <w:snapToGrid w:val="0"/>
        <w:spacing w:before="156" w:beforeLines="50" w:line="360" w:lineRule="auto"/>
        <w:ind w:firstLine="600" w:firstLineChars="200"/>
        <w:rPr>
          <w:sz w:val="30"/>
          <w:szCs w:val="30"/>
        </w:rPr>
      </w:pPr>
      <w:r>
        <w:rPr>
          <w:sz w:val="30"/>
          <w:szCs w:val="30"/>
        </w:rPr>
        <w:t>本公司安全生产条件及相关管理人员（包括A类人员、拟派的项目负责人和施工现场专职安全生产管理人员）安全生产任职资格符合相关规定。</w:t>
      </w:r>
    </w:p>
    <w:p w14:paraId="025276CF">
      <w:pPr>
        <w:adjustRightInd w:val="0"/>
        <w:snapToGrid w:val="0"/>
        <w:spacing w:before="156" w:beforeLines="50" w:line="360" w:lineRule="auto"/>
        <w:ind w:firstLine="600" w:firstLineChars="200"/>
        <w:rPr>
          <w:sz w:val="30"/>
          <w:szCs w:val="30"/>
        </w:rPr>
      </w:pPr>
    </w:p>
    <w:p w14:paraId="1399A481">
      <w:pPr>
        <w:adjustRightInd w:val="0"/>
        <w:snapToGrid w:val="0"/>
        <w:spacing w:before="156" w:beforeLines="50" w:line="360" w:lineRule="auto"/>
        <w:ind w:firstLine="600" w:firstLineChars="200"/>
        <w:rPr>
          <w:sz w:val="30"/>
          <w:szCs w:val="30"/>
        </w:rPr>
      </w:pPr>
    </w:p>
    <w:p w14:paraId="0682A09D">
      <w:pPr>
        <w:adjustRightInd w:val="0"/>
        <w:snapToGrid w:val="0"/>
        <w:spacing w:before="156" w:beforeLines="50" w:line="360" w:lineRule="auto"/>
        <w:ind w:firstLine="600" w:firstLineChars="200"/>
        <w:rPr>
          <w:sz w:val="30"/>
          <w:szCs w:val="30"/>
        </w:rPr>
      </w:pPr>
    </w:p>
    <w:p w14:paraId="53E7C405">
      <w:pPr>
        <w:adjustRightInd w:val="0"/>
        <w:snapToGrid w:val="0"/>
        <w:spacing w:before="156" w:beforeLines="50" w:line="360" w:lineRule="auto"/>
        <w:ind w:firstLine="600" w:firstLineChars="200"/>
        <w:rPr>
          <w:sz w:val="30"/>
          <w:szCs w:val="30"/>
        </w:rPr>
      </w:pPr>
    </w:p>
    <w:p w14:paraId="4B070DB6">
      <w:pPr>
        <w:adjustRightInd w:val="0"/>
        <w:snapToGrid w:val="0"/>
        <w:spacing w:line="360" w:lineRule="auto"/>
        <w:ind w:firstLine="2880" w:firstLineChars="1200"/>
        <w:rPr>
          <w:sz w:val="24"/>
        </w:rPr>
      </w:pPr>
      <w:r>
        <w:rPr>
          <w:sz w:val="24"/>
        </w:rPr>
        <w:t xml:space="preserve">法定代表人（签字或盖章）：                </w:t>
      </w:r>
    </w:p>
    <w:p w14:paraId="460FAB9C">
      <w:pPr>
        <w:adjustRightInd w:val="0"/>
        <w:snapToGrid w:val="0"/>
        <w:spacing w:line="586" w:lineRule="exact"/>
        <w:ind w:right="640" w:firstLine="3000" w:firstLineChars="1250"/>
        <w:rPr>
          <w:rFonts w:hint="eastAsia"/>
          <w:sz w:val="24"/>
        </w:rPr>
      </w:pPr>
    </w:p>
    <w:p w14:paraId="548E20A7">
      <w:pPr>
        <w:adjustRightInd w:val="0"/>
        <w:snapToGrid w:val="0"/>
        <w:spacing w:line="586" w:lineRule="exact"/>
        <w:ind w:right="640" w:firstLine="3000" w:firstLineChars="1250"/>
        <w:rPr>
          <w:sz w:val="24"/>
        </w:rPr>
      </w:pPr>
      <w:r>
        <w:rPr>
          <w:sz w:val="24"/>
        </w:rPr>
        <w:t>投  标  人（盖章）：         年    月   日</w:t>
      </w:r>
    </w:p>
    <w:p w14:paraId="704389CF">
      <w:pPr>
        <w:rPr>
          <w:rFonts w:hint="eastAsia"/>
          <w:sz w:val="24"/>
        </w:rPr>
      </w:pPr>
    </w:p>
    <w:p w14:paraId="5569DD4A">
      <w:pPr>
        <w:rPr>
          <w:rFonts w:hint="eastAsia"/>
          <w:sz w:val="24"/>
        </w:rPr>
      </w:pPr>
    </w:p>
    <w:p w14:paraId="10E3E5A4">
      <w:pPr>
        <w:rPr>
          <w:rFonts w:hint="eastAsia"/>
          <w:sz w:val="24"/>
        </w:rPr>
      </w:pPr>
    </w:p>
    <w:p w14:paraId="418F84B8">
      <w:pPr>
        <w:rPr>
          <w:rFonts w:hint="eastAsia"/>
          <w:sz w:val="24"/>
        </w:rPr>
      </w:pPr>
    </w:p>
    <w:p w14:paraId="6298FB31">
      <w:pPr>
        <w:rPr>
          <w:rFonts w:hint="eastAsia"/>
          <w:sz w:val="24"/>
        </w:rPr>
      </w:pPr>
    </w:p>
    <w:p w14:paraId="3105D26C">
      <w:pPr>
        <w:rPr>
          <w:rFonts w:hint="eastAsia"/>
          <w:sz w:val="24"/>
        </w:rPr>
      </w:pPr>
    </w:p>
    <w:p w14:paraId="19B0E708">
      <w:pPr>
        <w:rPr>
          <w:rFonts w:hint="eastAsia"/>
          <w:sz w:val="24"/>
        </w:rPr>
      </w:pPr>
    </w:p>
    <w:p w14:paraId="2D4873C4">
      <w:pPr>
        <w:pStyle w:val="11"/>
        <w:rPr>
          <w:rFonts w:hint="eastAsia"/>
          <w:sz w:val="24"/>
        </w:rPr>
      </w:pPr>
    </w:p>
    <w:p w14:paraId="0CB38A56">
      <w:pPr>
        <w:pStyle w:val="5"/>
        <w:rPr>
          <w:rFonts w:hint="eastAsia"/>
          <w:sz w:val="24"/>
        </w:rPr>
      </w:pPr>
    </w:p>
    <w:p w14:paraId="2482DE2C">
      <w:pPr>
        <w:pStyle w:val="11"/>
        <w:rPr>
          <w:rFonts w:hint="eastAsia"/>
          <w:sz w:val="24"/>
        </w:rPr>
      </w:pPr>
    </w:p>
    <w:p w14:paraId="48198873">
      <w:pPr>
        <w:pStyle w:val="5"/>
        <w:rPr>
          <w:rFonts w:hint="eastAsia"/>
        </w:rPr>
      </w:pPr>
    </w:p>
    <w:p w14:paraId="612C6F2B">
      <w:pPr>
        <w:rPr>
          <w:sz w:val="24"/>
        </w:rPr>
      </w:pPr>
    </w:p>
    <w:p w14:paraId="4533A361">
      <w:pPr>
        <w:rPr>
          <w:rFonts w:hint="eastAsia"/>
          <w:sz w:val="24"/>
        </w:rPr>
      </w:pPr>
    </w:p>
    <w:p w14:paraId="75CAC4DE">
      <w:pPr>
        <w:widowControl/>
        <w:spacing w:line="360" w:lineRule="auto"/>
        <w:rPr>
          <w:rFonts w:ascii="黑体" w:hAnsi="黑体" w:eastAsia="黑体" w:cs="黑体"/>
          <w:b/>
          <w:sz w:val="28"/>
          <w:szCs w:val="28"/>
        </w:rPr>
      </w:pPr>
    </w:p>
    <w:p w14:paraId="127572DE">
      <w:pPr>
        <w:widowControl/>
        <w:spacing w:line="360" w:lineRule="auto"/>
        <w:rPr>
          <w:rFonts w:hint="eastAsia"/>
        </w:rPr>
      </w:pPr>
      <w:r>
        <w:rPr>
          <w:rFonts w:hint="eastAsia" w:ascii="黑体" w:hAnsi="黑体" w:eastAsia="黑体" w:cs="黑体"/>
          <w:b/>
          <w:sz w:val="28"/>
          <w:szCs w:val="28"/>
        </w:rPr>
        <w:t>十、停工证明</w:t>
      </w:r>
    </w:p>
    <w:p w14:paraId="28664074">
      <w:pPr>
        <w:rPr>
          <w:rFonts w:hint="eastAsia"/>
        </w:rPr>
      </w:pPr>
    </w:p>
    <w:p w14:paraId="187C5A49">
      <w:pPr>
        <w:snapToGrid w:val="0"/>
        <w:spacing w:line="360" w:lineRule="auto"/>
        <w:ind w:firstLine="3659" w:firstLineChars="1139"/>
        <w:rPr>
          <w:rFonts w:hint="eastAsia" w:ascii="宋体" w:hAnsi="宋体"/>
          <w:b/>
          <w:sz w:val="32"/>
          <w:szCs w:val="32"/>
        </w:rPr>
      </w:pPr>
      <w:r>
        <w:rPr>
          <w:rFonts w:hint="eastAsia" w:ascii="宋体" w:hAnsi="宋体"/>
          <w:b/>
          <w:sz w:val="32"/>
          <w:szCs w:val="32"/>
        </w:rPr>
        <w:t>停工证明</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2"/>
      </w:tblGrid>
      <w:tr w14:paraId="64B81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5" w:hRule="atLeast"/>
        </w:trPr>
        <w:tc>
          <w:tcPr>
            <w:tcW w:w="8802" w:type="dxa"/>
            <w:noWrap w:val="0"/>
            <w:vAlign w:val="top"/>
          </w:tcPr>
          <w:p w14:paraId="6EEAF72D">
            <w:pPr>
              <w:spacing w:line="360" w:lineRule="auto"/>
              <w:ind w:firstLine="560" w:firstLineChars="200"/>
              <w:jc w:val="right"/>
              <w:rPr>
                <w:rFonts w:hint="eastAsia"/>
                <w:sz w:val="28"/>
                <w:szCs w:val="28"/>
              </w:rPr>
            </w:pPr>
            <w:r>
              <w:rPr>
                <w:rFonts w:hint="eastAsia"/>
                <w:sz w:val="28"/>
                <w:szCs w:val="28"/>
              </w:rPr>
              <w:t>____________(原建设单位）：</w:t>
            </w:r>
          </w:p>
          <w:p w14:paraId="257395B1">
            <w:pPr>
              <w:spacing w:line="360" w:lineRule="auto"/>
              <w:ind w:firstLine="560" w:firstLineChars="200"/>
              <w:rPr>
                <w:rFonts w:hint="eastAsia"/>
                <w:sz w:val="28"/>
                <w:szCs w:val="28"/>
              </w:rPr>
            </w:pPr>
            <w:r>
              <w:rPr>
                <w:rFonts w:hint="eastAsia"/>
                <w:sz w:val="28"/>
                <w:szCs w:val="28"/>
              </w:rPr>
              <w:t>我公司承接的贵单位____________(原工程项目名称），于___年___月___日取得施工许可证，并于___年___月___日开工。但因非我承包人原因自___年___月___日至今，已连续停工超过120天。特申请同意我公司项目负责人__________（项目负责人名字）承接其他项目。</w:t>
            </w:r>
          </w:p>
          <w:p w14:paraId="00C44031">
            <w:pPr>
              <w:spacing w:line="360" w:lineRule="auto"/>
              <w:ind w:firstLine="560" w:firstLineChars="200"/>
              <w:rPr>
                <w:rFonts w:hint="eastAsia"/>
                <w:sz w:val="28"/>
                <w:szCs w:val="28"/>
              </w:rPr>
            </w:pPr>
            <w:r>
              <w:rPr>
                <w:rFonts w:hint="eastAsia"/>
                <w:sz w:val="28"/>
                <w:szCs w:val="28"/>
              </w:rPr>
              <w:t>特此报告。</w:t>
            </w:r>
          </w:p>
          <w:p w14:paraId="0DE56CB5">
            <w:pPr>
              <w:spacing w:line="360" w:lineRule="auto"/>
              <w:ind w:firstLine="560" w:firstLineChars="200"/>
              <w:jc w:val="right"/>
              <w:rPr>
                <w:rFonts w:hint="eastAsia"/>
                <w:sz w:val="28"/>
                <w:szCs w:val="28"/>
              </w:rPr>
            </w:pPr>
            <w:r>
              <w:rPr>
                <w:rFonts w:hint="eastAsia"/>
                <w:sz w:val="28"/>
                <w:szCs w:val="28"/>
              </w:rPr>
              <w:t>承包人（盖章）</w:t>
            </w:r>
          </w:p>
          <w:p w14:paraId="5CC12365">
            <w:pPr>
              <w:spacing w:line="360" w:lineRule="auto"/>
              <w:ind w:firstLine="560" w:firstLineChars="200"/>
              <w:jc w:val="right"/>
              <w:rPr>
                <w:rFonts w:hint="eastAsia"/>
              </w:rPr>
            </w:pPr>
            <w:r>
              <w:rPr>
                <w:rFonts w:hint="eastAsia"/>
                <w:sz w:val="28"/>
                <w:szCs w:val="28"/>
              </w:rPr>
              <w:t>___年___月___日</w:t>
            </w:r>
          </w:p>
        </w:tc>
      </w:tr>
      <w:tr w14:paraId="4A7C3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8" w:hRule="atLeast"/>
        </w:trPr>
        <w:tc>
          <w:tcPr>
            <w:tcW w:w="8802" w:type="dxa"/>
            <w:noWrap w:val="0"/>
            <w:vAlign w:val="top"/>
          </w:tcPr>
          <w:p w14:paraId="62E9E792">
            <w:pPr>
              <w:spacing w:line="360" w:lineRule="auto"/>
              <w:rPr>
                <w:rFonts w:hint="eastAsia"/>
                <w:sz w:val="28"/>
                <w:szCs w:val="28"/>
              </w:rPr>
            </w:pPr>
            <w:r>
              <w:rPr>
                <w:rFonts w:hint="eastAsia"/>
                <w:sz w:val="28"/>
                <w:szCs w:val="28"/>
              </w:rPr>
              <w:t>原建设单位意见：</w:t>
            </w:r>
          </w:p>
          <w:p w14:paraId="55E188BF">
            <w:pPr>
              <w:spacing w:line="360" w:lineRule="auto"/>
              <w:rPr>
                <w:rFonts w:hint="eastAsia"/>
                <w:sz w:val="28"/>
                <w:szCs w:val="28"/>
              </w:rPr>
            </w:pPr>
          </w:p>
          <w:p w14:paraId="26DBBC38">
            <w:pPr>
              <w:spacing w:line="360" w:lineRule="auto"/>
              <w:jc w:val="right"/>
              <w:rPr>
                <w:rFonts w:hint="eastAsia"/>
                <w:sz w:val="28"/>
                <w:szCs w:val="28"/>
              </w:rPr>
            </w:pPr>
            <w:r>
              <w:rPr>
                <w:rFonts w:hint="eastAsia"/>
                <w:sz w:val="28"/>
                <w:szCs w:val="28"/>
              </w:rPr>
              <w:t>原建设单位（盖章）：</w:t>
            </w:r>
          </w:p>
          <w:p w14:paraId="478F5B40">
            <w:pPr>
              <w:spacing w:line="360" w:lineRule="auto"/>
              <w:jc w:val="right"/>
              <w:rPr>
                <w:rFonts w:hint="eastAsia"/>
                <w:sz w:val="28"/>
                <w:szCs w:val="28"/>
              </w:rPr>
            </w:pPr>
            <w:r>
              <w:rPr>
                <w:rFonts w:hint="eastAsia"/>
                <w:sz w:val="28"/>
                <w:szCs w:val="28"/>
              </w:rPr>
              <w:t>___年___月___日</w:t>
            </w:r>
          </w:p>
          <w:p w14:paraId="333A0335">
            <w:pPr>
              <w:spacing w:line="360" w:lineRule="auto"/>
              <w:rPr>
                <w:rFonts w:hint="eastAsia"/>
              </w:rPr>
            </w:pPr>
          </w:p>
        </w:tc>
      </w:tr>
      <w:tr w14:paraId="06994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2" w:type="dxa"/>
            <w:noWrap w:val="0"/>
            <w:vAlign w:val="top"/>
          </w:tcPr>
          <w:p w14:paraId="0C6581D0">
            <w:pPr>
              <w:spacing w:line="360" w:lineRule="auto"/>
              <w:rPr>
                <w:rFonts w:hint="eastAsia"/>
                <w:sz w:val="28"/>
                <w:szCs w:val="28"/>
              </w:rPr>
            </w:pPr>
            <w:r>
              <w:rPr>
                <w:rFonts w:hint="eastAsia"/>
                <w:sz w:val="28"/>
                <w:szCs w:val="28"/>
              </w:rPr>
              <w:t>行政主管部门证明：</w:t>
            </w:r>
          </w:p>
          <w:p w14:paraId="5C608544">
            <w:pPr>
              <w:spacing w:line="360" w:lineRule="auto"/>
              <w:ind w:firstLine="560" w:firstLineChars="200"/>
              <w:rPr>
                <w:rFonts w:hint="eastAsia"/>
                <w:sz w:val="28"/>
                <w:szCs w:val="28"/>
              </w:rPr>
            </w:pPr>
            <w:r>
              <w:rPr>
                <w:rFonts w:hint="eastAsia"/>
                <w:sz w:val="28"/>
                <w:szCs w:val="28"/>
              </w:rPr>
              <w:t>自___年___月___日开始停工，至今已超过120天。情况属实。</w:t>
            </w:r>
          </w:p>
          <w:p w14:paraId="40E87DA4">
            <w:pPr>
              <w:spacing w:line="360" w:lineRule="auto"/>
              <w:jc w:val="right"/>
              <w:rPr>
                <w:rFonts w:hint="eastAsia"/>
                <w:sz w:val="28"/>
                <w:szCs w:val="28"/>
              </w:rPr>
            </w:pPr>
          </w:p>
          <w:p w14:paraId="1F29EB4F">
            <w:pPr>
              <w:spacing w:line="360" w:lineRule="auto"/>
              <w:jc w:val="right"/>
              <w:rPr>
                <w:rFonts w:hint="eastAsia"/>
                <w:sz w:val="28"/>
                <w:szCs w:val="28"/>
              </w:rPr>
            </w:pPr>
            <w:r>
              <w:rPr>
                <w:rFonts w:hint="eastAsia"/>
                <w:sz w:val="28"/>
                <w:szCs w:val="28"/>
              </w:rPr>
              <w:t>行政主管部门（盖章）：</w:t>
            </w:r>
          </w:p>
          <w:p w14:paraId="03405319">
            <w:pPr>
              <w:spacing w:line="360" w:lineRule="auto"/>
              <w:jc w:val="right"/>
              <w:rPr>
                <w:rFonts w:hint="eastAsia"/>
              </w:rPr>
            </w:pPr>
            <w:r>
              <w:rPr>
                <w:rFonts w:hint="eastAsia"/>
                <w:sz w:val="28"/>
                <w:szCs w:val="28"/>
              </w:rPr>
              <w:t>___年___月___日</w:t>
            </w:r>
          </w:p>
        </w:tc>
      </w:tr>
    </w:tbl>
    <w:p w14:paraId="7D8B9EBE">
      <w:pPr>
        <w:spacing w:line="360" w:lineRule="auto"/>
        <w:rPr>
          <w:rFonts w:hint="eastAsia"/>
          <w:szCs w:val="21"/>
        </w:rPr>
      </w:pPr>
      <w:r>
        <w:rPr>
          <w:rFonts w:hint="eastAsia"/>
          <w:szCs w:val="21"/>
        </w:rPr>
        <w:t>注：在承接新项目时原承接的项目仍处于连续停工状态。若原承接项目已复工的本《证明》不得使用。</w:t>
      </w:r>
    </w:p>
    <w:p w14:paraId="73EEF2D1">
      <w:pPr>
        <w:pStyle w:val="11"/>
        <w:rPr>
          <w:rFonts w:hint="eastAsia"/>
          <w:szCs w:val="21"/>
        </w:rPr>
      </w:pPr>
    </w:p>
    <w:p w14:paraId="2E488890">
      <w:pPr>
        <w:pStyle w:val="5"/>
        <w:rPr>
          <w:rFonts w:hint="eastAsia"/>
          <w:szCs w:val="21"/>
        </w:rPr>
      </w:pPr>
    </w:p>
    <w:p w14:paraId="758101A3">
      <w:pPr>
        <w:pStyle w:val="11"/>
        <w:rPr>
          <w:rFonts w:hint="eastAsia"/>
        </w:rPr>
      </w:pPr>
    </w:p>
    <w:p w14:paraId="37C13EE5">
      <w:pPr>
        <w:spacing w:line="360" w:lineRule="auto"/>
        <w:rPr>
          <w:rFonts w:hint="eastAsia"/>
          <w:szCs w:val="21"/>
        </w:rPr>
      </w:pPr>
    </w:p>
    <w:p w14:paraId="31AAEC2F">
      <w:pPr>
        <w:spacing w:line="360" w:lineRule="auto"/>
        <w:rPr>
          <w:rFonts w:hint="eastAsia"/>
          <w:szCs w:val="21"/>
        </w:rPr>
      </w:pPr>
    </w:p>
    <w:p w14:paraId="600B6BA9">
      <w:pPr>
        <w:spacing w:line="360" w:lineRule="auto"/>
        <w:rPr>
          <w:rFonts w:hint="eastAsia" w:ascii="黑体" w:hAnsi="黑体" w:eastAsia="黑体" w:cs="黑体"/>
        </w:rPr>
      </w:pPr>
      <w:r>
        <w:rPr>
          <w:rFonts w:hint="eastAsia" w:ascii="黑体" w:hAnsi="黑体" w:eastAsia="黑体" w:cs="黑体"/>
          <w:b/>
          <w:sz w:val="28"/>
          <w:szCs w:val="28"/>
        </w:rPr>
        <w:t>十一、未验收证明</w:t>
      </w:r>
    </w:p>
    <w:p w14:paraId="4474BB3E">
      <w:pPr>
        <w:keepNext/>
        <w:keepLines/>
        <w:spacing w:line="360" w:lineRule="auto"/>
        <w:ind w:firstLine="3534" w:firstLineChars="1100"/>
        <w:rPr>
          <w:rFonts w:hint="eastAsia"/>
          <w:b/>
          <w:bCs/>
          <w:sz w:val="32"/>
          <w:szCs w:val="32"/>
        </w:rPr>
      </w:pPr>
      <w:r>
        <w:rPr>
          <w:rFonts w:hint="eastAsia"/>
          <w:b/>
          <w:bCs/>
          <w:sz w:val="32"/>
          <w:szCs w:val="32"/>
        </w:rPr>
        <w:t>未验收证明</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7"/>
      </w:tblGrid>
      <w:tr w14:paraId="14907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4" w:hRule="atLeast"/>
          <w:jc w:val="center"/>
        </w:trPr>
        <w:tc>
          <w:tcPr>
            <w:tcW w:w="8897" w:type="dxa"/>
            <w:noWrap w:val="0"/>
            <w:vAlign w:val="top"/>
          </w:tcPr>
          <w:p w14:paraId="1FF1BD96">
            <w:pPr>
              <w:spacing w:line="360" w:lineRule="auto"/>
              <w:rPr>
                <w:rFonts w:hint="eastAsia"/>
                <w:sz w:val="28"/>
                <w:szCs w:val="28"/>
              </w:rPr>
            </w:pPr>
            <w:r>
              <w:rPr>
                <w:rFonts w:hint="eastAsia"/>
                <w:sz w:val="28"/>
                <w:szCs w:val="28"/>
              </w:rPr>
              <w:t>____________（原建设单位）：</w:t>
            </w:r>
          </w:p>
          <w:p w14:paraId="0A567B02">
            <w:pPr>
              <w:spacing w:line="360" w:lineRule="auto"/>
              <w:ind w:firstLine="560" w:firstLineChars="200"/>
              <w:rPr>
                <w:rFonts w:hint="eastAsia"/>
                <w:sz w:val="28"/>
                <w:szCs w:val="28"/>
              </w:rPr>
            </w:pPr>
            <w:r>
              <w:rPr>
                <w:rFonts w:hint="eastAsia"/>
                <w:sz w:val="28"/>
                <w:szCs w:val="28"/>
              </w:rPr>
              <w:t>我公司承接的____________（原工程项目名称）于___年___月___日竣工，并于___年___月___日向贵单位提交竣工报告。但非我承包人原因至今已超过120天未进行该项目的竣工验收。特申请同意我公司项目负责人__________（项目负责人名字）承接其他项目。</w:t>
            </w:r>
          </w:p>
          <w:p w14:paraId="0B5F69EA">
            <w:pPr>
              <w:spacing w:line="360" w:lineRule="auto"/>
              <w:ind w:firstLine="560" w:firstLineChars="200"/>
              <w:rPr>
                <w:rFonts w:hint="eastAsia"/>
                <w:sz w:val="28"/>
                <w:szCs w:val="28"/>
              </w:rPr>
            </w:pPr>
            <w:r>
              <w:rPr>
                <w:rFonts w:hint="eastAsia"/>
                <w:sz w:val="28"/>
                <w:szCs w:val="28"/>
              </w:rPr>
              <w:t>特此报告。</w:t>
            </w:r>
          </w:p>
          <w:p w14:paraId="565145C6">
            <w:pPr>
              <w:spacing w:line="360" w:lineRule="auto"/>
              <w:ind w:firstLine="560" w:firstLineChars="200"/>
              <w:jc w:val="right"/>
              <w:rPr>
                <w:rFonts w:hint="eastAsia"/>
                <w:sz w:val="28"/>
                <w:szCs w:val="28"/>
              </w:rPr>
            </w:pPr>
            <w:r>
              <w:rPr>
                <w:rFonts w:hint="eastAsia"/>
                <w:sz w:val="28"/>
                <w:szCs w:val="28"/>
              </w:rPr>
              <w:t>承包人（盖章）</w:t>
            </w:r>
          </w:p>
          <w:p w14:paraId="2894CEC6">
            <w:pPr>
              <w:spacing w:line="360" w:lineRule="auto"/>
              <w:ind w:firstLine="560" w:firstLineChars="200"/>
              <w:jc w:val="right"/>
              <w:rPr>
                <w:rFonts w:hint="eastAsia"/>
              </w:rPr>
            </w:pPr>
            <w:r>
              <w:rPr>
                <w:rFonts w:hint="eastAsia"/>
                <w:sz w:val="28"/>
                <w:szCs w:val="28"/>
              </w:rPr>
              <w:t>___年___月___日</w:t>
            </w:r>
          </w:p>
        </w:tc>
      </w:tr>
      <w:tr w14:paraId="193C5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0" w:hRule="atLeast"/>
          <w:jc w:val="center"/>
        </w:trPr>
        <w:tc>
          <w:tcPr>
            <w:tcW w:w="8897" w:type="dxa"/>
            <w:noWrap w:val="0"/>
            <w:vAlign w:val="top"/>
          </w:tcPr>
          <w:p w14:paraId="3E784AA5">
            <w:pPr>
              <w:spacing w:line="360" w:lineRule="auto"/>
              <w:rPr>
                <w:rFonts w:hint="eastAsia"/>
                <w:sz w:val="28"/>
                <w:szCs w:val="28"/>
              </w:rPr>
            </w:pPr>
            <w:r>
              <w:rPr>
                <w:rFonts w:hint="eastAsia"/>
                <w:sz w:val="28"/>
                <w:szCs w:val="28"/>
              </w:rPr>
              <w:t>原建设单位意见：</w:t>
            </w:r>
          </w:p>
          <w:p w14:paraId="64B8F8D2">
            <w:pPr>
              <w:spacing w:line="360" w:lineRule="auto"/>
              <w:rPr>
                <w:rFonts w:hint="eastAsia"/>
                <w:sz w:val="28"/>
                <w:szCs w:val="28"/>
              </w:rPr>
            </w:pPr>
          </w:p>
          <w:p w14:paraId="4E376AC7">
            <w:pPr>
              <w:spacing w:line="360" w:lineRule="auto"/>
              <w:jc w:val="right"/>
              <w:rPr>
                <w:rFonts w:hint="eastAsia"/>
                <w:sz w:val="28"/>
                <w:szCs w:val="28"/>
              </w:rPr>
            </w:pPr>
            <w:r>
              <w:rPr>
                <w:rFonts w:hint="eastAsia"/>
                <w:sz w:val="28"/>
                <w:szCs w:val="28"/>
              </w:rPr>
              <w:t>原建设单位（盖章）：</w:t>
            </w:r>
          </w:p>
          <w:p w14:paraId="1B6C4395">
            <w:pPr>
              <w:spacing w:line="360" w:lineRule="auto"/>
              <w:jc w:val="right"/>
              <w:rPr>
                <w:rFonts w:hint="eastAsia"/>
              </w:rPr>
            </w:pPr>
            <w:r>
              <w:rPr>
                <w:rFonts w:hint="eastAsia"/>
                <w:sz w:val="28"/>
                <w:szCs w:val="28"/>
              </w:rPr>
              <w:t>___年___月___日</w:t>
            </w:r>
          </w:p>
        </w:tc>
      </w:tr>
      <w:tr w14:paraId="0A20A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97" w:type="dxa"/>
            <w:noWrap w:val="0"/>
            <w:vAlign w:val="top"/>
          </w:tcPr>
          <w:p w14:paraId="5672CE43">
            <w:pPr>
              <w:spacing w:line="360" w:lineRule="auto"/>
              <w:rPr>
                <w:rFonts w:hint="eastAsia"/>
                <w:sz w:val="28"/>
                <w:szCs w:val="28"/>
              </w:rPr>
            </w:pPr>
            <w:r>
              <w:rPr>
                <w:rFonts w:hint="eastAsia"/>
                <w:sz w:val="28"/>
                <w:szCs w:val="28"/>
              </w:rPr>
              <w:t>行政主管部门证明：</w:t>
            </w:r>
          </w:p>
          <w:p w14:paraId="2009D263">
            <w:pPr>
              <w:spacing w:line="360" w:lineRule="auto"/>
              <w:ind w:firstLine="560" w:firstLineChars="200"/>
              <w:rPr>
                <w:rFonts w:hint="eastAsia"/>
                <w:sz w:val="28"/>
                <w:szCs w:val="28"/>
              </w:rPr>
            </w:pPr>
            <w:r>
              <w:rPr>
                <w:rFonts w:hint="eastAsia"/>
                <w:sz w:val="28"/>
                <w:szCs w:val="28"/>
              </w:rPr>
              <w:t>承包人向原建设单位提交了竣工报告至今已超过120天。情况属实。</w:t>
            </w:r>
          </w:p>
          <w:p w14:paraId="7F4DE392">
            <w:pPr>
              <w:spacing w:line="360" w:lineRule="auto"/>
              <w:jc w:val="right"/>
              <w:rPr>
                <w:rFonts w:hint="eastAsia"/>
                <w:sz w:val="28"/>
                <w:szCs w:val="28"/>
              </w:rPr>
            </w:pPr>
            <w:r>
              <w:rPr>
                <w:rFonts w:hint="eastAsia"/>
                <w:sz w:val="28"/>
                <w:szCs w:val="28"/>
              </w:rPr>
              <w:t>行政主管部门（盖章）：</w:t>
            </w:r>
          </w:p>
          <w:p w14:paraId="131FFEFB">
            <w:pPr>
              <w:spacing w:line="360" w:lineRule="auto"/>
              <w:jc w:val="right"/>
              <w:rPr>
                <w:rFonts w:hint="eastAsia"/>
              </w:rPr>
            </w:pPr>
            <w:r>
              <w:rPr>
                <w:rFonts w:hint="eastAsia"/>
                <w:sz w:val="28"/>
                <w:szCs w:val="28"/>
              </w:rPr>
              <w:t>___年___月___日</w:t>
            </w:r>
          </w:p>
        </w:tc>
      </w:tr>
    </w:tbl>
    <w:p w14:paraId="3A5E8CA4">
      <w:pPr>
        <w:spacing w:line="360" w:lineRule="auto"/>
      </w:pPr>
      <w:r>
        <w:rPr>
          <w:rFonts w:hint="eastAsia"/>
        </w:rPr>
        <w:t>注：在承接新项目时原承接的项目已经竣工验收的，本《证明》不得使用。</w:t>
      </w:r>
    </w:p>
    <w:p w14:paraId="173B902D">
      <w:pPr>
        <w:spacing w:line="360" w:lineRule="auto"/>
        <w:rPr>
          <w:rFonts w:hint="eastAsia"/>
        </w:rPr>
      </w:pPr>
    </w:p>
    <w:p w14:paraId="08261B6F">
      <w:pPr>
        <w:spacing w:line="360" w:lineRule="auto"/>
      </w:pPr>
    </w:p>
    <w:p w14:paraId="41BBA4F1">
      <w:pPr>
        <w:pStyle w:val="29"/>
        <w:rPr>
          <w:rFonts w:cs="Times New Roman"/>
          <w:szCs w:val="28"/>
        </w:rPr>
      </w:pPr>
      <w:r>
        <w:rPr>
          <w:rFonts w:hint="eastAsia" w:cs="Times New Roman"/>
          <w:szCs w:val="28"/>
        </w:rPr>
        <w:t>十二</w:t>
      </w:r>
      <w:r>
        <w:rPr>
          <w:rFonts w:cs="Times New Roman"/>
          <w:szCs w:val="28"/>
        </w:rPr>
        <w:t>、</w:t>
      </w:r>
      <w:r>
        <w:rPr>
          <w:rFonts w:hint="eastAsia" w:cs="Times New Roman"/>
          <w:szCs w:val="28"/>
        </w:rPr>
        <w:t>法定代表人身份证明</w:t>
      </w:r>
    </w:p>
    <w:p w14:paraId="040B7705">
      <w:pPr>
        <w:pStyle w:val="29"/>
        <w:rPr>
          <w:rFonts w:hint="eastAsia" w:cs="Times New Roman"/>
          <w:szCs w:val="28"/>
        </w:rPr>
      </w:pPr>
    </w:p>
    <w:p w14:paraId="7B5DF0E5">
      <w:pPr>
        <w:snapToGrid w:val="0"/>
        <w:spacing w:line="360" w:lineRule="auto"/>
        <w:jc w:val="center"/>
        <w:rPr>
          <w:rFonts w:hint="eastAsia" w:ascii="方正小标宋简体" w:hAnsi="方正小标宋简体"/>
          <w:color w:val="0000FF"/>
          <w:sz w:val="44"/>
          <w:szCs w:val="44"/>
        </w:rPr>
      </w:pPr>
      <w:bookmarkStart w:id="217" w:name="_Toc20791_WPSOffice_Level1"/>
      <w:r>
        <w:rPr>
          <w:rFonts w:hint="eastAsia" w:ascii="宋体" w:hAnsi="宋体"/>
          <w:b/>
          <w:sz w:val="32"/>
          <w:szCs w:val="32"/>
        </w:rPr>
        <w:t>法定代表人身份证明</w:t>
      </w:r>
      <w:bookmarkEnd w:id="217"/>
    </w:p>
    <w:p w14:paraId="263795A7">
      <w:pPr>
        <w:spacing w:line="480" w:lineRule="auto"/>
        <w:ind w:firstLine="420" w:firstLineChars="200"/>
        <w:rPr>
          <w:u w:val="single"/>
        </w:rPr>
      </w:pPr>
      <w:r>
        <w:rPr>
          <w:rFonts w:hint="eastAsia"/>
        </w:rPr>
        <w:t>单位名称：</w:t>
      </w:r>
      <w:r>
        <w:rPr>
          <w:u w:val="single"/>
        </w:rPr>
        <w:t xml:space="preserve">                                     </w:t>
      </w:r>
    </w:p>
    <w:p w14:paraId="4250BF90">
      <w:pPr>
        <w:spacing w:line="480" w:lineRule="auto"/>
        <w:ind w:firstLine="420" w:firstLineChars="200"/>
        <w:rPr>
          <w:u w:val="single"/>
        </w:rPr>
      </w:pPr>
      <w:r>
        <w:rPr>
          <w:rFonts w:hint="eastAsia"/>
        </w:rPr>
        <w:t>地</w:t>
      </w:r>
      <w:r>
        <w:t xml:space="preserve">    </w:t>
      </w:r>
      <w:r>
        <w:rPr>
          <w:rFonts w:hint="eastAsia"/>
        </w:rPr>
        <w:t>址：</w:t>
      </w:r>
      <w:r>
        <w:rPr>
          <w:u w:val="single"/>
        </w:rPr>
        <w:t xml:space="preserve">                                     </w:t>
      </w:r>
    </w:p>
    <w:p w14:paraId="56F70CD8">
      <w:pPr>
        <w:spacing w:line="480" w:lineRule="auto"/>
        <w:ind w:firstLine="420" w:firstLineChars="200"/>
        <w:rPr>
          <w:rFonts w:ascii="宋体" w:hAnsi="宋体" w:cs="宋体"/>
        </w:rPr>
      </w:pPr>
      <w:r>
        <w:rPr>
          <w:rFonts w:hint="eastAsia"/>
        </w:rPr>
        <w:t>姓名：</w:t>
      </w:r>
      <w:r>
        <w:rPr>
          <w:u w:val="single"/>
        </w:rPr>
        <w:t xml:space="preserve">          </w:t>
      </w:r>
      <w:r>
        <w:rPr>
          <w:rFonts w:hint="eastAsia"/>
        </w:rPr>
        <w:t>性别：</w:t>
      </w:r>
      <w:r>
        <w:rPr>
          <w:u w:val="single"/>
        </w:rPr>
        <w:t xml:space="preserve">      </w:t>
      </w:r>
      <w:r>
        <w:rPr>
          <w:rFonts w:hint="eastAsia"/>
        </w:rPr>
        <w:t>年龄：</w:t>
      </w:r>
      <w:r>
        <w:rPr>
          <w:u w:val="single"/>
        </w:rPr>
        <w:t xml:space="preserve">      </w:t>
      </w:r>
      <w:r>
        <w:rPr>
          <w:rFonts w:hint="eastAsia"/>
        </w:rPr>
        <w:t>职务：</w:t>
      </w:r>
      <w:r>
        <w:rPr>
          <w:u w:val="single"/>
        </w:rPr>
        <w:t xml:space="preserve">       </w:t>
      </w:r>
      <w:r>
        <w:rPr>
          <w:rFonts w:hint="eastAsia"/>
        </w:rPr>
        <w:t>系</w:t>
      </w:r>
      <w:r>
        <w:rPr>
          <w:u w:val="single"/>
        </w:rPr>
        <w:t xml:space="preserve">            </w:t>
      </w:r>
      <w:r>
        <w:rPr>
          <w:rFonts w:hint="eastAsia"/>
        </w:rPr>
        <w:t>的法定代表人。</w:t>
      </w:r>
    </w:p>
    <w:p w14:paraId="3577F008">
      <w:pPr>
        <w:tabs>
          <w:tab w:val="left" w:pos="482"/>
          <w:tab w:val="left" w:pos="2183"/>
          <w:tab w:val="left" w:pos="3884"/>
          <w:tab w:val="left" w:pos="5585"/>
        </w:tabs>
        <w:spacing w:line="500" w:lineRule="exact"/>
        <w:ind w:firstLine="316" w:firstLineChars="150"/>
        <w:rPr>
          <w:rFonts w:ascii="宋体" w:hAnsi="宋体" w:cs="宋体"/>
          <w:b/>
        </w:rPr>
      </w:pPr>
      <w:r>
        <w:rPr>
          <w:rFonts w:hint="eastAsia" w:ascii="宋体" w:hAnsi="宋体" w:cs="宋体"/>
          <w:b/>
        </w:rPr>
        <w:t>法定代表人手机</w:t>
      </w:r>
      <w:r>
        <w:rPr>
          <w:rFonts w:ascii="宋体" w:hAnsi="宋体" w:cs="宋体"/>
          <w:b/>
        </w:rPr>
        <w:t>号码</w:t>
      </w:r>
      <w:r>
        <w:rPr>
          <w:rFonts w:hint="eastAsia" w:ascii="宋体" w:hAnsi="宋体" w:cs="宋体"/>
          <w:b/>
        </w:rPr>
        <w:t>：</w:t>
      </w:r>
      <w:r>
        <w:rPr>
          <w:rFonts w:hint="eastAsia" w:ascii="宋体" w:hAnsi="宋体" w:cs="宋体"/>
          <w:b/>
          <w:u w:val="single"/>
        </w:rPr>
        <w:t xml:space="preserve">        </w:t>
      </w:r>
      <w:r>
        <w:rPr>
          <w:rFonts w:ascii="宋体" w:hAnsi="宋体" w:cs="宋体"/>
          <w:b/>
          <w:u w:val="single"/>
        </w:rPr>
        <w:t xml:space="preserve">     </w:t>
      </w:r>
      <w:r>
        <w:rPr>
          <w:rFonts w:hint="eastAsia" w:ascii="宋体" w:hAnsi="宋体" w:cs="宋体"/>
          <w:b/>
          <w:u w:val="single"/>
        </w:rPr>
        <w:t xml:space="preserve">      </w:t>
      </w:r>
    </w:p>
    <w:p w14:paraId="5A31B783">
      <w:pPr>
        <w:tabs>
          <w:tab w:val="left" w:pos="482"/>
          <w:tab w:val="left" w:pos="2183"/>
          <w:tab w:val="left" w:pos="3884"/>
          <w:tab w:val="left" w:pos="5585"/>
        </w:tabs>
        <w:spacing w:line="500" w:lineRule="exact"/>
        <w:ind w:firstLine="210" w:firstLineChars="100"/>
        <w:rPr>
          <w:rFonts w:ascii="宋体" w:hAnsi="宋体" w:cs="宋体"/>
        </w:rPr>
      </w:pPr>
      <w:r>
        <w:rPr>
          <w:rFonts w:hint="eastAsia" w:ascii="宋体" w:hAnsi="宋体" w:cs="宋体"/>
        </w:rPr>
        <w:t>附</w:t>
      </w:r>
    </w:p>
    <w:tbl>
      <w:tblPr>
        <w:tblStyle w:val="17"/>
        <w:tblW w:w="0" w:type="auto"/>
        <w:tblInd w:w="11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2"/>
      </w:tblGrid>
      <w:tr w14:paraId="7F204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2" w:hRule="atLeast"/>
        </w:trPr>
        <w:tc>
          <w:tcPr>
            <w:tcW w:w="6662" w:type="dxa"/>
            <w:noWrap w:val="0"/>
            <w:vAlign w:val="center"/>
          </w:tcPr>
          <w:p w14:paraId="051E808F">
            <w:pPr>
              <w:tabs>
                <w:tab w:val="left" w:leader="middleDot" w:pos="8400"/>
              </w:tabs>
              <w:spacing w:line="360" w:lineRule="auto"/>
              <w:jc w:val="center"/>
              <w:rPr>
                <w:rFonts w:ascii="宋体" w:hAnsi="宋体"/>
              </w:rPr>
            </w:pPr>
            <w:r>
              <w:rPr>
                <w:rFonts w:hint="eastAsia" w:ascii="宋体" w:hAnsi="宋体"/>
              </w:rPr>
              <w:t>法定代表人身份证正面复印件粘贴处</w:t>
            </w:r>
          </w:p>
        </w:tc>
      </w:tr>
      <w:tr w14:paraId="1B045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5" w:hRule="atLeast"/>
        </w:trPr>
        <w:tc>
          <w:tcPr>
            <w:tcW w:w="6662" w:type="dxa"/>
            <w:noWrap w:val="0"/>
            <w:vAlign w:val="center"/>
          </w:tcPr>
          <w:p w14:paraId="17D6F4C8">
            <w:pPr>
              <w:tabs>
                <w:tab w:val="left" w:leader="middleDot" w:pos="8400"/>
              </w:tabs>
              <w:spacing w:line="360" w:lineRule="auto"/>
              <w:jc w:val="center"/>
              <w:rPr>
                <w:rFonts w:ascii="宋体" w:hAnsi="宋体"/>
              </w:rPr>
            </w:pPr>
            <w:r>
              <w:rPr>
                <w:rFonts w:hint="eastAsia" w:ascii="宋体" w:hAnsi="宋体"/>
              </w:rPr>
              <w:t>法定代表人身份证背面复印件粘贴处</w:t>
            </w:r>
          </w:p>
        </w:tc>
      </w:tr>
    </w:tbl>
    <w:p w14:paraId="45670BFD">
      <w:pPr>
        <w:spacing w:line="480" w:lineRule="auto"/>
      </w:pPr>
      <w:r>
        <w:rPr>
          <w:rFonts w:hint="eastAsia"/>
        </w:rPr>
        <w:t>特此证明。</w:t>
      </w:r>
    </w:p>
    <w:p w14:paraId="07701F11">
      <w:pPr>
        <w:spacing w:line="480" w:lineRule="auto"/>
        <w:ind w:firstLine="3990" w:firstLineChars="1900"/>
      </w:pPr>
    </w:p>
    <w:p w14:paraId="5E89ACE5">
      <w:pPr>
        <w:spacing w:line="480" w:lineRule="auto"/>
        <w:ind w:firstLine="3990" w:firstLineChars="1900"/>
        <w:rPr>
          <w:u w:val="single"/>
        </w:rPr>
      </w:pPr>
      <w:r>
        <w:rPr>
          <w:rFonts w:hint="eastAsia"/>
        </w:rPr>
        <w:t>投标人：</w:t>
      </w:r>
      <w:r>
        <w:rPr>
          <w:u w:val="single"/>
        </w:rPr>
        <w:t xml:space="preserve">           </w:t>
      </w:r>
      <w:r>
        <w:rPr>
          <w:rFonts w:hint="eastAsia"/>
          <w:u w:val="single"/>
        </w:rPr>
        <w:t>（单位盖章）</w:t>
      </w:r>
      <w:r>
        <w:rPr>
          <w:u w:val="single"/>
        </w:rPr>
        <w:t xml:space="preserve">       </w:t>
      </w:r>
    </w:p>
    <w:p w14:paraId="06BE5B5D">
      <w:pPr>
        <w:spacing w:line="480" w:lineRule="auto"/>
        <w:ind w:firstLine="3990" w:firstLineChars="1900"/>
      </w:pPr>
      <w:r>
        <w:rPr>
          <w:rFonts w:hint="eastAsia"/>
        </w:rPr>
        <w:t>日</w:t>
      </w:r>
      <w:r>
        <w:t xml:space="preserve">  </w:t>
      </w:r>
      <w:r>
        <w:rPr>
          <w:rFonts w:hint="eastAsia"/>
        </w:rPr>
        <w:t>期：</w:t>
      </w:r>
      <w:r>
        <w:rPr>
          <w:u w:val="single"/>
        </w:rPr>
        <w:t xml:space="preserve">       </w:t>
      </w:r>
      <w:r>
        <w:rPr>
          <w:rFonts w:hint="eastAsia"/>
        </w:rPr>
        <w:t>年</w:t>
      </w:r>
      <w:r>
        <w:rPr>
          <w:u w:val="single"/>
        </w:rPr>
        <w:t xml:space="preserve">       </w:t>
      </w:r>
      <w:r>
        <w:rPr>
          <w:rFonts w:hint="eastAsia"/>
        </w:rPr>
        <w:t>月</w:t>
      </w:r>
      <w:r>
        <w:rPr>
          <w:u w:val="single"/>
        </w:rPr>
        <w:t xml:space="preserve">        </w:t>
      </w:r>
      <w:r>
        <w:rPr>
          <w:rFonts w:hint="eastAsia"/>
        </w:rPr>
        <w:t>日</w:t>
      </w:r>
    </w:p>
    <w:p w14:paraId="2BBAFC02">
      <w:pPr>
        <w:spacing w:line="480" w:lineRule="auto"/>
        <w:ind w:firstLine="3990" w:firstLineChars="1900"/>
      </w:pPr>
    </w:p>
    <w:p w14:paraId="668D9320">
      <w:pPr>
        <w:pStyle w:val="11"/>
      </w:pPr>
    </w:p>
    <w:p w14:paraId="12BFD0C6">
      <w:pPr>
        <w:pStyle w:val="5"/>
      </w:pPr>
    </w:p>
    <w:p w14:paraId="3C0ED704">
      <w:pPr>
        <w:pStyle w:val="11"/>
      </w:pPr>
    </w:p>
    <w:p w14:paraId="6F19FA4E">
      <w:pPr>
        <w:pStyle w:val="5"/>
      </w:pPr>
    </w:p>
    <w:p w14:paraId="728B8BF1">
      <w:pPr>
        <w:pStyle w:val="11"/>
      </w:pPr>
    </w:p>
    <w:p w14:paraId="5D26F085">
      <w:pPr>
        <w:pStyle w:val="8"/>
        <w:spacing w:line="360" w:lineRule="auto"/>
        <w:ind w:left="522"/>
        <w:rPr>
          <w:b/>
          <w:position w:val="-4"/>
        </w:rPr>
      </w:pPr>
    </w:p>
    <w:p w14:paraId="4F55CD4A">
      <w:pPr>
        <w:pStyle w:val="29"/>
      </w:pPr>
      <w:r>
        <w:rPr>
          <w:rFonts w:hint="eastAsia" w:cs="Times New Roman"/>
          <w:szCs w:val="28"/>
        </w:rPr>
        <w:t>附录1. 递交工程保函时出具的证明文件（线下）</w:t>
      </w:r>
    </w:p>
    <w:p w14:paraId="020E3F44">
      <w:pPr>
        <w:pStyle w:val="3"/>
        <w:rPr>
          <w:rFonts w:ascii="黑体" w:hAnsi="黑体" w:cs="宋体"/>
          <w:b w:val="0"/>
          <w:sz w:val="28"/>
          <w:szCs w:val="28"/>
        </w:rPr>
      </w:pPr>
    </w:p>
    <w:p w14:paraId="069ED85A">
      <w:pPr>
        <w:pStyle w:val="5"/>
      </w:pPr>
    </w:p>
    <w:p w14:paraId="6120A65F">
      <w:pPr>
        <w:spacing w:line="460" w:lineRule="exact"/>
        <w:jc w:val="center"/>
        <w:rPr>
          <w:rFonts w:ascii="宋体" w:hAnsi="宋体"/>
          <w:sz w:val="36"/>
        </w:rPr>
      </w:pPr>
      <w:r>
        <w:rPr>
          <w:rFonts w:ascii="宋体" w:hAnsi="宋体"/>
          <w:b/>
          <w:sz w:val="36"/>
        </w:rPr>
        <w:t>法定代表人身份证明</w:t>
      </w:r>
    </w:p>
    <w:p w14:paraId="55CC7137">
      <w:pPr>
        <w:snapToGrid w:val="0"/>
        <w:spacing w:line="360" w:lineRule="auto"/>
        <w:ind w:firstLine="480"/>
        <w:rPr>
          <w:rFonts w:ascii="宋体" w:hAnsi="宋体"/>
          <w:b/>
          <w:szCs w:val="21"/>
        </w:rPr>
      </w:pPr>
    </w:p>
    <w:p w14:paraId="1593A6A1">
      <w:pPr>
        <w:snapToGrid w:val="0"/>
        <w:spacing w:line="360" w:lineRule="auto"/>
        <w:ind w:firstLine="480"/>
        <w:rPr>
          <w:rFonts w:ascii="宋体" w:hAnsi="宋体"/>
        </w:rPr>
      </w:pPr>
      <w:r>
        <w:rPr>
          <w:rFonts w:ascii="宋体" w:hAnsi="宋体"/>
        </w:rPr>
        <w:t>投标人名称：</w:t>
      </w:r>
      <w:r>
        <w:rPr>
          <w:rFonts w:hint="eastAsia" w:ascii="宋体" w:hAnsi="宋体"/>
          <w:u w:val="single"/>
        </w:rPr>
        <w:t xml:space="preserve">                                        </w:t>
      </w:r>
      <w:r>
        <w:rPr>
          <w:rFonts w:hint="eastAsia" w:ascii="宋体" w:hAnsi="宋体"/>
        </w:rPr>
        <w:t xml:space="preserve">           </w:t>
      </w:r>
    </w:p>
    <w:p w14:paraId="518C0851">
      <w:pPr>
        <w:snapToGrid w:val="0"/>
        <w:spacing w:line="360" w:lineRule="auto"/>
        <w:ind w:firstLine="480"/>
        <w:rPr>
          <w:rFonts w:ascii="宋体" w:hAnsi="宋体"/>
          <w:u w:val="single"/>
        </w:rPr>
      </w:pPr>
      <w:r>
        <w:rPr>
          <w:rFonts w:ascii="宋体" w:hAnsi="宋体"/>
        </w:rPr>
        <w:t>单位性质：</w:t>
      </w:r>
      <w:r>
        <w:rPr>
          <w:rFonts w:hint="eastAsia" w:ascii="宋体" w:hAnsi="宋体"/>
          <w:u w:val="single"/>
        </w:rPr>
        <w:t xml:space="preserve">                                          </w:t>
      </w:r>
    </w:p>
    <w:p w14:paraId="195362E7">
      <w:pPr>
        <w:snapToGrid w:val="0"/>
        <w:spacing w:line="360" w:lineRule="auto"/>
        <w:ind w:firstLine="480"/>
        <w:rPr>
          <w:rFonts w:ascii="宋体" w:hAnsi="宋体"/>
        </w:rPr>
      </w:pPr>
      <w:r>
        <w:rPr>
          <w:rFonts w:ascii="宋体" w:hAnsi="宋体"/>
        </w:rPr>
        <w:t>地址：</w:t>
      </w:r>
      <w:r>
        <w:rPr>
          <w:rFonts w:hint="eastAsia" w:ascii="宋体" w:hAnsi="宋体"/>
          <w:u w:val="single"/>
        </w:rPr>
        <w:t xml:space="preserve">                                              </w:t>
      </w:r>
    </w:p>
    <w:p w14:paraId="0B4F7327">
      <w:pPr>
        <w:snapToGrid w:val="0"/>
        <w:spacing w:line="360" w:lineRule="auto"/>
        <w:ind w:firstLine="480"/>
        <w:rPr>
          <w:rFonts w:ascii="宋体" w:hAnsi="宋体"/>
        </w:rPr>
      </w:pPr>
      <w:r>
        <w:rPr>
          <w:rFonts w:ascii="宋体" w:hAnsi="宋体"/>
        </w:rPr>
        <w:t>成立时间：</w:t>
      </w:r>
      <w:r>
        <w:rPr>
          <w:rFonts w:hint="eastAsia" w:ascii="宋体" w:hAnsi="宋体"/>
          <w:u w:val="single"/>
        </w:rPr>
        <w:t xml:space="preserve">      </w:t>
      </w:r>
      <w:r>
        <w:rPr>
          <w:rFonts w:ascii="宋体" w:hAnsi="宋体"/>
        </w:rPr>
        <w:t>年</w:t>
      </w:r>
      <w:r>
        <w:rPr>
          <w:rFonts w:hint="eastAsia" w:ascii="宋体" w:hAnsi="宋体"/>
          <w:u w:val="single"/>
        </w:rPr>
        <w:t xml:space="preserve">   </w:t>
      </w:r>
      <w:r>
        <w:rPr>
          <w:rFonts w:ascii="宋体" w:hAnsi="宋体"/>
        </w:rPr>
        <w:t>月</w:t>
      </w:r>
      <w:r>
        <w:rPr>
          <w:rFonts w:hint="eastAsia" w:ascii="宋体" w:hAnsi="宋体"/>
          <w:u w:val="single"/>
        </w:rPr>
        <w:t xml:space="preserve">   </w:t>
      </w:r>
      <w:r>
        <w:rPr>
          <w:rFonts w:ascii="宋体" w:hAnsi="宋体"/>
        </w:rPr>
        <w:t>日</w:t>
      </w:r>
    </w:p>
    <w:p w14:paraId="440FDD2D">
      <w:pPr>
        <w:snapToGrid w:val="0"/>
        <w:spacing w:line="360" w:lineRule="auto"/>
        <w:ind w:firstLine="480"/>
        <w:rPr>
          <w:rFonts w:ascii="宋体" w:hAnsi="宋体"/>
        </w:rPr>
      </w:pPr>
      <w:r>
        <w:rPr>
          <w:rFonts w:ascii="宋体" w:hAnsi="宋体"/>
        </w:rPr>
        <w:t>经营期限：</w:t>
      </w:r>
      <w:r>
        <w:rPr>
          <w:rFonts w:hint="eastAsia" w:ascii="宋体" w:hAnsi="宋体"/>
          <w:u w:val="single"/>
        </w:rPr>
        <w:t xml:space="preserve">                                         </w:t>
      </w:r>
    </w:p>
    <w:p w14:paraId="58E70430">
      <w:pPr>
        <w:snapToGrid w:val="0"/>
        <w:spacing w:line="360" w:lineRule="auto"/>
        <w:ind w:firstLine="480"/>
        <w:rPr>
          <w:rFonts w:ascii="宋体" w:hAnsi="宋体"/>
          <w:u w:val="single"/>
        </w:rPr>
      </w:pPr>
      <w:r>
        <w:rPr>
          <w:rFonts w:ascii="宋体" w:hAnsi="宋体"/>
        </w:rPr>
        <w:t>姓名：</w:t>
      </w:r>
      <w:r>
        <w:rPr>
          <w:rFonts w:hint="eastAsia" w:ascii="宋体" w:hAnsi="宋体"/>
          <w:u w:val="single"/>
        </w:rPr>
        <w:t xml:space="preserve">             </w:t>
      </w:r>
      <w:r>
        <w:rPr>
          <w:rFonts w:ascii="宋体" w:hAnsi="宋体"/>
        </w:rPr>
        <w:t>性别：</w:t>
      </w:r>
      <w:r>
        <w:rPr>
          <w:rFonts w:hint="eastAsia" w:ascii="宋体" w:hAnsi="宋体"/>
          <w:u w:val="single"/>
        </w:rPr>
        <w:t xml:space="preserve">        </w:t>
      </w:r>
      <w:r>
        <w:rPr>
          <w:rFonts w:ascii="宋体" w:hAnsi="宋体"/>
        </w:rPr>
        <w:t>年龄：</w:t>
      </w:r>
      <w:r>
        <w:rPr>
          <w:rFonts w:hint="eastAsia" w:ascii="宋体" w:hAnsi="宋体"/>
          <w:u w:val="single"/>
        </w:rPr>
        <w:t xml:space="preserve">               </w:t>
      </w:r>
      <w:r>
        <w:rPr>
          <w:rFonts w:ascii="宋体" w:hAnsi="宋体"/>
        </w:rPr>
        <w:t>身份证号码</w:t>
      </w:r>
      <w:r>
        <w:rPr>
          <w:rFonts w:hint="eastAsia" w:ascii="宋体" w:hAnsi="宋体"/>
        </w:rPr>
        <w:t>：</w:t>
      </w:r>
      <w:r>
        <w:rPr>
          <w:rFonts w:hint="eastAsia" w:ascii="宋体" w:hAnsi="宋体"/>
          <w:u w:val="single"/>
        </w:rPr>
        <w:t xml:space="preserve">             </w:t>
      </w:r>
    </w:p>
    <w:p w14:paraId="7D5444C7">
      <w:pPr>
        <w:snapToGrid w:val="0"/>
        <w:spacing w:line="360" w:lineRule="auto"/>
        <w:ind w:firstLine="420" w:firstLineChars="200"/>
        <w:rPr>
          <w:rFonts w:ascii="宋体" w:hAnsi="宋体"/>
        </w:rPr>
      </w:pPr>
      <w:r>
        <w:rPr>
          <w:rFonts w:hint="eastAsia" w:ascii="宋体" w:hAnsi="宋体"/>
        </w:rPr>
        <w:t>联系电话：</w:t>
      </w:r>
      <w:r>
        <w:rPr>
          <w:rFonts w:hint="eastAsia" w:ascii="宋体" w:hAnsi="宋体"/>
          <w:u w:val="single"/>
        </w:rPr>
        <w:t xml:space="preserve">         </w:t>
      </w:r>
      <w:r>
        <w:rPr>
          <w:rFonts w:ascii="宋体" w:hAnsi="宋体"/>
        </w:rPr>
        <w:t>职务：</w:t>
      </w:r>
      <w:r>
        <w:rPr>
          <w:rFonts w:hint="eastAsia" w:ascii="宋体" w:hAnsi="宋体"/>
          <w:u w:val="single"/>
        </w:rPr>
        <w:t xml:space="preserve"> </w:t>
      </w:r>
      <w:r>
        <w:rPr>
          <w:rFonts w:ascii="宋体" w:hAnsi="宋体"/>
          <w:u w:val="single"/>
        </w:rPr>
        <w:t xml:space="preserve">       </w:t>
      </w:r>
      <w:r>
        <w:rPr>
          <w:rFonts w:ascii="宋体" w:hAnsi="宋体"/>
        </w:rPr>
        <w:t>系</w:t>
      </w:r>
      <w:r>
        <w:rPr>
          <w:rFonts w:hint="eastAsia" w:ascii="宋体" w:hAnsi="宋体"/>
          <w:u w:val="single"/>
        </w:rPr>
        <w:t xml:space="preserve">                  </w:t>
      </w:r>
      <w:r>
        <w:rPr>
          <w:rFonts w:ascii="宋体" w:hAnsi="宋体"/>
        </w:rPr>
        <w:t>（投标人名称）的法定代表人。</w:t>
      </w:r>
    </w:p>
    <w:p w14:paraId="18EADB40">
      <w:pPr>
        <w:spacing w:line="360" w:lineRule="auto"/>
        <w:rPr>
          <w:rFonts w:ascii="宋体" w:hAnsi="宋体"/>
          <w:szCs w:val="21"/>
        </w:rPr>
      </w:pPr>
    </w:p>
    <w:p w14:paraId="61FD2367">
      <w:pPr>
        <w:spacing w:line="360" w:lineRule="auto"/>
        <w:rPr>
          <w:rFonts w:ascii="宋体" w:hAnsi="宋体"/>
          <w:szCs w:val="21"/>
        </w:rPr>
      </w:pPr>
    </w:p>
    <w:p w14:paraId="61AFFF13">
      <w:pPr>
        <w:spacing w:line="360" w:lineRule="auto"/>
        <w:rPr>
          <w:rFonts w:ascii="宋体" w:hAnsi="宋体"/>
          <w:szCs w:val="21"/>
        </w:rPr>
      </w:pPr>
      <w:r>
        <w:rPr>
          <w:rFonts w:hint="eastAsia" w:ascii="宋体" w:hAnsi="宋体"/>
          <w:szCs w:val="21"/>
        </w:rPr>
        <w:t xml:space="preserve">    </w:t>
      </w:r>
      <w:r>
        <w:rPr>
          <w:rFonts w:ascii="宋体" w:hAnsi="宋体"/>
          <w:szCs w:val="21"/>
        </w:rPr>
        <w:t>特此证明。</w:t>
      </w:r>
    </w:p>
    <w:p w14:paraId="677E3571">
      <w:pPr>
        <w:spacing w:line="360" w:lineRule="auto"/>
        <w:rPr>
          <w:rFonts w:ascii="宋体" w:hAnsi="宋体"/>
          <w:szCs w:val="21"/>
        </w:rPr>
      </w:pPr>
    </w:p>
    <w:p w14:paraId="16923D95">
      <w:pPr>
        <w:spacing w:line="360" w:lineRule="auto"/>
        <w:rPr>
          <w:rFonts w:ascii="宋体" w:hAnsi="宋体"/>
          <w:szCs w:val="21"/>
        </w:rPr>
      </w:pPr>
    </w:p>
    <w:p w14:paraId="4FD5659E">
      <w:pPr>
        <w:spacing w:line="500" w:lineRule="exact"/>
        <w:ind w:firstLine="3840"/>
        <w:rPr>
          <w:rFonts w:ascii="宋体" w:hAnsi="宋体"/>
        </w:rPr>
      </w:pPr>
    </w:p>
    <w:p w14:paraId="56ED59C2">
      <w:pPr>
        <w:spacing w:line="500" w:lineRule="exact"/>
        <w:ind w:firstLine="3840"/>
        <w:rPr>
          <w:rFonts w:ascii="宋体" w:hAnsi="宋体"/>
        </w:rPr>
      </w:pPr>
      <w:r>
        <w:rPr>
          <w:rFonts w:ascii="宋体" w:hAnsi="宋体"/>
        </w:rPr>
        <w:t>投 标 人（</w:t>
      </w:r>
      <w:r>
        <w:rPr>
          <w:rFonts w:ascii="宋体" w:hAnsi="宋体"/>
          <w:szCs w:val="21"/>
        </w:rPr>
        <w:t>盖单位公章）</w:t>
      </w:r>
      <w:r>
        <w:rPr>
          <w:rFonts w:ascii="宋体" w:hAnsi="宋体"/>
        </w:rPr>
        <w:t>：</w:t>
      </w:r>
    </w:p>
    <w:p w14:paraId="6C45E29B">
      <w:pPr>
        <w:spacing w:line="360" w:lineRule="auto"/>
        <w:ind w:firstLine="5160"/>
        <w:rPr>
          <w:rFonts w:ascii="宋体" w:hAnsi="宋体"/>
        </w:rPr>
      </w:pPr>
    </w:p>
    <w:p w14:paraId="5A514401">
      <w:pPr>
        <w:spacing w:line="360" w:lineRule="auto"/>
        <w:jc w:val="right"/>
        <w:rPr>
          <w:rFonts w:ascii="宋体" w:hAnsi="宋体"/>
        </w:rPr>
      </w:pPr>
      <w:r>
        <w:rPr>
          <w:rFonts w:ascii="宋体" w:hAnsi="宋体"/>
          <w:szCs w:val="21"/>
        </w:rPr>
        <w:t>日期：</w:t>
      </w:r>
      <w:r>
        <w:rPr>
          <w:rFonts w:hint="eastAsia" w:ascii="宋体" w:hAnsi="宋体"/>
          <w:szCs w:val="21"/>
          <w:u w:val="single"/>
        </w:rPr>
        <w:t xml:space="preserve">     </w:t>
      </w:r>
      <w:r>
        <w:rPr>
          <w:rFonts w:hint="eastAsia" w:ascii="宋体" w:hAnsi="宋体"/>
          <w:szCs w:val="21"/>
        </w:rPr>
        <w:t xml:space="preserve"> </w:t>
      </w:r>
      <w:r>
        <w:rPr>
          <w:rFonts w:ascii="宋体" w:hAnsi="宋体"/>
          <w:szCs w:val="21"/>
        </w:rPr>
        <w:t>年</w:t>
      </w:r>
      <w:r>
        <w:rPr>
          <w:rFonts w:hint="eastAsia" w:ascii="宋体" w:hAnsi="宋体"/>
          <w:szCs w:val="21"/>
          <w:u w:val="single"/>
        </w:rPr>
        <w:t xml:space="preserve">      </w:t>
      </w:r>
      <w:r>
        <w:rPr>
          <w:rFonts w:ascii="宋体" w:hAnsi="宋体"/>
          <w:szCs w:val="21"/>
        </w:rPr>
        <w:t>月</w:t>
      </w:r>
      <w:r>
        <w:rPr>
          <w:rFonts w:hint="eastAsia" w:ascii="宋体" w:hAnsi="宋体"/>
          <w:szCs w:val="21"/>
          <w:u w:val="single"/>
        </w:rPr>
        <w:t xml:space="preserve">    </w:t>
      </w:r>
      <w:r>
        <w:rPr>
          <w:rFonts w:ascii="宋体" w:hAnsi="宋体"/>
          <w:szCs w:val="21"/>
        </w:rPr>
        <w:t>日</w:t>
      </w:r>
    </w:p>
    <w:p w14:paraId="14AC0B67">
      <w:pPr>
        <w:rPr>
          <w:rFonts w:ascii="宋体" w:hAnsi="宋体"/>
          <w:szCs w:val="21"/>
        </w:rPr>
      </w:pPr>
    </w:p>
    <w:p w14:paraId="49C5AA6D">
      <w:pPr>
        <w:spacing w:line="460" w:lineRule="exact"/>
        <w:rPr>
          <w:rFonts w:ascii="宋体" w:hAnsi="宋体"/>
          <w:b/>
        </w:rPr>
      </w:pPr>
    </w:p>
    <w:p w14:paraId="0C258906">
      <w:pPr>
        <w:spacing w:line="460" w:lineRule="exact"/>
        <w:rPr>
          <w:rFonts w:ascii="宋体" w:hAnsi="宋体"/>
          <w:b/>
        </w:rPr>
      </w:pPr>
    </w:p>
    <w:p w14:paraId="18FDE217">
      <w:pPr>
        <w:spacing w:line="460" w:lineRule="exact"/>
        <w:rPr>
          <w:rFonts w:ascii="宋体" w:hAnsi="宋体"/>
          <w:b/>
          <w:szCs w:val="21"/>
        </w:rPr>
      </w:pPr>
      <w:r>
        <w:rPr>
          <w:rFonts w:hint="eastAsia" w:ascii="宋体" w:hAnsi="宋体"/>
          <w:b/>
          <w:bCs/>
          <w:szCs w:val="21"/>
        </w:rPr>
        <w:t>注：仅用于递交工程保函时出具，须采用线下盖章。</w:t>
      </w:r>
    </w:p>
    <w:p w14:paraId="36C41A82">
      <w:pPr>
        <w:spacing w:line="460" w:lineRule="exact"/>
        <w:rPr>
          <w:rFonts w:ascii="宋体" w:hAnsi="宋体"/>
          <w:b/>
        </w:rPr>
      </w:pPr>
    </w:p>
    <w:p w14:paraId="6856DAD0">
      <w:pPr>
        <w:spacing w:line="460" w:lineRule="exact"/>
        <w:rPr>
          <w:rFonts w:ascii="宋体" w:hAnsi="宋体"/>
          <w:b/>
        </w:rPr>
      </w:pPr>
    </w:p>
    <w:p w14:paraId="6DF02AD9">
      <w:pPr>
        <w:spacing w:line="460" w:lineRule="exact"/>
        <w:rPr>
          <w:rFonts w:ascii="宋体" w:hAnsi="宋体"/>
        </w:rPr>
      </w:pPr>
      <w:r>
        <w:rPr>
          <w:rFonts w:ascii="宋体" w:hAnsi="宋体"/>
          <w:b/>
        </w:rPr>
        <w:br w:type="page"/>
      </w:r>
      <w:r>
        <w:rPr>
          <w:rFonts w:ascii="宋体" w:hAnsi="宋体"/>
        </w:rPr>
        <w:t xml:space="preserve"> </w:t>
      </w:r>
    </w:p>
    <w:p w14:paraId="7048E788">
      <w:pPr>
        <w:spacing w:line="460" w:lineRule="exact"/>
        <w:jc w:val="center"/>
        <w:rPr>
          <w:rFonts w:ascii="宋体" w:hAnsi="宋体"/>
          <w:b/>
          <w:sz w:val="36"/>
        </w:rPr>
      </w:pPr>
      <w:r>
        <w:rPr>
          <w:rFonts w:ascii="宋体" w:hAnsi="宋体"/>
          <w:b/>
          <w:sz w:val="36"/>
        </w:rPr>
        <w:t>授权委托书</w:t>
      </w:r>
    </w:p>
    <w:p w14:paraId="385285DC">
      <w:pPr>
        <w:snapToGrid w:val="0"/>
        <w:spacing w:line="360" w:lineRule="auto"/>
        <w:ind w:firstLine="480"/>
        <w:rPr>
          <w:rFonts w:ascii="宋体" w:hAnsi="宋体"/>
          <w:b/>
          <w:szCs w:val="21"/>
        </w:rPr>
      </w:pPr>
    </w:p>
    <w:p w14:paraId="103D5EA4">
      <w:pPr>
        <w:snapToGrid w:val="0"/>
        <w:spacing w:line="360" w:lineRule="auto"/>
        <w:ind w:firstLine="480"/>
        <w:rPr>
          <w:rFonts w:ascii="宋体" w:hAnsi="宋体"/>
        </w:rPr>
      </w:pPr>
      <w:r>
        <w:rPr>
          <w:rFonts w:ascii="宋体" w:hAnsi="宋体"/>
          <w:szCs w:val="21"/>
        </w:rPr>
        <w:t>本人</w:t>
      </w:r>
      <w:r>
        <w:rPr>
          <w:rFonts w:hint="eastAsia" w:ascii="宋体" w:hAnsi="宋体"/>
          <w:szCs w:val="21"/>
          <w:u w:val="single"/>
        </w:rPr>
        <w:t xml:space="preserve">       </w:t>
      </w:r>
      <w:r>
        <w:rPr>
          <w:rFonts w:ascii="宋体" w:hAnsi="宋体"/>
          <w:szCs w:val="21"/>
          <w:u w:val="single"/>
        </w:rPr>
        <w:t>（姓名）</w:t>
      </w:r>
      <w:r>
        <w:rPr>
          <w:rFonts w:ascii="宋体" w:hAnsi="宋体"/>
          <w:szCs w:val="21"/>
        </w:rPr>
        <w:t>系</w:t>
      </w:r>
      <w:r>
        <w:rPr>
          <w:rFonts w:hint="eastAsia" w:ascii="宋体" w:hAnsi="宋体"/>
          <w:szCs w:val="21"/>
          <w:u w:val="single"/>
        </w:rPr>
        <w:t xml:space="preserve">       </w:t>
      </w:r>
      <w:r>
        <w:rPr>
          <w:rFonts w:ascii="宋体" w:hAnsi="宋体"/>
          <w:szCs w:val="21"/>
          <w:u w:val="single"/>
        </w:rPr>
        <w:t>（投标人名称）</w:t>
      </w:r>
      <w:r>
        <w:rPr>
          <w:rFonts w:ascii="宋体" w:hAnsi="宋体"/>
          <w:szCs w:val="21"/>
        </w:rPr>
        <w:t>的法定代表人，现委托</w:t>
      </w:r>
      <w:r>
        <w:rPr>
          <w:rFonts w:hint="eastAsia" w:ascii="宋体" w:hAnsi="宋体"/>
          <w:szCs w:val="21"/>
          <w:u w:val="single"/>
        </w:rPr>
        <w:t xml:space="preserve">       </w:t>
      </w:r>
      <w:r>
        <w:rPr>
          <w:rFonts w:ascii="宋体" w:hAnsi="宋体"/>
          <w:szCs w:val="21"/>
          <w:u w:val="single"/>
        </w:rPr>
        <w:t>（姓名）</w:t>
      </w:r>
      <w:r>
        <w:rPr>
          <w:rFonts w:ascii="宋体" w:hAnsi="宋体"/>
          <w:szCs w:val="21"/>
        </w:rPr>
        <w:t>为我方代理人。代理人根据授权，在投标有效期满前以我方名义签署、澄清、说明、补正、递交</w:t>
      </w:r>
      <w:r>
        <w:rPr>
          <w:rFonts w:ascii="宋体" w:hAnsi="宋体"/>
        </w:rPr>
        <w:t>、撤回、修改</w:t>
      </w:r>
      <w:r>
        <w:rPr>
          <w:rFonts w:hint="eastAsia" w:ascii="宋体" w:hAnsi="宋体"/>
          <w:u w:val="single"/>
        </w:rPr>
        <w:t xml:space="preserve">             </w:t>
      </w:r>
      <w:r>
        <w:rPr>
          <w:rFonts w:ascii="宋体" w:hAnsi="宋体"/>
        </w:rPr>
        <w:t>（项目名称）投标</w:t>
      </w:r>
      <w:r>
        <w:rPr>
          <w:rFonts w:ascii="宋体" w:hAnsi="宋体"/>
          <w:szCs w:val="21"/>
        </w:rPr>
        <w:t>文件、</w:t>
      </w:r>
      <w:r>
        <w:rPr>
          <w:rFonts w:hint="eastAsia" w:ascii="宋体" w:hAnsi="宋体"/>
          <w:szCs w:val="21"/>
        </w:rPr>
        <w:t>递交投标保证金保函等相关资料、</w:t>
      </w:r>
      <w:r>
        <w:rPr>
          <w:rFonts w:ascii="宋体" w:hAnsi="宋体"/>
          <w:szCs w:val="21"/>
        </w:rPr>
        <w:t>出席开标会议、签订合同和处理有关事宜，其法律后果由我方承担。</w:t>
      </w:r>
    </w:p>
    <w:p w14:paraId="26885177">
      <w:pPr>
        <w:snapToGrid w:val="0"/>
        <w:spacing w:line="360" w:lineRule="auto"/>
        <w:ind w:firstLine="480"/>
        <w:rPr>
          <w:rFonts w:ascii="宋体" w:hAnsi="宋体"/>
        </w:rPr>
      </w:pPr>
      <w:r>
        <w:rPr>
          <w:rFonts w:ascii="宋体" w:hAnsi="宋体"/>
          <w:szCs w:val="21"/>
        </w:rPr>
        <w:t>代理人无转委托权。</w:t>
      </w:r>
    </w:p>
    <w:p w14:paraId="3C0564FF">
      <w:pPr>
        <w:snapToGrid w:val="0"/>
        <w:spacing w:line="360" w:lineRule="auto"/>
        <w:ind w:firstLine="480"/>
        <w:rPr>
          <w:rFonts w:ascii="宋体" w:hAnsi="宋体"/>
        </w:rPr>
      </w:pPr>
      <w:r>
        <w:rPr>
          <w:rFonts w:ascii="宋体" w:hAnsi="宋体"/>
          <w:szCs w:val="21"/>
        </w:rPr>
        <w:t>附：</w:t>
      </w:r>
      <w:r>
        <w:rPr>
          <w:rFonts w:hint="eastAsia" w:ascii="宋体" w:hAnsi="宋体"/>
          <w:szCs w:val="21"/>
        </w:rPr>
        <w:t>法定代表人</w:t>
      </w:r>
      <w:r>
        <w:rPr>
          <w:rFonts w:ascii="宋体" w:hAnsi="宋体"/>
          <w:szCs w:val="21"/>
        </w:rPr>
        <w:t>身份证明</w:t>
      </w:r>
    </w:p>
    <w:p w14:paraId="07C4AE6C">
      <w:pPr>
        <w:snapToGrid w:val="0"/>
        <w:spacing w:line="360" w:lineRule="auto"/>
        <w:ind w:firstLine="480"/>
        <w:rPr>
          <w:rFonts w:ascii="宋体" w:hAnsi="宋体"/>
          <w:szCs w:val="21"/>
        </w:rPr>
      </w:pPr>
    </w:p>
    <w:p w14:paraId="375E1C9E">
      <w:pPr>
        <w:snapToGrid w:val="0"/>
        <w:spacing w:line="360" w:lineRule="auto"/>
        <w:ind w:firstLine="3360" w:firstLineChars="1600"/>
        <w:rPr>
          <w:rFonts w:ascii="宋体" w:hAnsi="宋体"/>
        </w:rPr>
      </w:pPr>
      <w:r>
        <w:rPr>
          <w:rFonts w:ascii="宋体" w:hAnsi="宋体"/>
          <w:szCs w:val="21"/>
        </w:rPr>
        <w:t>投标人：</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rPr>
        <w:t>（盖单位</w:t>
      </w:r>
      <w:r>
        <w:rPr>
          <w:rFonts w:ascii="宋体" w:hAnsi="宋体"/>
        </w:rPr>
        <w:t>公</w:t>
      </w:r>
      <w:r>
        <w:rPr>
          <w:rFonts w:ascii="宋体" w:hAnsi="宋体"/>
          <w:szCs w:val="21"/>
        </w:rPr>
        <w:t>章）</w:t>
      </w:r>
    </w:p>
    <w:p w14:paraId="777BF593">
      <w:pPr>
        <w:snapToGrid w:val="0"/>
        <w:spacing w:line="360" w:lineRule="auto"/>
        <w:ind w:firstLine="3360"/>
        <w:rPr>
          <w:rFonts w:ascii="宋体" w:hAnsi="宋体"/>
        </w:rPr>
      </w:pPr>
      <w:r>
        <w:rPr>
          <w:rFonts w:ascii="宋体" w:hAnsi="宋体"/>
          <w:szCs w:val="21"/>
        </w:rPr>
        <w:t>法定代表人：</w:t>
      </w:r>
      <w:r>
        <w:rPr>
          <w:rFonts w:hint="eastAsia" w:ascii="宋体" w:hAnsi="宋体"/>
          <w:szCs w:val="21"/>
          <w:u w:val="single"/>
        </w:rPr>
        <w:t xml:space="preserve">               （签字）</w:t>
      </w:r>
      <w:r>
        <w:rPr>
          <w:rFonts w:hint="eastAsia" w:ascii="宋体" w:hAnsi="宋体"/>
          <w:szCs w:val="21"/>
        </w:rPr>
        <w:t xml:space="preserve"> </w:t>
      </w:r>
    </w:p>
    <w:p w14:paraId="46963398">
      <w:pPr>
        <w:snapToGrid w:val="0"/>
        <w:spacing w:line="360" w:lineRule="auto"/>
        <w:ind w:firstLine="3360"/>
        <w:rPr>
          <w:rFonts w:ascii="宋体" w:hAnsi="宋体"/>
        </w:rPr>
      </w:pPr>
      <w:r>
        <w:rPr>
          <w:rFonts w:ascii="宋体" w:hAnsi="宋体"/>
          <w:szCs w:val="21"/>
        </w:rPr>
        <w:t>身份证号码：</w:t>
      </w:r>
      <w:r>
        <w:rPr>
          <w:rFonts w:hint="eastAsia" w:ascii="宋体" w:hAnsi="宋体"/>
          <w:szCs w:val="21"/>
          <w:u w:val="single"/>
        </w:rPr>
        <w:t xml:space="preserve">                       </w:t>
      </w:r>
      <w:r>
        <w:rPr>
          <w:rFonts w:hint="eastAsia" w:ascii="宋体" w:hAnsi="宋体"/>
          <w:szCs w:val="21"/>
        </w:rPr>
        <w:t xml:space="preserve"> </w:t>
      </w:r>
    </w:p>
    <w:p w14:paraId="01645515">
      <w:pPr>
        <w:snapToGrid w:val="0"/>
        <w:spacing w:line="360" w:lineRule="auto"/>
        <w:ind w:firstLine="3360"/>
        <w:rPr>
          <w:rFonts w:ascii="宋体" w:hAnsi="宋体"/>
        </w:rPr>
      </w:pPr>
      <w:r>
        <w:rPr>
          <w:rFonts w:ascii="宋体" w:hAnsi="宋体"/>
          <w:szCs w:val="21"/>
        </w:rPr>
        <w:t>委托代理人：</w:t>
      </w:r>
      <w:r>
        <w:rPr>
          <w:rFonts w:hint="eastAsia" w:ascii="宋体" w:hAnsi="宋体"/>
          <w:szCs w:val="21"/>
          <w:u w:val="single"/>
        </w:rPr>
        <w:t xml:space="preserve">               （签字）</w:t>
      </w:r>
      <w:r>
        <w:rPr>
          <w:rFonts w:hint="eastAsia" w:ascii="宋体" w:hAnsi="宋体"/>
          <w:szCs w:val="21"/>
        </w:rPr>
        <w:t xml:space="preserve"> </w:t>
      </w:r>
    </w:p>
    <w:p w14:paraId="6F8EF3FA">
      <w:pPr>
        <w:snapToGrid w:val="0"/>
        <w:spacing w:line="360" w:lineRule="auto"/>
        <w:ind w:firstLine="3360"/>
        <w:rPr>
          <w:rFonts w:ascii="宋体" w:hAnsi="宋体"/>
          <w:szCs w:val="21"/>
        </w:rPr>
      </w:pPr>
      <w:r>
        <w:rPr>
          <w:rFonts w:ascii="宋体" w:hAnsi="宋体"/>
          <w:szCs w:val="21"/>
        </w:rPr>
        <w:t>身份证号码：</w:t>
      </w:r>
      <w:r>
        <w:rPr>
          <w:rFonts w:hint="eastAsia" w:ascii="宋体" w:hAnsi="宋体"/>
          <w:szCs w:val="21"/>
          <w:u w:val="single"/>
        </w:rPr>
        <w:t xml:space="preserve">                       </w:t>
      </w:r>
      <w:r>
        <w:rPr>
          <w:rFonts w:hint="eastAsia" w:ascii="宋体" w:hAnsi="宋体"/>
          <w:szCs w:val="21"/>
        </w:rPr>
        <w:t xml:space="preserve"> </w:t>
      </w:r>
    </w:p>
    <w:p w14:paraId="6D4AC7B2">
      <w:pPr>
        <w:pStyle w:val="36"/>
        <w:ind w:firstLine="2520" w:firstLineChars="1200"/>
      </w:pPr>
      <w:r>
        <w:rPr>
          <w:rFonts w:hint="eastAsia" w:ascii="宋体" w:hAnsi="宋体"/>
          <w:szCs w:val="21"/>
        </w:rPr>
        <w:t>联系电话：</w:t>
      </w:r>
      <w:r>
        <w:rPr>
          <w:rFonts w:hint="eastAsia" w:ascii="宋体" w:hAnsi="宋体"/>
          <w:u w:val="single"/>
        </w:rPr>
        <w:t xml:space="preserve">                       </w:t>
      </w:r>
    </w:p>
    <w:p w14:paraId="54742776">
      <w:pPr>
        <w:snapToGrid w:val="0"/>
        <w:spacing w:line="360" w:lineRule="auto"/>
        <w:ind w:firstLine="5040"/>
        <w:rPr>
          <w:rFonts w:ascii="宋体" w:hAnsi="宋体"/>
        </w:rPr>
      </w:pPr>
      <w:r>
        <w:rPr>
          <w:rFonts w:hint="eastAsia" w:ascii="宋体" w:hAnsi="宋体"/>
          <w:szCs w:val="21"/>
          <w:u w:val="single"/>
        </w:rPr>
        <w:t xml:space="preserve">     </w:t>
      </w:r>
      <w:r>
        <w:rPr>
          <w:rFonts w:hint="eastAsia" w:ascii="宋体" w:hAnsi="宋体"/>
          <w:szCs w:val="21"/>
        </w:rPr>
        <w:t xml:space="preserve"> </w:t>
      </w:r>
      <w:r>
        <w:rPr>
          <w:rFonts w:ascii="宋体" w:hAnsi="宋体"/>
          <w:szCs w:val="21"/>
        </w:rPr>
        <w:t>年</w:t>
      </w:r>
      <w:r>
        <w:rPr>
          <w:rFonts w:hint="eastAsia" w:ascii="宋体" w:hAnsi="宋体"/>
          <w:szCs w:val="21"/>
          <w:u w:val="single"/>
        </w:rPr>
        <w:t xml:space="preserve">     </w:t>
      </w:r>
      <w:r>
        <w:rPr>
          <w:rFonts w:hint="eastAsia" w:ascii="宋体" w:hAnsi="宋体"/>
          <w:szCs w:val="21"/>
        </w:rPr>
        <w:t xml:space="preserve"> </w:t>
      </w:r>
      <w:r>
        <w:rPr>
          <w:rFonts w:ascii="宋体" w:hAnsi="宋体"/>
          <w:szCs w:val="21"/>
        </w:rPr>
        <w:t>月</w:t>
      </w:r>
      <w:r>
        <w:rPr>
          <w:rFonts w:hint="eastAsia" w:ascii="宋体" w:hAnsi="宋体"/>
          <w:szCs w:val="21"/>
          <w:u w:val="single"/>
        </w:rPr>
        <w:t xml:space="preserve">     </w:t>
      </w:r>
      <w:r>
        <w:rPr>
          <w:rFonts w:hint="eastAsia" w:ascii="宋体" w:hAnsi="宋体"/>
          <w:szCs w:val="21"/>
        </w:rPr>
        <w:t xml:space="preserve"> </w:t>
      </w:r>
      <w:r>
        <w:rPr>
          <w:rFonts w:ascii="宋体" w:hAnsi="宋体"/>
          <w:szCs w:val="21"/>
        </w:rPr>
        <w:t>日</w:t>
      </w:r>
    </w:p>
    <w:p w14:paraId="6A219CE3">
      <w:pPr>
        <w:snapToGrid w:val="0"/>
        <w:spacing w:line="360" w:lineRule="auto"/>
        <w:ind w:firstLine="210"/>
        <w:rPr>
          <w:rFonts w:ascii="宋体" w:hAnsi="宋体"/>
        </w:rPr>
      </w:pPr>
    </w:p>
    <w:p w14:paraId="170DD391">
      <w:pPr>
        <w:snapToGrid w:val="0"/>
        <w:spacing w:line="360" w:lineRule="auto"/>
        <w:ind w:firstLine="210"/>
        <w:rPr>
          <w:rFonts w:ascii="宋体" w:hAnsi="宋体"/>
        </w:rPr>
      </w:pPr>
    </w:p>
    <w:p w14:paraId="33C9A949">
      <w:pPr>
        <w:snapToGrid w:val="0"/>
        <w:spacing w:line="360" w:lineRule="auto"/>
        <w:ind w:firstLine="210"/>
        <w:rPr>
          <w:rFonts w:ascii="宋体" w:hAnsi="宋体"/>
        </w:rPr>
      </w:pPr>
    </w:p>
    <w:p w14:paraId="06483FCA">
      <w:pPr>
        <w:snapToGrid w:val="0"/>
        <w:spacing w:line="360" w:lineRule="auto"/>
        <w:ind w:firstLine="210"/>
        <w:rPr>
          <w:rFonts w:ascii="宋体" w:hAnsi="宋体"/>
        </w:rPr>
      </w:pPr>
    </w:p>
    <w:p w14:paraId="6B7A7870">
      <w:pPr>
        <w:snapToGrid w:val="0"/>
        <w:spacing w:line="360" w:lineRule="auto"/>
        <w:ind w:firstLine="210"/>
        <w:rPr>
          <w:rFonts w:ascii="宋体" w:hAnsi="宋体"/>
        </w:rPr>
      </w:pPr>
    </w:p>
    <w:p w14:paraId="5D927C4B">
      <w:pPr>
        <w:pStyle w:val="36"/>
        <w:spacing w:line="360" w:lineRule="auto"/>
        <w:ind w:left="522" w:firstLine="210"/>
        <w:rPr>
          <w:rFonts w:ascii="宋体" w:hAnsi="宋体"/>
          <w:sz w:val="21"/>
          <w:szCs w:val="21"/>
        </w:rPr>
      </w:pPr>
      <w:r>
        <w:rPr>
          <w:rFonts w:ascii="宋体" w:hAnsi="宋体"/>
          <w:sz w:val="21"/>
          <w:szCs w:val="21"/>
        </w:rPr>
        <w:t>注：1.法定代表人和委托代理人均应在本授权委托书上签字，不得使用印章、签名章或其他电子制版签名。</w:t>
      </w:r>
    </w:p>
    <w:p w14:paraId="756FC9D1">
      <w:pPr>
        <w:spacing w:before="51" w:line="345" w:lineRule="auto"/>
        <w:ind w:left="141" w:hanging="14"/>
        <w:rPr>
          <w:rFonts w:ascii="宋体" w:hAnsi="宋体" w:eastAsia="宋体" w:cs="宋体"/>
          <w:color w:val="auto"/>
          <w:sz w:val="24"/>
          <w:szCs w:val="24"/>
          <w:lang w:eastAsia="zh-CN"/>
        </w:rPr>
      </w:pPr>
      <w:r>
        <w:rPr>
          <w:rFonts w:hint="eastAsia" w:ascii="宋体" w:hAnsi="宋体"/>
          <w:sz w:val="21"/>
          <w:szCs w:val="21"/>
        </w:rPr>
        <w:t>2. 仅用于递交工程保函时出具，须采用线下盖章。</w:t>
      </w:r>
    </w:p>
    <w:sectPr>
      <w:footerReference r:id="rId9" w:type="default"/>
      <w:pgSz w:w="11907" w:h="16840"/>
      <w:pgMar w:top="1431" w:right="1550" w:bottom="1096" w:left="1529" w:header="0" w:footer="933" w:gutter="0"/>
      <w:pgNumType w:fmt="decimal"/>
      <w:cols w:space="720" w:num="1"/>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等线">
    <w:altName w:val="微软雅黑"/>
    <w:panose1 w:val="02010600030101010101"/>
    <w:charset w:val="86"/>
    <w:family w:val="roman"/>
    <w:pitch w:val="default"/>
    <w:sig w:usb0="00000000" w:usb1="00000000" w:usb2="00000016" w:usb3="00000000" w:csb0="0004000F" w:csb1="00000000"/>
  </w:font>
  <w:font w:name="微软雅黑">
    <w:panose1 w:val="020B0503020204020204"/>
    <w:charset w:val="86"/>
    <w:family w:val="roman"/>
    <w:pitch w:val="default"/>
    <w:sig w:usb0="80000287" w:usb1="280F3C52"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方正小标宋简体">
    <w:altName w:val="仿宋_GB2312"/>
    <w:panose1 w:val="02000000000000000000"/>
    <w:charset w:val="86"/>
    <w:family w:val="script"/>
    <w:pitch w:val="default"/>
    <w:sig w:usb0="00000000" w:usb1="00000000" w:usb2="00000000" w:usb3="00000000" w:csb0="00040000" w:csb1="0000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7BD834">
    <w:pPr>
      <w:pStyle w:val="1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933CB4">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08LtQsAgAAVQ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Twu1CwCAABVBAAADgAAAAAAAAABACAAAAAfAQAAZHJzL2Uyb0RvYy54bWxQSwUGAAAAAAYA&#10;BgBZAQAAvQUAAAAA&#10;">
              <v:fill on="f" focussize="0,0"/>
              <v:stroke on="f" weight="0.5pt"/>
              <v:imagedata o:title=""/>
              <o:lock v:ext="edit" aspectratio="f"/>
              <v:textbox inset="0mm,0mm,0mm,0mm" style="mso-fit-shape-to-text:t;">
                <w:txbxContent>
                  <w:p w14:paraId="47933CB4">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D8DD42">
    <w:pPr>
      <w:spacing w:line="184" w:lineRule="auto"/>
      <w:ind w:left="4332"/>
      <w:rPr>
        <w:rFonts w:ascii="Times New Roman" w:hAnsi="Times New Roman" w:eastAsia="Times New Roman" w:cs="Times New Roman"/>
        <w:sz w:val="20"/>
        <w:szCs w:val="20"/>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0B7E1D">
                          <w:pPr>
                            <w:pStyle w:val="1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hujtQrAgAAVQ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DYbo7UKwIAAFUEAAAOAAAAAAAAAAEAIAAAAB8BAABkcnMvZTJvRG9jLnhtbFBLBQYAAAAABgAG&#10;AFkBAAC8BQAAAAA=&#10;">
              <v:fill on="f" focussize="0,0"/>
              <v:stroke on="f" weight="0.5pt"/>
              <v:imagedata o:title=""/>
              <o:lock v:ext="edit" aspectratio="f"/>
              <v:textbox inset="0mm,0mm,0mm,0mm" style="mso-fit-shape-to-text:t;">
                <w:txbxContent>
                  <w:p w14:paraId="3D0B7E1D">
                    <w:pPr>
                      <w:pStyle w:val="14"/>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39BF4F">
    <w:pPr>
      <w:spacing w:line="184" w:lineRule="auto"/>
      <w:ind w:left="4342"/>
      <w:rPr>
        <w:rFonts w:ascii="Times New Roman" w:hAnsi="Times New Roman" w:eastAsia="Times New Roman" w:cs="Times New Roman"/>
        <w:sz w:val="20"/>
        <w:szCs w:val="20"/>
      </w:rPr>
    </w:pPr>
    <w:r>
      <w:rPr>
        <w:sz w:val="2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2DCEA3">
                          <w:pPr>
                            <w:pStyle w:val="14"/>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6A2DCEA3">
                    <w:pPr>
                      <w:pStyle w:val="14"/>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E4A9AD">
    <w:pPr>
      <w:spacing w:line="184" w:lineRule="auto"/>
      <w:ind w:left="4333"/>
      <w:rPr>
        <w:rFonts w:ascii="Times New Roman" w:hAnsi="Times New Roman" w:eastAsia="Times New Roman" w:cs="Times New Roman"/>
        <w:sz w:val="20"/>
        <w:szCs w:val="20"/>
      </w:rPr>
    </w:pPr>
    <w:r>
      <w:rPr>
        <w:sz w:val="20"/>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BAEAEE">
                          <w:pPr>
                            <w:pStyle w:val="14"/>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26BAEAEE">
                    <w:pPr>
                      <w:pStyle w:val="14"/>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770771">
    <w:pPr>
      <w:spacing w:line="240" w:lineRule="auto"/>
      <w:ind w:left="0"/>
      <w:rPr>
        <w:rFonts w:ascii="Times New Roman" w:hAnsi="Times New Roman" w:eastAsia="Times New Roman" w:cs="Times New Roman"/>
        <w:sz w:val="20"/>
        <w:szCs w:val="20"/>
      </w:rPr>
    </w:pPr>
    <w:r>
      <w:rPr>
        <w:sz w:val="20"/>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424C2D">
                          <w:pPr>
                            <w:pStyle w:val="14"/>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m63mM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Jut5jKwIAAFcEAAAOAAAAAAAAAAEAIAAAAB8BAABkcnMvZTJvRG9jLnhtbFBLBQYAAAAABgAG&#10;AFkBAAC8BQAAAAA=&#10;">
              <v:fill on="f" focussize="0,0"/>
              <v:stroke on="f" weight="0.5pt"/>
              <v:imagedata o:title=""/>
              <o:lock v:ext="edit" aspectratio="f"/>
              <v:textbox inset="0mm,0mm,0mm,0mm" style="mso-fit-shape-to-text:t;">
                <w:txbxContent>
                  <w:p w14:paraId="1F424C2D">
                    <w:pPr>
                      <w:pStyle w:val="14"/>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E86B8A">
    <w:pPr>
      <w:spacing w:line="184" w:lineRule="auto"/>
      <w:ind w:left="4259"/>
      <w:rPr>
        <w:rFonts w:ascii="Times New Roman" w:hAnsi="Times New Roman" w:eastAsia="Times New Roman" w:cs="Times New Roman"/>
        <w:sz w:val="20"/>
        <w:szCs w:val="20"/>
      </w:rPr>
    </w:pPr>
    <w:r>
      <w:rPr>
        <w:sz w:val="20"/>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20A588">
                          <w:pPr>
                            <w:pStyle w:val="14"/>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21"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Qg4J4s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CDgniwCAABXBAAADgAAAAAAAAABACAAAAAfAQAAZHJzL2Uyb0RvYy54bWxQSwUGAAAAAAYA&#10;BgBZAQAAvQUAAAAA&#10;">
              <v:fill on="f" focussize="0,0"/>
              <v:stroke on="f" weight="0.5pt"/>
              <v:imagedata o:title=""/>
              <o:lock v:ext="edit" aspectratio="f"/>
              <v:textbox inset="0mm,0mm,0mm,0mm" style="mso-fit-shape-to-text:t;">
                <w:txbxContent>
                  <w:p w14:paraId="3220A588">
                    <w:pPr>
                      <w:pStyle w:val="14"/>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8C2DCC">
    <w:pPr>
      <w:spacing w:line="176" w:lineRule="auto"/>
      <w:ind w:left="430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8F5B3F">
                          <w:pPr>
                            <w:pStyle w:val="14"/>
                          </w:pPr>
                          <w:r>
                            <w:fldChar w:fldCharType="begin"/>
                          </w:r>
                          <w:r>
                            <w:instrText xml:space="preserve"> PAGE  \* MERGEFORMAT </w:instrText>
                          </w:r>
                          <w:r>
                            <w:fldChar w:fldCharType="separate"/>
                          </w:r>
                          <w:r>
                            <w:t>69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23"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AS7Rh4tAgAAVwQAAA4AAAAAAAAAAQAgAAAAHwEAAGRycy9lMm9Eb2MueG1sUEsFBgAAAAAG&#10;AAYAWQEAAL4FAAAAAA==&#10;">
              <v:fill on="f" focussize="0,0"/>
              <v:stroke on="f" weight="0.5pt"/>
              <v:imagedata o:title=""/>
              <o:lock v:ext="edit" aspectratio="f"/>
              <v:textbox inset="0mm,0mm,0mm,0mm" style="mso-fit-shape-to-text:t;">
                <w:txbxContent>
                  <w:p w14:paraId="118F5B3F">
                    <w:pPr>
                      <w:pStyle w:val="14"/>
                    </w:pPr>
                    <w:r>
                      <w:fldChar w:fldCharType="begin"/>
                    </w:r>
                    <w:r>
                      <w:instrText xml:space="preserve"> PAGE  \* MERGEFORMAT </w:instrText>
                    </w:r>
                    <w:r>
                      <w:fldChar w:fldCharType="separate"/>
                    </w:r>
                    <w:r>
                      <w:t>69</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E0897A"/>
    <w:multiLevelType w:val="singleLevel"/>
    <w:tmpl w:val="99E0897A"/>
    <w:lvl w:ilvl="0" w:tentative="0">
      <w:start w:val="1"/>
      <w:numFmt w:val="decimal"/>
      <w:lvlText w:val="%1)"/>
      <w:lvlJc w:val="left"/>
      <w:pPr>
        <w:ind w:left="425" w:hanging="425"/>
      </w:pPr>
      <w:rPr>
        <w:rFonts w:hint="default"/>
      </w:rPr>
    </w:lvl>
  </w:abstractNum>
  <w:abstractNum w:abstractNumId="1">
    <w:nsid w:val="F2CB379B"/>
    <w:multiLevelType w:val="singleLevel"/>
    <w:tmpl w:val="F2CB379B"/>
    <w:lvl w:ilvl="0" w:tentative="0">
      <w:start w:val="2"/>
      <w:numFmt w:val="decimal"/>
      <w:suff w:val="nothing"/>
      <w:lvlText w:val="（%1）"/>
      <w:lvlJc w:val="left"/>
    </w:lvl>
  </w:abstractNum>
  <w:abstractNum w:abstractNumId="2">
    <w:nsid w:val="0AC8A8B7"/>
    <w:multiLevelType w:val="singleLevel"/>
    <w:tmpl w:val="0AC8A8B7"/>
    <w:lvl w:ilvl="0" w:tentative="0">
      <w:start w:val="1"/>
      <w:numFmt w:val="decimal"/>
      <w:lvlText w:val="(%1)"/>
      <w:lvlJc w:val="left"/>
      <w:pPr>
        <w:ind w:left="425" w:hanging="425"/>
      </w:pPr>
      <w:rPr>
        <w:rFonts w:hint="default"/>
      </w:rPr>
    </w:lvl>
  </w:abstractNum>
  <w:abstractNum w:abstractNumId="3">
    <w:nsid w:val="2C4EC7D9"/>
    <w:multiLevelType w:val="singleLevel"/>
    <w:tmpl w:val="2C4EC7D9"/>
    <w:lvl w:ilvl="0" w:tentative="0">
      <w:start w:val="1"/>
      <w:numFmt w:val="decimal"/>
      <w:lvlText w:val="%1."/>
      <w:lvlJc w:val="left"/>
      <w:pPr>
        <w:tabs>
          <w:tab w:val="left" w:pos="312"/>
        </w:tabs>
      </w:pPr>
    </w:lvl>
  </w:abstractNum>
  <w:abstractNum w:abstractNumId="4">
    <w:nsid w:val="2CB969BE"/>
    <w:multiLevelType w:val="multilevel"/>
    <w:tmpl w:val="2CB969BE"/>
    <w:lvl w:ilvl="0" w:tentative="0">
      <w:start w:val="1"/>
      <w:numFmt w:val="decimal"/>
      <w:suff w:val="nothing"/>
      <w:lvlText w:val="%1、"/>
      <w:lvlJc w:val="left"/>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381D6AF1"/>
    <w:multiLevelType w:val="multilevel"/>
    <w:tmpl w:val="381D6AF1"/>
    <w:lvl w:ilvl="0" w:tentative="0">
      <w:start w:val="1"/>
      <w:numFmt w:val="decimalEnclosedCircle"/>
      <w:pStyle w:val="37"/>
      <w:lvlText w:val="%1"/>
      <w:lvlJc w:val="left"/>
      <w:pPr>
        <w:ind w:left="1290" w:hanging="360"/>
      </w:pPr>
      <w:rPr>
        <w:rFonts w:hint="default"/>
      </w:rPr>
    </w:lvl>
    <w:lvl w:ilvl="1" w:tentative="0">
      <w:start w:val="1"/>
      <w:numFmt w:val="lowerLetter"/>
      <w:lvlText w:val="%2)"/>
      <w:lvlJc w:val="left"/>
      <w:pPr>
        <w:ind w:left="1770" w:hanging="420"/>
      </w:pPr>
    </w:lvl>
    <w:lvl w:ilvl="2" w:tentative="0">
      <w:start w:val="1"/>
      <w:numFmt w:val="lowerRoman"/>
      <w:lvlText w:val="%3."/>
      <w:lvlJc w:val="right"/>
      <w:pPr>
        <w:ind w:left="2190" w:hanging="420"/>
      </w:pPr>
    </w:lvl>
    <w:lvl w:ilvl="3" w:tentative="0">
      <w:start w:val="1"/>
      <w:numFmt w:val="decimal"/>
      <w:lvlText w:val="%4."/>
      <w:lvlJc w:val="left"/>
      <w:pPr>
        <w:ind w:left="2610" w:hanging="420"/>
      </w:pPr>
    </w:lvl>
    <w:lvl w:ilvl="4" w:tentative="0">
      <w:start w:val="1"/>
      <w:numFmt w:val="lowerLetter"/>
      <w:lvlText w:val="%5)"/>
      <w:lvlJc w:val="left"/>
      <w:pPr>
        <w:ind w:left="3030" w:hanging="420"/>
      </w:pPr>
    </w:lvl>
    <w:lvl w:ilvl="5" w:tentative="0">
      <w:start w:val="1"/>
      <w:numFmt w:val="lowerRoman"/>
      <w:lvlText w:val="%6."/>
      <w:lvlJc w:val="right"/>
      <w:pPr>
        <w:ind w:left="3450" w:hanging="420"/>
      </w:pPr>
    </w:lvl>
    <w:lvl w:ilvl="6" w:tentative="0">
      <w:start w:val="1"/>
      <w:numFmt w:val="decimal"/>
      <w:lvlText w:val="%7."/>
      <w:lvlJc w:val="left"/>
      <w:pPr>
        <w:ind w:left="3870" w:hanging="420"/>
      </w:pPr>
    </w:lvl>
    <w:lvl w:ilvl="7" w:tentative="0">
      <w:start w:val="1"/>
      <w:numFmt w:val="lowerLetter"/>
      <w:lvlText w:val="%8)"/>
      <w:lvlJc w:val="left"/>
      <w:pPr>
        <w:ind w:left="4290" w:hanging="420"/>
      </w:pPr>
    </w:lvl>
    <w:lvl w:ilvl="8" w:tentative="0">
      <w:start w:val="1"/>
      <w:numFmt w:val="lowerRoman"/>
      <w:lvlText w:val="%9."/>
      <w:lvlJc w:val="right"/>
      <w:pPr>
        <w:ind w:left="4710" w:hanging="420"/>
      </w:pPr>
    </w:lvl>
  </w:abstractNum>
  <w:abstractNum w:abstractNumId="6">
    <w:nsid w:val="3CDBF947"/>
    <w:multiLevelType w:val="singleLevel"/>
    <w:tmpl w:val="3CDBF947"/>
    <w:lvl w:ilvl="0" w:tentative="0">
      <w:start w:val="2"/>
      <w:numFmt w:val="decimal"/>
      <w:suff w:val="nothing"/>
      <w:lvlText w:val="（%1）"/>
      <w:lvlJc w:val="left"/>
    </w:lvl>
  </w:abstractNum>
  <w:abstractNum w:abstractNumId="7">
    <w:nsid w:val="4D8159FC"/>
    <w:multiLevelType w:val="singleLevel"/>
    <w:tmpl w:val="4D8159FC"/>
    <w:lvl w:ilvl="0" w:tentative="0">
      <w:start w:val="1"/>
      <w:numFmt w:val="decimal"/>
      <w:lvlText w:val="%1."/>
      <w:lvlJc w:val="left"/>
      <w:pPr>
        <w:tabs>
          <w:tab w:val="left" w:pos="312"/>
        </w:tabs>
      </w:pPr>
    </w:lvl>
  </w:abstractNum>
  <w:abstractNum w:abstractNumId="8">
    <w:nsid w:val="5448E49E"/>
    <w:multiLevelType w:val="singleLevel"/>
    <w:tmpl w:val="5448E49E"/>
    <w:lvl w:ilvl="0" w:tentative="0">
      <w:start w:val="1"/>
      <w:numFmt w:val="decimal"/>
      <w:lvlText w:val="%1."/>
      <w:lvlJc w:val="left"/>
      <w:pPr>
        <w:tabs>
          <w:tab w:val="left" w:pos="312"/>
        </w:tabs>
      </w:pPr>
    </w:lvl>
  </w:abstractNum>
  <w:abstractNum w:abstractNumId="9">
    <w:nsid w:val="5D9ACF37"/>
    <w:multiLevelType w:val="singleLevel"/>
    <w:tmpl w:val="5D9ACF37"/>
    <w:lvl w:ilvl="0" w:tentative="0">
      <w:start w:val="1"/>
      <w:numFmt w:val="decimal"/>
      <w:suff w:val="nothing"/>
      <w:lvlText w:val="%1．"/>
      <w:lvlJc w:val="left"/>
      <w:pPr>
        <w:ind w:left="0" w:firstLine="400"/>
      </w:pPr>
      <w:rPr>
        <w:rFonts w:hint="default"/>
      </w:rPr>
    </w:lvl>
  </w:abstractNum>
  <w:num w:numId="1">
    <w:abstractNumId w:val="5"/>
  </w:num>
  <w:num w:numId="2">
    <w:abstractNumId w:val="9"/>
  </w:num>
  <w:num w:numId="3">
    <w:abstractNumId w:val="2"/>
  </w:num>
  <w:num w:numId="4">
    <w:abstractNumId w:val="0"/>
  </w:num>
  <w:num w:numId="5">
    <w:abstractNumId w:val="3"/>
  </w:num>
  <w:num w:numId="6">
    <w:abstractNumId w:val="7"/>
  </w:num>
  <w:num w:numId="7">
    <w:abstractNumId w:val="8"/>
  </w:num>
  <w:num w:numId="8">
    <w:abstractNumId w:val="6"/>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hdrShapeDefaults>
    <o:shapelayout v:ext="edit">
      <o:idmap v:ext="edit" data="2"/>
    </o:shapelayout>
  </w:hdrShapeDefaults>
  <w:compat>
    <w:spaceForUL/>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048E"/>
    <w:rsid w:val="00013DD8"/>
    <w:rsid w:val="001B1755"/>
    <w:rsid w:val="001D408F"/>
    <w:rsid w:val="002548C9"/>
    <w:rsid w:val="00423C6D"/>
    <w:rsid w:val="00456D75"/>
    <w:rsid w:val="006D4A21"/>
    <w:rsid w:val="0085048E"/>
    <w:rsid w:val="008C50DD"/>
    <w:rsid w:val="01842D38"/>
    <w:rsid w:val="01BB0194"/>
    <w:rsid w:val="0342780C"/>
    <w:rsid w:val="03B11A9D"/>
    <w:rsid w:val="03EB0CDD"/>
    <w:rsid w:val="05504736"/>
    <w:rsid w:val="06006D63"/>
    <w:rsid w:val="06562220"/>
    <w:rsid w:val="0665409B"/>
    <w:rsid w:val="06A1553C"/>
    <w:rsid w:val="06DE7CAE"/>
    <w:rsid w:val="07400B46"/>
    <w:rsid w:val="07487DBA"/>
    <w:rsid w:val="07702E6D"/>
    <w:rsid w:val="085061A1"/>
    <w:rsid w:val="08905040"/>
    <w:rsid w:val="08D85501"/>
    <w:rsid w:val="095C5D9F"/>
    <w:rsid w:val="0A234AB7"/>
    <w:rsid w:val="0B397091"/>
    <w:rsid w:val="0B6158EF"/>
    <w:rsid w:val="0C00660B"/>
    <w:rsid w:val="0CB3217A"/>
    <w:rsid w:val="0D7C0F42"/>
    <w:rsid w:val="0E2B5D40"/>
    <w:rsid w:val="0E3E3CC5"/>
    <w:rsid w:val="0EAC0C2F"/>
    <w:rsid w:val="0F5B4403"/>
    <w:rsid w:val="0F76123D"/>
    <w:rsid w:val="0F786D63"/>
    <w:rsid w:val="0F8E47D8"/>
    <w:rsid w:val="10287F0C"/>
    <w:rsid w:val="10967933"/>
    <w:rsid w:val="10DE52EC"/>
    <w:rsid w:val="120E02AD"/>
    <w:rsid w:val="12555A81"/>
    <w:rsid w:val="12C56763"/>
    <w:rsid w:val="12F2507E"/>
    <w:rsid w:val="13334A85"/>
    <w:rsid w:val="13FC4407"/>
    <w:rsid w:val="143771ED"/>
    <w:rsid w:val="14643D5A"/>
    <w:rsid w:val="14A84F9F"/>
    <w:rsid w:val="15393438"/>
    <w:rsid w:val="154B38A7"/>
    <w:rsid w:val="160475A2"/>
    <w:rsid w:val="16777F5D"/>
    <w:rsid w:val="171750B3"/>
    <w:rsid w:val="175D340E"/>
    <w:rsid w:val="17804E5F"/>
    <w:rsid w:val="1833416F"/>
    <w:rsid w:val="18365A0D"/>
    <w:rsid w:val="18BA4890"/>
    <w:rsid w:val="19AD1CFF"/>
    <w:rsid w:val="1A08264E"/>
    <w:rsid w:val="1A4A4CE5"/>
    <w:rsid w:val="1A5403CD"/>
    <w:rsid w:val="1AC97E15"/>
    <w:rsid w:val="1AD278A0"/>
    <w:rsid w:val="1C536B8E"/>
    <w:rsid w:val="1D0205B4"/>
    <w:rsid w:val="1D3F7112"/>
    <w:rsid w:val="1DF6675D"/>
    <w:rsid w:val="1F1D16D5"/>
    <w:rsid w:val="1F462BF8"/>
    <w:rsid w:val="1F6542F4"/>
    <w:rsid w:val="1FC63F0C"/>
    <w:rsid w:val="203C2688"/>
    <w:rsid w:val="20425C15"/>
    <w:rsid w:val="20827A42"/>
    <w:rsid w:val="212570CC"/>
    <w:rsid w:val="214851A7"/>
    <w:rsid w:val="22145301"/>
    <w:rsid w:val="225F372C"/>
    <w:rsid w:val="22723AE6"/>
    <w:rsid w:val="231369CD"/>
    <w:rsid w:val="232E2103"/>
    <w:rsid w:val="238E494F"/>
    <w:rsid w:val="23EB448F"/>
    <w:rsid w:val="24030E99"/>
    <w:rsid w:val="24961D0D"/>
    <w:rsid w:val="24D12D46"/>
    <w:rsid w:val="25011468"/>
    <w:rsid w:val="253C3E23"/>
    <w:rsid w:val="2584600A"/>
    <w:rsid w:val="25CE36DC"/>
    <w:rsid w:val="266C6CB7"/>
    <w:rsid w:val="280D03AF"/>
    <w:rsid w:val="282F4FA1"/>
    <w:rsid w:val="29D15596"/>
    <w:rsid w:val="2A0F7F3C"/>
    <w:rsid w:val="2A241B69"/>
    <w:rsid w:val="2A377AEF"/>
    <w:rsid w:val="2A88636A"/>
    <w:rsid w:val="2AB50F6F"/>
    <w:rsid w:val="2B606BD1"/>
    <w:rsid w:val="2C24507B"/>
    <w:rsid w:val="2C960832"/>
    <w:rsid w:val="2CA60F5C"/>
    <w:rsid w:val="2CAA74D3"/>
    <w:rsid w:val="2D597D7C"/>
    <w:rsid w:val="2E151A0F"/>
    <w:rsid w:val="2E7035CF"/>
    <w:rsid w:val="2EF835C5"/>
    <w:rsid w:val="2F302D5E"/>
    <w:rsid w:val="300541EB"/>
    <w:rsid w:val="30AF10BB"/>
    <w:rsid w:val="30C6100C"/>
    <w:rsid w:val="30E23E89"/>
    <w:rsid w:val="312406A1"/>
    <w:rsid w:val="3148766A"/>
    <w:rsid w:val="316B4188"/>
    <w:rsid w:val="326107D8"/>
    <w:rsid w:val="326170B4"/>
    <w:rsid w:val="33413EDE"/>
    <w:rsid w:val="343C2591"/>
    <w:rsid w:val="349A333E"/>
    <w:rsid w:val="35213875"/>
    <w:rsid w:val="35380BBF"/>
    <w:rsid w:val="355E084C"/>
    <w:rsid w:val="35700359"/>
    <w:rsid w:val="36B129D7"/>
    <w:rsid w:val="36F111D3"/>
    <w:rsid w:val="377A726D"/>
    <w:rsid w:val="37B07887"/>
    <w:rsid w:val="37EB1F18"/>
    <w:rsid w:val="38B03902"/>
    <w:rsid w:val="38BA083D"/>
    <w:rsid w:val="39AE76A2"/>
    <w:rsid w:val="3A946897"/>
    <w:rsid w:val="3AA20FB4"/>
    <w:rsid w:val="3C4E6795"/>
    <w:rsid w:val="3C502C92"/>
    <w:rsid w:val="3D6C58AA"/>
    <w:rsid w:val="3D982B42"/>
    <w:rsid w:val="3FAD4B87"/>
    <w:rsid w:val="404A2C20"/>
    <w:rsid w:val="40854C21"/>
    <w:rsid w:val="40C003E6"/>
    <w:rsid w:val="40C355D0"/>
    <w:rsid w:val="41C0096A"/>
    <w:rsid w:val="4274107E"/>
    <w:rsid w:val="428646E7"/>
    <w:rsid w:val="430B16C1"/>
    <w:rsid w:val="439B0C97"/>
    <w:rsid w:val="43A01E09"/>
    <w:rsid w:val="44A877A0"/>
    <w:rsid w:val="44E421C9"/>
    <w:rsid w:val="44FF7003"/>
    <w:rsid w:val="455C4456"/>
    <w:rsid w:val="457A3038"/>
    <w:rsid w:val="45CE5353"/>
    <w:rsid w:val="462753A7"/>
    <w:rsid w:val="466E6421"/>
    <w:rsid w:val="468629BF"/>
    <w:rsid w:val="475278DD"/>
    <w:rsid w:val="475609B3"/>
    <w:rsid w:val="477871EB"/>
    <w:rsid w:val="479C6D8B"/>
    <w:rsid w:val="47ED5839"/>
    <w:rsid w:val="47F941DE"/>
    <w:rsid w:val="48A203D1"/>
    <w:rsid w:val="48B534CF"/>
    <w:rsid w:val="48E72288"/>
    <w:rsid w:val="494970A4"/>
    <w:rsid w:val="49830203"/>
    <w:rsid w:val="4A0951CC"/>
    <w:rsid w:val="4A431740"/>
    <w:rsid w:val="4A6873F9"/>
    <w:rsid w:val="4B3B3A74"/>
    <w:rsid w:val="4BCF5981"/>
    <w:rsid w:val="4BD53550"/>
    <w:rsid w:val="4CC21042"/>
    <w:rsid w:val="4D4507B1"/>
    <w:rsid w:val="4D477799"/>
    <w:rsid w:val="4E0F475B"/>
    <w:rsid w:val="4E2A50F1"/>
    <w:rsid w:val="4E4837C9"/>
    <w:rsid w:val="4E5824CB"/>
    <w:rsid w:val="4E957CE6"/>
    <w:rsid w:val="4EB26DB1"/>
    <w:rsid w:val="4FC73036"/>
    <w:rsid w:val="502A587C"/>
    <w:rsid w:val="51231301"/>
    <w:rsid w:val="518741CF"/>
    <w:rsid w:val="51B222F3"/>
    <w:rsid w:val="51BD0087"/>
    <w:rsid w:val="520D0FB1"/>
    <w:rsid w:val="521D3526"/>
    <w:rsid w:val="52304CA0"/>
    <w:rsid w:val="52306A4E"/>
    <w:rsid w:val="52862B12"/>
    <w:rsid w:val="534C5B09"/>
    <w:rsid w:val="536203AC"/>
    <w:rsid w:val="536E5A80"/>
    <w:rsid w:val="537B76FD"/>
    <w:rsid w:val="554A7DEE"/>
    <w:rsid w:val="55DA67EE"/>
    <w:rsid w:val="562C38FC"/>
    <w:rsid w:val="56CD0D0F"/>
    <w:rsid w:val="56F34C36"/>
    <w:rsid w:val="57ED0501"/>
    <w:rsid w:val="581979D5"/>
    <w:rsid w:val="581A4428"/>
    <w:rsid w:val="581C190F"/>
    <w:rsid w:val="582E3A30"/>
    <w:rsid w:val="5851771E"/>
    <w:rsid w:val="58D77C23"/>
    <w:rsid w:val="58D952F9"/>
    <w:rsid w:val="58F44C79"/>
    <w:rsid w:val="591F0400"/>
    <w:rsid w:val="5AE92129"/>
    <w:rsid w:val="5BAF7068"/>
    <w:rsid w:val="5BF417B1"/>
    <w:rsid w:val="5C1B11E0"/>
    <w:rsid w:val="5CB80DEC"/>
    <w:rsid w:val="5CD72533"/>
    <w:rsid w:val="5D700646"/>
    <w:rsid w:val="5E875C48"/>
    <w:rsid w:val="5F920D48"/>
    <w:rsid w:val="600B3DEA"/>
    <w:rsid w:val="60285208"/>
    <w:rsid w:val="6030410E"/>
    <w:rsid w:val="6196329D"/>
    <w:rsid w:val="61C15914"/>
    <w:rsid w:val="62586D96"/>
    <w:rsid w:val="628019CF"/>
    <w:rsid w:val="62CD2097"/>
    <w:rsid w:val="63336012"/>
    <w:rsid w:val="63400ABB"/>
    <w:rsid w:val="635F4752"/>
    <w:rsid w:val="64625146"/>
    <w:rsid w:val="646F1879"/>
    <w:rsid w:val="64803865"/>
    <w:rsid w:val="64915A72"/>
    <w:rsid w:val="650205DF"/>
    <w:rsid w:val="65330A0D"/>
    <w:rsid w:val="662B0987"/>
    <w:rsid w:val="66AA4148"/>
    <w:rsid w:val="676C6322"/>
    <w:rsid w:val="67AE693B"/>
    <w:rsid w:val="68F6059A"/>
    <w:rsid w:val="69665AFA"/>
    <w:rsid w:val="69A26117"/>
    <w:rsid w:val="69A32664"/>
    <w:rsid w:val="69CB42FE"/>
    <w:rsid w:val="6AE306AA"/>
    <w:rsid w:val="6B6C069F"/>
    <w:rsid w:val="6B861377"/>
    <w:rsid w:val="6B9F3E88"/>
    <w:rsid w:val="6BD85D34"/>
    <w:rsid w:val="6BFA3EFD"/>
    <w:rsid w:val="6C580C23"/>
    <w:rsid w:val="6CEB5F3B"/>
    <w:rsid w:val="6DED6646"/>
    <w:rsid w:val="6E7647D3"/>
    <w:rsid w:val="6EC1122B"/>
    <w:rsid w:val="6F34735B"/>
    <w:rsid w:val="6F973D20"/>
    <w:rsid w:val="6FCA2456"/>
    <w:rsid w:val="703D085C"/>
    <w:rsid w:val="709E4A5F"/>
    <w:rsid w:val="70A628A5"/>
    <w:rsid w:val="71DE2C80"/>
    <w:rsid w:val="73133E0B"/>
    <w:rsid w:val="733049F4"/>
    <w:rsid w:val="742D309E"/>
    <w:rsid w:val="75071439"/>
    <w:rsid w:val="75094CE7"/>
    <w:rsid w:val="75706FDE"/>
    <w:rsid w:val="76A97E3B"/>
    <w:rsid w:val="772207AC"/>
    <w:rsid w:val="79A06916"/>
    <w:rsid w:val="79A25BD4"/>
    <w:rsid w:val="79B122B3"/>
    <w:rsid w:val="79D55FA9"/>
    <w:rsid w:val="7ACA53E2"/>
    <w:rsid w:val="7B8C31E4"/>
    <w:rsid w:val="7C47549D"/>
    <w:rsid w:val="7CA26617"/>
    <w:rsid w:val="7CA825F9"/>
    <w:rsid w:val="7D9D2119"/>
    <w:rsid w:val="7E5356EF"/>
    <w:rsid w:val="7EAA7A04"/>
    <w:rsid w:val="7EC83CDF"/>
    <w:rsid w:val="7ED72300"/>
    <w:rsid w:val="7F6045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uiPriority="99" w:name="heading 3"/>
    <w:lsdException w:qFormat="1" w:unhideWhenUsed="0" w:uiPriority="0" w:semiHidden="0"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99" w:name="toc 2"/>
    <w:lsdException w:uiPriority="99" w:name="toc 3"/>
    <w:lsdException w:uiPriority="99" w:name="toc 4"/>
    <w:lsdException w:uiPriority="99" w:name="toc 5"/>
    <w:lsdException w:qFormat="1" w:unhideWhenUsed="0" w:uiPriority="0" w:semiHidden="0" w:name="toc 6"/>
    <w:lsdException w:uiPriority="99" w:name="toc 7"/>
    <w:lsdException w:uiPriority="99" w:name="toc 8"/>
    <w:lsdException w:uiPriority="99" w:name="toc 9"/>
    <w:lsdException w:qFormat="1" w:unhideWhenUsed="0" w:uiPriority="0" w:semiHidden="0"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99" w:semiHidden="0" w:name="Title"/>
    <w:lsdException w:uiPriority="99" w:name="Closing"/>
    <w:lsdException w:uiPriority="99" w:name="Signature"/>
    <w:lsdException w:qFormat="1" w:uiPriority="1" w:name="Default Paragraph Font"/>
    <w:lsdException w:qFormat="1" w:unhideWhenUsed="0" w:uiPriority="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99"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99" w:semiHidden="0"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unhideWhenUsed="0" w:uiPriority="99" w:semiHidden="0" w:name="Strong"/>
    <w:lsdException w:unhideWhenUsed="0" w:uiPriority="99"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pPr>
    <w:rPr>
      <w:rFonts w:ascii="Arial" w:hAnsi="Arial" w:cs="Arial" w:eastAsiaTheme="minorEastAsia"/>
      <w:color w:val="000000"/>
      <w:sz w:val="21"/>
      <w:szCs w:val="21"/>
      <w:lang w:val="en-US" w:eastAsia="en-US" w:bidi="ar-SA"/>
    </w:rPr>
  </w:style>
  <w:style w:type="paragraph" w:styleId="2">
    <w:name w:val="heading 1"/>
    <w:basedOn w:val="1"/>
    <w:link w:val="34"/>
    <w:qFormat/>
    <w:uiPriority w:val="0"/>
    <w:pPr>
      <w:spacing w:line="360" w:lineRule="auto"/>
      <w:ind w:left="3"/>
      <w:jc w:val="center"/>
      <w:outlineLvl w:val="0"/>
    </w:pPr>
    <w:rPr>
      <w:rFonts w:ascii="Times New Roman" w:hAnsi="Times New Roman" w:eastAsia="黑体"/>
      <w:bCs/>
      <w:kern w:val="44"/>
      <w:sz w:val="44"/>
      <w:szCs w:val="44"/>
    </w:rPr>
  </w:style>
  <w:style w:type="paragraph" w:styleId="3">
    <w:name w:val="heading 2"/>
    <w:basedOn w:val="1"/>
    <w:next w:val="1"/>
    <w:link w:val="35"/>
    <w:qFormat/>
    <w:uiPriority w:val="0"/>
    <w:pPr>
      <w:ind w:left="3"/>
      <w:outlineLvl w:val="1"/>
    </w:pPr>
    <w:rPr>
      <w:rFonts w:ascii="Cambria" w:hAnsi="Cambria"/>
      <w:b/>
      <w:bCs/>
      <w:sz w:val="32"/>
      <w:szCs w:val="32"/>
    </w:rPr>
  </w:style>
  <w:style w:type="paragraph" w:styleId="4">
    <w:name w:val="heading 4"/>
    <w:basedOn w:val="1"/>
    <w:qFormat/>
    <w:uiPriority w:val="0"/>
    <w:pPr>
      <w:keepNext/>
      <w:keepLines/>
      <w:spacing w:before="280" w:after="290" w:line="376" w:lineRule="auto"/>
      <w:outlineLvl w:val="3"/>
    </w:pPr>
    <w:rPr>
      <w:rFonts w:ascii="Arial" w:hAnsi="Arial" w:eastAsia="黑体"/>
      <w:b/>
      <w:bCs/>
      <w:sz w:val="28"/>
      <w:szCs w:val="28"/>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firstLineChars="200"/>
    </w:pPr>
    <w:rPr>
      <w:rFonts w:ascii="Times New Roman" w:hAnsi="Times New Roman"/>
    </w:rPr>
  </w:style>
  <w:style w:type="paragraph" w:styleId="6">
    <w:name w:val="annotation text"/>
    <w:basedOn w:val="1"/>
    <w:semiHidden/>
    <w:unhideWhenUsed/>
    <w:qFormat/>
    <w:uiPriority w:val="99"/>
    <w:pPr>
      <w:jc w:val="left"/>
    </w:pPr>
  </w:style>
  <w:style w:type="paragraph" w:styleId="7">
    <w:name w:val="Body Text 3"/>
    <w:basedOn w:val="1"/>
    <w:qFormat/>
    <w:uiPriority w:val="99"/>
    <w:pPr>
      <w:spacing w:after="120"/>
    </w:pPr>
    <w:rPr>
      <w:rFonts w:ascii="Times New Roman" w:hAnsi="Times New Roman"/>
      <w:sz w:val="16"/>
      <w:szCs w:val="16"/>
    </w:rPr>
  </w:style>
  <w:style w:type="paragraph" w:styleId="8">
    <w:name w:val="Body Text"/>
    <w:basedOn w:val="1"/>
    <w:next w:val="9"/>
    <w:semiHidden/>
    <w:qFormat/>
    <w:uiPriority w:val="0"/>
    <w:rPr>
      <w:rFonts w:eastAsia="Arial"/>
    </w:rPr>
  </w:style>
  <w:style w:type="paragraph" w:styleId="9">
    <w:name w:val="Body Text First Indent"/>
    <w:basedOn w:val="8"/>
    <w:next w:val="10"/>
    <w:qFormat/>
    <w:uiPriority w:val="0"/>
    <w:pPr>
      <w:tabs>
        <w:tab w:val="left" w:pos="9360"/>
      </w:tabs>
      <w:adjustRightInd/>
      <w:ind w:firstLine="420" w:firstLineChars="100"/>
    </w:pPr>
    <w:rPr>
      <w:sz w:val="21"/>
    </w:rPr>
  </w:style>
  <w:style w:type="paragraph" w:styleId="10">
    <w:name w:val="toc 6"/>
    <w:basedOn w:val="1"/>
    <w:next w:val="1"/>
    <w:qFormat/>
    <w:uiPriority w:val="0"/>
    <w:pPr>
      <w:autoSpaceDE/>
      <w:autoSpaceDN/>
      <w:adjustRightInd/>
      <w:ind w:left="2100" w:leftChars="1000"/>
      <w:jc w:val="both"/>
    </w:pPr>
    <w:rPr>
      <w:kern w:val="2"/>
      <w:sz w:val="21"/>
      <w:szCs w:val="22"/>
    </w:rPr>
  </w:style>
  <w:style w:type="paragraph" w:styleId="11">
    <w:name w:val="Body Text Indent"/>
    <w:basedOn w:val="1"/>
    <w:next w:val="5"/>
    <w:qFormat/>
    <w:uiPriority w:val="0"/>
    <w:pPr>
      <w:spacing w:after="120"/>
      <w:ind w:left="420" w:leftChars="200"/>
    </w:pPr>
  </w:style>
  <w:style w:type="paragraph" w:styleId="12">
    <w:name w:val="Plain Text"/>
    <w:basedOn w:val="1"/>
    <w:qFormat/>
    <w:uiPriority w:val="0"/>
    <w:pPr>
      <w:autoSpaceDE/>
      <w:autoSpaceDN/>
      <w:adjustRightInd/>
      <w:jc w:val="both"/>
    </w:pPr>
    <w:rPr>
      <w:rFonts w:ascii="宋体" w:hAnsi="Courier New"/>
      <w:sz w:val="20"/>
      <w:szCs w:val="20"/>
    </w:rPr>
  </w:style>
  <w:style w:type="paragraph" w:styleId="13">
    <w:name w:val="Balloon Text"/>
    <w:basedOn w:val="1"/>
    <w:link w:val="26"/>
    <w:semiHidden/>
    <w:unhideWhenUsed/>
    <w:qFormat/>
    <w:uiPriority w:val="99"/>
    <w:rPr>
      <w:sz w:val="18"/>
      <w:szCs w:val="18"/>
    </w:rPr>
  </w:style>
  <w:style w:type="paragraph" w:styleId="14">
    <w:name w:val="footer"/>
    <w:basedOn w:val="1"/>
    <w:link w:val="25"/>
    <w:semiHidden/>
    <w:unhideWhenUsed/>
    <w:qFormat/>
    <w:uiPriority w:val="99"/>
    <w:pPr>
      <w:tabs>
        <w:tab w:val="center" w:pos="4153"/>
        <w:tab w:val="right" w:pos="8306"/>
      </w:tabs>
    </w:pPr>
    <w:rPr>
      <w:sz w:val="18"/>
      <w:szCs w:val="18"/>
    </w:rPr>
  </w:style>
  <w:style w:type="paragraph" w:styleId="15">
    <w:name w:val="header"/>
    <w:basedOn w:val="1"/>
    <w:link w:val="24"/>
    <w:semiHidden/>
    <w:unhideWhenUsed/>
    <w:qFormat/>
    <w:uiPriority w:val="99"/>
    <w:pPr>
      <w:pBdr>
        <w:bottom w:val="single" w:color="auto" w:sz="6" w:space="1"/>
      </w:pBdr>
      <w:tabs>
        <w:tab w:val="center" w:pos="4153"/>
        <w:tab w:val="right" w:pos="8306"/>
      </w:tabs>
      <w:jc w:val="center"/>
    </w:pPr>
    <w:rPr>
      <w:sz w:val="18"/>
      <w:szCs w:val="18"/>
    </w:rPr>
  </w:style>
  <w:style w:type="paragraph" w:styleId="16">
    <w:name w:val="toc 1"/>
    <w:basedOn w:val="1"/>
    <w:next w:val="1"/>
    <w:unhideWhenUsed/>
    <w:qFormat/>
    <w:uiPriority w:val="39"/>
    <w:pPr>
      <w:widowControl/>
      <w:autoSpaceDE/>
      <w:autoSpaceDN/>
      <w:adjustRightInd/>
      <w:spacing w:after="100" w:line="259" w:lineRule="auto"/>
    </w:pPr>
    <w:rPr>
      <w:rFonts w:ascii="等线" w:hAnsi="等线" w:eastAsia="等线"/>
      <w:sz w:val="22"/>
      <w:szCs w:val="22"/>
    </w:rPr>
  </w:style>
  <w:style w:type="character" w:styleId="19">
    <w:name w:val="page number"/>
    <w:basedOn w:val="18"/>
    <w:qFormat/>
    <w:uiPriority w:val="0"/>
  </w:style>
  <w:style w:type="character" w:styleId="20">
    <w:name w:val="Hyperlink"/>
    <w:qFormat/>
    <w:uiPriority w:val="99"/>
    <w:rPr>
      <w:color w:val="0000FF"/>
      <w:u w:val="single"/>
    </w:rPr>
  </w:style>
  <w:style w:type="paragraph" w:customStyle="1" w:styleId="21">
    <w:name w:val="[Normal]"/>
    <w:unhideWhenUsed/>
    <w:qFormat/>
    <w:uiPriority w:val="0"/>
    <w:rPr>
      <w:rFonts w:hint="eastAsia" w:ascii="宋体" w:hAnsi="宋体" w:eastAsia="宋体" w:cs="Times New Roman"/>
      <w:sz w:val="24"/>
      <w:lang w:val="zh-CN" w:eastAsia="zh-CN" w:bidi="ar-SA"/>
    </w:rPr>
  </w:style>
  <w:style w:type="table" w:customStyle="1" w:styleId="22">
    <w:name w:val="Table Normal"/>
    <w:semiHidden/>
    <w:unhideWhenUsed/>
    <w:qFormat/>
    <w:uiPriority w:val="0"/>
    <w:tblPr>
      <w:tblCellMar>
        <w:top w:w="0" w:type="dxa"/>
        <w:left w:w="0" w:type="dxa"/>
        <w:bottom w:w="0" w:type="dxa"/>
        <w:right w:w="0" w:type="dxa"/>
      </w:tblCellMar>
    </w:tblPr>
  </w:style>
  <w:style w:type="paragraph" w:customStyle="1" w:styleId="23">
    <w:name w:val="Table Text"/>
    <w:basedOn w:val="1"/>
    <w:semiHidden/>
    <w:qFormat/>
    <w:uiPriority w:val="0"/>
    <w:rPr>
      <w:rFonts w:ascii="宋体" w:hAnsi="宋体" w:eastAsia="宋体" w:cs="宋体"/>
      <w:sz w:val="20"/>
      <w:szCs w:val="20"/>
    </w:rPr>
  </w:style>
  <w:style w:type="character" w:customStyle="1" w:styleId="24">
    <w:name w:val="页眉 Char"/>
    <w:basedOn w:val="18"/>
    <w:link w:val="15"/>
    <w:semiHidden/>
    <w:qFormat/>
    <w:uiPriority w:val="99"/>
    <w:rPr>
      <w:sz w:val="18"/>
      <w:szCs w:val="18"/>
    </w:rPr>
  </w:style>
  <w:style w:type="character" w:customStyle="1" w:styleId="25">
    <w:name w:val="页脚 Char"/>
    <w:basedOn w:val="18"/>
    <w:link w:val="14"/>
    <w:semiHidden/>
    <w:qFormat/>
    <w:uiPriority w:val="99"/>
    <w:rPr>
      <w:sz w:val="18"/>
      <w:szCs w:val="18"/>
    </w:rPr>
  </w:style>
  <w:style w:type="character" w:customStyle="1" w:styleId="26">
    <w:name w:val="批注框文本 Char"/>
    <w:basedOn w:val="18"/>
    <w:link w:val="13"/>
    <w:semiHidden/>
    <w:qFormat/>
    <w:uiPriority w:val="99"/>
    <w:rPr>
      <w:sz w:val="18"/>
      <w:szCs w:val="18"/>
    </w:rPr>
  </w:style>
  <w:style w:type="paragraph" w:customStyle="1" w:styleId="27">
    <w:name w:val="Table Paragraph"/>
    <w:basedOn w:val="1"/>
    <w:qFormat/>
    <w:uiPriority w:val="1"/>
  </w:style>
  <w:style w:type="paragraph" w:customStyle="1" w:styleId="28">
    <w:name w:val="List Paragraph"/>
    <w:basedOn w:val="1"/>
    <w:qFormat/>
    <w:uiPriority w:val="0"/>
  </w:style>
  <w:style w:type="paragraph" w:customStyle="1" w:styleId="29">
    <w:name w:val="样式 标题 2 + Times New Roman 四号 非加粗 段前: 5 磅 段后: 0 磅 行距: 固定值 20..."/>
    <w:basedOn w:val="3"/>
    <w:qFormat/>
    <w:uiPriority w:val="0"/>
    <w:pPr>
      <w:keepNext/>
      <w:keepLines/>
      <w:autoSpaceDE/>
      <w:autoSpaceDN/>
      <w:adjustRightInd/>
      <w:spacing w:before="100" w:line="400" w:lineRule="exact"/>
      <w:ind w:left="0"/>
      <w:jc w:val="both"/>
    </w:pPr>
    <w:rPr>
      <w:rFonts w:ascii="Times New Roman" w:eastAsia="黑体"/>
      <w:sz w:val="28"/>
      <w:szCs w:val="20"/>
    </w:rPr>
  </w:style>
  <w:style w:type="paragraph" w:customStyle="1" w:styleId="30">
    <w:name w:val="样式 正文文本"/>
    <w:basedOn w:val="1"/>
    <w:qFormat/>
    <w:uiPriority w:val="0"/>
    <w:pPr>
      <w:autoSpaceDE/>
      <w:autoSpaceDN/>
      <w:snapToGrid w:val="0"/>
      <w:spacing w:line="400" w:lineRule="exact"/>
      <w:jc w:val="both"/>
    </w:pPr>
    <w:rPr>
      <w:rFonts w:ascii="Arial" w:hAnsi="Arial"/>
      <w:color w:val="000000"/>
      <w:kern w:val="2"/>
      <w:sz w:val="21"/>
      <w:szCs w:val="20"/>
    </w:rPr>
  </w:style>
  <w:style w:type="paragraph" w:customStyle="1" w:styleId="31">
    <w:name w:val="正文_2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2">
    <w:name w:val="Char Char Char Char Char Char Char Char Char Char Char Char Char Char Char Char Char Char Char Char Char Char Char Char Char Char Char Char Char Char Char"/>
    <w:basedOn w:val="1"/>
    <w:qFormat/>
    <w:uiPriority w:val="0"/>
    <w:pPr>
      <w:spacing w:line="360" w:lineRule="auto"/>
      <w:ind w:firstLine="200" w:firstLineChars="200"/>
    </w:pPr>
    <w:rPr>
      <w:rFonts w:eastAsia="楷体_GB2312"/>
      <w:sz w:val="28"/>
      <w:szCs w:val="20"/>
    </w:rPr>
  </w:style>
  <w:style w:type="paragraph" w:customStyle="1" w:styleId="33">
    <w:name w:val="样式 样式1 + 首行缩进:  2 字符"/>
    <w:basedOn w:val="1"/>
    <w:qFormat/>
    <w:uiPriority w:val="0"/>
    <w:pPr>
      <w:spacing w:line="360" w:lineRule="exact"/>
      <w:ind w:firstLine="420" w:firstLineChars="200"/>
    </w:pPr>
    <w:rPr>
      <w:rFonts w:ascii="Arial" w:hAnsi="Arial" w:cs="宋体"/>
      <w:szCs w:val="20"/>
    </w:rPr>
  </w:style>
  <w:style w:type="character" w:customStyle="1" w:styleId="34">
    <w:name w:val="标题 1 Char"/>
    <w:link w:val="2"/>
    <w:qFormat/>
    <w:uiPriority w:val="0"/>
    <w:rPr>
      <w:rFonts w:ascii="Times New Roman" w:hAnsi="Times New Roman" w:eastAsia="黑体"/>
      <w:bCs/>
      <w:kern w:val="44"/>
      <w:sz w:val="44"/>
      <w:szCs w:val="44"/>
    </w:rPr>
  </w:style>
  <w:style w:type="character" w:customStyle="1" w:styleId="35">
    <w:name w:val="标题 2 Char"/>
    <w:link w:val="3"/>
    <w:qFormat/>
    <w:uiPriority w:val="0"/>
    <w:rPr>
      <w:rFonts w:ascii="Cambria" w:hAnsi="Cambria"/>
      <w:b/>
      <w:bCs/>
      <w:sz w:val="32"/>
      <w:szCs w:val="32"/>
    </w:rPr>
  </w:style>
  <w:style w:type="paragraph" w:customStyle="1" w:styleId="36">
    <w:name w:val="正文文本首行缩进"/>
    <w:basedOn w:val="8"/>
    <w:qFormat/>
    <w:uiPriority w:val="0"/>
    <w:pPr>
      <w:ind w:firstLine="420" w:firstLineChars="100"/>
    </w:pPr>
  </w:style>
  <w:style w:type="paragraph" w:customStyle="1" w:styleId="37">
    <w:name w:val="样式3"/>
    <w:basedOn w:val="1"/>
    <w:qFormat/>
    <w:uiPriority w:val="0"/>
    <w:pPr>
      <w:numPr>
        <w:ilvl w:val="0"/>
        <w:numId w:val="1"/>
      </w:numPr>
      <w:spacing w:line="360" w:lineRule="auto"/>
    </w:pPr>
    <w:rPr>
      <w:rFonts w:ascii="宋体" w:hAnsi="Times New Roman"/>
      <w:sz w:val="24"/>
      <w:szCs w:val="24"/>
    </w:rPr>
  </w:style>
  <w:style w:type="paragraph" w:customStyle="1" w:styleId="38">
    <w:name w:val="普通(网站)11"/>
    <w:basedOn w:val="1"/>
    <w:qFormat/>
    <w:uiPriority w:val="0"/>
    <w:pPr>
      <w:widowControl/>
      <w:spacing w:before="100" w:beforeAutospacing="1" w:after="100" w:afterAutospacing="1"/>
      <w:jc w:val="left"/>
    </w:pPr>
    <w:rPr>
      <w:rFonts w:ascii="宋体" w:hAnsi="宋体"/>
      <w:color w:val="000000"/>
      <w:kern w:val="0"/>
      <w:sz w:val="24"/>
    </w:rPr>
  </w:style>
  <w:style w:type="character" w:customStyle="1" w:styleId="39">
    <w:name w:val="要点1"/>
    <w:qFormat/>
    <w:uiPriority w:val="0"/>
    <w:rPr>
      <w:b/>
      <w:bCs/>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120</Pages>
  <Words>2950</Words>
  <Characters>3227</Characters>
  <Lines>597</Lines>
  <Paragraphs>168</Paragraphs>
  <TotalTime>60</TotalTime>
  <ScaleCrop>false</ScaleCrop>
  <LinksUpToDate>false</LinksUpToDate>
  <CharactersWithSpaces>3355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2024-08-15T17:00:00Z</dcterms:created>
  <dc:creator>袁静</dc:creator>
  <cp:lastModifiedBy>A三门青蟹（自产自销）</cp:lastModifiedBy>
  <cp:lastPrinted>2025-03-11T02:48:00Z</cp:lastPrinted>
  <dcterms:modified xsi:type="dcterms:W3CDTF">2025-05-22T07:42:54Z</dcterms:modified>
  <dc:title>中华人民共和国</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2024-11-13T09:03:38Z</vt:filetime>
  </property>
  <property fmtid="{D5CDD505-2E9C-101B-9397-08002B2CF9AE}" pid="4" name="KSOProductBuildVer">
    <vt:lpwstr>2052-12.1.0.21171</vt:lpwstr>
  </property>
  <property fmtid="{D5CDD505-2E9C-101B-9397-08002B2CF9AE}" pid="5" name="ICV">
    <vt:lpwstr>1F10CE1B91084CC19A5633E568C4B8B2_13</vt:lpwstr>
  </property>
  <property fmtid="{D5CDD505-2E9C-101B-9397-08002B2CF9AE}" pid="6" name="KSOTemplateDocerSaveRecord">
    <vt:lpwstr>eyJoZGlkIjoiNmI4YmRiYWQ4NTc5Y2MyN2VjMmIxZDlhNzJkY2YzZGMiLCJ1c2VySWQiOiIxMTM4MjM3MzU0In0=</vt:lpwstr>
  </property>
</Properties>
</file>