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07CCA2">
      <w:pPr>
        <w:spacing w:line="255" w:lineRule="auto"/>
      </w:pPr>
    </w:p>
    <w:p w14:paraId="6D42495A">
      <w:pPr>
        <w:spacing w:line="255" w:lineRule="auto"/>
      </w:pPr>
    </w:p>
    <w:p w14:paraId="2304EE1E">
      <w:pPr>
        <w:spacing w:line="255" w:lineRule="auto"/>
      </w:pPr>
    </w:p>
    <w:p w14:paraId="0F2FC872">
      <w:pPr>
        <w:spacing w:line="255" w:lineRule="auto"/>
      </w:pPr>
    </w:p>
    <w:p w14:paraId="37298532">
      <w:pPr>
        <w:spacing w:after="120" w:afterLines="50"/>
        <w:jc w:val="center"/>
        <w:rPr>
          <w:b/>
          <w:bCs/>
          <w:spacing w:val="20"/>
          <w:sz w:val="44"/>
          <w:szCs w:val="44"/>
        </w:rPr>
      </w:pPr>
      <w:r>
        <w:rPr>
          <w:rFonts w:hint="eastAsia" w:eastAsia="宋体"/>
          <w:b/>
          <w:bCs/>
          <w:spacing w:val="20"/>
          <w:sz w:val="44"/>
          <w:szCs w:val="44"/>
          <w:lang w:eastAsia="zh-CN"/>
        </w:rPr>
        <w:t>三门县饮用水水源地保护及生态修复项目-农村生活污水处理工程-管材</w:t>
      </w:r>
      <w:r>
        <w:rPr>
          <w:rFonts w:hint="eastAsia"/>
          <w:b/>
          <w:bCs/>
          <w:spacing w:val="20"/>
          <w:sz w:val="44"/>
          <w:szCs w:val="44"/>
        </w:rPr>
        <w:t xml:space="preserve"> </w:t>
      </w:r>
    </w:p>
    <w:p w14:paraId="4EE7A974">
      <w:pPr>
        <w:spacing w:after="120" w:afterLines="50"/>
        <w:jc w:val="center"/>
        <w:rPr>
          <w:rFonts w:ascii="宋体" w:hAnsi="宋体"/>
          <w:bCs/>
          <w:spacing w:val="30"/>
          <w:sz w:val="44"/>
          <w:szCs w:val="44"/>
        </w:rPr>
      </w:pPr>
    </w:p>
    <w:p w14:paraId="285C9C43">
      <w:pPr>
        <w:spacing w:after="120" w:afterLines="50"/>
        <w:jc w:val="center"/>
        <w:rPr>
          <w:rFonts w:ascii="宋体" w:hAnsi="宋体"/>
          <w:bCs/>
          <w:spacing w:val="30"/>
          <w:sz w:val="44"/>
          <w:szCs w:val="44"/>
        </w:rPr>
      </w:pPr>
    </w:p>
    <w:p w14:paraId="03E37702">
      <w:pPr>
        <w:spacing w:line="1100" w:lineRule="exact"/>
        <w:jc w:val="center"/>
        <w:rPr>
          <w:b/>
          <w:bCs/>
          <w:sz w:val="84"/>
        </w:rPr>
      </w:pPr>
      <w:r>
        <w:rPr>
          <w:b/>
          <w:bCs/>
          <w:sz w:val="96"/>
        </w:rPr>
        <w:t>招 标 文 件</w:t>
      </w:r>
      <w:r>
        <w:rPr>
          <w:b/>
          <w:bCs/>
          <w:sz w:val="72"/>
        </w:rPr>
        <w:t xml:space="preserve"> </w:t>
      </w:r>
    </w:p>
    <w:p w14:paraId="485931D6">
      <w:pPr>
        <w:jc w:val="center"/>
        <w:rPr>
          <w:sz w:val="44"/>
        </w:rPr>
      </w:pPr>
    </w:p>
    <w:p w14:paraId="20D9BBBB">
      <w:pPr>
        <w:jc w:val="center"/>
        <w:rPr>
          <w:sz w:val="44"/>
        </w:rPr>
      </w:pPr>
    </w:p>
    <w:p w14:paraId="5C03B85E">
      <w:pPr>
        <w:jc w:val="center"/>
        <w:rPr>
          <w:sz w:val="44"/>
        </w:rPr>
      </w:pPr>
    </w:p>
    <w:p w14:paraId="15C4DA46">
      <w:pPr>
        <w:jc w:val="center"/>
        <w:rPr>
          <w:b/>
          <w:color w:val="FF0000"/>
          <w:sz w:val="32"/>
          <w:szCs w:val="32"/>
        </w:rPr>
      </w:pPr>
      <w:r>
        <w:rPr>
          <w:b/>
          <w:sz w:val="32"/>
          <w:szCs w:val="32"/>
        </w:rPr>
        <w:t>（备案登记号：</w:t>
      </w:r>
      <w:r>
        <w:rPr>
          <w:rFonts w:hint="eastAsia"/>
          <w:b/>
          <w:sz w:val="32"/>
          <w:szCs w:val="32"/>
        </w:rPr>
        <w:t>三招建备2025-050</w:t>
      </w:r>
      <w:r>
        <w:rPr>
          <w:rFonts w:hint="eastAsia"/>
          <w:b/>
          <w:color w:val="FF0000"/>
          <w:sz w:val="32"/>
          <w:szCs w:val="32"/>
        </w:rPr>
        <w:t xml:space="preserve">    </w:t>
      </w:r>
      <w:r>
        <w:rPr>
          <w:b/>
          <w:color w:val="auto"/>
          <w:sz w:val="32"/>
          <w:szCs w:val="32"/>
        </w:rPr>
        <w:t>）</w:t>
      </w:r>
    </w:p>
    <w:p w14:paraId="3BF66707">
      <w:pPr>
        <w:jc w:val="center"/>
        <w:rPr>
          <w:sz w:val="44"/>
        </w:rPr>
      </w:pPr>
    </w:p>
    <w:p w14:paraId="76DB48D6">
      <w:pPr>
        <w:rPr>
          <w:sz w:val="44"/>
        </w:rPr>
      </w:pPr>
    </w:p>
    <w:p w14:paraId="55863D04">
      <w:pPr>
        <w:rPr>
          <w:sz w:val="44"/>
        </w:rPr>
      </w:pPr>
    </w:p>
    <w:p w14:paraId="19DFA549">
      <w:pPr>
        <w:rPr>
          <w:sz w:val="44"/>
        </w:rPr>
      </w:pPr>
    </w:p>
    <w:p w14:paraId="33D4AB66">
      <w:pPr>
        <w:rPr>
          <w:sz w:val="44"/>
        </w:rPr>
      </w:pPr>
    </w:p>
    <w:tbl>
      <w:tblPr>
        <w:tblStyle w:val="28"/>
        <w:tblW w:w="0" w:type="auto"/>
        <w:jc w:val="center"/>
        <w:tblLayout w:type="fixed"/>
        <w:tblCellMar>
          <w:top w:w="0" w:type="dxa"/>
          <w:left w:w="108" w:type="dxa"/>
          <w:bottom w:w="0" w:type="dxa"/>
          <w:right w:w="108" w:type="dxa"/>
        </w:tblCellMar>
      </w:tblPr>
      <w:tblGrid>
        <w:gridCol w:w="1988"/>
        <w:gridCol w:w="257"/>
        <w:gridCol w:w="5620"/>
      </w:tblGrid>
      <w:tr w14:paraId="3E1022D3">
        <w:tblPrEx>
          <w:tblCellMar>
            <w:top w:w="0" w:type="dxa"/>
            <w:left w:w="108" w:type="dxa"/>
            <w:bottom w:w="0" w:type="dxa"/>
            <w:right w:w="108" w:type="dxa"/>
          </w:tblCellMar>
        </w:tblPrEx>
        <w:trPr>
          <w:trHeight w:val="888" w:hRule="atLeast"/>
          <w:jc w:val="center"/>
        </w:trPr>
        <w:tc>
          <w:tcPr>
            <w:tcW w:w="1988" w:type="dxa"/>
            <w:vAlign w:val="center"/>
          </w:tcPr>
          <w:p w14:paraId="00C045A5">
            <w:pPr>
              <w:spacing w:line="440" w:lineRule="exact"/>
              <w:jc w:val="distribute"/>
              <w:rPr>
                <w:sz w:val="28"/>
                <w:szCs w:val="28"/>
              </w:rPr>
            </w:pPr>
            <w:r>
              <w:rPr>
                <w:sz w:val="28"/>
                <w:szCs w:val="28"/>
              </w:rPr>
              <w:t>招标人</w:t>
            </w:r>
          </w:p>
        </w:tc>
        <w:tc>
          <w:tcPr>
            <w:tcW w:w="257" w:type="dxa"/>
            <w:vAlign w:val="center"/>
          </w:tcPr>
          <w:p w14:paraId="6B3C7965">
            <w:pPr>
              <w:spacing w:line="440" w:lineRule="exact"/>
              <w:jc w:val="distribute"/>
              <w:rPr>
                <w:sz w:val="28"/>
                <w:szCs w:val="28"/>
              </w:rPr>
            </w:pPr>
            <w:r>
              <w:rPr>
                <w:sz w:val="28"/>
                <w:szCs w:val="28"/>
              </w:rPr>
              <w:t>：</w:t>
            </w:r>
          </w:p>
        </w:tc>
        <w:tc>
          <w:tcPr>
            <w:tcW w:w="5620" w:type="dxa"/>
            <w:vAlign w:val="center"/>
          </w:tcPr>
          <w:p w14:paraId="0A0A0936">
            <w:pPr>
              <w:spacing w:line="440" w:lineRule="exact"/>
              <w:jc w:val="distribute"/>
              <w:rPr>
                <w:rFonts w:eastAsia="宋体"/>
                <w:sz w:val="28"/>
                <w:szCs w:val="28"/>
              </w:rPr>
            </w:pPr>
            <w:r>
              <w:rPr>
                <w:rFonts w:hint="eastAsia" w:eastAsia="宋体"/>
                <w:sz w:val="28"/>
                <w:szCs w:val="28"/>
              </w:rPr>
              <w:t>三 门 县 环 境 有 限 公 司</w:t>
            </w:r>
          </w:p>
        </w:tc>
      </w:tr>
      <w:tr w14:paraId="09FD6C8B">
        <w:tblPrEx>
          <w:tblCellMar>
            <w:top w:w="0" w:type="dxa"/>
            <w:left w:w="108" w:type="dxa"/>
            <w:bottom w:w="0" w:type="dxa"/>
            <w:right w:w="108" w:type="dxa"/>
          </w:tblCellMar>
        </w:tblPrEx>
        <w:trPr>
          <w:trHeight w:val="888" w:hRule="atLeast"/>
          <w:jc w:val="center"/>
        </w:trPr>
        <w:tc>
          <w:tcPr>
            <w:tcW w:w="1988" w:type="dxa"/>
            <w:vAlign w:val="center"/>
          </w:tcPr>
          <w:p w14:paraId="0C14DA10">
            <w:pPr>
              <w:spacing w:line="440" w:lineRule="exact"/>
              <w:jc w:val="distribute"/>
              <w:rPr>
                <w:sz w:val="28"/>
                <w:szCs w:val="28"/>
              </w:rPr>
            </w:pPr>
            <w:r>
              <w:rPr>
                <w:sz w:val="28"/>
                <w:szCs w:val="28"/>
              </w:rPr>
              <w:t>招标代理人</w:t>
            </w:r>
          </w:p>
        </w:tc>
        <w:tc>
          <w:tcPr>
            <w:tcW w:w="257" w:type="dxa"/>
            <w:vAlign w:val="center"/>
          </w:tcPr>
          <w:p w14:paraId="16FE5063">
            <w:pPr>
              <w:spacing w:line="440" w:lineRule="exact"/>
              <w:jc w:val="distribute"/>
              <w:rPr>
                <w:sz w:val="28"/>
                <w:szCs w:val="28"/>
              </w:rPr>
            </w:pPr>
            <w:r>
              <w:rPr>
                <w:sz w:val="28"/>
                <w:szCs w:val="28"/>
              </w:rPr>
              <w:t>：</w:t>
            </w:r>
          </w:p>
        </w:tc>
        <w:tc>
          <w:tcPr>
            <w:tcW w:w="5620" w:type="dxa"/>
            <w:vAlign w:val="center"/>
          </w:tcPr>
          <w:p w14:paraId="355E9EC3">
            <w:pPr>
              <w:spacing w:line="440" w:lineRule="exact"/>
              <w:jc w:val="distribute"/>
              <w:rPr>
                <w:rFonts w:eastAsia="宋体"/>
                <w:sz w:val="28"/>
                <w:szCs w:val="28"/>
              </w:rPr>
            </w:pPr>
            <w:r>
              <w:rPr>
                <w:rFonts w:hint="eastAsia" w:eastAsia="宋体"/>
                <w:sz w:val="28"/>
                <w:szCs w:val="28"/>
              </w:rPr>
              <w:t>三门华厦建设工程造价事务所（普通合伙）</w:t>
            </w:r>
          </w:p>
        </w:tc>
      </w:tr>
      <w:tr w14:paraId="4EC98D20">
        <w:tblPrEx>
          <w:tblCellMar>
            <w:top w:w="0" w:type="dxa"/>
            <w:left w:w="108" w:type="dxa"/>
            <w:bottom w:w="0" w:type="dxa"/>
            <w:right w:w="108" w:type="dxa"/>
          </w:tblCellMar>
        </w:tblPrEx>
        <w:trPr>
          <w:trHeight w:val="888" w:hRule="atLeast"/>
          <w:jc w:val="center"/>
        </w:trPr>
        <w:tc>
          <w:tcPr>
            <w:tcW w:w="1988" w:type="dxa"/>
            <w:vAlign w:val="center"/>
          </w:tcPr>
          <w:p w14:paraId="5A39D1D5">
            <w:pPr>
              <w:spacing w:line="440" w:lineRule="exact"/>
              <w:rPr>
                <w:sz w:val="28"/>
                <w:szCs w:val="28"/>
              </w:rPr>
            </w:pPr>
            <w:r>
              <w:rPr>
                <w:sz w:val="28"/>
                <w:szCs w:val="28"/>
              </w:rPr>
              <w:t>行业监管部门</w:t>
            </w:r>
          </w:p>
        </w:tc>
        <w:tc>
          <w:tcPr>
            <w:tcW w:w="257" w:type="dxa"/>
            <w:vAlign w:val="center"/>
          </w:tcPr>
          <w:p w14:paraId="7733C133">
            <w:pPr>
              <w:spacing w:line="440" w:lineRule="exact"/>
              <w:jc w:val="distribute"/>
              <w:rPr>
                <w:sz w:val="28"/>
                <w:szCs w:val="28"/>
              </w:rPr>
            </w:pPr>
            <w:r>
              <w:rPr>
                <w:sz w:val="28"/>
                <w:szCs w:val="28"/>
              </w:rPr>
              <w:t>：</w:t>
            </w:r>
          </w:p>
        </w:tc>
        <w:tc>
          <w:tcPr>
            <w:tcW w:w="5620" w:type="dxa"/>
            <w:vAlign w:val="center"/>
          </w:tcPr>
          <w:p w14:paraId="1787C627">
            <w:pPr>
              <w:spacing w:line="440" w:lineRule="exact"/>
              <w:jc w:val="distribute"/>
              <w:rPr>
                <w:sz w:val="28"/>
                <w:szCs w:val="28"/>
              </w:rPr>
            </w:pPr>
            <w:r>
              <w:rPr>
                <w:sz w:val="28"/>
                <w:szCs w:val="28"/>
              </w:rPr>
              <w:t>三门县住房和城乡建设局</w:t>
            </w:r>
          </w:p>
        </w:tc>
      </w:tr>
    </w:tbl>
    <w:p w14:paraId="2537DEFE">
      <w:pPr>
        <w:spacing w:line="440" w:lineRule="exact"/>
        <w:jc w:val="center"/>
        <w:rPr>
          <w:rFonts w:eastAsia="楷体_GB2312"/>
          <w:b/>
          <w:sz w:val="30"/>
          <w:szCs w:val="28"/>
        </w:rPr>
      </w:pPr>
    </w:p>
    <w:p w14:paraId="6B726BFF">
      <w:pPr>
        <w:spacing w:line="400" w:lineRule="exact"/>
        <w:jc w:val="center"/>
        <w:rPr>
          <w:rFonts w:eastAsia="黑体"/>
          <w:b/>
          <w:bCs/>
          <w:sz w:val="32"/>
        </w:rPr>
      </w:pPr>
      <w:r>
        <w:rPr>
          <w:rFonts w:hint="eastAsia"/>
          <w:sz w:val="28"/>
          <w:szCs w:val="28"/>
        </w:rPr>
        <w:fldChar w:fldCharType="begin"/>
      </w:r>
      <w:r>
        <w:rPr>
          <w:rFonts w:hint="eastAsia"/>
          <w:sz w:val="28"/>
          <w:szCs w:val="28"/>
        </w:rPr>
        <w:instrText xml:space="preserve">DATE \@ "EEEE年O月"</w:instrText>
      </w:r>
      <w:r>
        <w:rPr>
          <w:rFonts w:hint="eastAsia"/>
          <w:sz w:val="28"/>
          <w:szCs w:val="28"/>
        </w:rPr>
        <w:fldChar w:fldCharType="separate"/>
      </w:r>
      <w:r>
        <w:rPr>
          <w:rFonts w:hint="eastAsia"/>
          <w:sz w:val="28"/>
          <w:szCs w:val="28"/>
        </w:rPr>
        <w:t>二〇二五年四月</w:t>
      </w:r>
      <w:r>
        <w:rPr>
          <w:rFonts w:hint="eastAsia"/>
          <w:sz w:val="28"/>
          <w:szCs w:val="28"/>
        </w:rPr>
        <w:fldChar w:fldCharType="end"/>
      </w:r>
    </w:p>
    <w:p w14:paraId="1FA5F88B">
      <w:pPr>
        <w:spacing w:line="400" w:lineRule="exact"/>
        <w:jc w:val="center"/>
      </w:pPr>
    </w:p>
    <w:p w14:paraId="3D3CBD58">
      <w:pPr>
        <w:pStyle w:val="10"/>
        <w:rPr>
          <w:rFonts w:hint="eastAsia"/>
        </w:rPr>
      </w:pPr>
    </w:p>
    <w:p w14:paraId="40222185">
      <w:pPr>
        <w:spacing w:line="1100" w:lineRule="exact"/>
        <w:jc w:val="center"/>
        <w:rPr>
          <w:b/>
          <w:bCs/>
          <w:sz w:val="44"/>
          <w:szCs w:val="20"/>
        </w:rPr>
      </w:pPr>
      <w:r>
        <w:rPr>
          <w:b/>
          <w:bCs/>
          <w:sz w:val="44"/>
          <w:szCs w:val="20"/>
        </w:rPr>
        <w:t>三   门   县</w:t>
      </w:r>
    </w:p>
    <w:p w14:paraId="786CB2F2">
      <w:pPr>
        <w:spacing w:line="1100" w:lineRule="exact"/>
        <w:jc w:val="center"/>
        <w:rPr>
          <w:b/>
          <w:bCs/>
          <w:spacing w:val="120"/>
          <w:sz w:val="44"/>
          <w:szCs w:val="20"/>
        </w:rPr>
      </w:pPr>
      <w:r>
        <w:rPr>
          <w:b/>
          <w:bCs/>
          <w:spacing w:val="120"/>
          <w:sz w:val="44"/>
          <w:szCs w:val="20"/>
        </w:rPr>
        <w:t>建设工程招标文件</w:t>
      </w:r>
    </w:p>
    <w:p w14:paraId="7D19E0A0">
      <w:pPr>
        <w:spacing w:before="240" w:beforeLines="100" w:line="440" w:lineRule="exact"/>
        <w:jc w:val="center"/>
        <w:rPr>
          <w:rFonts w:eastAsia="仿宋_GB2312"/>
          <w:b/>
          <w:bCs/>
          <w:sz w:val="32"/>
          <w:szCs w:val="20"/>
        </w:rPr>
      </w:pPr>
      <w:r>
        <w:rPr>
          <w:rFonts w:eastAsia="仿宋_GB2312"/>
          <w:b/>
          <w:bCs/>
          <w:sz w:val="32"/>
          <w:szCs w:val="20"/>
        </w:rPr>
        <w:t>（备案登记号：</w:t>
      </w:r>
      <w:r>
        <w:rPr>
          <w:rFonts w:hint="eastAsia" w:eastAsia="仿宋_GB2312"/>
          <w:b/>
          <w:sz w:val="32"/>
          <w:szCs w:val="20"/>
          <w:lang w:eastAsia="zh-CN"/>
        </w:rPr>
        <w:t>三招建备2025-050</w:t>
      </w:r>
      <w:r>
        <w:rPr>
          <w:rFonts w:hint="eastAsia"/>
          <w:b/>
          <w:color w:val="FF0000"/>
          <w:sz w:val="32"/>
          <w:szCs w:val="32"/>
        </w:rPr>
        <w:t xml:space="preserve">   </w:t>
      </w:r>
      <w:r>
        <w:rPr>
          <w:rFonts w:eastAsia="仿宋_GB2312"/>
          <w:b/>
          <w:bCs/>
          <w:color w:val="auto"/>
          <w:sz w:val="32"/>
          <w:szCs w:val="20"/>
        </w:rPr>
        <w:t>）</w:t>
      </w:r>
    </w:p>
    <w:p w14:paraId="64CB5DEC">
      <w:pPr>
        <w:spacing w:line="640" w:lineRule="exact"/>
        <w:ind w:firstLine="864" w:firstLineChars="269"/>
        <w:rPr>
          <w:rFonts w:eastAsia="仿宋_GB2312"/>
          <w:b/>
          <w:bCs/>
          <w:sz w:val="32"/>
          <w:szCs w:val="20"/>
        </w:rPr>
      </w:pPr>
    </w:p>
    <w:p w14:paraId="68DF140D">
      <w:pPr>
        <w:spacing w:line="640" w:lineRule="exact"/>
        <w:ind w:left="2733" w:leftChars="409" w:hanging="1751" w:hangingChars="545"/>
        <w:rPr>
          <w:rFonts w:eastAsia="仿宋_GB2312"/>
          <w:b/>
          <w:bCs/>
          <w:sz w:val="32"/>
          <w:szCs w:val="20"/>
        </w:rPr>
      </w:pPr>
      <w:r>
        <w:rPr>
          <w:rFonts w:eastAsia="仿宋_GB2312"/>
          <w:b/>
          <w:bCs/>
          <w:sz w:val="32"/>
          <w:szCs w:val="20"/>
        </w:rPr>
        <w:t>项目名称：</w:t>
      </w:r>
      <w:r>
        <w:rPr>
          <w:rFonts w:hint="eastAsia" w:eastAsia="仿宋_GB2312"/>
          <w:b/>
          <w:bCs/>
          <w:sz w:val="32"/>
          <w:szCs w:val="20"/>
          <w:lang w:eastAsia="zh-CN"/>
        </w:rPr>
        <w:t>三门县饮用水水源地保护及生态修复项目-农村生活污水处理工程-管材</w:t>
      </w:r>
      <w:r>
        <w:rPr>
          <w:rFonts w:hint="eastAsia" w:eastAsia="仿宋_GB2312"/>
          <w:b/>
          <w:bCs/>
          <w:sz w:val="32"/>
          <w:szCs w:val="20"/>
        </w:rPr>
        <w:t xml:space="preserve">   </w:t>
      </w:r>
    </w:p>
    <w:p w14:paraId="51113773">
      <w:pPr>
        <w:spacing w:line="640" w:lineRule="exact"/>
        <w:ind w:firstLine="864" w:firstLineChars="269"/>
        <w:rPr>
          <w:rFonts w:eastAsia="仿宋_GB2312"/>
          <w:b/>
          <w:bCs/>
          <w:sz w:val="32"/>
          <w:szCs w:val="20"/>
        </w:rPr>
      </w:pPr>
    </w:p>
    <w:p w14:paraId="1C8912DE">
      <w:pPr>
        <w:spacing w:line="640" w:lineRule="exact"/>
        <w:ind w:firstLine="964" w:firstLineChars="300"/>
        <w:rPr>
          <w:rFonts w:eastAsia="仿宋_GB2312"/>
          <w:b/>
          <w:bCs/>
          <w:sz w:val="32"/>
          <w:szCs w:val="20"/>
        </w:rPr>
      </w:pPr>
      <w:r>
        <w:rPr>
          <w:rFonts w:eastAsia="仿宋_GB2312"/>
          <w:b/>
          <w:bCs/>
          <w:sz w:val="32"/>
          <w:szCs w:val="20"/>
        </w:rPr>
        <w:t>招 标 人：</w:t>
      </w:r>
      <w:r>
        <w:rPr>
          <w:rFonts w:hint="eastAsia" w:eastAsia="仿宋_GB2312"/>
          <w:b/>
          <w:bCs/>
          <w:sz w:val="32"/>
          <w:szCs w:val="20"/>
        </w:rPr>
        <w:t>三 门 县 环 境 有 限 公 司</w:t>
      </w:r>
      <w:r>
        <w:rPr>
          <w:rFonts w:eastAsia="仿宋_GB2312"/>
          <w:b/>
          <w:bCs/>
          <w:sz w:val="32"/>
          <w:szCs w:val="20"/>
        </w:rPr>
        <w:t>（盖章）</w:t>
      </w:r>
    </w:p>
    <w:p w14:paraId="51A58B31">
      <w:pPr>
        <w:spacing w:line="640" w:lineRule="exact"/>
        <w:ind w:firstLine="864" w:firstLineChars="269"/>
        <w:rPr>
          <w:rFonts w:eastAsia="仿宋_GB2312"/>
          <w:b/>
          <w:bCs/>
          <w:sz w:val="32"/>
          <w:szCs w:val="20"/>
        </w:rPr>
      </w:pPr>
      <w:r>
        <w:rPr>
          <w:rFonts w:eastAsia="仿宋_GB2312"/>
          <w:b/>
          <w:bCs/>
          <w:sz w:val="32"/>
          <w:szCs w:val="20"/>
        </w:rPr>
        <w:t>联 系 人：</w:t>
      </w:r>
      <w:r>
        <w:rPr>
          <w:rFonts w:hint="eastAsia" w:eastAsia="仿宋_GB2312"/>
          <w:b/>
          <w:bCs/>
          <w:sz w:val="32"/>
          <w:szCs w:val="20"/>
        </w:rPr>
        <w:t xml:space="preserve">叶崇标  </w:t>
      </w:r>
    </w:p>
    <w:p w14:paraId="56D9A7A6">
      <w:pPr>
        <w:spacing w:line="640" w:lineRule="exact"/>
        <w:ind w:firstLine="864" w:firstLineChars="269"/>
        <w:rPr>
          <w:rFonts w:hint="eastAsia" w:eastAsia="仿宋_GB2312"/>
          <w:b/>
          <w:bCs/>
          <w:sz w:val="32"/>
          <w:szCs w:val="20"/>
          <w:lang w:eastAsia="zh-CN"/>
        </w:rPr>
      </w:pPr>
      <w:r>
        <w:rPr>
          <w:rFonts w:eastAsia="仿宋_GB2312"/>
          <w:b/>
          <w:bCs/>
          <w:sz w:val="32"/>
          <w:szCs w:val="20"/>
        </w:rPr>
        <w:t>联系电话：</w:t>
      </w:r>
      <w:r>
        <w:rPr>
          <w:rFonts w:hint="eastAsia" w:eastAsia="仿宋_GB2312"/>
          <w:b/>
          <w:bCs/>
          <w:sz w:val="32"/>
          <w:szCs w:val="20"/>
          <w:lang w:eastAsia="zh-CN"/>
        </w:rPr>
        <w:t>0576-83335172</w:t>
      </w:r>
    </w:p>
    <w:p w14:paraId="770164C4">
      <w:pPr>
        <w:spacing w:line="640" w:lineRule="exact"/>
        <w:ind w:firstLine="864" w:firstLineChars="269"/>
        <w:rPr>
          <w:rFonts w:eastAsia="仿宋_GB2312"/>
          <w:b/>
          <w:bCs/>
          <w:sz w:val="32"/>
          <w:szCs w:val="20"/>
        </w:rPr>
      </w:pPr>
    </w:p>
    <w:p w14:paraId="0B83AEC3">
      <w:pPr>
        <w:spacing w:line="640" w:lineRule="exact"/>
        <w:ind w:left="2867" w:leftChars="410" w:hanging="1883" w:hangingChars="586"/>
        <w:rPr>
          <w:rFonts w:eastAsia="仿宋_GB2312"/>
          <w:b/>
          <w:bCs/>
          <w:sz w:val="32"/>
          <w:szCs w:val="20"/>
        </w:rPr>
      </w:pPr>
    </w:p>
    <w:p w14:paraId="55D4368C">
      <w:pPr>
        <w:spacing w:line="640" w:lineRule="exact"/>
        <w:ind w:left="2867" w:leftChars="410" w:hanging="1883" w:hangingChars="586"/>
        <w:rPr>
          <w:rFonts w:eastAsia="仿宋_GB2312"/>
          <w:b/>
          <w:bCs/>
          <w:sz w:val="32"/>
          <w:szCs w:val="20"/>
        </w:rPr>
      </w:pPr>
      <w:r>
        <w:rPr>
          <w:rFonts w:eastAsia="仿宋_GB2312"/>
          <w:b/>
          <w:bCs/>
          <w:sz w:val="32"/>
          <w:szCs w:val="20"/>
        </w:rPr>
        <w:t>招标代理人：</w:t>
      </w:r>
      <w:r>
        <w:rPr>
          <w:rFonts w:hint="eastAsia" w:eastAsia="仿宋_GB2312"/>
          <w:b/>
          <w:bCs/>
          <w:sz w:val="32"/>
          <w:szCs w:val="20"/>
        </w:rPr>
        <w:t>三门华厦建设工程造价事务所（普通合伙）</w:t>
      </w:r>
      <w:r>
        <w:rPr>
          <w:rFonts w:eastAsia="仿宋_GB2312"/>
          <w:b/>
          <w:bCs/>
          <w:sz w:val="32"/>
          <w:szCs w:val="20"/>
        </w:rPr>
        <w:t>（盖章）</w:t>
      </w:r>
    </w:p>
    <w:p w14:paraId="493D6C2E">
      <w:pPr>
        <w:spacing w:line="640" w:lineRule="exact"/>
        <w:ind w:firstLine="864" w:firstLineChars="269"/>
        <w:rPr>
          <w:rFonts w:eastAsia="仿宋_GB2312"/>
          <w:b/>
          <w:bCs/>
          <w:sz w:val="32"/>
          <w:szCs w:val="20"/>
        </w:rPr>
      </w:pPr>
      <w:r>
        <w:rPr>
          <w:rFonts w:eastAsia="仿宋_GB2312"/>
          <w:b/>
          <w:bCs/>
          <w:sz w:val="32"/>
          <w:szCs w:val="20"/>
        </w:rPr>
        <w:t>联 系 人：</w:t>
      </w:r>
      <w:r>
        <w:rPr>
          <w:rFonts w:hint="eastAsia" w:eastAsia="仿宋_GB2312"/>
          <w:b/>
          <w:bCs/>
          <w:sz w:val="32"/>
          <w:szCs w:val="20"/>
        </w:rPr>
        <w:t>方远</w:t>
      </w:r>
    </w:p>
    <w:p w14:paraId="546BF9F3">
      <w:pPr>
        <w:spacing w:line="640" w:lineRule="exact"/>
        <w:ind w:firstLine="864" w:firstLineChars="269"/>
        <w:rPr>
          <w:rFonts w:eastAsia="仿宋_GB2312"/>
          <w:b/>
          <w:bCs/>
          <w:sz w:val="32"/>
          <w:szCs w:val="20"/>
        </w:rPr>
      </w:pPr>
      <w:r>
        <w:rPr>
          <w:rFonts w:eastAsia="仿宋_GB2312"/>
          <w:b/>
          <w:bCs/>
          <w:sz w:val="32"/>
          <w:szCs w:val="20"/>
        </w:rPr>
        <w:t>联系电话：</w:t>
      </w:r>
      <w:r>
        <w:rPr>
          <w:rFonts w:hint="eastAsia" w:eastAsia="仿宋_GB2312"/>
          <w:b/>
          <w:bCs/>
          <w:sz w:val="32"/>
          <w:szCs w:val="20"/>
        </w:rPr>
        <w:t>13634077717</w:t>
      </w:r>
    </w:p>
    <w:p w14:paraId="14960F75">
      <w:pPr>
        <w:spacing w:line="640" w:lineRule="exact"/>
        <w:ind w:firstLine="864" w:firstLineChars="269"/>
        <w:rPr>
          <w:rFonts w:eastAsia="仿宋_GB2312"/>
          <w:b/>
          <w:bCs/>
          <w:sz w:val="32"/>
          <w:szCs w:val="20"/>
        </w:rPr>
      </w:pPr>
    </w:p>
    <w:p w14:paraId="5BDBC6BB">
      <w:pPr>
        <w:spacing w:line="640" w:lineRule="exact"/>
        <w:ind w:firstLine="864" w:firstLineChars="269"/>
        <w:rPr>
          <w:rFonts w:eastAsia="仿宋_GB2312"/>
          <w:b/>
          <w:bCs/>
          <w:sz w:val="32"/>
          <w:szCs w:val="20"/>
        </w:rPr>
      </w:pPr>
      <w:r>
        <w:rPr>
          <w:rFonts w:eastAsia="仿宋_GB2312"/>
          <w:b/>
          <w:bCs/>
          <w:sz w:val="32"/>
          <w:szCs w:val="20"/>
        </w:rPr>
        <w:t>行业主管部门：</w:t>
      </w:r>
      <w:r>
        <w:rPr>
          <w:rFonts w:hint="eastAsia" w:eastAsia="仿宋_GB2312"/>
          <w:b/>
          <w:bCs/>
          <w:sz w:val="32"/>
          <w:szCs w:val="20"/>
        </w:rPr>
        <w:t>三门县住房和城乡建设局</w:t>
      </w:r>
      <w:r>
        <w:rPr>
          <w:rFonts w:eastAsia="仿宋_GB2312"/>
          <w:b/>
          <w:bCs/>
          <w:sz w:val="32"/>
          <w:szCs w:val="20"/>
        </w:rPr>
        <w:t>（盖章）</w:t>
      </w:r>
    </w:p>
    <w:p w14:paraId="1963DBDD">
      <w:pPr>
        <w:spacing w:line="640" w:lineRule="exact"/>
        <w:ind w:firstLine="864" w:firstLineChars="269"/>
        <w:rPr>
          <w:rFonts w:eastAsia="仿宋_GB2312"/>
          <w:b/>
          <w:bCs/>
          <w:sz w:val="32"/>
          <w:szCs w:val="20"/>
        </w:rPr>
      </w:pPr>
    </w:p>
    <w:p w14:paraId="548C0EC7">
      <w:pPr>
        <w:spacing w:line="400" w:lineRule="exact"/>
        <w:jc w:val="center"/>
        <w:rPr>
          <w:rFonts w:eastAsia="黑体"/>
          <w:b/>
          <w:bCs/>
          <w:sz w:val="32"/>
        </w:rPr>
      </w:pPr>
      <w:r>
        <w:rPr>
          <w:rFonts w:hint="eastAsia"/>
          <w:sz w:val="28"/>
          <w:szCs w:val="28"/>
        </w:rPr>
        <w:fldChar w:fldCharType="begin"/>
      </w:r>
      <w:r>
        <w:rPr>
          <w:rFonts w:hint="eastAsia"/>
          <w:sz w:val="28"/>
          <w:szCs w:val="28"/>
        </w:rPr>
        <w:instrText xml:space="preserve">DATE \@ "EEEE年O月"</w:instrText>
      </w:r>
      <w:r>
        <w:rPr>
          <w:rFonts w:hint="eastAsia"/>
          <w:sz w:val="28"/>
          <w:szCs w:val="28"/>
        </w:rPr>
        <w:fldChar w:fldCharType="separate"/>
      </w:r>
      <w:r>
        <w:rPr>
          <w:rFonts w:hint="eastAsia"/>
          <w:sz w:val="28"/>
          <w:szCs w:val="28"/>
        </w:rPr>
        <w:t>二〇二五年四月</w:t>
      </w:r>
      <w:r>
        <w:rPr>
          <w:rFonts w:hint="eastAsia"/>
          <w:sz w:val="28"/>
          <w:szCs w:val="28"/>
        </w:rPr>
        <w:fldChar w:fldCharType="end"/>
      </w:r>
    </w:p>
    <w:p w14:paraId="1C1FD697">
      <w:pPr>
        <w:spacing w:before="92" w:line="220" w:lineRule="auto"/>
        <w:ind w:left="3632"/>
        <w:rPr>
          <w:rFonts w:hint="eastAsia" w:ascii="宋体" w:hAnsi="宋体" w:eastAsia="宋体" w:cs="宋体"/>
          <w:sz w:val="28"/>
          <w:szCs w:val="28"/>
        </w:rPr>
      </w:pPr>
    </w:p>
    <w:p w14:paraId="0C7820B9">
      <w:pPr>
        <w:rPr>
          <w:sz w:val="28"/>
          <w:szCs w:val="28"/>
        </w:rPr>
        <w:sectPr>
          <w:footerReference r:id="rId5" w:type="first"/>
          <w:headerReference r:id="rId3" w:type="default"/>
          <w:footerReference r:id="rId4" w:type="default"/>
          <w:pgSz w:w="11900" w:h="16840"/>
          <w:pgMar w:top="1440" w:right="1083" w:bottom="1440" w:left="1083" w:header="1077" w:footer="1032" w:gutter="0"/>
          <w:pgNumType w:fmt="decimal" w:start="1"/>
          <w:cols w:space="0" w:num="1"/>
        </w:sectPr>
      </w:pPr>
    </w:p>
    <w:p w14:paraId="778BFFB8">
      <w:pPr>
        <w:jc w:val="center"/>
        <w:rPr>
          <w:rFonts w:hint="eastAsia" w:ascii="黑体" w:hAnsi="黑体" w:eastAsia="黑体" w:cs="黑体"/>
          <w:sz w:val="31"/>
          <w:szCs w:val="31"/>
        </w:rPr>
      </w:pPr>
      <w:bookmarkStart w:id="0" w:name="_Toc32341"/>
      <w:bookmarkStart w:id="1" w:name="_Toc13256"/>
      <w:r>
        <w:rPr>
          <w:rFonts w:ascii="黑体" w:hAnsi="黑体" w:eastAsia="黑体" w:cs="黑体"/>
          <w:spacing w:val="20"/>
          <w:sz w:val="31"/>
          <w:szCs w:val="31"/>
        </w:rPr>
        <w:t>三</w:t>
      </w:r>
      <w:r>
        <w:rPr>
          <w:rFonts w:ascii="黑体" w:hAnsi="黑体" w:eastAsia="黑体" w:cs="黑体"/>
          <w:spacing w:val="16"/>
          <w:sz w:val="31"/>
          <w:szCs w:val="31"/>
        </w:rPr>
        <w:t>门</w:t>
      </w:r>
      <w:r>
        <w:rPr>
          <w:rFonts w:ascii="黑体" w:hAnsi="黑体" w:eastAsia="黑体" w:cs="黑体"/>
          <w:spacing w:val="10"/>
          <w:sz w:val="31"/>
          <w:szCs w:val="31"/>
        </w:rPr>
        <w:t>县公共资源交易不见面开标大厅试运行投标人须知</w:t>
      </w:r>
      <w:bookmarkEnd w:id="0"/>
      <w:bookmarkEnd w:id="1"/>
    </w:p>
    <w:p w14:paraId="2AD9C144">
      <w:pPr>
        <w:numPr>
          <w:ilvl w:val="0"/>
          <w:numId w:val="3"/>
        </w:numPr>
        <w:spacing w:line="360" w:lineRule="auto"/>
        <w:ind w:firstLine="480" w:firstLineChars="200"/>
        <w:rPr>
          <w:rFonts w:ascii="宋体" w:hAnsi="宋体" w:cs="宋体"/>
          <w:color w:val="auto"/>
        </w:rPr>
      </w:pPr>
      <w:r>
        <w:rPr>
          <w:rFonts w:hint="eastAsia" w:ascii="宋体" w:hAnsi="宋体" w:cs="宋体"/>
          <w:color w:val="auto"/>
        </w:rPr>
        <w:t>三门县公共资源交易不见面开标大厅（以下简称：不见面开标系统）登录方式：插入CA锁并登录交易系统—业务办理—开评标—进入不见面开标系统。</w:t>
      </w:r>
    </w:p>
    <w:p w14:paraId="5C5FDAF2">
      <w:pPr>
        <w:numPr>
          <w:ilvl w:val="0"/>
          <w:numId w:val="3"/>
        </w:numPr>
        <w:spacing w:line="360" w:lineRule="auto"/>
        <w:ind w:firstLine="480" w:firstLineChars="200"/>
        <w:rPr>
          <w:rFonts w:ascii="宋体" w:hAnsi="宋体" w:cs="宋体"/>
          <w:color w:val="auto"/>
        </w:rPr>
      </w:pPr>
      <w:r>
        <w:rPr>
          <w:rFonts w:hint="eastAsia" w:ascii="宋体" w:hAnsi="宋体" w:cs="宋体"/>
          <w:color w:val="auto"/>
        </w:rPr>
        <w:t>不见面开标系统对投标人终端要求：详见《三门县不见面开标大厅投标人操作手册》。</w:t>
      </w:r>
    </w:p>
    <w:p w14:paraId="27B3116B">
      <w:pPr>
        <w:spacing w:line="360" w:lineRule="auto"/>
        <w:ind w:firstLine="480" w:firstLineChars="200"/>
        <w:rPr>
          <w:rFonts w:ascii="宋体" w:hAnsi="宋体" w:cs="宋体"/>
          <w:color w:val="auto"/>
        </w:rPr>
      </w:pPr>
      <w:r>
        <w:rPr>
          <w:rFonts w:hint="eastAsia" w:ascii="宋体" w:hAnsi="宋体" w:cs="宋体"/>
          <w:color w:val="auto"/>
        </w:rPr>
        <w:t>特别提示：IE浏览器需安装插件，请按提示自行安装相关插件并按要求进行相关插件的设置。</w:t>
      </w:r>
    </w:p>
    <w:p w14:paraId="00B17B1A">
      <w:pPr>
        <w:numPr>
          <w:ilvl w:val="0"/>
          <w:numId w:val="3"/>
        </w:numPr>
        <w:spacing w:line="360" w:lineRule="auto"/>
        <w:ind w:firstLine="480" w:firstLineChars="200"/>
        <w:rPr>
          <w:rFonts w:ascii="宋体" w:hAnsi="宋体" w:cs="宋体"/>
          <w:color w:val="auto"/>
        </w:rPr>
      </w:pPr>
      <w:r>
        <w:rPr>
          <w:rFonts w:hint="eastAsia" w:ascii="宋体" w:hAnsi="宋体" w:cs="宋体"/>
          <w:color w:val="auto"/>
        </w:rPr>
        <w:t>不见面开标系统需在“三门县工程建设电子交易平台”注册，未注册的请参照《三门县公共资源电子交易平台企业网上注册登记操作示意卡》自行网上注册并核验通过，见三门县公共资源交易网“下载中心”。</w:t>
      </w:r>
    </w:p>
    <w:p w14:paraId="375DE5B3">
      <w:pPr>
        <w:numPr>
          <w:ilvl w:val="0"/>
          <w:numId w:val="3"/>
        </w:numPr>
        <w:spacing w:line="360" w:lineRule="auto"/>
        <w:ind w:firstLine="480" w:firstLineChars="200"/>
        <w:rPr>
          <w:rFonts w:ascii="宋体" w:hAnsi="宋体" w:cs="宋体"/>
          <w:color w:val="auto"/>
        </w:rPr>
      </w:pPr>
      <w:r>
        <w:rPr>
          <w:rFonts w:hint="eastAsia" w:ascii="宋体" w:hAnsi="宋体" w:cs="宋体"/>
          <w:color w:val="auto"/>
        </w:rPr>
        <w:t>不见面开标系统需使用数字证书（CA）操作，未取得数字证书（CA）的，请前往“三门县公共资源交易专用数字证书用户自助申报系统”自助办理（网址：http://www.tseal.cn/tcloud/smxztb。</w:t>
      </w:r>
    </w:p>
    <w:p w14:paraId="64C11F64">
      <w:pPr>
        <w:numPr>
          <w:ilvl w:val="0"/>
          <w:numId w:val="3"/>
        </w:numPr>
        <w:spacing w:line="360" w:lineRule="auto"/>
        <w:ind w:firstLine="472" w:firstLineChars="200"/>
        <w:rPr>
          <w:rFonts w:ascii="宋体" w:hAnsi="宋体" w:cs="宋体"/>
          <w:color w:val="auto"/>
        </w:rPr>
      </w:pPr>
      <w:r>
        <w:rPr>
          <w:rFonts w:hint="eastAsia" w:ascii="宋体" w:hAnsi="宋体" w:cs="宋体"/>
          <w:color w:val="auto"/>
          <w:spacing w:val="-2"/>
        </w:rPr>
        <w:t>不见面开标项目投标文件均用专用招投标工具软件编制，软件下载地址见网站下载中心，</w:t>
      </w:r>
      <w:r>
        <w:rPr>
          <w:rFonts w:hint="eastAsia" w:ascii="宋体" w:hAnsi="宋体" w:cs="宋体"/>
          <w:color w:val="auto"/>
        </w:rPr>
        <w:t>投标工具锁申请地址：</w:t>
      </w:r>
      <w:r>
        <w:rPr>
          <w:color w:val="auto"/>
        </w:rPr>
        <w:fldChar w:fldCharType="begin"/>
      </w:r>
      <w:r>
        <w:rPr>
          <w:color w:val="auto"/>
        </w:rPr>
        <w:instrText xml:space="preserve"> HYPERLINK "http://commkey.pminfo.cn/RegisterRockey/Login/Login.aspx" </w:instrText>
      </w:r>
      <w:r>
        <w:rPr>
          <w:color w:val="auto"/>
        </w:rPr>
        <w:fldChar w:fldCharType="separate"/>
      </w:r>
      <w:r>
        <w:rPr>
          <w:rStyle w:val="31"/>
          <w:rFonts w:hint="eastAsia" w:ascii="宋体" w:hAnsi="宋体" w:cs="宋体"/>
          <w:color w:val="auto"/>
        </w:rPr>
        <w:t>http://commkey.pminfo.cn/R</w:t>
      </w:r>
      <w:bookmarkStart w:id="2" w:name="_Hlt44403249"/>
      <w:bookmarkStart w:id="3" w:name="_Hlt44403250"/>
      <w:r>
        <w:rPr>
          <w:rStyle w:val="31"/>
          <w:rFonts w:hint="eastAsia" w:ascii="宋体" w:hAnsi="宋体" w:cs="宋体"/>
          <w:color w:val="auto"/>
        </w:rPr>
        <w:t>e</w:t>
      </w:r>
      <w:bookmarkEnd w:id="2"/>
      <w:bookmarkEnd w:id="3"/>
      <w:r>
        <w:rPr>
          <w:rStyle w:val="31"/>
          <w:rFonts w:hint="eastAsia" w:ascii="宋体" w:hAnsi="宋体" w:cs="宋体"/>
          <w:color w:val="auto"/>
        </w:rPr>
        <w:t>gisterRockey/Login/Login.aspx</w:t>
      </w:r>
      <w:r>
        <w:rPr>
          <w:rStyle w:val="31"/>
          <w:rFonts w:hint="eastAsia" w:ascii="宋体" w:hAnsi="宋体" w:cs="宋体"/>
          <w:color w:val="auto"/>
        </w:rPr>
        <w:fldChar w:fldCharType="end"/>
      </w:r>
      <w:r>
        <w:rPr>
          <w:rFonts w:hint="eastAsia" w:ascii="宋体" w:hAnsi="宋体" w:cs="宋体"/>
          <w:color w:val="auto"/>
          <w:spacing w:val="-2"/>
        </w:rPr>
        <w:t>。</w:t>
      </w:r>
    </w:p>
    <w:p w14:paraId="3AC67F24">
      <w:pPr>
        <w:numPr>
          <w:ilvl w:val="0"/>
          <w:numId w:val="3"/>
        </w:numPr>
        <w:spacing w:line="360" w:lineRule="auto"/>
        <w:ind w:firstLine="480" w:firstLineChars="200"/>
        <w:rPr>
          <w:rFonts w:ascii="宋体" w:hAnsi="宋体" w:cs="宋体"/>
          <w:color w:val="auto"/>
        </w:rPr>
      </w:pPr>
      <w:r>
        <w:rPr>
          <w:rFonts w:hint="eastAsia" w:ascii="宋体" w:hAnsi="宋体" w:cs="宋体"/>
          <w:color w:val="auto"/>
        </w:rPr>
        <w:t>投开标当日，投标人不必抵达开标现场，仅需在任意地点通过三门县公共资源交易不见面开标大厅参加开标会议，并根据需要使用开标系统与现场招标人进行互动交流、澄清、质疑等活动。未在投标文件递交截止时间之前进行在线签到或未能在开标会议区内全程参与交互的，视为放弃交互和放弃对开评标全过程提疑的权利，投标人将无法进行解密、唱标、评审结果查看等操作，并承担由此导致的一切后果。</w:t>
      </w:r>
    </w:p>
    <w:p w14:paraId="238AA4ED">
      <w:pPr>
        <w:numPr>
          <w:ilvl w:val="0"/>
          <w:numId w:val="3"/>
        </w:numPr>
        <w:spacing w:line="360" w:lineRule="auto"/>
        <w:ind w:firstLine="480" w:firstLineChars="200"/>
        <w:rPr>
          <w:rFonts w:ascii="宋体" w:hAnsi="宋体" w:cs="宋体"/>
          <w:color w:val="auto"/>
        </w:rPr>
      </w:pPr>
      <w:r>
        <w:rPr>
          <w:rFonts w:hint="eastAsia" w:ascii="宋体" w:hAnsi="宋体" w:cs="宋体"/>
          <w:color w:val="auto"/>
        </w:rPr>
        <w:t>投标文件递交截止时间后，主持人将在系统内发出投标文件解密的指令，投标人在各自地点按规定时间自行实施远程解密（投标人远程解密方法详见操作手册），投标人解密需在招标代理设置的规定时间之内完成。因投标人网络与电源不稳定、未按操作手册要求配置软硬件、解密锁发生故障或用错、故意不在要求时限内完成解密等自身原因，导致投标文件在规定时间内未能解密、解密失败或解密超时，视为投标人放弃投标；因招标人原因或网上招投标平台发生故障等，导致无法按时完成投标文件解密或开、评标工作无法进行的，可根据实际情况相应延迟解密时间或调整开、评标时间。</w:t>
      </w:r>
    </w:p>
    <w:p w14:paraId="6ABAAF06">
      <w:pPr>
        <w:numPr>
          <w:ilvl w:val="0"/>
          <w:numId w:val="3"/>
        </w:numPr>
        <w:spacing w:line="360" w:lineRule="auto"/>
        <w:ind w:firstLine="480" w:firstLineChars="200"/>
        <w:rPr>
          <w:rFonts w:ascii="宋体" w:hAnsi="宋体" w:cs="宋体"/>
          <w:color w:val="auto"/>
        </w:rPr>
      </w:pPr>
      <w:r>
        <w:rPr>
          <w:rFonts w:hint="eastAsia" w:ascii="宋体" w:hAnsi="宋体" w:cs="宋体"/>
          <w:color w:val="auto"/>
        </w:rPr>
        <w:t>开评标全过程中，各投标人参与远程交互的授权委托人或法人代表应始终为同一个人，中途不得更换，在解密、唱标、提疑、传送文件等特殊情况下需要交互时，投标人一端参与交互的人员将均被视为是投标人的授权委托人或法人代表，投标人不得以不承认交互人员的资格或身份等为借口抵赖推脱，投标人自行承担随意更换人员所导致的一切后果。</w:t>
      </w:r>
    </w:p>
    <w:p w14:paraId="1FF6A787">
      <w:pPr>
        <w:spacing w:line="360" w:lineRule="auto"/>
        <w:ind w:firstLine="480" w:firstLineChars="200"/>
        <w:rPr>
          <w:rFonts w:ascii="宋体" w:hAnsi="宋体" w:cs="宋体"/>
          <w:color w:val="auto"/>
        </w:rPr>
      </w:pPr>
      <w:r>
        <w:rPr>
          <w:rFonts w:hint="eastAsia" w:ascii="宋体" w:hAnsi="宋体" w:cs="宋体"/>
          <w:color w:val="auto"/>
        </w:rPr>
        <w:t>重要事项说明：</w:t>
      </w:r>
    </w:p>
    <w:p w14:paraId="2C4515B4">
      <w:pPr>
        <w:numPr>
          <w:ilvl w:val="0"/>
          <w:numId w:val="4"/>
        </w:numPr>
        <w:spacing w:line="360" w:lineRule="auto"/>
        <w:ind w:left="0" w:firstLine="480" w:firstLineChars="200"/>
        <w:rPr>
          <w:rFonts w:ascii="宋体" w:hAnsi="宋体" w:cs="宋体"/>
          <w:color w:val="auto"/>
        </w:rPr>
      </w:pPr>
      <w:r>
        <w:rPr>
          <w:rFonts w:hint="eastAsia" w:ascii="宋体" w:hAnsi="宋体" w:cs="宋体"/>
          <w:color w:val="auto"/>
        </w:rPr>
        <w:t>开标项目的时间均以国家授时中心发布的时间为准。</w:t>
      </w:r>
    </w:p>
    <w:p w14:paraId="66A631CE">
      <w:pPr>
        <w:numPr>
          <w:ilvl w:val="0"/>
          <w:numId w:val="4"/>
        </w:numPr>
        <w:spacing w:line="360" w:lineRule="auto"/>
        <w:ind w:left="0" w:firstLine="480" w:firstLineChars="200"/>
        <w:rPr>
          <w:rFonts w:ascii="宋体" w:hAnsi="宋体" w:cs="宋体"/>
          <w:color w:val="auto"/>
        </w:rPr>
      </w:pPr>
      <w:r>
        <w:rPr>
          <w:rFonts w:hint="eastAsia" w:ascii="宋体" w:hAnsi="宋体" w:cs="宋体"/>
          <w:color w:val="auto"/>
        </w:rPr>
        <w:t>投标文件递交截止时间前，各投标人的授权委托人或法人代表应提前进入不见面交易系统进行在线签到，</w:t>
      </w:r>
      <w:r>
        <w:rPr>
          <w:rFonts w:hint="eastAsia" w:ascii="宋体" w:hAnsi="宋体" w:cs="宋体"/>
          <w:b/>
          <w:color w:val="auto"/>
        </w:rPr>
        <w:t>未完成签到的，将无法解密投标文件，并视为放弃投标</w:t>
      </w:r>
      <w:r>
        <w:rPr>
          <w:rFonts w:hint="eastAsia" w:ascii="宋体" w:hAnsi="宋体" w:cs="宋体"/>
          <w:color w:val="auto"/>
        </w:rPr>
        <w:t>。</w:t>
      </w:r>
    </w:p>
    <w:p w14:paraId="5AFDF49B">
      <w:pPr>
        <w:numPr>
          <w:ilvl w:val="0"/>
          <w:numId w:val="4"/>
        </w:numPr>
        <w:spacing w:line="360" w:lineRule="auto"/>
        <w:ind w:left="0" w:firstLine="480" w:firstLineChars="200"/>
        <w:rPr>
          <w:rFonts w:ascii="宋体" w:hAnsi="宋体" w:cs="宋体"/>
          <w:color w:val="auto"/>
        </w:rPr>
      </w:pPr>
      <w:r>
        <w:rPr>
          <w:rFonts w:hint="eastAsia" w:ascii="宋体" w:hAnsi="宋体" w:cs="宋体"/>
          <w:color w:val="auto"/>
        </w:rPr>
        <w:t>投标人未在规定时间内解密、解密失败或解密超时，视为放弃投标。</w:t>
      </w:r>
    </w:p>
    <w:p w14:paraId="79D67936">
      <w:pPr>
        <w:numPr>
          <w:ilvl w:val="0"/>
          <w:numId w:val="4"/>
        </w:numPr>
        <w:spacing w:line="360" w:lineRule="auto"/>
        <w:ind w:left="0" w:firstLine="480" w:firstLineChars="200"/>
        <w:rPr>
          <w:rFonts w:ascii="宋体" w:hAnsi="宋体" w:cs="宋体"/>
          <w:color w:val="auto"/>
        </w:rPr>
      </w:pPr>
      <w:r>
        <w:rPr>
          <w:rFonts w:hint="eastAsia" w:ascii="宋体" w:hAnsi="宋体" w:cs="宋体"/>
          <w:color w:val="auto"/>
        </w:rPr>
        <w:t>若投标人已申请多把CA锁，请注意使用差别，确保制作上传加密投标文件和开标解密时使用的CA锁是一致的，否则造成解密失败的，由投标人负责。</w:t>
      </w:r>
    </w:p>
    <w:p w14:paraId="683EF16E">
      <w:pPr>
        <w:spacing w:line="360" w:lineRule="auto"/>
        <w:rPr>
          <w:rFonts w:hint="eastAsia" w:asciiTheme="minorEastAsia" w:hAnsiTheme="minorEastAsia" w:eastAsiaTheme="minorEastAsia" w:cstheme="minorEastAsia"/>
          <w:szCs w:val="24"/>
        </w:rPr>
        <w:sectPr>
          <w:headerReference r:id="rId6" w:type="default"/>
          <w:footerReference r:id="rId7" w:type="default"/>
          <w:pgSz w:w="11900" w:h="16840"/>
          <w:pgMar w:top="1440" w:right="1083" w:bottom="1440" w:left="1083" w:header="1077" w:footer="1032" w:gutter="0"/>
          <w:pgNumType w:fmt="decimal" w:start="1"/>
          <w:cols w:space="0" w:num="1"/>
        </w:sectPr>
      </w:pPr>
      <w:r>
        <w:rPr>
          <w:rFonts w:hint="eastAsia" w:ascii="宋体" w:hAnsi="宋体" w:cs="宋体"/>
          <w:color w:val="auto"/>
        </w:rPr>
        <w:t>如有疑问，请咨询品茗公司技术服务电话，技术服务电话：章宏涛  13968512856。QQ“三门交易平台交流群”（群号：146117595），进行业务咨询。此群也将作为不见面开标的备用远程交互群</w:t>
      </w:r>
    </w:p>
    <w:p w14:paraId="0B7F3C7C">
      <w:pPr>
        <w:spacing w:line="251" w:lineRule="auto"/>
        <w:rPr>
          <w:rFonts w:hint="eastAsia" w:ascii="宋体" w:hAnsi="宋体" w:eastAsia="宋体" w:cs="宋体"/>
          <w:szCs w:val="24"/>
        </w:rPr>
      </w:pPr>
    </w:p>
    <w:sdt>
      <w:sdtPr>
        <w:rPr>
          <w:rFonts w:hint="eastAsia" w:ascii="宋体" w:hAnsi="宋体" w:eastAsia="宋体" w:cs="宋体"/>
          <w:b/>
          <w:bCs/>
          <w:sz w:val="30"/>
          <w:szCs w:val="30"/>
        </w:rPr>
        <w:id w:val="147479430"/>
        <w15:color w:val="DBDBDB"/>
        <w:docPartObj>
          <w:docPartGallery w:val="Table of Contents"/>
          <w:docPartUnique/>
        </w:docPartObj>
      </w:sdtPr>
      <w:sdtEndPr>
        <w:rPr>
          <w:rFonts w:hint="eastAsia" w:ascii="宋体" w:hAnsi="宋体" w:eastAsia="宋体" w:cs="宋体"/>
          <w:b w:val="0"/>
          <w:bCs w:val="0"/>
          <w:sz w:val="28"/>
          <w:szCs w:val="28"/>
        </w:rPr>
      </w:sdtEndPr>
      <w:sdtContent>
        <w:p w14:paraId="2B4005C3">
          <w:pPr>
            <w:spacing w:line="360" w:lineRule="auto"/>
            <w:jc w:val="center"/>
            <w:rPr>
              <w:rFonts w:hint="eastAsia" w:ascii="宋体" w:hAnsi="宋体" w:eastAsia="宋体" w:cs="宋体"/>
              <w:b/>
              <w:bCs/>
              <w:sz w:val="40"/>
              <w:szCs w:val="40"/>
            </w:rPr>
          </w:pPr>
          <w:r>
            <w:rPr>
              <w:rFonts w:hint="eastAsia" w:ascii="宋体" w:hAnsi="宋体" w:eastAsia="宋体" w:cs="宋体"/>
              <w:b/>
              <w:bCs/>
              <w:sz w:val="40"/>
              <w:szCs w:val="40"/>
            </w:rPr>
            <w:t>目录</w:t>
          </w:r>
        </w:p>
        <w:p w14:paraId="2E8F08CE">
          <w:pPr>
            <w:pStyle w:val="23"/>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
              <w:bCs/>
              <w:sz w:val="28"/>
              <w:szCs w:val="28"/>
            </w:rPr>
            <w:fldChar w:fldCharType="begin"/>
          </w:r>
          <w:r>
            <w:rPr>
              <w:rFonts w:hint="eastAsia" w:ascii="宋体" w:hAnsi="宋体" w:eastAsia="宋体" w:cs="宋体"/>
              <w:b/>
              <w:bCs/>
              <w:sz w:val="28"/>
              <w:szCs w:val="28"/>
            </w:rPr>
            <w:instrText xml:space="preserve">TOC \o "1-3" \h \u </w:instrText>
          </w:r>
          <w:r>
            <w:rPr>
              <w:rFonts w:hint="eastAsia" w:ascii="宋体" w:hAnsi="宋体" w:eastAsia="宋体" w:cs="宋体"/>
              <w:b/>
              <w:bCs/>
              <w:sz w:val="28"/>
              <w:szCs w:val="28"/>
            </w:rPr>
            <w:fldChar w:fldCharType="separate"/>
          </w: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_Toc25026 </w:instrText>
          </w:r>
          <w:r>
            <w:rPr>
              <w:rFonts w:hint="eastAsia" w:ascii="宋体" w:hAnsi="宋体" w:eastAsia="宋体" w:cs="宋体"/>
              <w:bCs/>
              <w:sz w:val="28"/>
              <w:szCs w:val="28"/>
            </w:rPr>
            <w:fldChar w:fldCharType="separate"/>
          </w:r>
          <w:r>
            <w:rPr>
              <w:rFonts w:hint="eastAsia" w:ascii="宋体" w:hAnsi="宋体" w:eastAsia="宋体" w:cs="宋体"/>
              <w:spacing w:val="10"/>
              <w:sz w:val="28"/>
              <w:szCs w:val="28"/>
            </w:rPr>
            <w:t>第</w:t>
          </w:r>
          <w:r>
            <w:rPr>
              <w:rFonts w:hint="eastAsia" w:ascii="宋体" w:hAnsi="宋体" w:eastAsia="宋体" w:cs="宋体"/>
              <w:spacing w:val="7"/>
              <w:sz w:val="28"/>
              <w:szCs w:val="28"/>
            </w:rPr>
            <w:t>一章    招标公告</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_Toc25026 \h </w:instrText>
          </w:r>
          <w:r>
            <w:rPr>
              <w:rFonts w:hint="eastAsia" w:ascii="宋体" w:hAnsi="宋体" w:eastAsia="宋体" w:cs="宋体"/>
              <w:sz w:val="28"/>
              <w:szCs w:val="28"/>
            </w:rPr>
            <w:fldChar w:fldCharType="separate"/>
          </w:r>
          <w:r>
            <w:rPr>
              <w:rFonts w:hint="eastAsia" w:ascii="宋体" w:hAnsi="宋体" w:eastAsia="宋体" w:cs="宋体"/>
              <w:sz w:val="28"/>
              <w:szCs w:val="28"/>
            </w:rPr>
            <w:t>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4C154910">
          <w:pPr>
            <w:pStyle w:val="23"/>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_Toc16130 </w:instrText>
          </w:r>
          <w:r>
            <w:rPr>
              <w:rFonts w:hint="eastAsia" w:ascii="宋体" w:hAnsi="宋体" w:eastAsia="宋体" w:cs="宋体"/>
              <w:bCs/>
              <w:sz w:val="28"/>
              <w:szCs w:val="28"/>
            </w:rPr>
            <w:fldChar w:fldCharType="separate"/>
          </w:r>
          <w:r>
            <w:rPr>
              <w:rFonts w:hint="eastAsia" w:ascii="宋体" w:hAnsi="宋体" w:eastAsia="宋体" w:cs="宋体"/>
              <w:spacing w:val="14"/>
              <w:position w:val="15"/>
              <w:sz w:val="28"/>
              <w:szCs w:val="28"/>
            </w:rPr>
            <w:t>第</w:t>
          </w:r>
          <w:r>
            <w:rPr>
              <w:rFonts w:hint="eastAsia" w:ascii="宋体" w:hAnsi="宋体" w:eastAsia="宋体" w:cs="宋体"/>
              <w:spacing w:val="8"/>
              <w:position w:val="15"/>
              <w:sz w:val="28"/>
              <w:szCs w:val="28"/>
            </w:rPr>
            <w:t>二章    投标人须知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_Toc16130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237D7730">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_Toc9658 </w:instrText>
          </w:r>
          <w:r>
            <w:rPr>
              <w:rFonts w:hint="eastAsia" w:ascii="宋体" w:hAnsi="宋体" w:eastAsia="宋体" w:cs="宋体"/>
              <w:bCs/>
              <w:sz w:val="28"/>
              <w:szCs w:val="28"/>
            </w:rPr>
            <w:fldChar w:fldCharType="separate"/>
          </w:r>
          <w:r>
            <w:rPr>
              <w:rFonts w:hint="eastAsia" w:ascii="宋体" w:hAnsi="宋体" w:eastAsia="宋体" w:cs="宋体"/>
              <w:spacing w:val="9"/>
              <w:sz w:val="28"/>
              <w:szCs w:val="28"/>
            </w:rPr>
            <w:t>第一节    投标须知前附</w:t>
          </w:r>
          <w:r>
            <w:rPr>
              <w:rFonts w:hint="eastAsia" w:ascii="宋体" w:hAnsi="宋体" w:eastAsia="宋体" w:cs="宋体"/>
              <w:spacing w:val="8"/>
              <w:sz w:val="28"/>
              <w:szCs w:val="28"/>
            </w:rPr>
            <w:t>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_Toc9658 \h </w:instrText>
          </w:r>
          <w:r>
            <w:rPr>
              <w:rFonts w:hint="eastAsia" w:ascii="宋体" w:hAnsi="宋体" w:eastAsia="宋体" w:cs="宋体"/>
              <w:sz w:val="28"/>
              <w:szCs w:val="28"/>
            </w:rPr>
            <w:fldChar w:fldCharType="separate"/>
          </w:r>
          <w:r>
            <w:rPr>
              <w:rFonts w:hint="eastAsia" w:ascii="宋体" w:hAnsi="宋体" w:eastAsia="宋体" w:cs="宋体"/>
              <w:sz w:val="28"/>
              <w:szCs w:val="28"/>
            </w:rPr>
            <w:t>8</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D6300C7">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_Toc2692 </w:instrText>
          </w:r>
          <w:r>
            <w:rPr>
              <w:rFonts w:hint="eastAsia" w:ascii="宋体" w:hAnsi="宋体" w:eastAsia="宋体" w:cs="宋体"/>
              <w:bCs/>
              <w:sz w:val="28"/>
              <w:szCs w:val="28"/>
            </w:rPr>
            <w:fldChar w:fldCharType="separate"/>
          </w:r>
          <w:r>
            <w:rPr>
              <w:rFonts w:hint="eastAsia" w:ascii="宋体" w:hAnsi="宋体" w:eastAsia="宋体" w:cs="宋体"/>
              <w:spacing w:val="9"/>
              <w:sz w:val="28"/>
              <w:szCs w:val="28"/>
            </w:rPr>
            <w:t>第二节    投标须</w:t>
          </w:r>
          <w:r>
            <w:rPr>
              <w:rFonts w:hint="eastAsia" w:ascii="宋体" w:hAnsi="宋体" w:eastAsia="宋体" w:cs="宋体"/>
              <w:spacing w:val="8"/>
              <w:sz w:val="28"/>
              <w:szCs w:val="28"/>
            </w:rPr>
            <w:t>知</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_Toc2692 \h </w:instrText>
          </w:r>
          <w:r>
            <w:rPr>
              <w:rFonts w:hint="eastAsia" w:ascii="宋体" w:hAnsi="宋体" w:eastAsia="宋体" w:cs="宋体"/>
              <w:sz w:val="28"/>
              <w:szCs w:val="28"/>
            </w:rPr>
            <w:fldChar w:fldCharType="separate"/>
          </w:r>
          <w:r>
            <w:rPr>
              <w:rFonts w:hint="eastAsia" w:ascii="宋体" w:hAnsi="宋体" w:eastAsia="宋体" w:cs="宋体"/>
              <w:sz w:val="28"/>
              <w:szCs w:val="28"/>
            </w:rPr>
            <w:t>17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ED803B9">
          <w:pPr>
            <w:pStyle w:val="23"/>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_Toc32000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第三章    评标办法</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_Toc32000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46EBFF21">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_Toc1830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第一节    评标办法前附表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_Toc1830 \h </w:instrText>
          </w:r>
          <w:r>
            <w:rPr>
              <w:rFonts w:hint="eastAsia" w:ascii="宋体" w:hAnsi="宋体" w:eastAsia="宋体" w:cs="宋体"/>
              <w:sz w:val="28"/>
              <w:szCs w:val="28"/>
            </w:rPr>
            <w:fldChar w:fldCharType="separate"/>
          </w:r>
          <w:r>
            <w:rPr>
              <w:rFonts w:hint="eastAsia" w:ascii="宋体" w:hAnsi="宋体" w:eastAsia="宋体" w:cs="宋体"/>
              <w:sz w:val="28"/>
              <w:szCs w:val="28"/>
            </w:rPr>
            <w:t>27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2B63B02">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_Toc23313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第二节    评标办法附件</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_Toc23313 \h </w:instrText>
          </w:r>
          <w:r>
            <w:rPr>
              <w:rFonts w:hint="eastAsia" w:ascii="宋体" w:hAnsi="宋体" w:eastAsia="宋体" w:cs="宋体"/>
              <w:sz w:val="28"/>
              <w:szCs w:val="28"/>
            </w:rPr>
            <w:fldChar w:fldCharType="separate"/>
          </w:r>
          <w:r>
            <w:rPr>
              <w:rFonts w:hint="eastAsia" w:ascii="宋体" w:hAnsi="宋体" w:eastAsia="宋体" w:cs="宋体"/>
              <w:sz w:val="28"/>
              <w:szCs w:val="28"/>
            </w:rPr>
            <w:t>30</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0CB2290">
          <w:pPr>
            <w:pStyle w:val="23"/>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_Toc686 </w:instrText>
          </w:r>
          <w:r>
            <w:rPr>
              <w:rFonts w:hint="eastAsia" w:ascii="宋体" w:hAnsi="宋体" w:eastAsia="宋体" w:cs="宋体"/>
              <w:bCs/>
              <w:sz w:val="28"/>
              <w:szCs w:val="28"/>
            </w:rPr>
            <w:fldChar w:fldCharType="separate"/>
          </w:r>
          <w:r>
            <w:rPr>
              <w:rFonts w:hint="eastAsia" w:ascii="宋体" w:hAnsi="宋体" w:eastAsia="宋体" w:cs="宋体"/>
              <w:sz w:val="28"/>
              <w:szCs w:val="28"/>
              <w:highlight w:val="none"/>
            </w:rPr>
            <w:t>第四章   技术规格书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_Toc686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58A33CB">
          <w:pPr>
            <w:pStyle w:val="1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_Toc29297 </w:instrText>
          </w:r>
          <w:r>
            <w:rPr>
              <w:rFonts w:hint="eastAsia" w:ascii="宋体" w:hAnsi="宋体" w:eastAsia="宋体" w:cs="宋体"/>
              <w:bCs/>
              <w:sz w:val="28"/>
              <w:szCs w:val="28"/>
            </w:rPr>
            <w:fldChar w:fldCharType="separate"/>
          </w:r>
          <w:r>
            <w:rPr>
              <w:rFonts w:hint="eastAsia" w:ascii="宋体" w:hAnsi="宋体" w:eastAsia="宋体" w:cs="宋体"/>
              <w:sz w:val="28"/>
              <w:szCs w:val="28"/>
            </w:rPr>
            <w:t xml:space="preserve">一、 </w:t>
          </w:r>
          <w:r>
            <w:rPr>
              <w:rFonts w:hint="eastAsia" w:ascii="宋体" w:hAnsi="宋体" w:eastAsia="宋体" w:cs="宋体"/>
              <w:sz w:val="28"/>
              <w:szCs w:val="28"/>
              <w:highlight w:val="none"/>
            </w:rPr>
            <w:t>招标内容</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_Toc29297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B04808D">
          <w:pPr>
            <w:pStyle w:val="1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_Toc15686 </w:instrText>
          </w:r>
          <w:r>
            <w:rPr>
              <w:rFonts w:hint="eastAsia" w:ascii="宋体" w:hAnsi="宋体" w:eastAsia="宋体" w:cs="宋体"/>
              <w:bCs/>
              <w:sz w:val="28"/>
              <w:szCs w:val="28"/>
            </w:rPr>
            <w:fldChar w:fldCharType="separate"/>
          </w:r>
          <w:r>
            <w:rPr>
              <w:rFonts w:hint="eastAsia" w:ascii="宋体" w:hAnsi="宋体" w:eastAsia="宋体" w:cs="宋体"/>
              <w:sz w:val="28"/>
              <w:szCs w:val="28"/>
            </w:rPr>
            <w:t xml:space="preserve">二、 </w:t>
          </w:r>
          <w:r>
            <w:rPr>
              <w:rFonts w:hint="eastAsia" w:ascii="宋体" w:hAnsi="宋体" w:eastAsia="宋体" w:cs="宋体"/>
              <w:sz w:val="28"/>
              <w:szCs w:val="28"/>
              <w:highlight w:val="none"/>
            </w:rPr>
            <w:t>工作范围</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_Toc15686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58414A7">
          <w:pPr>
            <w:pStyle w:val="1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_Toc25751 </w:instrText>
          </w:r>
          <w:r>
            <w:rPr>
              <w:rFonts w:hint="eastAsia" w:ascii="宋体" w:hAnsi="宋体" w:eastAsia="宋体" w:cs="宋体"/>
              <w:bCs/>
              <w:sz w:val="28"/>
              <w:szCs w:val="28"/>
            </w:rPr>
            <w:fldChar w:fldCharType="separate"/>
          </w:r>
          <w:r>
            <w:rPr>
              <w:rFonts w:hint="eastAsia" w:ascii="宋体" w:hAnsi="宋体" w:eastAsia="宋体" w:cs="宋体"/>
              <w:sz w:val="28"/>
              <w:szCs w:val="28"/>
            </w:rPr>
            <w:t xml:space="preserve">三、 </w:t>
          </w:r>
          <w:r>
            <w:rPr>
              <w:rFonts w:hint="eastAsia" w:ascii="宋体" w:hAnsi="宋体" w:eastAsia="宋体" w:cs="宋体"/>
              <w:sz w:val="28"/>
              <w:szCs w:val="28"/>
              <w:highlight w:val="none"/>
            </w:rPr>
            <w:t>售后服务</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_Toc25751 \h </w:instrText>
          </w:r>
          <w:r>
            <w:rPr>
              <w:rFonts w:hint="eastAsia" w:ascii="宋体" w:hAnsi="宋体" w:eastAsia="宋体" w:cs="宋体"/>
              <w:sz w:val="28"/>
              <w:szCs w:val="28"/>
            </w:rPr>
            <w:fldChar w:fldCharType="separate"/>
          </w:r>
          <w:r>
            <w:rPr>
              <w:rFonts w:hint="eastAsia" w:ascii="宋体" w:hAnsi="宋体" w:eastAsia="宋体" w:cs="宋体"/>
              <w:sz w:val="28"/>
              <w:szCs w:val="28"/>
            </w:rPr>
            <w:t>34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9FF0224">
          <w:pPr>
            <w:pStyle w:val="1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_Toc5282 </w:instrText>
          </w:r>
          <w:r>
            <w:rPr>
              <w:rFonts w:hint="eastAsia" w:ascii="宋体" w:hAnsi="宋体" w:eastAsia="宋体" w:cs="宋体"/>
              <w:bCs/>
              <w:sz w:val="28"/>
              <w:szCs w:val="28"/>
            </w:rPr>
            <w:fldChar w:fldCharType="separate"/>
          </w:r>
          <w:r>
            <w:rPr>
              <w:rFonts w:hint="eastAsia" w:ascii="宋体" w:hAnsi="宋体" w:eastAsia="宋体" w:cs="宋体"/>
              <w:sz w:val="28"/>
              <w:szCs w:val="28"/>
            </w:rPr>
            <w:t xml:space="preserve">四、 </w:t>
          </w:r>
          <w:r>
            <w:rPr>
              <w:rFonts w:hint="eastAsia" w:ascii="宋体" w:hAnsi="宋体" w:eastAsia="宋体" w:cs="宋体"/>
              <w:sz w:val="28"/>
              <w:szCs w:val="28"/>
              <w:highlight w:val="none"/>
            </w:rPr>
            <w:t>项目技术要求：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_Toc5282 \h </w:instrText>
          </w:r>
          <w:r>
            <w:rPr>
              <w:rFonts w:hint="eastAsia" w:ascii="宋体" w:hAnsi="宋体" w:eastAsia="宋体" w:cs="宋体"/>
              <w:sz w:val="28"/>
              <w:szCs w:val="28"/>
            </w:rPr>
            <w:fldChar w:fldCharType="separate"/>
          </w:r>
          <w:r>
            <w:rPr>
              <w:rFonts w:hint="eastAsia" w:ascii="宋体" w:hAnsi="宋体" w:eastAsia="宋体" w:cs="宋体"/>
              <w:sz w:val="28"/>
              <w:szCs w:val="28"/>
            </w:rPr>
            <w:t>35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331D10DD">
          <w:pPr>
            <w:pStyle w:val="1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_Toc6712 </w:instrText>
          </w:r>
          <w:r>
            <w:rPr>
              <w:rFonts w:hint="eastAsia" w:ascii="宋体" w:hAnsi="宋体" w:eastAsia="宋体" w:cs="宋体"/>
              <w:bCs/>
              <w:sz w:val="28"/>
              <w:szCs w:val="28"/>
            </w:rPr>
            <w:fldChar w:fldCharType="separate"/>
          </w:r>
          <w:r>
            <w:rPr>
              <w:rFonts w:hint="eastAsia" w:ascii="宋体" w:hAnsi="宋体" w:eastAsia="宋体" w:cs="宋体"/>
              <w:bCs/>
              <w:sz w:val="28"/>
              <w:szCs w:val="28"/>
              <w:lang w:eastAsia="zh-CN"/>
            </w:rPr>
            <w:t xml:space="preserve">五、 </w:t>
          </w:r>
          <w:r>
            <w:rPr>
              <w:rFonts w:hint="eastAsia" w:ascii="宋体" w:hAnsi="宋体" w:eastAsia="宋体" w:cs="宋体"/>
              <w:bCs/>
              <w:sz w:val="28"/>
              <w:szCs w:val="28"/>
              <w:highlight w:val="none"/>
              <w:lang w:eastAsia="zh-CN"/>
            </w:rPr>
            <w:t>样品需求</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_Toc6712 \h </w:instrText>
          </w:r>
          <w:r>
            <w:rPr>
              <w:rFonts w:hint="eastAsia" w:ascii="宋体" w:hAnsi="宋体" w:eastAsia="宋体" w:cs="宋体"/>
              <w:sz w:val="28"/>
              <w:szCs w:val="28"/>
            </w:rPr>
            <w:fldChar w:fldCharType="separate"/>
          </w:r>
          <w:r>
            <w:rPr>
              <w:rFonts w:hint="eastAsia" w:ascii="宋体" w:hAnsi="宋体" w:eastAsia="宋体" w:cs="宋体"/>
              <w:sz w:val="28"/>
              <w:szCs w:val="28"/>
            </w:rPr>
            <w:t>37</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9DCABB6">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_Toc28998 </w:instrText>
          </w:r>
          <w:r>
            <w:rPr>
              <w:rFonts w:hint="eastAsia" w:ascii="宋体" w:hAnsi="宋体" w:eastAsia="宋体" w:cs="宋体"/>
              <w:bCs/>
              <w:sz w:val="28"/>
              <w:szCs w:val="28"/>
            </w:rPr>
            <w:fldChar w:fldCharType="separate"/>
          </w:r>
          <w:r>
            <w:rPr>
              <w:rFonts w:hint="eastAsia" w:ascii="宋体" w:hAnsi="宋体" w:eastAsia="宋体" w:cs="宋体"/>
              <w:sz w:val="28"/>
              <w:szCs w:val="28"/>
            </w:rPr>
            <w:t xml:space="preserve">第一节 </w:t>
          </w:r>
          <w:r>
            <w:rPr>
              <w:rFonts w:hint="eastAsia" w:ascii="宋体" w:hAnsi="宋体" w:eastAsia="宋体" w:cs="宋体"/>
              <w:sz w:val="28"/>
              <w:szCs w:val="28"/>
              <w:highlight w:val="none"/>
            </w:rPr>
            <w:t>合同一般条款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_Toc28998 \h </w:instrText>
          </w:r>
          <w:r>
            <w:rPr>
              <w:rFonts w:hint="eastAsia" w:ascii="宋体" w:hAnsi="宋体" w:eastAsia="宋体" w:cs="宋体"/>
              <w:sz w:val="28"/>
              <w:szCs w:val="28"/>
            </w:rPr>
            <w:fldChar w:fldCharType="separate"/>
          </w:r>
          <w:r>
            <w:rPr>
              <w:rFonts w:hint="eastAsia" w:ascii="宋体" w:hAnsi="宋体" w:eastAsia="宋体" w:cs="宋体"/>
              <w:sz w:val="28"/>
              <w:szCs w:val="28"/>
            </w:rPr>
            <w:t>38</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35B5DF2">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_Toc31196 </w:instrText>
          </w:r>
          <w:r>
            <w:rPr>
              <w:rFonts w:hint="eastAsia" w:ascii="宋体" w:hAnsi="宋体" w:eastAsia="宋体" w:cs="宋体"/>
              <w:bCs/>
              <w:sz w:val="28"/>
              <w:szCs w:val="28"/>
            </w:rPr>
            <w:fldChar w:fldCharType="separate"/>
          </w:r>
          <w:r>
            <w:rPr>
              <w:rFonts w:hint="eastAsia" w:ascii="宋体" w:hAnsi="宋体" w:eastAsia="宋体" w:cs="宋体"/>
              <w:sz w:val="28"/>
              <w:szCs w:val="28"/>
            </w:rPr>
            <w:t xml:space="preserve">第二节 </w:t>
          </w:r>
          <w:r>
            <w:rPr>
              <w:rFonts w:hint="eastAsia" w:ascii="宋体" w:hAnsi="宋体" w:eastAsia="宋体" w:cs="宋体"/>
              <w:sz w:val="28"/>
              <w:szCs w:val="28"/>
              <w:highlight w:val="none"/>
            </w:rPr>
            <w:t>合同特殊条款</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_Toc31196 \h </w:instrText>
          </w:r>
          <w:r>
            <w:rPr>
              <w:rFonts w:hint="eastAsia" w:ascii="宋体" w:hAnsi="宋体" w:eastAsia="宋体" w:cs="宋体"/>
              <w:sz w:val="28"/>
              <w:szCs w:val="28"/>
            </w:rPr>
            <w:fldChar w:fldCharType="separate"/>
          </w:r>
          <w:r>
            <w:rPr>
              <w:rFonts w:hint="eastAsia" w:ascii="宋体" w:hAnsi="宋体" w:eastAsia="宋体" w:cs="宋体"/>
              <w:sz w:val="28"/>
              <w:szCs w:val="28"/>
            </w:rPr>
            <w:t>41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5194A9D0">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_Toc10054 </w:instrText>
          </w:r>
          <w:r>
            <w:rPr>
              <w:rFonts w:hint="eastAsia" w:ascii="宋体" w:hAnsi="宋体" w:eastAsia="宋体" w:cs="宋体"/>
              <w:bCs/>
              <w:sz w:val="28"/>
              <w:szCs w:val="28"/>
            </w:rPr>
            <w:fldChar w:fldCharType="separate"/>
          </w:r>
          <w:r>
            <w:rPr>
              <w:rFonts w:hint="eastAsia" w:ascii="宋体" w:hAnsi="宋体" w:eastAsia="宋体" w:cs="宋体"/>
              <w:sz w:val="28"/>
              <w:szCs w:val="28"/>
            </w:rPr>
            <w:t xml:space="preserve">第三节 </w:t>
          </w:r>
          <w:r>
            <w:rPr>
              <w:rFonts w:hint="eastAsia" w:ascii="宋体" w:hAnsi="宋体" w:eastAsia="宋体" w:cs="宋体"/>
              <w:sz w:val="28"/>
              <w:szCs w:val="28"/>
              <w:highlight w:val="none"/>
            </w:rPr>
            <w:t>合同格式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_Toc10054 \h </w:instrText>
          </w:r>
          <w:r>
            <w:rPr>
              <w:rFonts w:hint="eastAsia" w:ascii="宋体" w:hAnsi="宋体" w:eastAsia="宋体" w:cs="宋体"/>
              <w:sz w:val="28"/>
              <w:szCs w:val="28"/>
            </w:rPr>
            <w:fldChar w:fldCharType="separate"/>
          </w:r>
          <w:r>
            <w:rPr>
              <w:rFonts w:hint="eastAsia" w:ascii="宋体" w:hAnsi="宋体" w:eastAsia="宋体" w:cs="宋体"/>
              <w:sz w:val="28"/>
              <w:szCs w:val="28"/>
            </w:rPr>
            <w:t>45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48FE9229">
          <w:pPr>
            <w:pStyle w:val="23"/>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_Toc14389 </w:instrText>
          </w:r>
          <w:r>
            <w:rPr>
              <w:rFonts w:hint="eastAsia" w:ascii="宋体" w:hAnsi="宋体" w:eastAsia="宋体" w:cs="宋体"/>
              <w:bCs/>
              <w:sz w:val="28"/>
              <w:szCs w:val="28"/>
            </w:rPr>
            <w:fldChar w:fldCharType="separate"/>
          </w:r>
          <w:r>
            <w:rPr>
              <w:rFonts w:hint="eastAsia" w:ascii="宋体" w:hAnsi="宋体" w:eastAsia="宋体" w:cs="宋体"/>
              <w:sz w:val="28"/>
              <w:szCs w:val="28"/>
            </w:rPr>
            <w:t>第六章    投标文件格式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_Toc14389 \h </w:instrText>
          </w:r>
          <w:r>
            <w:rPr>
              <w:rFonts w:hint="eastAsia" w:ascii="宋体" w:hAnsi="宋体" w:eastAsia="宋体" w:cs="宋体"/>
              <w:sz w:val="28"/>
              <w:szCs w:val="28"/>
            </w:rPr>
            <w:fldChar w:fldCharType="separate"/>
          </w:r>
          <w:r>
            <w:rPr>
              <w:rFonts w:hint="eastAsia" w:ascii="宋体" w:hAnsi="宋体" w:eastAsia="宋体" w:cs="宋体"/>
              <w:sz w:val="28"/>
              <w:szCs w:val="28"/>
            </w:rPr>
            <w:t>52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498966A">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_Toc11730 </w:instrText>
          </w:r>
          <w:r>
            <w:rPr>
              <w:rFonts w:hint="eastAsia" w:ascii="宋体" w:hAnsi="宋体" w:eastAsia="宋体" w:cs="宋体"/>
              <w:bCs/>
              <w:sz w:val="28"/>
              <w:szCs w:val="28"/>
            </w:rPr>
            <w:fldChar w:fldCharType="separate"/>
          </w:r>
          <w:r>
            <w:rPr>
              <w:rFonts w:hint="eastAsia" w:ascii="宋体" w:hAnsi="宋体" w:eastAsia="宋体" w:cs="宋体"/>
              <w:sz w:val="28"/>
              <w:szCs w:val="28"/>
            </w:rPr>
            <w:t>一、 投标函</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_Toc11730 \h </w:instrText>
          </w:r>
          <w:r>
            <w:rPr>
              <w:rFonts w:hint="eastAsia" w:ascii="宋体" w:hAnsi="宋体" w:eastAsia="宋体" w:cs="宋体"/>
              <w:sz w:val="28"/>
              <w:szCs w:val="28"/>
            </w:rPr>
            <w:fldChar w:fldCharType="separate"/>
          </w:r>
          <w:r>
            <w:rPr>
              <w:rFonts w:hint="eastAsia" w:ascii="宋体" w:hAnsi="宋体" w:eastAsia="宋体" w:cs="宋体"/>
              <w:sz w:val="28"/>
              <w:szCs w:val="28"/>
            </w:rPr>
            <w:t>53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4A12AACB">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_Toc14315 </w:instrText>
          </w:r>
          <w:r>
            <w:rPr>
              <w:rFonts w:hint="eastAsia" w:ascii="宋体" w:hAnsi="宋体" w:eastAsia="宋体" w:cs="宋体"/>
              <w:bCs/>
              <w:sz w:val="28"/>
              <w:szCs w:val="28"/>
            </w:rPr>
            <w:fldChar w:fldCharType="separate"/>
          </w:r>
          <w:r>
            <w:rPr>
              <w:rFonts w:hint="eastAsia" w:ascii="宋体" w:hAnsi="宋体" w:eastAsia="宋体" w:cs="宋体"/>
              <w:sz w:val="28"/>
              <w:szCs w:val="28"/>
            </w:rPr>
            <w:t>二、 法定代表人授权委托书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_Toc14315 \h </w:instrText>
          </w:r>
          <w:r>
            <w:rPr>
              <w:rFonts w:hint="eastAsia" w:ascii="宋体" w:hAnsi="宋体" w:eastAsia="宋体" w:cs="宋体"/>
              <w:sz w:val="28"/>
              <w:szCs w:val="28"/>
            </w:rPr>
            <w:fldChar w:fldCharType="separate"/>
          </w:r>
          <w:r>
            <w:rPr>
              <w:rFonts w:hint="eastAsia" w:ascii="宋体" w:hAnsi="宋体" w:eastAsia="宋体" w:cs="宋体"/>
              <w:sz w:val="28"/>
              <w:szCs w:val="28"/>
            </w:rPr>
            <w:t>54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96279D2">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_Toc27717 </w:instrText>
          </w:r>
          <w:r>
            <w:rPr>
              <w:rFonts w:hint="eastAsia" w:ascii="宋体" w:hAnsi="宋体" w:eastAsia="宋体" w:cs="宋体"/>
              <w:bCs/>
              <w:sz w:val="28"/>
              <w:szCs w:val="28"/>
            </w:rPr>
            <w:fldChar w:fldCharType="separate"/>
          </w:r>
          <w:r>
            <w:rPr>
              <w:rFonts w:hint="eastAsia" w:ascii="宋体" w:hAnsi="宋体" w:eastAsia="宋体" w:cs="宋体"/>
              <w:sz w:val="28"/>
              <w:szCs w:val="28"/>
            </w:rPr>
            <w:t>三、 投标人资格自查表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_Toc27717 \h </w:instrText>
          </w:r>
          <w:r>
            <w:rPr>
              <w:rFonts w:hint="eastAsia" w:ascii="宋体" w:hAnsi="宋体" w:eastAsia="宋体" w:cs="宋体"/>
              <w:sz w:val="28"/>
              <w:szCs w:val="28"/>
            </w:rPr>
            <w:fldChar w:fldCharType="separate"/>
          </w:r>
          <w:r>
            <w:rPr>
              <w:rFonts w:hint="eastAsia" w:ascii="宋体" w:hAnsi="宋体" w:eastAsia="宋体" w:cs="宋体"/>
              <w:sz w:val="28"/>
              <w:szCs w:val="28"/>
            </w:rPr>
            <w:t>55</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47AE81AC">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_Toc23798 </w:instrText>
          </w:r>
          <w:r>
            <w:rPr>
              <w:rFonts w:hint="eastAsia" w:ascii="宋体" w:hAnsi="宋体" w:eastAsia="宋体" w:cs="宋体"/>
              <w:bCs/>
              <w:sz w:val="28"/>
              <w:szCs w:val="28"/>
            </w:rPr>
            <w:fldChar w:fldCharType="separate"/>
          </w:r>
          <w:r>
            <w:rPr>
              <w:rFonts w:hint="eastAsia" w:ascii="宋体" w:hAnsi="宋体" w:eastAsia="宋体" w:cs="宋体"/>
              <w:sz w:val="28"/>
              <w:szCs w:val="28"/>
            </w:rPr>
            <w:t>四、 台州市建设工程诚信投标承诺书</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_Toc23798 \h </w:instrText>
          </w:r>
          <w:r>
            <w:rPr>
              <w:rFonts w:hint="eastAsia" w:ascii="宋体" w:hAnsi="宋体" w:eastAsia="宋体" w:cs="宋体"/>
              <w:sz w:val="28"/>
              <w:szCs w:val="28"/>
            </w:rPr>
            <w:fldChar w:fldCharType="separate"/>
          </w:r>
          <w:r>
            <w:rPr>
              <w:rFonts w:hint="eastAsia" w:ascii="宋体" w:hAnsi="宋体" w:eastAsia="宋体" w:cs="宋体"/>
              <w:sz w:val="28"/>
              <w:szCs w:val="28"/>
            </w:rPr>
            <w:t>56</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32DDAB96">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_Toc4246 </w:instrText>
          </w:r>
          <w:r>
            <w:rPr>
              <w:rFonts w:hint="eastAsia" w:ascii="宋体" w:hAnsi="宋体" w:eastAsia="宋体" w:cs="宋体"/>
              <w:bCs/>
              <w:sz w:val="28"/>
              <w:szCs w:val="28"/>
            </w:rPr>
            <w:fldChar w:fldCharType="separate"/>
          </w:r>
          <w:r>
            <w:rPr>
              <w:rFonts w:hint="eastAsia" w:ascii="宋体" w:hAnsi="宋体" w:eastAsia="宋体" w:cs="宋体"/>
              <w:sz w:val="28"/>
              <w:szCs w:val="28"/>
            </w:rPr>
            <w:t>五、 技术标评分索引表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_Toc4246 \h </w:instrText>
          </w:r>
          <w:r>
            <w:rPr>
              <w:rFonts w:hint="eastAsia" w:ascii="宋体" w:hAnsi="宋体" w:eastAsia="宋体" w:cs="宋体"/>
              <w:sz w:val="28"/>
              <w:szCs w:val="28"/>
            </w:rPr>
            <w:fldChar w:fldCharType="separate"/>
          </w:r>
          <w:r>
            <w:rPr>
              <w:rFonts w:hint="eastAsia" w:ascii="宋体" w:hAnsi="宋体" w:eastAsia="宋体" w:cs="宋体"/>
              <w:sz w:val="28"/>
              <w:szCs w:val="28"/>
            </w:rPr>
            <w:t>58</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0CDE6041">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_Toc16983 </w:instrText>
          </w:r>
          <w:r>
            <w:rPr>
              <w:rFonts w:hint="eastAsia" w:ascii="宋体" w:hAnsi="宋体" w:eastAsia="宋体" w:cs="宋体"/>
              <w:bCs/>
              <w:sz w:val="28"/>
              <w:szCs w:val="28"/>
            </w:rPr>
            <w:fldChar w:fldCharType="separate"/>
          </w:r>
          <w:r>
            <w:rPr>
              <w:rFonts w:hint="eastAsia" w:ascii="宋体" w:hAnsi="宋体" w:eastAsia="宋体" w:cs="宋体"/>
              <w:sz w:val="28"/>
              <w:szCs w:val="28"/>
            </w:rPr>
            <w:t>六、 投标人或制造商基本情况表（格式）</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_Toc16983 \h </w:instrText>
          </w:r>
          <w:r>
            <w:rPr>
              <w:rFonts w:hint="eastAsia" w:ascii="宋体" w:hAnsi="宋体" w:eastAsia="宋体" w:cs="宋体"/>
              <w:sz w:val="28"/>
              <w:szCs w:val="28"/>
            </w:rPr>
            <w:fldChar w:fldCharType="separate"/>
          </w:r>
          <w:r>
            <w:rPr>
              <w:rFonts w:hint="eastAsia" w:ascii="宋体" w:hAnsi="宋体" w:eastAsia="宋体" w:cs="宋体"/>
              <w:sz w:val="28"/>
              <w:szCs w:val="28"/>
            </w:rPr>
            <w:t>61</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57012B4">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_Toc20195 </w:instrText>
          </w:r>
          <w:r>
            <w:rPr>
              <w:rFonts w:hint="eastAsia" w:ascii="宋体" w:hAnsi="宋体" w:eastAsia="宋体" w:cs="宋体"/>
              <w:bCs/>
              <w:sz w:val="28"/>
              <w:szCs w:val="28"/>
            </w:rPr>
            <w:fldChar w:fldCharType="separate"/>
          </w:r>
          <w:r>
            <w:rPr>
              <w:rFonts w:hint="eastAsia" w:ascii="宋体" w:hAnsi="宋体" w:eastAsia="宋体" w:cs="宋体"/>
              <w:sz w:val="28"/>
              <w:szCs w:val="28"/>
            </w:rPr>
            <w:t>七、 项目实施情况一览表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_Toc20195 \h </w:instrText>
          </w:r>
          <w:r>
            <w:rPr>
              <w:rFonts w:hint="eastAsia" w:ascii="宋体" w:hAnsi="宋体" w:eastAsia="宋体" w:cs="宋体"/>
              <w:sz w:val="28"/>
              <w:szCs w:val="28"/>
            </w:rPr>
            <w:fldChar w:fldCharType="separate"/>
          </w:r>
          <w:r>
            <w:rPr>
              <w:rFonts w:hint="eastAsia" w:ascii="宋体" w:hAnsi="宋体" w:eastAsia="宋体" w:cs="宋体"/>
              <w:sz w:val="28"/>
              <w:szCs w:val="28"/>
            </w:rPr>
            <w:t>62</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2326561F">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_Toc24231 </w:instrText>
          </w:r>
          <w:r>
            <w:rPr>
              <w:rFonts w:hint="eastAsia" w:ascii="宋体" w:hAnsi="宋体" w:eastAsia="宋体" w:cs="宋体"/>
              <w:bCs/>
              <w:sz w:val="28"/>
              <w:szCs w:val="28"/>
            </w:rPr>
            <w:fldChar w:fldCharType="separate"/>
          </w:r>
          <w:r>
            <w:rPr>
              <w:rFonts w:hint="eastAsia" w:ascii="宋体" w:hAnsi="宋体" w:eastAsia="宋体" w:cs="宋体"/>
              <w:sz w:val="28"/>
              <w:szCs w:val="28"/>
            </w:rPr>
            <w:t>八、 备品备件一览表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_Toc24231 \h </w:instrText>
          </w:r>
          <w:r>
            <w:rPr>
              <w:rFonts w:hint="eastAsia" w:ascii="宋体" w:hAnsi="宋体" w:eastAsia="宋体" w:cs="宋体"/>
              <w:sz w:val="28"/>
              <w:szCs w:val="28"/>
            </w:rPr>
            <w:fldChar w:fldCharType="separate"/>
          </w:r>
          <w:r>
            <w:rPr>
              <w:rFonts w:hint="eastAsia" w:ascii="宋体" w:hAnsi="宋体" w:eastAsia="宋体" w:cs="宋体"/>
              <w:sz w:val="28"/>
              <w:szCs w:val="28"/>
            </w:rPr>
            <w:t>63</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6323B2CB">
          <w:pPr>
            <w:pStyle w:val="24"/>
            <w:keepNext w:val="0"/>
            <w:keepLines w:val="0"/>
            <w:pageBreakBefore w:val="0"/>
            <w:widowControl/>
            <w:tabs>
              <w:tab w:val="right" w:leader="dot" w:pos="9740"/>
            </w:tabs>
            <w:kinsoku w:val="0"/>
            <w:wordWrap/>
            <w:overflowPunct/>
            <w:topLinePunct w:val="0"/>
            <w:autoSpaceDE w:val="0"/>
            <w:autoSpaceDN w:val="0"/>
            <w:bidi w:val="0"/>
            <w:adjustRightInd w:val="0"/>
            <w:snapToGrid w:val="0"/>
            <w:spacing w:line="500" w:lineRule="exact"/>
            <w:textAlignment w:val="baseline"/>
            <w:rPr>
              <w:rFonts w:hint="eastAsia" w:ascii="宋体" w:hAnsi="宋体" w:eastAsia="宋体" w:cs="宋体"/>
              <w:sz w:val="28"/>
              <w:szCs w:val="28"/>
            </w:rPr>
          </w:pPr>
          <w:r>
            <w:rPr>
              <w:rFonts w:hint="eastAsia" w:ascii="宋体" w:hAnsi="宋体" w:eastAsia="宋体" w:cs="宋体"/>
              <w:bCs/>
              <w:sz w:val="28"/>
              <w:szCs w:val="28"/>
            </w:rPr>
            <w:fldChar w:fldCharType="begin"/>
          </w:r>
          <w:r>
            <w:rPr>
              <w:rFonts w:hint="eastAsia" w:ascii="宋体" w:hAnsi="宋体" w:eastAsia="宋体" w:cs="宋体"/>
              <w:bCs/>
              <w:sz w:val="28"/>
              <w:szCs w:val="28"/>
            </w:rPr>
            <w:instrText xml:space="preserve"> HYPERLINK \l _Toc16727 </w:instrText>
          </w:r>
          <w:r>
            <w:rPr>
              <w:rFonts w:hint="eastAsia" w:ascii="宋体" w:hAnsi="宋体" w:eastAsia="宋体" w:cs="宋体"/>
              <w:bCs/>
              <w:sz w:val="28"/>
              <w:szCs w:val="28"/>
            </w:rPr>
            <w:fldChar w:fldCharType="separate"/>
          </w:r>
          <w:r>
            <w:rPr>
              <w:rFonts w:hint="eastAsia" w:ascii="宋体" w:hAnsi="宋体" w:eastAsia="宋体" w:cs="宋体"/>
              <w:sz w:val="28"/>
              <w:szCs w:val="28"/>
            </w:rPr>
            <w:t>九、 现场指导主要人员表</w:t>
          </w:r>
          <w:r>
            <w:rPr>
              <w:rFonts w:hint="eastAsia" w:ascii="宋体" w:hAnsi="宋体" w:eastAsia="宋体" w:cs="宋体"/>
              <w:sz w:val="28"/>
              <w:szCs w:val="28"/>
            </w:rPr>
            <w:tab/>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PAGEREF _Toc16727 \h </w:instrText>
          </w:r>
          <w:r>
            <w:rPr>
              <w:rFonts w:hint="eastAsia" w:ascii="宋体" w:hAnsi="宋体" w:eastAsia="宋体" w:cs="宋体"/>
              <w:sz w:val="28"/>
              <w:szCs w:val="28"/>
            </w:rPr>
            <w:fldChar w:fldCharType="separate"/>
          </w:r>
          <w:r>
            <w:rPr>
              <w:rFonts w:hint="eastAsia" w:ascii="宋体" w:hAnsi="宋体" w:eastAsia="宋体" w:cs="宋体"/>
              <w:sz w:val="28"/>
              <w:szCs w:val="28"/>
            </w:rPr>
            <w:t>64</w:t>
          </w:r>
          <w:r>
            <w:rPr>
              <w:rFonts w:hint="eastAsia" w:ascii="宋体" w:hAnsi="宋体" w:eastAsia="宋体" w:cs="宋体"/>
              <w:sz w:val="28"/>
              <w:szCs w:val="28"/>
            </w:rPr>
            <w:fldChar w:fldCharType="end"/>
          </w:r>
          <w:r>
            <w:rPr>
              <w:rFonts w:hint="eastAsia" w:ascii="宋体" w:hAnsi="宋体" w:eastAsia="宋体" w:cs="宋体"/>
              <w:bCs/>
              <w:sz w:val="28"/>
              <w:szCs w:val="28"/>
            </w:rPr>
            <w:fldChar w:fldCharType="end"/>
          </w:r>
        </w:p>
        <w:p w14:paraId="781570F6">
          <w:pPr>
            <w:pStyle w:val="8"/>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pPr>
          <w:r>
            <w:rPr>
              <w:rFonts w:hint="eastAsia" w:ascii="宋体" w:hAnsi="宋体" w:eastAsia="宋体" w:cs="宋体"/>
              <w:bCs/>
              <w:sz w:val="28"/>
              <w:szCs w:val="28"/>
            </w:rPr>
            <w:fldChar w:fldCharType="end"/>
          </w:r>
          <w:bookmarkStart w:id="4" w:name="_Toc25020"/>
          <w:bookmarkStart w:id="5" w:name="_Toc9448"/>
        </w:p>
      </w:sdtContent>
    </w:sdt>
    <w:p w14:paraId="54DE21E5">
      <w:pPr>
        <w:pStyle w:val="8"/>
        <w:keepNext w:val="0"/>
        <w:keepLines w:val="0"/>
        <w:pageBreakBefore w:val="0"/>
        <w:widowControl/>
        <w:kinsoku w:val="0"/>
        <w:wordWrap/>
        <w:overflowPunct/>
        <w:topLinePunct w:val="0"/>
        <w:autoSpaceDE w:val="0"/>
        <w:autoSpaceDN w:val="0"/>
        <w:bidi w:val="0"/>
        <w:adjustRightInd w:val="0"/>
        <w:snapToGrid w:val="0"/>
        <w:spacing w:line="500" w:lineRule="exact"/>
        <w:textAlignment w:val="baseline"/>
        <w:rPr>
          <w:rFonts w:ascii="黑体" w:hAnsi="黑体" w:eastAsia="黑体" w:cs="黑体"/>
          <w:spacing w:val="10"/>
          <w:sz w:val="31"/>
          <w:szCs w:val="31"/>
        </w:rPr>
      </w:pPr>
      <w:r>
        <w:rPr>
          <w:rFonts w:ascii="黑体" w:hAnsi="黑体" w:eastAsia="黑体" w:cs="黑体"/>
          <w:spacing w:val="10"/>
          <w:sz w:val="31"/>
          <w:szCs w:val="31"/>
        </w:rPr>
        <w:br w:type="page"/>
      </w:r>
    </w:p>
    <w:p w14:paraId="47933203">
      <w:pPr>
        <w:pStyle w:val="2"/>
        <w:rPr>
          <w:rFonts w:hint="eastAsia" w:ascii="黑体" w:hAnsi="黑体" w:eastAsia="黑体" w:cs="黑体"/>
          <w:sz w:val="31"/>
          <w:szCs w:val="31"/>
        </w:rPr>
      </w:pPr>
      <w:bookmarkStart w:id="6" w:name="_Toc25026"/>
      <w:r>
        <w:rPr>
          <w:rFonts w:ascii="黑体" w:hAnsi="黑体" w:eastAsia="黑体" w:cs="黑体"/>
          <w:spacing w:val="10"/>
          <w:sz w:val="31"/>
          <w:szCs w:val="31"/>
        </w:rPr>
        <w:t>第</w:t>
      </w:r>
      <w:r>
        <w:rPr>
          <w:rFonts w:ascii="黑体" w:hAnsi="黑体" w:eastAsia="黑体" w:cs="黑体"/>
          <w:spacing w:val="7"/>
          <w:sz w:val="31"/>
          <w:szCs w:val="31"/>
        </w:rPr>
        <w:t>一章</w:t>
      </w:r>
      <w:r>
        <w:rPr>
          <w:rFonts w:hint="eastAsia" w:ascii="黑体" w:hAnsi="黑体" w:eastAsia="黑体" w:cs="黑体"/>
          <w:spacing w:val="7"/>
          <w:sz w:val="31"/>
          <w:szCs w:val="31"/>
        </w:rPr>
        <w:t xml:space="preserve">    </w:t>
      </w:r>
      <w:r>
        <w:rPr>
          <w:rFonts w:ascii="黑体" w:hAnsi="黑体" w:eastAsia="黑体" w:cs="黑体"/>
          <w:spacing w:val="7"/>
          <w:sz w:val="31"/>
          <w:szCs w:val="31"/>
        </w:rPr>
        <w:t>招标公告</w:t>
      </w:r>
      <w:bookmarkEnd w:id="4"/>
      <w:bookmarkEnd w:id="5"/>
      <w:bookmarkEnd w:id="6"/>
    </w:p>
    <w:p w14:paraId="134DEB35">
      <w:pPr>
        <w:spacing w:line="480" w:lineRule="exact"/>
        <w:ind w:left="843" w:hanging="843" w:hangingChars="300"/>
        <w:jc w:val="center"/>
        <w:rPr>
          <w:rFonts w:hint="eastAsia" w:ascii="宋体" w:hAnsi="宋体" w:eastAsia="宋体" w:cs="宋体"/>
          <w:b/>
          <w:sz w:val="28"/>
          <w:szCs w:val="24"/>
        </w:rPr>
      </w:pPr>
      <w:r>
        <w:rPr>
          <w:rFonts w:hint="eastAsia" w:ascii="宋体" w:hAnsi="宋体" w:eastAsia="宋体" w:cs="宋体"/>
          <w:b/>
          <w:sz w:val="28"/>
          <w:szCs w:val="24"/>
          <w:lang w:eastAsia="zh-CN"/>
        </w:rPr>
        <w:t>三门县饮用水水源地保护及生态修复项目-农村生活污水处理工程-管材</w:t>
      </w:r>
      <w:r>
        <w:rPr>
          <w:rFonts w:hint="eastAsia" w:ascii="宋体" w:hAnsi="宋体" w:eastAsia="宋体" w:cs="宋体"/>
          <w:b/>
          <w:sz w:val="28"/>
          <w:szCs w:val="24"/>
        </w:rPr>
        <w:t xml:space="preserve"> </w:t>
      </w:r>
    </w:p>
    <w:p w14:paraId="2F450A53">
      <w:pPr>
        <w:spacing w:line="480" w:lineRule="exact"/>
        <w:jc w:val="center"/>
        <w:rPr>
          <w:rFonts w:hint="eastAsia" w:ascii="宋体" w:hAnsi="宋体" w:eastAsia="宋体" w:cs="宋体"/>
          <w:b/>
          <w:bCs/>
          <w:sz w:val="28"/>
          <w:szCs w:val="24"/>
        </w:rPr>
      </w:pPr>
      <w:bookmarkStart w:id="7" w:name="_Toc533772317"/>
      <w:bookmarkStart w:id="8" w:name="_Toc533772377"/>
      <w:bookmarkStart w:id="9" w:name="_Toc310349846"/>
      <w:bookmarkStart w:id="10" w:name="_Toc533772253"/>
      <w:r>
        <w:rPr>
          <w:rFonts w:hint="eastAsia" w:ascii="宋体" w:hAnsi="宋体" w:eastAsia="宋体" w:cs="宋体"/>
          <w:b/>
          <w:bCs/>
          <w:sz w:val="28"/>
          <w:szCs w:val="24"/>
        </w:rPr>
        <w:t>招标公告</w:t>
      </w:r>
      <w:bookmarkEnd w:id="7"/>
      <w:bookmarkEnd w:id="8"/>
      <w:bookmarkEnd w:id="9"/>
      <w:bookmarkEnd w:id="10"/>
    </w:p>
    <w:p w14:paraId="06A9E33B">
      <w:pPr>
        <w:pageBreakBefore w:val="0"/>
        <w:widowControl/>
        <w:numPr>
          <w:ilvl w:val="0"/>
          <w:numId w:val="5"/>
        </w:numPr>
        <w:kinsoku w:val="0"/>
        <w:overflowPunct/>
        <w:topLinePunct w:val="0"/>
        <w:bidi w:val="0"/>
        <w:snapToGrid w:val="0"/>
        <w:spacing w:line="440" w:lineRule="exact"/>
        <w:ind w:left="0" w:leftChars="0" w:right="0" w:rightChars="0" w:firstLine="0"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招标条件</w:t>
      </w:r>
    </w:p>
    <w:p w14:paraId="3148771D">
      <w:pPr>
        <w:pStyle w:val="10"/>
        <w:keepNext/>
        <w:keepLines/>
        <w:pageBreakBefore w:val="0"/>
        <w:widowControl/>
        <w:tabs>
          <w:tab w:val="left" w:pos="1343"/>
          <w:tab w:val="left" w:pos="2697"/>
          <w:tab w:val="left" w:pos="3264"/>
          <w:tab w:val="left" w:pos="4896"/>
          <w:tab w:val="left" w:pos="6005"/>
          <w:tab w:val="left" w:pos="7085"/>
          <w:tab w:val="left" w:pos="7498"/>
          <w:tab w:val="clear" w:pos="574"/>
        </w:tabs>
        <w:kinsoku w:val="0"/>
        <w:wordWrap/>
        <w:overflowPunct/>
        <w:topLinePunct w:val="0"/>
        <w:autoSpaceDE w:val="0"/>
        <w:autoSpaceDN w:val="0"/>
        <w:bidi w:val="0"/>
        <w:adjustRightInd w:val="0"/>
        <w:snapToGrid w:val="0"/>
        <w:spacing w:line="440" w:lineRule="exact"/>
        <w:ind w:left="0" w:leftChars="0" w:right="0" w:rightChars="0" w:firstLine="476" w:firstLineChars="200"/>
        <w:jc w:val="both"/>
        <w:textAlignment w:val="baseline"/>
        <w:rPr>
          <w:rFonts w:hint="eastAsia" w:ascii="宋体" w:hAnsi="宋体" w:eastAsia="宋体" w:cs="宋体"/>
          <w:color w:val="auto"/>
          <w:sz w:val="24"/>
          <w:szCs w:val="24"/>
        </w:rPr>
      </w:pPr>
      <w:r>
        <w:rPr>
          <w:rFonts w:hint="eastAsia" w:cs="宋体"/>
          <w:color w:val="auto"/>
          <w:spacing w:val="-1"/>
          <w:sz w:val="24"/>
          <w:szCs w:val="24"/>
          <w:u w:val="single"/>
          <w:lang w:eastAsia="zh-CN"/>
        </w:rPr>
        <w:t>三门县饮用水水源地保护及生态修复项目-农村生活污水处理工程-管材</w:t>
      </w:r>
      <w:r>
        <w:rPr>
          <w:rFonts w:hint="eastAsia" w:ascii="宋体" w:hAnsi="宋体" w:eastAsia="宋体" w:cs="宋体"/>
          <w:color w:val="auto"/>
          <w:spacing w:val="-1"/>
          <w:sz w:val="24"/>
          <w:szCs w:val="24"/>
        </w:rPr>
        <w:t>已</w:t>
      </w:r>
      <w:r>
        <w:rPr>
          <w:rFonts w:hint="eastAsia" w:ascii="宋体" w:hAnsi="宋体" w:eastAsia="宋体" w:cs="宋体"/>
          <w:color w:val="auto"/>
          <w:spacing w:val="-1"/>
          <w:sz w:val="24"/>
          <w:szCs w:val="24"/>
          <w:u w:val="single"/>
        </w:rPr>
        <w:t xml:space="preserve"> 三门县发展和改革局 </w:t>
      </w:r>
      <w:r>
        <w:rPr>
          <w:rFonts w:hint="eastAsia" w:ascii="宋体" w:hAnsi="宋体" w:eastAsia="宋体" w:cs="宋体"/>
          <w:color w:val="auto"/>
          <w:spacing w:val="-5"/>
          <w:sz w:val="24"/>
          <w:szCs w:val="24"/>
        </w:rPr>
        <w:t>以</w:t>
      </w:r>
      <w:r>
        <w:rPr>
          <w:rFonts w:hint="eastAsia" w:ascii="宋体" w:hAnsi="宋体" w:eastAsia="宋体" w:cs="宋体"/>
          <w:color w:val="auto"/>
          <w:spacing w:val="-4"/>
          <w:sz w:val="24"/>
          <w:szCs w:val="24"/>
          <w:u w:val="single"/>
        </w:rPr>
        <w:t xml:space="preserve"> 三发改审〔2024〕118 号 </w:t>
      </w:r>
      <w:r>
        <w:rPr>
          <w:rFonts w:hint="eastAsia" w:ascii="宋体" w:hAnsi="宋体" w:eastAsia="宋体" w:cs="宋体"/>
          <w:color w:val="auto"/>
          <w:spacing w:val="-4"/>
          <w:sz w:val="24"/>
          <w:szCs w:val="24"/>
        </w:rPr>
        <w:t>批准建设，建设资金来</w:t>
      </w:r>
      <w:r>
        <w:rPr>
          <w:rFonts w:hint="eastAsia" w:ascii="宋体" w:hAnsi="宋体" w:eastAsia="宋体" w:cs="宋体"/>
          <w:color w:val="auto"/>
          <w:spacing w:val="-97"/>
          <w:sz w:val="24"/>
          <w:szCs w:val="24"/>
        </w:rPr>
        <w:t xml:space="preserve"> </w:t>
      </w:r>
      <w:r>
        <w:rPr>
          <w:rFonts w:hint="eastAsia" w:ascii="宋体" w:hAnsi="宋体" w:eastAsia="宋体" w:cs="宋体"/>
          <w:color w:val="auto"/>
          <w:spacing w:val="-1"/>
          <w:sz w:val="24"/>
          <w:szCs w:val="24"/>
        </w:rPr>
        <w:t>自</w:t>
      </w:r>
      <w:r>
        <w:rPr>
          <w:rFonts w:hint="eastAsia" w:ascii="宋体" w:hAnsi="宋体" w:eastAsia="宋体" w:cs="宋体"/>
          <w:color w:val="auto"/>
          <w:spacing w:val="-1"/>
          <w:sz w:val="24"/>
          <w:szCs w:val="24"/>
          <w:u w:val="single"/>
        </w:rPr>
        <w:t>财政拨款</w:t>
      </w:r>
      <w:r>
        <w:rPr>
          <w:rFonts w:hint="eastAsia" w:ascii="宋体" w:hAnsi="宋体" w:eastAsia="宋体" w:cs="宋体"/>
          <w:color w:val="auto"/>
          <w:spacing w:val="-6"/>
          <w:sz w:val="24"/>
          <w:szCs w:val="24"/>
        </w:rPr>
        <w:t>，出资比例为</w:t>
      </w:r>
      <w:r>
        <w:rPr>
          <w:rFonts w:hint="eastAsia" w:ascii="宋体" w:hAnsi="宋体" w:eastAsia="宋体" w:cs="宋体"/>
          <w:color w:val="auto"/>
          <w:spacing w:val="-6"/>
          <w:sz w:val="24"/>
          <w:szCs w:val="24"/>
          <w:u w:val="single"/>
        </w:rPr>
        <w:t>财政资金占比100%</w:t>
      </w:r>
      <w:r>
        <w:rPr>
          <w:rFonts w:hint="eastAsia" w:ascii="宋体" w:hAnsi="宋体" w:eastAsia="宋体" w:cs="宋体"/>
          <w:color w:val="auto"/>
          <w:spacing w:val="-6"/>
          <w:sz w:val="24"/>
          <w:szCs w:val="24"/>
        </w:rPr>
        <w:t>，招标人为</w:t>
      </w:r>
      <w:r>
        <w:rPr>
          <w:rFonts w:hint="eastAsia" w:ascii="宋体" w:hAnsi="宋体" w:eastAsia="宋体" w:cs="宋体"/>
          <w:color w:val="auto"/>
          <w:sz w:val="24"/>
          <w:szCs w:val="24"/>
          <w:u w:val="single"/>
        </w:rPr>
        <w:t>三门县环境有限公司</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pacing w:val="-6"/>
          <w:sz w:val="24"/>
          <w:szCs w:val="24"/>
        </w:rPr>
        <w:t>，委托代理机构为</w:t>
      </w:r>
      <w:r>
        <w:rPr>
          <w:rFonts w:hint="eastAsia" w:ascii="宋体" w:hAnsi="宋体" w:eastAsia="宋体" w:cs="宋体"/>
          <w:color w:val="auto"/>
          <w:spacing w:val="-6"/>
          <w:sz w:val="24"/>
          <w:szCs w:val="24"/>
          <w:u w:val="single"/>
        </w:rPr>
        <w:t xml:space="preserve"> </w:t>
      </w:r>
      <w:r>
        <w:rPr>
          <w:rFonts w:hint="eastAsia" w:ascii="宋体" w:hAnsi="宋体" w:eastAsia="宋体" w:cs="宋体"/>
          <w:color w:val="auto"/>
          <w:sz w:val="24"/>
          <w:szCs w:val="24"/>
          <w:u w:val="single"/>
        </w:rPr>
        <w:t>三门华厦建设工程造价事务所（普通合伙）</w:t>
      </w:r>
      <w:r>
        <w:rPr>
          <w:rFonts w:hint="eastAsia" w:ascii="宋体" w:hAnsi="宋体" w:eastAsia="宋体" w:cs="宋体"/>
          <w:color w:val="auto"/>
          <w:spacing w:val="-4"/>
          <w:sz w:val="24"/>
          <w:szCs w:val="24"/>
        </w:rPr>
        <w:t>。项目已具备招标</w:t>
      </w:r>
      <w:r>
        <w:rPr>
          <w:rFonts w:hint="eastAsia" w:ascii="宋体" w:hAnsi="宋体" w:eastAsia="宋体" w:cs="宋体"/>
          <w:color w:val="auto"/>
          <w:spacing w:val="-95"/>
          <w:sz w:val="24"/>
          <w:szCs w:val="24"/>
        </w:rPr>
        <w:t xml:space="preserve"> </w:t>
      </w:r>
      <w:r>
        <w:rPr>
          <w:rFonts w:hint="eastAsia" w:ascii="宋体" w:hAnsi="宋体" w:eastAsia="宋体" w:cs="宋体"/>
          <w:color w:val="auto"/>
          <w:sz w:val="24"/>
          <w:szCs w:val="24"/>
        </w:rPr>
        <w:t>条件，现对该项目的</w:t>
      </w:r>
      <w:r>
        <w:rPr>
          <w:rFonts w:hint="eastAsia" w:ascii="宋体" w:hAnsi="宋体" w:eastAsia="宋体" w:cs="宋体"/>
          <w:color w:val="auto"/>
          <w:sz w:val="24"/>
          <w:szCs w:val="24"/>
          <w:u w:val="single"/>
        </w:rPr>
        <w:t xml:space="preserve"> </w:t>
      </w:r>
      <w:r>
        <w:rPr>
          <w:rFonts w:hint="eastAsia" w:cs="宋体"/>
          <w:color w:val="auto"/>
          <w:spacing w:val="-1"/>
          <w:sz w:val="24"/>
          <w:szCs w:val="24"/>
          <w:u w:val="single"/>
          <w:lang w:eastAsia="zh-CN"/>
        </w:rPr>
        <w:t>三门县饮用水水源地保护及生态修复项目-农村生活污水处理工程-管材</w:t>
      </w:r>
      <w:r>
        <w:rPr>
          <w:rFonts w:hint="eastAsia" w:ascii="宋体" w:hAnsi="宋体" w:eastAsia="宋体" w:cs="宋体"/>
          <w:color w:val="auto"/>
          <w:sz w:val="24"/>
          <w:szCs w:val="24"/>
        </w:rPr>
        <w:t>的施工进行公开招标。</w:t>
      </w:r>
    </w:p>
    <w:p w14:paraId="26CCF819">
      <w:pPr>
        <w:pageBreakBefore w:val="0"/>
        <w:widowControl/>
        <w:numPr>
          <w:ilvl w:val="0"/>
          <w:numId w:val="5"/>
        </w:numPr>
        <w:kinsoku w:val="0"/>
        <w:overflowPunct/>
        <w:topLinePunct w:val="0"/>
        <w:bidi w:val="0"/>
        <w:snapToGrid w:val="0"/>
        <w:spacing w:line="440" w:lineRule="exact"/>
        <w:ind w:left="0" w:leftChars="0" w:right="0" w:righ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sz w:val="24"/>
          <w:szCs w:val="24"/>
        </w:rPr>
        <w:t>项目概况与招标范围</w:t>
      </w:r>
    </w:p>
    <w:p w14:paraId="20569FD7">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2.1 项目概况：</w:t>
      </w:r>
      <w:r>
        <w:rPr>
          <w:rFonts w:hint="eastAsia" w:ascii="宋体" w:hAnsi="宋体" w:eastAsia="宋体" w:cs="宋体"/>
          <w:color w:val="auto"/>
          <w:sz w:val="24"/>
          <w:szCs w:val="24"/>
          <w:lang w:val="en-US" w:eastAsia="zh-CN"/>
        </w:rPr>
        <w:t>本次为三门县饮用水水源地保护及生态修复项目-农村生活污水处理工程-管材招标，包括产品的设计制造、包装、运输（含装卸）、产品保护、货到就位、供货点仓储建设、仓储货物管理、二次运输至施工现场（含装卸）、技术服务、售后服务、质量保修及相关部门验收（含第三方验收）等工作</w:t>
      </w:r>
      <w:r>
        <w:rPr>
          <w:rFonts w:hint="eastAsia" w:ascii="宋体" w:hAnsi="宋体" w:eastAsia="宋体" w:cs="宋体"/>
          <w:color w:val="auto"/>
          <w:sz w:val="24"/>
          <w:szCs w:val="24"/>
        </w:rPr>
        <w:t>。</w:t>
      </w:r>
    </w:p>
    <w:p w14:paraId="363EBCE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2.2 招标范围：</w:t>
      </w:r>
      <w:r>
        <w:rPr>
          <w:rFonts w:hint="eastAsia" w:ascii="宋体" w:hAnsi="宋体" w:eastAsia="宋体" w:cs="宋体"/>
          <w:color w:val="auto"/>
          <w:sz w:val="24"/>
          <w:szCs w:val="24"/>
          <w:lang w:eastAsia="zh-CN"/>
        </w:rPr>
        <w:t>承插式聚乙烯实壁排水管De315 SN8、PE100实壁管子及管件、UPVC排水管等</w:t>
      </w:r>
      <w:r>
        <w:rPr>
          <w:rFonts w:hint="eastAsia" w:ascii="宋体" w:hAnsi="宋体" w:eastAsia="宋体" w:cs="宋体"/>
          <w:color w:val="auto"/>
          <w:sz w:val="24"/>
          <w:szCs w:val="24"/>
        </w:rPr>
        <w:t>。</w:t>
      </w:r>
    </w:p>
    <w:p w14:paraId="1FE1631A">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2.3 投标最高限</w:t>
      </w:r>
      <w:r>
        <w:rPr>
          <w:rFonts w:hint="eastAsia" w:ascii="宋体" w:hAnsi="宋体" w:eastAsia="宋体" w:cs="宋体"/>
          <w:color w:val="auto"/>
          <w:sz w:val="24"/>
          <w:szCs w:val="24"/>
          <w:highlight w:val="none"/>
        </w:rPr>
        <w:t>价：为人民币</w:t>
      </w:r>
      <w:r>
        <w:rPr>
          <w:rFonts w:hint="eastAsia" w:ascii="宋体" w:hAnsi="宋体" w:eastAsia="宋体" w:cs="宋体"/>
          <w:b/>
          <w:color w:val="auto"/>
          <w:sz w:val="24"/>
          <w:szCs w:val="24"/>
          <w:highlight w:val="none"/>
          <w:u w:val="single"/>
          <w:lang w:eastAsia="zh-CN"/>
        </w:rPr>
        <w:t>6871672.00</w:t>
      </w:r>
      <w:r>
        <w:rPr>
          <w:rFonts w:hint="eastAsia" w:ascii="宋体" w:hAnsi="宋体" w:eastAsia="宋体" w:cs="宋体"/>
          <w:color w:val="auto"/>
          <w:sz w:val="24"/>
          <w:szCs w:val="24"/>
          <w:highlight w:val="none"/>
        </w:rPr>
        <w:t>元。</w:t>
      </w:r>
    </w:p>
    <w:p w14:paraId="24A3A1F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 xml:space="preserve">2.4 </w:t>
      </w:r>
      <w:r>
        <w:rPr>
          <w:rFonts w:hint="eastAsia" w:ascii="宋体" w:hAnsi="宋体" w:eastAsia="宋体" w:cs="宋体"/>
          <w:color w:val="auto"/>
          <w:sz w:val="24"/>
          <w:szCs w:val="24"/>
          <w:lang w:eastAsia="zh-CN"/>
        </w:rPr>
        <w:t>供货期</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在招标人（或其委托人）发出供货通知书（或者提单）后，中标人按照中标承诺书中承诺的日历天内（不超过7日历天</w:t>
      </w:r>
      <w:r>
        <w:rPr>
          <w:rFonts w:hint="eastAsia" w:ascii="宋体" w:hAnsi="宋体" w:eastAsia="宋体" w:cs="宋体"/>
          <w:sz w:val="24"/>
          <w:szCs w:val="24"/>
          <w:lang w:eastAsia="zh-CN"/>
        </w:rPr>
        <w:t>）完成供货。供货周期为中标通知书发出之日起至所有工程完工验收止</w:t>
      </w:r>
      <w:r>
        <w:rPr>
          <w:rFonts w:hint="eastAsia" w:ascii="宋体" w:hAnsi="宋体" w:eastAsia="宋体" w:cs="宋体"/>
          <w:sz w:val="24"/>
          <w:szCs w:val="24"/>
        </w:rPr>
        <w:t>。</w:t>
      </w:r>
    </w:p>
    <w:p w14:paraId="3489E33D">
      <w:pPr>
        <w:pageBreakBefore w:val="0"/>
        <w:widowControl/>
        <w:numPr>
          <w:ilvl w:val="0"/>
          <w:numId w:val="5"/>
        </w:numPr>
        <w:kinsoku w:val="0"/>
        <w:overflowPunct/>
        <w:topLinePunct w:val="0"/>
        <w:bidi w:val="0"/>
        <w:snapToGrid w:val="0"/>
        <w:spacing w:line="440" w:lineRule="exact"/>
        <w:ind w:left="0" w:leftChars="0" w:right="0" w:rightChars="0" w:firstLine="0" w:firstLineChars="0"/>
        <w:textAlignment w:val="baseline"/>
        <w:rPr>
          <w:rFonts w:hint="eastAsia" w:ascii="宋体" w:hAnsi="宋体" w:eastAsia="宋体" w:cs="宋体"/>
          <w:b/>
          <w:bCs/>
          <w:sz w:val="24"/>
          <w:szCs w:val="24"/>
        </w:rPr>
      </w:pPr>
      <w:r>
        <w:rPr>
          <w:rFonts w:hint="eastAsia" w:ascii="宋体" w:hAnsi="宋体" w:eastAsia="宋体" w:cs="宋体"/>
          <w:b/>
          <w:bCs/>
          <w:sz w:val="24"/>
          <w:szCs w:val="24"/>
        </w:rPr>
        <w:t>投标人资格要求</w:t>
      </w:r>
    </w:p>
    <w:p w14:paraId="7DB133ED">
      <w:pPr>
        <w:pStyle w:val="25"/>
        <w:spacing w:before="0" w:beforeAutospacing="0" w:after="0" w:afterAutospacing="0" w:line="360" w:lineRule="auto"/>
        <w:ind w:firstLine="420"/>
        <w:rPr>
          <w:color w:val="auto"/>
          <w:sz w:val="24"/>
          <w:szCs w:val="24"/>
          <w:highlight w:val="none"/>
        </w:rPr>
      </w:pPr>
      <w:r>
        <w:rPr>
          <w:rFonts w:hint="eastAsia"/>
          <w:color w:val="auto"/>
          <w:sz w:val="24"/>
          <w:szCs w:val="24"/>
          <w:highlight w:val="none"/>
          <w:shd w:val="clear" w:color="auto" w:fill="FFFFFF"/>
        </w:rPr>
        <w:t>3.1 本次招标要求投标人须具备：</w:t>
      </w:r>
    </w:p>
    <w:p w14:paraId="09630F26">
      <w:pPr>
        <w:pStyle w:val="25"/>
        <w:spacing w:before="0" w:beforeAutospacing="0" w:after="0" w:afterAutospacing="0" w:line="360" w:lineRule="auto"/>
        <w:rPr>
          <w:color w:val="auto"/>
          <w:sz w:val="24"/>
          <w:szCs w:val="24"/>
          <w:highlight w:val="none"/>
        </w:rPr>
      </w:pPr>
      <w:r>
        <w:rPr>
          <w:rFonts w:hint="eastAsia"/>
          <w:color w:val="auto"/>
          <w:sz w:val="24"/>
          <w:szCs w:val="24"/>
          <w:highlight w:val="none"/>
          <w:shd w:val="clear" w:color="auto" w:fill="FFFFFF"/>
        </w:rPr>
        <w:t>（1）具有独立法人资格，在中国境内国家行政管理部门注册登记并批准生产管材的生产企业。</w:t>
      </w:r>
    </w:p>
    <w:p w14:paraId="250220CF">
      <w:pPr>
        <w:pStyle w:val="25"/>
        <w:spacing w:before="0" w:beforeAutospacing="0" w:after="0" w:afterAutospacing="0" w:line="360" w:lineRule="auto"/>
        <w:rPr>
          <w:color w:val="auto"/>
          <w:sz w:val="24"/>
          <w:szCs w:val="24"/>
          <w:highlight w:val="none"/>
        </w:rPr>
      </w:pPr>
      <w:r>
        <w:rPr>
          <w:rFonts w:hint="eastAsia"/>
          <w:color w:val="auto"/>
          <w:sz w:val="24"/>
          <w:szCs w:val="24"/>
          <w:highlight w:val="none"/>
          <w:shd w:val="clear" w:color="auto" w:fill="FFFFFF"/>
        </w:rPr>
        <w:t>（2）法定代表人为同一个人的两个及两个以上法人，以及母公司与其控股公司，只能有一家参加投标。</w:t>
      </w:r>
    </w:p>
    <w:p w14:paraId="274AC163">
      <w:pPr>
        <w:pStyle w:val="25"/>
        <w:spacing w:before="0" w:beforeAutospacing="0" w:after="0" w:afterAutospacing="0" w:line="360" w:lineRule="auto"/>
        <w:rPr>
          <w:color w:val="auto"/>
          <w:sz w:val="24"/>
          <w:szCs w:val="24"/>
          <w:highlight w:val="none"/>
        </w:rPr>
      </w:pPr>
      <w:r>
        <w:rPr>
          <w:rFonts w:hint="eastAsia"/>
          <w:color w:val="auto"/>
          <w:sz w:val="24"/>
          <w:szCs w:val="24"/>
          <w:highlight w:val="none"/>
          <w:shd w:val="clear" w:color="auto" w:fill="FFFFFF"/>
        </w:rPr>
        <w:t>（3）投标人投标所使用的资格、信誉、荣誉、业绩、企业认证等所有资料必须为投标单位所拥有，不能用母公司、子公司等其他有关联的公司资料所代替。</w:t>
      </w:r>
    </w:p>
    <w:p w14:paraId="3C194047">
      <w:pPr>
        <w:pStyle w:val="25"/>
        <w:spacing w:before="0" w:beforeAutospacing="0" w:after="0" w:afterAutospacing="0" w:line="360" w:lineRule="auto"/>
        <w:ind w:firstLine="420"/>
        <w:rPr>
          <w:color w:val="auto"/>
          <w:sz w:val="21"/>
          <w:szCs w:val="21"/>
          <w:highlight w:val="none"/>
        </w:rPr>
      </w:pPr>
      <w:r>
        <w:rPr>
          <w:rFonts w:hint="eastAsia"/>
          <w:color w:val="auto"/>
          <w:sz w:val="24"/>
          <w:szCs w:val="24"/>
          <w:highlight w:val="none"/>
          <w:shd w:val="clear" w:color="auto" w:fill="FFFFFF"/>
        </w:rPr>
        <w:t>3.2 本次招标实行资格后审,资格审查的具体要求见招标文件。资格后审不合格的投标人投标文件将按无效标处理。</w:t>
      </w:r>
    </w:p>
    <w:p w14:paraId="4D267EF1">
      <w:pPr>
        <w:pageBreakBefore w:val="0"/>
        <w:widowControl/>
        <w:numPr>
          <w:ilvl w:val="0"/>
          <w:numId w:val="5"/>
        </w:numPr>
        <w:kinsoku w:val="0"/>
        <w:overflowPunct/>
        <w:topLinePunct w:val="0"/>
        <w:bidi w:val="0"/>
        <w:snapToGrid w:val="0"/>
        <w:spacing w:line="440" w:lineRule="exact"/>
        <w:ind w:left="0" w:leftChars="0" w:right="0" w:righ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sz w:val="24"/>
          <w:szCs w:val="24"/>
        </w:rPr>
        <w:t>招标文件的获取</w:t>
      </w:r>
    </w:p>
    <w:p w14:paraId="6CB940F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8"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2"/>
          <w:sz w:val="24"/>
          <w:szCs w:val="24"/>
          <w:lang w:val="en-US" w:eastAsia="zh-CN"/>
        </w:rPr>
        <w:t>4.1</w:t>
      </w:r>
      <w:r>
        <w:rPr>
          <w:rFonts w:hint="eastAsia" w:ascii="宋体" w:hAnsi="宋体" w:eastAsia="宋体" w:cs="宋体"/>
          <w:color w:val="auto"/>
          <w:spacing w:val="2"/>
          <w:sz w:val="24"/>
          <w:szCs w:val="24"/>
        </w:rPr>
        <w:t>本项目招标文件（含图纸）和补充（答疑、澄清）、修改文件以网</w:t>
      </w:r>
      <w:r>
        <w:rPr>
          <w:rFonts w:hint="eastAsia" w:ascii="宋体" w:hAnsi="宋体" w:eastAsia="宋体" w:cs="宋体"/>
          <w:color w:val="auto"/>
          <w:spacing w:val="1"/>
          <w:sz w:val="24"/>
          <w:szCs w:val="24"/>
        </w:rPr>
        <w:t>上下载方</w:t>
      </w:r>
      <w:r>
        <w:rPr>
          <w:rFonts w:hint="eastAsia" w:ascii="宋体" w:hAnsi="宋体" w:eastAsia="宋体" w:cs="宋体"/>
          <w:color w:val="auto"/>
          <w:spacing w:val="-1"/>
          <w:sz w:val="24"/>
          <w:szCs w:val="24"/>
        </w:rPr>
        <w:t>式发放</w:t>
      </w:r>
      <w:r>
        <w:rPr>
          <w:rFonts w:hint="eastAsia" w:ascii="宋体" w:hAnsi="宋体" w:eastAsia="宋体" w:cs="宋体"/>
          <w:color w:val="auto"/>
          <w:spacing w:val="-1"/>
          <w:sz w:val="24"/>
          <w:szCs w:val="24"/>
          <w:u w:val="single"/>
        </w:rPr>
        <w:t xml:space="preserve"> http://www.sanmen.gov.cn/col/col1229610743/index.html</w:t>
      </w:r>
      <w:r>
        <w:rPr>
          <w:rFonts w:hint="eastAsia" w:ascii="宋体" w:hAnsi="宋体" w:eastAsia="宋体" w:cs="宋体"/>
          <w:color w:val="auto"/>
          <w:spacing w:val="-1"/>
          <w:sz w:val="24"/>
          <w:szCs w:val="24"/>
        </w:rPr>
        <w:t>。</w:t>
      </w:r>
    </w:p>
    <w:p w14:paraId="29DEEBF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508"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.2招标文件下载网址：潜在投标人登录</w:t>
      </w:r>
      <w:r>
        <w:rPr>
          <w:rFonts w:hint="eastAsia" w:ascii="宋体" w:hAnsi="宋体" w:eastAsia="宋体" w:cs="宋体"/>
          <w:color w:val="auto"/>
          <w:sz w:val="24"/>
          <w:szCs w:val="24"/>
          <w:u w:val="single"/>
        </w:rPr>
        <w:t>http://www.sanmen.gov.cn/col/col1229610743/index.html</w:t>
      </w:r>
      <w:r>
        <w:rPr>
          <w:rFonts w:hint="eastAsia" w:ascii="宋体" w:hAnsi="宋体" w:eastAsia="宋体" w:cs="宋体"/>
          <w:color w:val="auto"/>
          <w:spacing w:val="-3"/>
          <w:sz w:val="24"/>
          <w:szCs w:val="24"/>
        </w:rPr>
        <w:t>自行下载招标文件。</w:t>
      </w:r>
    </w:p>
    <w:p w14:paraId="48AA8160">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6" w:firstLineChars="200"/>
        <w:textAlignment w:val="baseline"/>
        <w:rPr>
          <w:rFonts w:hint="eastAsia" w:ascii="宋体" w:hAnsi="宋体" w:eastAsia="宋体" w:cs="宋体"/>
          <w:color w:val="auto"/>
          <w:spacing w:val="-7"/>
          <w:sz w:val="24"/>
          <w:szCs w:val="24"/>
        </w:rPr>
      </w:pPr>
      <w:r>
        <w:rPr>
          <w:rFonts w:hint="eastAsia" w:ascii="宋体" w:hAnsi="宋体" w:eastAsia="宋体" w:cs="宋体"/>
          <w:color w:val="auto"/>
          <w:spacing w:val="-6"/>
          <w:sz w:val="24"/>
          <w:szCs w:val="24"/>
          <w:lang w:val="en-US" w:eastAsia="zh-CN"/>
        </w:rPr>
        <w:t>4</w:t>
      </w:r>
      <w:r>
        <w:rPr>
          <w:rFonts w:hint="eastAsia" w:ascii="宋体" w:hAnsi="宋体" w:eastAsia="宋体" w:cs="宋体"/>
          <w:color w:val="auto"/>
          <w:spacing w:val="-6"/>
          <w:sz w:val="24"/>
          <w:szCs w:val="24"/>
        </w:rPr>
        <w:t>.3招标文件网上下载时间</w:t>
      </w:r>
      <w:r>
        <w:rPr>
          <w:rFonts w:hint="eastAsia" w:ascii="宋体" w:hAnsi="宋体" w:eastAsia="宋体" w:cs="宋体"/>
          <w:color w:val="auto"/>
          <w:sz w:val="24"/>
          <w:szCs w:val="24"/>
        </w:rPr>
        <w:t>：</w:t>
      </w:r>
      <w:r>
        <w:rPr>
          <w:rFonts w:hint="eastAsia" w:ascii="宋体" w:hAnsi="宋体" w:eastAsia="宋体" w:cs="宋体"/>
          <w:color w:val="auto"/>
          <w:spacing w:val="-3"/>
          <w:sz w:val="24"/>
          <w:szCs w:val="24"/>
          <w:u w:val="single"/>
        </w:rPr>
        <w:t>公告发布之日起至投标文件递交截止时间</w:t>
      </w:r>
      <w:r>
        <w:rPr>
          <w:rFonts w:hint="eastAsia" w:ascii="宋体" w:hAnsi="宋体" w:eastAsia="宋体" w:cs="宋体"/>
          <w:color w:val="auto"/>
          <w:spacing w:val="-7"/>
          <w:sz w:val="24"/>
          <w:szCs w:val="24"/>
        </w:rPr>
        <w:t>。</w:t>
      </w:r>
    </w:p>
    <w:p w14:paraId="791C3598">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52"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7"/>
          <w:sz w:val="24"/>
          <w:szCs w:val="24"/>
          <w:lang w:val="en-US" w:eastAsia="zh-CN"/>
        </w:rPr>
        <w:t>4</w:t>
      </w:r>
      <w:r>
        <w:rPr>
          <w:rFonts w:hint="eastAsia" w:ascii="宋体" w:hAnsi="宋体" w:eastAsia="宋体" w:cs="宋体"/>
          <w:color w:val="auto"/>
          <w:spacing w:val="-7"/>
          <w:sz w:val="24"/>
          <w:szCs w:val="24"/>
        </w:rPr>
        <w:t>.4</w:t>
      </w:r>
      <w:r>
        <w:rPr>
          <w:rFonts w:hint="eastAsia" w:ascii="宋体" w:hAnsi="宋体" w:eastAsia="宋体" w:cs="宋体"/>
          <w:color w:val="auto"/>
          <w:sz w:val="24"/>
          <w:szCs w:val="24"/>
        </w:rPr>
        <w:t>本次招标采用“ 杭州品茗信息技术有限公司”提供的全流程招、投、开、评标工具。未在“三门县工程建设电子交易平台”注册及未领取CA锁的单位，请参照《三门县公共资源电子交易平台企业网上注册登记操作示意卡》自行网上注册并核验通过，见三门县公共资源交易网“下载中心”。CA锁办理请前往“三门县公共资源交易专用数字证书用户自助申报系统”自助办理（网址：</w:t>
      </w:r>
      <w:r>
        <w:rPr>
          <w:rFonts w:hint="eastAsia" w:ascii="宋体" w:hAnsi="宋体" w:eastAsia="宋体" w:cs="宋体"/>
          <w:color w:val="auto"/>
          <w:sz w:val="24"/>
          <w:szCs w:val="24"/>
          <w:u w:val="single"/>
        </w:rPr>
        <w:t>http://www.tseal.cn/tcloud/smxztb）</w:t>
      </w:r>
      <w:r>
        <w:rPr>
          <w:rFonts w:hint="eastAsia" w:ascii="宋体" w:hAnsi="宋体" w:eastAsia="宋体" w:cs="宋体"/>
          <w:color w:val="auto"/>
          <w:sz w:val="24"/>
          <w:szCs w:val="24"/>
        </w:rPr>
        <w:t>。</w:t>
      </w:r>
    </w:p>
    <w:p w14:paraId="162DD52D">
      <w:pPr>
        <w:keepNext/>
        <w:keepLines/>
        <w:pageBreakBefore w:val="0"/>
        <w:widowControl/>
        <w:numPr>
          <w:ilvl w:val="0"/>
          <w:numId w:val="5"/>
        </w:numPr>
        <w:kinsoku w:val="0"/>
        <w:overflowPunct/>
        <w:topLinePunct w:val="0"/>
        <w:autoSpaceDE/>
        <w:autoSpaceDN/>
        <w:bidi w:val="0"/>
        <w:adjustRightInd/>
        <w:snapToGrid w:val="0"/>
        <w:spacing w:line="440" w:lineRule="exact"/>
        <w:ind w:left="0" w:leftChars="0" w:right="0" w:rightChars="0" w:firstLine="0" w:firstLineChars="0"/>
        <w:textAlignment w:val="baseline"/>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投标文件的上传</w:t>
      </w:r>
    </w:p>
    <w:p w14:paraId="2D622B58">
      <w:pPr>
        <w:keepNext/>
        <w:keepLines/>
        <w:pageBreakBefore w:val="0"/>
        <w:widowControl/>
        <w:numPr>
          <w:ilvl w:val="0"/>
          <w:numId w:val="0"/>
        </w:numPr>
        <w:tabs>
          <w:tab w:val="left" w:pos="420"/>
        </w:tabs>
        <w:kinsoku w:val="0"/>
        <w:wordWrap/>
        <w:overflowPunct/>
        <w:topLinePunct w:val="0"/>
        <w:autoSpaceDE/>
        <w:autoSpaceDN/>
        <w:bidi w:val="0"/>
        <w:adjustRightInd/>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5.1</w:t>
      </w:r>
      <w:r>
        <w:rPr>
          <w:rFonts w:hint="eastAsia" w:ascii="宋体" w:hAnsi="宋体" w:eastAsia="宋体" w:cs="宋体"/>
          <w:color w:val="auto"/>
          <w:sz w:val="24"/>
          <w:szCs w:val="24"/>
        </w:rPr>
        <w:t>投标文件上传的截止时间（投标截止时间，下同）为</w:t>
      </w:r>
      <w:r>
        <w:rPr>
          <w:rFonts w:hint="eastAsia" w:ascii="宋体" w:hAnsi="宋体" w:eastAsia="宋体" w:cs="宋体"/>
          <w:b/>
          <w:bCs/>
          <w:color w:val="0000FF"/>
          <w:sz w:val="24"/>
          <w:szCs w:val="24"/>
          <w:u w:val="single"/>
        </w:rPr>
        <w:t>202</w:t>
      </w:r>
      <w:r>
        <w:rPr>
          <w:rFonts w:hint="eastAsia" w:ascii="宋体" w:hAnsi="宋体" w:eastAsia="宋体" w:cs="宋体"/>
          <w:b/>
          <w:bCs/>
          <w:color w:val="0000FF"/>
          <w:sz w:val="24"/>
          <w:szCs w:val="24"/>
          <w:u w:val="single"/>
          <w:lang w:val="en-US" w:eastAsia="zh-CN"/>
        </w:rPr>
        <w:t>5</w:t>
      </w:r>
      <w:r>
        <w:rPr>
          <w:rFonts w:hint="eastAsia" w:ascii="宋体" w:hAnsi="宋体" w:eastAsia="宋体" w:cs="宋体"/>
          <w:b/>
          <w:bCs/>
          <w:color w:val="0000FF"/>
          <w:sz w:val="24"/>
          <w:szCs w:val="24"/>
          <w:u w:val="single"/>
        </w:rPr>
        <w:t>年</w:t>
      </w:r>
      <w:r>
        <w:rPr>
          <w:rFonts w:hint="eastAsia" w:ascii="宋体" w:hAnsi="宋体" w:eastAsia="宋体" w:cs="宋体"/>
          <w:b/>
          <w:bCs/>
          <w:color w:val="0000FF"/>
          <w:sz w:val="24"/>
          <w:szCs w:val="24"/>
          <w:u w:val="single"/>
          <w:lang w:val="en-US" w:eastAsia="zh-CN"/>
        </w:rPr>
        <w:t xml:space="preserve">  </w:t>
      </w:r>
      <w:r>
        <w:rPr>
          <w:rFonts w:hint="eastAsia" w:ascii="宋体" w:hAnsi="宋体" w:eastAsia="宋体" w:cs="宋体"/>
          <w:b/>
          <w:bCs/>
          <w:color w:val="0000FF"/>
          <w:sz w:val="24"/>
          <w:szCs w:val="24"/>
          <w:u w:val="single"/>
        </w:rPr>
        <w:t>月</w:t>
      </w:r>
      <w:r>
        <w:rPr>
          <w:rFonts w:hint="eastAsia" w:ascii="宋体" w:hAnsi="宋体" w:eastAsia="宋体" w:cs="宋体"/>
          <w:b/>
          <w:bCs/>
          <w:color w:val="0000FF"/>
          <w:sz w:val="24"/>
          <w:szCs w:val="24"/>
          <w:u w:val="single"/>
          <w:lang w:val="en-US" w:eastAsia="zh-CN"/>
        </w:rPr>
        <w:t xml:space="preserve">  </w:t>
      </w:r>
      <w:r>
        <w:rPr>
          <w:rFonts w:hint="eastAsia" w:ascii="宋体" w:hAnsi="宋体" w:eastAsia="宋体" w:cs="宋体"/>
          <w:b/>
          <w:bCs/>
          <w:color w:val="0000FF"/>
          <w:sz w:val="24"/>
          <w:szCs w:val="24"/>
          <w:u w:val="single"/>
        </w:rPr>
        <w:t xml:space="preserve">日9时00 </w:t>
      </w:r>
      <w:r>
        <w:rPr>
          <w:rFonts w:hint="eastAsia" w:ascii="宋体" w:hAnsi="宋体" w:eastAsia="宋体" w:cs="宋体"/>
          <w:b/>
          <w:bCs/>
          <w:color w:val="auto"/>
          <w:sz w:val="24"/>
          <w:szCs w:val="24"/>
        </w:rPr>
        <w:t>分</w:t>
      </w:r>
      <w:r>
        <w:rPr>
          <w:rFonts w:hint="eastAsia" w:ascii="宋体" w:hAnsi="宋体" w:eastAsia="宋体" w:cs="宋体"/>
          <w:color w:val="auto"/>
          <w:spacing w:val="-1"/>
          <w:sz w:val="24"/>
          <w:szCs w:val="24"/>
        </w:rPr>
        <w:t>，</w:t>
      </w:r>
      <w:r>
        <w:rPr>
          <w:rFonts w:hint="eastAsia" w:ascii="宋体" w:hAnsi="宋体" w:eastAsia="宋体" w:cs="宋体"/>
          <w:color w:val="auto"/>
          <w:sz w:val="24"/>
          <w:szCs w:val="24"/>
        </w:rPr>
        <w:t>开标地点为三门县公共资源交易中心交易大厅（具体开标室见四楼电子屏幕）。本项目采用不见面开标形式，投标人进行远程解密无需到开标现场，电子投标文件上传至三门县工程建设电子交易平台，投标截止时间后对加密的投标文件进行远程解密，如远程解密遇有问题的请联系章宏涛13968512856。</w:t>
      </w:r>
    </w:p>
    <w:p w14:paraId="451D1E18">
      <w:pPr>
        <w:keepNext/>
        <w:keepLines/>
        <w:pageBreakBefore w:val="0"/>
        <w:widowControl/>
        <w:numPr>
          <w:ilvl w:val="0"/>
          <w:numId w:val="0"/>
        </w:numPr>
        <w:tabs>
          <w:tab w:val="left" w:pos="420"/>
        </w:tabs>
        <w:kinsoku w:val="0"/>
        <w:wordWrap/>
        <w:overflowPunct/>
        <w:topLinePunct w:val="0"/>
        <w:autoSpaceDE/>
        <w:autoSpaceDN/>
        <w:bidi w:val="0"/>
        <w:adjustRightInd/>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lang w:val="en-US" w:eastAsia="zh-CN"/>
        </w:rPr>
        <w:t>5.2</w:t>
      </w:r>
      <w:r>
        <w:rPr>
          <w:rFonts w:hint="eastAsia" w:ascii="宋体" w:hAnsi="宋体" w:eastAsia="宋体" w:cs="宋体"/>
          <w:color w:val="auto"/>
          <w:sz w:val="24"/>
          <w:szCs w:val="24"/>
        </w:rPr>
        <w:t>逾期上传的或者未上传指定系统的，招标人不予受理。</w:t>
      </w:r>
    </w:p>
    <w:p w14:paraId="4215C69C">
      <w:pPr>
        <w:pStyle w:val="10"/>
        <w:pageBreakBefore w:val="0"/>
        <w:widowControl/>
        <w:tabs>
          <w:tab w:val="left" w:pos="7226"/>
          <w:tab w:val="left" w:pos="7770"/>
          <w:tab w:val="clear" w:pos="574"/>
        </w:tabs>
        <w:kinsoku w:val="0"/>
        <w:wordWrap/>
        <w:overflowPunct/>
        <w:topLinePunct w:val="0"/>
        <w:autoSpaceDE/>
        <w:autoSpaceDN/>
        <w:bidi w:val="0"/>
        <w:adjustRightInd/>
        <w:snapToGrid w:val="0"/>
        <w:spacing w:line="440" w:lineRule="exact"/>
        <w:ind w:left="0" w:leftChars="0" w:right="0" w:rightChars="0" w:firstLine="480" w:firstLineChars="200"/>
        <w:textAlignment w:val="baseline"/>
        <w:rPr>
          <w:rFonts w:hint="eastAsia" w:ascii="宋体" w:hAnsi="宋体" w:eastAsia="宋体" w:cs="宋体"/>
          <w:color w:val="auto"/>
          <w:kern w:val="21"/>
          <w:sz w:val="24"/>
          <w:szCs w:val="24"/>
        </w:rPr>
      </w:pPr>
      <w:r>
        <w:rPr>
          <w:rFonts w:hint="eastAsia" w:ascii="宋体" w:hAnsi="宋体" w:eastAsia="宋体" w:cs="宋体"/>
          <w:color w:val="auto"/>
          <w:kern w:val="21"/>
          <w:sz w:val="24"/>
          <w:szCs w:val="24"/>
          <w:lang w:val="en-US" w:eastAsia="zh-CN"/>
        </w:rPr>
        <w:t>5.3</w:t>
      </w:r>
      <w:r>
        <w:rPr>
          <w:rFonts w:hint="eastAsia" w:ascii="宋体" w:hAnsi="宋体" w:eastAsia="宋体" w:cs="宋体"/>
          <w:color w:val="auto"/>
          <w:kern w:val="21"/>
          <w:sz w:val="24"/>
          <w:szCs w:val="24"/>
        </w:rPr>
        <w:t>工程保函（非电子保函系统）其原件</w:t>
      </w:r>
      <w:r>
        <w:rPr>
          <w:rFonts w:hint="eastAsia" w:cs="宋体"/>
          <w:color w:val="auto"/>
          <w:kern w:val="21"/>
          <w:sz w:val="24"/>
          <w:szCs w:val="24"/>
          <w:lang w:eastAsia="zh-CN"/>
        </w:rPr>
        <w:t>及投标样品</w:t>
      </w:r>
      <w:r>
        <w:rPr>
          <w:rFonts w:hint="eastAsia" w:ascii="宋体" w:hAnsi="宋体" w:eastAsia="宋体" w:cs="宋体"/>
          <w:color w:val="auto"/>
          <w:kern w:val="21"/>
          <w:sz w:val="24"/>
          <w:szCs w:val="24"/>
        </w:rPr>
        <w:t>递交时间及地点：</w:t>
      </w:r>
    </w:p>
    <w:p w14:paraId="16A1154E">
      <w:pPr>
        <w:pStyle w:val="10"/>
        <w:pageBreakBefore w:val="0"/>
        <w:widowControl/>
        <w:tabs>
          <w:tab w:val="left" w:pos="7226"/>
          <w:tab w:val="left" w:pos="7770"/>
          <w:tab w:val="clear" w:pos="574"/>
        </w:tabs>
        <w:kinsoku w:val="0"/>
        <w:wordWrap/>
        <w:overflowPunct/>
        <w:topLinePunct w:val="0"/>
        <w:autoSpaceDE/>
        <w:autoSpaceDN/>
        <w:bidi w:val="0"/>
        <w:adjustRightInd/>
        <w:snapToGrid w:val="0"/>
        <w:spacing w:line="440" w:lineRule="exact"/>
        <w:ind w:left="0" w:leftChars="0" w:right="0" w:rightChars="0" w:firstLine="460" w:firstLineChars="200"/>
        <w:textAlignment w:val="baseline"/>
        <w:rPr>
          <w:rFonts w:hint="eastAsia" w:ascii="宋体" w:hAnsi="宋体" w:eastAsia="宋体" w:cs="宋体"/>
          <w:color w:val="auto"/>
          <w:sz w:val="24"/>
          <w:szCs w:val="24"/>
        </w:rPr>
      </w:pPr>
      <w:r>
        <w:rPr>
          <w:rFonts w:hint="eastAsia" w:ascii="宋体" w:hAnsi="宋体" w:eastAsia="宋体" w:cs="宋体"/>
          <w:color w:val="auto"/>
          <w:spacing w:val="-5"/>
          <w:sz w:val="24"/>
          <w:szCs w:val="24"/>
        </w:rPr>
        <w:t>时间：</w:t>
      </w:r>
      <w:r>
        <w:rPr>
          <w:rFonts w:hint="eastAsia" w:ascii="宋体" w:hAnsi="宋体" w:eastAsia="宋体" w:cs="宋体"/>
          <w:color w:val="0000FF"/>
          <w:sz w:val="24"/>
          <w:szCs w:val="24"/>
          <w:u w:val="single"/>
        </w:rPr>
        <w:t xml:space="preserve"> 202</w:t>
      </w:r>
      <w:r>
        <w:rPr>
          <w:rFonts w:hint="eastAsia" w:ascii="宋体" w:hAnsi="宋体" w:eastAsia="宋体" w:cs="宋体"/>
          <w:color w:val="0000FF"/>
          <w:sz w:val="24"/>
          <w:szCs w:val="24"/>
          <w:u w:val="single"/>
          <w:lang w:val="en-US" w:eastAsia="zh-CN"/>
        </w:rPr>
        <w:t>5</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年</w:t>
      </w:r>
      <w:r>
        <w:rPr>
          <w:rFonts w:hint="eastAsia" w:ascii="宋体" w:hAnsi="宋体" w:eastAsia="宋体" w:cs="宋体"/>
          <w:color w:val="0000FF"/>
          <w:sz w:val="24"/>
          <w:szCs w:val="24"/>
          <w:u w:val="single"/>
        </w:rPr>
        <w:t xml:space="preserve"> </w:t>
      </w:r>
      <w:r>
        <w:rPr>
          <w:rFonts w:hint="eastAsia" w:cs="宋体"/>
          <w:color w:val="0000FF"/>
          <w:sz w:val="24"/>
          <w:szCs w:val="24"/>
          <w:u w:val="single"/>
          <w:lang w:val="en-US" w:eastAsia="zh-CN"/>
        </w:rPr>
        <w:t xml:space="preserve">  </w:t>
      </w:r>
      <w:r>
        <w:rPr>
          <w:rFonts w:hint="eastAsia" w:ascii="宋体" w:hAnsi="宋体" w:eastAsia="宋体" w:cs="宋体"/>
          <w:color w:val="0000FF"/>
          <w:sz w:val="24"/>
          <w:szCs w:val="24"/>
        </w:rPr>
        <w:t>月</w:t>
      </w:r>
      <w:r>
        <w:rPr>
          <w:rFonts w:hint="eastAsia" w:ascii="宋体" w:hAnsi="宋体" w:eastAsia="宋体" w:cs="宋体"/>
          <w:color w:val="0000FF"/>
          <w:sz w:val="24"/>
          <w:szCs w:val="24"/>
          <w:u w:val="single"/>
        </w:rPr>
        <w:t xml:space="preserve"> </w:t>
      </w:r>
      <w:r>
        <w:rPr>
          <w:rFonts w:hint="eastAsia" w:cs="宋体"/>
          <w:color w:val="0000FF"/>
          <w:sz w:val="24"/>
          <w:szCs w:val="24"/>
          <w:u w:val="single"/>
          <w:lang w:val="en-US" w:eastAsia="zh-CN"/>
        </w:rPr>
        <w:t xml:space="preserve">  </w:t>
      </w:r>
      <w:r>
        <w:rPr>
          <w:rFonts w:hint="eastAsia" w:ascii="宋体" w:hAnsi="宋体" w:eastAsia="宋体" w:cs="宋体"/>
          <w:color w:val="0000FF"/>
          <w:sz w:val="24"/>
          <w:szCs w:val="24"/>
          <w:u w:val="single"/>
        </w:rPr>
        <w:t xml:space="preserve"> </w:t>
      </w:r>
      <w:r>
        <w:rPr>
          <w:rFonts w:hint="eastAsia" w:ascii="宋体" w:hAnsi="宋体" w:eastAsia="宋体" w:cs="宋体"/>
          <w:color w:val="0000FF"/>
          <w:sz w:val="24"/>
          <w:szCs w:val="24"/>
        </w:rPr>
        <w:t>日</w:t>
      </w:r>
      <w:r>
        <w:rPr>
          <w:rFonts w:hint="eastAsia" w:ascii="宋体" w:hAnsi="宋体" w:eastAsia="宋体" w:cs="宋体"/>
          <w:color w:val="0000FF"/>
          <w:sz w:val="24"/>
          <w:szCs w:val="24"/>
          <w:u w:val="single"/>
        </w:rPr>
        <w:t xml:space="preserve">  08 </w:t>
      </w:r>
      <w:r>
        <w:rPr>
          <w:rFonts w:hint="eastAsia" w:ascii="宋体" w:hAnsi="宋体" w:eastAsia="宋体" w:cs="宋体"/>
          <w:color w:val="0000FF"/>
          <w:sz w:val="24"/>
          <w:szCs w:val="24"/>
        </w:rPr>
        <w:t>时</w:t>
      </w:r>
      <w:r>
        <w:rPr>
          <w:rFonts w:hint="eastAsia" w:ascii="宋体" w:hAnsi="宋体" w:eastAsia="宋体" w:cs="宋体"/>
          <w:color w:val="0000FF"/>
          <w:sz w:val="24"/>
          <w:szCs w:val="24"/>
          <w:u w:val="single"/>
        </w:rPr>
        <w:t xml:space="preserve">  00 </w:t>
      </w:r>
      <w:r>
        <w:rPr>
          <w:rFonts w:hint="eastAsia" w:ascii="宋体" w:hAnsi="宋体" w:eastAsia="宋体" w:cs="宋体"/>
          <w:color w:val="0000FF"/>
          <w:sz w:val="24"/>
          <w:szCs w:val="24"/>
        </w:rPr>
        <w:t>分至</w:t>
      </w:r>
      <w:r>
        <w:rPr>
          <w:rFonts w:hint="eastAsia" w:ascii="宋体" w:hAnsi="宋体" w:eastAsia="宋体" w:cs="宋体"/>
          <w:color w:val="0000FF"/>
          <w:sz w:val="24"/>
          <w:szCs w:val="24"/>
          <w:u w:val="single"/>
        </w:rPr>
        <w:t xml:space="preserve"> 09  </w:t>
      </w:r>
      <w:r>
        <w:rPr>
          <w:rFonts w:hint="eastAsia" w:ascii="宋体" w:hAnsi="宋体" w:eastAsia="宋体" w:cs="宋体"/>
          <w:color w:val="0000FF"/>
          <w:sz w:val="24"/>
          <w:szCs w:val="24"/>
        </w:rPr>
        <w:t>时</w:t>
      </w:r>
      <w:r>
        <w:rPr>
          <w:rFonts w:hint="eastAsia" w:ascii="宋体" w:hAnsi="宋体" w:eastAsia="宋体" w:cs="宋体"/>
          <w:color w:val="0000FF"/>
          <w:sz w:val="24"/>
          <w:szCs w:val="24"/>
          <w:u w:val="single"/>
        </w:rPr>
        <w:t xml:space="preserve"> 00  </w:t>
      </w:r>
      <w:r>
        <w:rPr>
          <w:rFonts w:hint="eastAsia" w:ascii="宋体" w:hAnsi="宋体" w:eastAsia="宋体" w:cs="宋体"/>
          <w:color w:val="0000FF"/>
          <w:sz w:val="24"/>
          <w:szCs w:val="24"/>
        </w:rPr>
        <w:t>分</w:t>
      </w:r>
    </w:p>
    <w:p w14:paraId="427749E0">
      <w:pPr>
        <w:pStyle w:val="10"/>
        <w:pageBreakBefore w:val="0"/>
        <w:widowControl/>
        <w:tabs>
          <w:tab w:val="left" w:pos="7226"/>
          <w:tab w:val="left" w:pos="7770"/>
          <w:tab w:val="clear" w:pos="574"/>
        </w:tabs>
        <w:kinsoku w:val="0"/>
        <w:wordWrap/>
        <w:overflowPunct/>
        <w:topLinePunct w:val="0"/>
        <w:autoSpaceDE/>
        <w:autoSpaceDN/>
        <w:bidi w:val="0"/>
        <w:adjustRightInd/>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地点：三门县公共资源交易中心交易大厅（具体开标室见四楼电子屏幕）</w:t>
      </w:r>
    </w:p>
    <w:p w14:paraId="2A50F83A">
      <w:pPr>
        <w:keepNext/>
        <w:keepLines/>
        <w:pageBreakBefore w:val="0"/>
        <w:widowControl/>
        <w:numPr>
          <w:ilvl w:val="0"/>
          <w:numId w:val="5"/>
        </w:numPr>
        <w:kinsoku w:val="0"/>
        <w:overflowPunct/>
        <w:topLinePunct w:val="0"/>
        <w:autoSpaceDE/>
        <w:autoSpaceDN/>
        <w:bidi w:val="0"/>
        <w:adjustRightInd/>
        <w:snapToGrid w:val="0"/>
        <w:spacing w:line="440" w:lineRule="exact"/>
        <w:ind w:left="0" w:leftChars="0" w:right="0" w:rightChars="0" w:firstLine="0" w:firstLineChars="0"/>
        <w:textAlignment w:val="baseline"/>
        <w:rPr>
          <w:rFonts w:hint="eastAsia" w:ascii="宋体" w:hAnsi="宋体" w:eastAsia="宋体" w:cs="宋体"/>
          <w:b/>
          <w:color w:val="auto"/>
          <w:sz w:val="24"/>
          <w:szCs w:val="24"/>
        </w:rPr>
      </w:pPr>
      <w:r>
        <w:rPr>
          <w:rFonts w:hint="eastAsia" w:ascii="宋体" w:hAnsi="宋体" w:eastAsia="宋体" w:cs="宋体"/>
          <w:b/>
          <w:bCs/>
          <w:color w:val="auto"/>
          <w:sz w:val="24"/>
          <w:szCs w:val="24"/>
        </w:rPr>
        <w:t>发布公告的媒介  </w:t>
      </w:r>
      <w:r>
        <w:rPr>
          <w:rFonts w:hint="eastAsia" w:ascii="宋体" w:hAnsi="宋体" w:eastAsia="宋体" w:cs="宋体"/>
          <w:b/>
          <w:color w:val="auto"/>
          <w:sz w:val="24"/>
          <w:szCs w:val="24"/>
        </w:rPr>
        <w:t> </w:t>
      </w:r>
    </w:p>
    <w:p w14:paraId="724E490A">
      <w:pPr>
        <w:keepNext/>
        <w:keepLines/>
        <w:pageBreakBefore w:val="0"/>
        <w:widowControl/>
        <w:kinsoku w:val="0"/>
        <w:wordWrap w:val="0"/>
        <w:overflowPunct/>
        <w:topLinePunct w:val="0"/>
        <w:autoSpaceDE/>
        <w:autoSpaceDN/>
        <w:bidi w:val="0"/>
        <w:adjustRightInd/>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color w:val="auto"/>
          <w:sz w:val="24"/>
          <w:szCs w:val="24"/>
        </w:rPr>
        <w:t>本次招标公告同时在三门县公共资源交易网（网址：http://www.sanmen.gov.cn/col/col1229610743/index.html）和浙江省公共资源交易服务平台</w:t>
      </w:r>
      <w:r>
        <w:rPr>
          <w:rFonts w:hint="eastAsia" w:ascii="宋体" w:hAnsi="宋体" w:eastAsia="宋体" w:cs="宋体"/>
          <w:color w:val="auto"/>
          <w:sz w:val="24"/>
          <w:szCs w:val="24"/>
          <w:u w:val="single"/>
        </w:rPr>
        <w:t>https://ggzy.zj.gov.cn</w:t>
      </w:r>
      <w:r>
        <w:rPr>
          <w:rFonts w:hint="eastAsia" w:ascii="宋体" w:hAnsi="宋体" w:eastAsia="宋体" w:cs="宋体"/>
          <w:color w:val="auto"/>
          <w:sz w:val="24"/>
          <w:szCs w:val="24"/>
        </w:rPr>
        <w:t>上发布。</w:t>
      </w:r>
    </w:p>
    <w:p w14:paraId="3FF333B3">
      <w:pPr>
        <w:pageBreakBefore w:val="0"/>
        <w:widowControl/>
        <w:numPr>
          <w:ilvl w:val="0"/>
          <w:numId w:val="5"/>
        </w:numPr>
        <w:kinsoku w:val="0"/>
        <w:overflowPunct/>
        <w:topLinePunct w:val="0"/>
        <w:bidi w:val="0"/>
        <w:snapToGrid w:val="0"/>
        <w:spacing w:line="440" w:lineRule="exact"/>
        <w:ind w:left="0" w:leftChars="0" w:right="0" w:rightChars="0" w:firstLine="0" w:firstLineChars="0"/>
        <w:textAlignment w:val="baseline"/>
        <w:rPr>
          <w:rFonts w:hint="eastAsia" w:ascii="宋体" w:hAnsi="宋体" w:eastAsia="宋体" w:cs="宋体"/>
          <w:b/>
          <w:bCs/>
          <w:sz w:val="24"/>
          <w:szCs w:val="24"/>
        </w:rPr>
      </w:pPr>
      <w:bookmarkStart w:id="11" w:name="_Toc229305330"/>
      <w:bookmarkEnd w:id="11"/>
      <w:bookmarkStart w:id="12" w:name="_Toc221949941"/>
      <w:bookmarkEnd w:id="12"/>
      <w:bookmarkStart w:id="13" w:name="_Toc222033821"/>
      <w:bookmarkEnd w:id="13"/>
      <w:bookmarkStart w:id="14" w:name="_Toc222032639"/>
      <w:bookmarkEnd w:id="14"/>
      <w:bookmarkStart w:id="15" w:name="_Toc222029470"/>
      <w:bookmarkEnd w:id="15"/>
      <w:bookmarkStart w:id="16" w:name="_Toc168475632"/>
      <w:bookmarkEnd w:id="16"/>
      <w:bookmarkStart w:id="17" w:name="_Toc270602176"/>
      <w:bookmarkEnd w:id="17"/>
      <w:bookmarkStart w:id="18" w:name="_Toc168476035"/>
      <w:bookmarkEnd w:id="18"/>
      <w:bookmarkStart w:id="19" w:name="_Toc222030972"/>
      <w:bookmarkEnd w:id="19"/>
      <w:bookmarkStart w:id="20" w:name="_Toc144974485"/>
      <w:r>
        <w:rPr>
          <w:rFonts w:hint="eastAsia" w:ascii="宋体" w:hAnsi="宋体" w:eastAsia="宋体" w:cs="宋体"/>
          <w:b/>
          <w:bCs/>
          <w:sz w:val="24"/>
          <w:szCs w:val="24"/>
        </w:rPr>
        <w:t>联系方式</w:t>
      </w:r>
      <w:bookmarkEnd w:id="20"/>
    </w:p>
    <w:p w14:paraId="70132DD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sz w:val="24"/>
          <w:szCs w:val="24"/>
        </w:rPr>
        <w:t>招标人：三 门 县 环 境 有 限 公 司</w:t>
      </w:r>
    </w:p>
    <w:p w14:paraId="2AD3A7A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 xml:space="preserve">联系人：叶崇标 </w:t>
      </w:r>
    </w:p>
    <w:p w14:paraId="14D41514">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sz w:val="24"/>
          <w:szCs w:val="24"/>
          <w:lang w:eastAsia="zh-CN"/>
        </w:rPr>
      </w:pPr>
      <w:r>
        <w:rPr>
          <w:rFonts w:hint="eastAsia" w:ascii="宋体" w:hAnsi="宋体" w:eastAsia="宋体" w:cs="宋体"/>
          <w:sz w:val="24"/>
          <w:szCs w:val="24"/>
        </w:rPr>
        <w:t>电  话：</w:t>
      </w:r>
      <w:r>
        <w:rPr>
          <w:rFonts w:hint="eastAsia" w:ascii="宋体" w:hAnsi="宋体" w:eastAsia="宋体" w:cs="宋体"/>
          <w:sz w:val="24"/>
          <w:szCs w:val="24"/>
          <w:lang w:eastAsia="zh-CN"/>
        </w:rPr>
        <w:t>0576-83335172</w:t>
      </w:r>
    </w:p>
    <w:p w14:paraId="27395E75">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  址：三门县海游街道海丰路1号</w:t>
      </w:r>
    </w:p>
    <w:p w14:paraId="5EE97F33">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sz w:val="24"/>
          <w:szCs w:val="24"/>
        </w:rPr>
      </w:pPr>
    </w:p>
    <w:p w14:paraId="3EC1B96B">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color w:val="auto"/>
          <w:sz w:val="24"/>
          <w:szCs w:val="24"/>
        </w:rPr>
      </w:pPr>
      <w:r>
        <w:rPr>
          <w:rFonts w:hint="eastAsia" w:ascii="宋体" w:hAnsi="宋体" w:eastAsia="宋体" w:cs="宋体"/>
          <w:sz w:val="24"/>
          <w:szCs w:val="24"/>
        </w:rPr>
        <w:t>招标代理：三门华厦建设工程造价事务所（普通合伙）</w:t>
      </w:r>
    </w:p>
    <w:p w14:paraId="28F31B4F">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联系人：方远</w:t>
      </w:r>
    </w:p>
    <w:p w14:paraId="116B6C9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电  话：</w:t>
      </w:r>
      <w:r>
        <w:rPr>
          <w:rFonts w:hint="eastAsia" w:ascii="宋体" w:hAnsi="宋体" w:eastAsia="宋体" w:cs="宋体"/>
          <w:spacing w:val="3"/>
          <w:sz w:val="24"/>
          <w:szCs w:val="24"/>
        </w:rPr>
        <w:t>13634077717</w:t>
      </w:r>
    </w:p>
    <w:p w14:paraId="61316386">
      <w:pPr>
        <w:keepNext w:val="0"/>
        <w:keepLines w:val="0"/>
        <w:pageBreakBefore w:val="0"/>
        <w:widowControl/>
        <w:kinsoku w:val="0"/>
        <w:wordWrap/>
        <w:overflowPunct/>
        <w:topLinePunct w:val="0"/>
        <w:autoSpaceDE w:val="0"/>
        <w:autoSpaceDN w:val="0"/>
        <w:bidi w:val="0"/>
        <w:adjustRightInd w:val="0"/>
        <w:snapToGrid w:val="0"/>
        <w:spacing w:line="440" w:lineRule="exact"/>
        <w:ind w:left="0" w:leftChars="0" w:right="0" w:rightChars="0" w:firstLine="480" w:firstLineChars="200"/>
        <w:textAlignment w:val="baseline"/>
        <w:rPr>
          <w:rFonts w:hint="eastAsia" w:ascii="宋体" w:hAnsi="宋体" w:eastAsia="宋体" w:cs="宋体"/>
          <w:sz w:val="24"/>
          <w:szCs w:val="24"/>
        </w:rPr>
      </w:pPr>
      <w:r>
        <w:rPr>
          <w:rFonts w:hint="eastAsia" w:ascii="宋体" w:hAnsi="宋体" w:eastAsia="宋体" w:cs="宋体"/>
          <w:sz w:val="24"/>
          <w:szCs w:val="24"/>
        </w:rPr>
        <w:t>地  址：三门县海游街道梧桐路26号保罗大酒店4A006室</w:t>
      </w:r>
    </w:p>
    <w:p w14:paraId="3EC3EBE3">
      <w:pPr>
        <w:pStyle w:val="10"/>
        <w:pageBreakBefore w:val="0"/>
        <w:widowControl/>
        <w:kinsoku w:val="0"/>
        <w:overflowPunct/>
        <w:topLinePunct w:val="0"/>
        <w:bidi w:val="0"/>
        <w:snapToGrid w:val="0"/>
        <w:spacing w:line="440" w:lineRule="exact"/>
        <w:ind w:left="0" w:leftChars="0" w:right="0" w:rightChars="0" w:firstLine="0" w:firstLineChars="0"/>
        <w:textAlignment w:val="baseline"/>
        <w:rPr>
          <w:rFonts w:hint="eastAsia" w:ascii="宋体" w:hAnsi="宋体" w:eastAsia="宋体" w:cs="宋体"/>
          <w:kern w:val="2"/>
          <w:sz w:val="24"/>
          <w:szCs w:val="24"/>
        </w:rPr>
      </w:pPr>
    </w:p>
    <w:p w14:paraId="7D3D45FE">
      <w:pPr>
        <w:pageBreakBefore w:val="0"/>
        <w:widowControl/>
        <w:kinsoku w:val="0"/>
        <w:overflowPunct/>
        <w:topLinePunct w:val="0"/>
        <w:bidi w:val="0"/>
        <w:snapToGrid w:val="0"/>
        <w:spacing w:line="440" w:lineRule="exact"/>
        <w:ind w:left="0" w:leftChars="0" w:right="0" w:rightChars="0" w:firstLine="0" w:firstLineChars="0"/>
        <w:jc w:val="right"/>
        <w:textAlignment w:val="baseline"/>
        <w:rPr>
          <w:rFonts w:hint="eastAsia" w:ascii="宋体" w:hAnsi="宋体" w:eastAsia="宋体" w:cs="宋体"/>
          <w:sz w:val="24"/>
          <w:szCs w:val="24"/>
        </w:rPr>
      </w:pPr>
      <w:r>
        <w:rPr>
          <w:rFonts w:hint="eastAsia" w:ascii="宋体" w:hAnsi="宋体" w:eastAsia="宋体" w:cs="宋体"/>
          <w:sz w:val="24"/>
          <w:szCs w:val="24"/>
        </w:rPr>
        <w:t xml:space="preserve">三 门 县 环 境 有 限 公 司 </w:t>
      </w:r>
    </w:p>
    <w:p w14:paraId="32B31C02">
      <w:pPr>
        <w:pageBreakBefore w:val="0"/>
        <w:widowControl/>
        <w:kinsoku w:val="0"/>
        <w:overflowPunct/>
        <w:topLinePunct w:val="0"/>
        <w:bidi w:val="0"/>
        <w:snapToGrid w:val="0"/>
        <w:spacing w:line="440" w:lineRule="exact"/>
        <w:ind w:left="0" w:leftChars="0" w:right="0" w:rightChars="0" w:firstLine="0" w:firstLineChars="0"/>
        <w:jc w:val="right"/>
        <w:textAlignment w:val="baseline"/>
        <w:rPr>
          <w:rFonts w:hint="eastAsia" w:ascii="宋体" w:hAnsi="宋体" w:eastAsia="宋体" w:cs="宋体"/>
          <w:sz w:val="24"/>
          <w:szCs w:val="24"/>
        </w:rPr>
      </w:pPr>
      <w:r>
        <w:rPr>
          <w:rFonts w:hint="eastAsia" w:ascii="宋体" w:hAnsi="宋体" w:eastAsia="宋体" w:cs="宋体"/>
          <w:sz w:val="24"/>
          <w:szCs w:val="24"/>
        </w:rPr>
        <w:t>三门华厦建设工程造价事务所（普通合伙）</w:t>
      </w:r>
    </w:p>
    <w:p w14:paraId="1C464096">
      <w:pPr>
        <w:pageBreakBefore w:val="0"/>
        <w:widowControl/>
        <w:kinsoku w:val="0"/>
        <w:overflowPunct/>
        <w:topLinePunct w:val="0"/>
        <w:bidi w:val="0"/>
        <w:snapToGrid w:val="0"/>
        <w:spacing w:line="440" w:lineRule="exact"/>
        <w:ind w:left="0" w:leftChars="0" w:right="0" w:rightChars="0" w:firstLine="0" w:firstLineChars="0"/>
        <w:jc w:val="right"/>
        <w:textAlignment w:val="baseline"/>
        <w:rPr>
          <w:rFonts w:hint="eastAsia" w:ascii="宋体" w:hAnsi="宋体" w:eastAsia="宋体" w:cs="宋体"/>
          <w:sz w:val="24"/>
          <w:szCs w:val="24"/>
        </w:rPr>
      </w:pPr>
      <w:r>
        <w:rPr>
          <w:rFonts w:hint="eastAsia" w:ascii="宋体" w:hAnsi="宋体" w:eastAsia="宋体" w:cs="宋体"/>
          <w:sz w:val="24"/>
          <w:szCs w:val="24"/>
        </w:rPr>
        <w:t>三门县住房和城乡建设局</w:t>
      </w:r>
    </w:p>
    <w:p w14:paraId="4E287563">
      <w:pPr>
        <w:pageBreakBefore w:val="0"/>
        <w:widowControl/>
        <w:kinsoku w:val="0"/>
        <w:overflowPunct/>
        <w:topLinePunct w:val="0"/>
        <w:bidi w:val="0"/>
        <w:snapToGrid w:val="0"/>
        <w:spacing w:line="440" w:lineRule="exact"/>
        <w:ind w:left="0" w:leftChars="0" w:right="0" w:rightChars="0" w:firstLine="0" w:firstLineChars="0"/>
        <w:jc w:val="right"/>
        <w:textAlignment w:val="baseline"/>
        <w:rPr>
          <w:rFonts w:hint="eastAsia" w:ascii="宋体" w:hAnsi="宋体" w:eastAsia="宋体" w:cs="宋体"/>
          <w:color w:val="0000FF"/>
          <w:sz w:val="24"/>
          <w:szCs w:val="24"/>
        </w:rPr>
        <w:sectPr>
          <w:headerReference r:id="rId8" w:type="default"/>
          <w:footerReference r:id="rId9" w:type="default"/>
          <w:pgSz w:w="11900" w:h="16840"/>
          <w:pgMar w:top="1440" w:right="1080" w:bottom="1440" w:left="1080" w:header="1077" w:footer="1032" w:gutter="0"/>
          <w:pgNumType w:fmt="decimal"/>
          <w:cols w:space="0" w:num="1"/>
        </w:sectPr>
      </w:pPr>
      <w:r>
        <w:rPr>
          <w:rFonts w:hint="eastAsia" w:ascii="宋体" w:hAnsi="宋体" w:eastAsia="宋体" w:cs="宋体"/>
          <w:color w:val="0000FF"/>
          <w:sz w:val="24"/>
          <w:szCs w:val="24"/>
        </w:rPr>
        <w:t>202</w:t>
      </w:r>
      <w:r>
        <w:rPr>
          <w:rFonts w:hint="eastAsia" w:ascii="宋体" w:hAnsi="宋体" w:eastAsia="宋体" w:cs="宋体"/>
          <w:color w:val="0000FF"/>
          <w:sz w:val="24"/>
          <w:szCs w:val="24"/>
          <w:lang w:val="en-US" w:eastAsia="zh-CN"/>
        </w:rPr>
        <w:t>5</w:t>
      </w:r>
      <w:r>
        <w:rPr>
          <w:rFonts w:hint="eastAsia" w:ascii="宋体" w:hAnsi="宋体" w:eastAsia="宋体" w:cs="宋体"/>
          <w:color w:val="0000FF"/>
          <w:sz w:val="24"/>
          <w:szCs w:val="24"/>
        </w:rPr>
        <w:t>年</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rPr>
        <w:t>月</w:t>
      </w:r>
      <w:r>
        <w:rPr>
          <w:rFonts w:hint="eastAsia" w:ascii="宋体" w:hAnsi="宋体" w:eastAsia="宋体" w:cs="宋体"/>
          <w:color w:val="0000FF"/>
          <w:sz w:val="24"/>
          <w:szCs w:val="24"/>
          <w:lang w:val="en-US" w:eastAsia="zh-CN"/>
        </w:rPr>
        <w:t xml:space="preserve">  </w:t>
      </w:r>
      <w:r>
        <w:rPr>
          <w:rFonts w:hint="eastAsia" w:ascii="宋体" w:hAnsi="宋体" w:eastAsia="宋体" w:cs="宋体"/>
          <w:color w:val="0000FF"/>
          <w:sz w:val="24"/>
          <w:szCs w:val="24"/>
        </w:rPr>
        <w:t>日</w:t>
      </w:r>
    </w:p>
    <w:p w14:paraId="012C27F7">
      <w:pPr>
        <w:spacing w:line="263" w:lineRule="auto"/>
      </w:pPr>
    </w:p>
    <w:p w14:paraId="1605EFC5">
      <w:pPr>
        <w:pStyle w:val="2"/>
        <w:spacing w:line="360" w:lineRule="auto"/>
        <w:rPr>
          <w:rFonts w:hint="eastAsia" w:ascii="黑体" w:hAnsi="黑体" w:eastAsia="黑体" w:cs="黑体"/>
          <w:sz w:val="31"/>
          <w:szCs w:val="31"/>
        </w:rPr>
      </w:pPr>
      <w:bookmarkStart w:id="21" w:name="_Toc16130"/>
      <w:bookmarkStart w:id="22" w:name="_Toc6287"/>
      <w:bookmarkStart w:id="23" w:name="_Toc17773"/>
      <w:r>
        <w:rPr>
          <w:rFonts w:ascii="黑体" w:hAnsi="黑体" w:eastAsia="黑体" w:cs="黑体"/>
          <w:spacing w:val="14"/>
          <w:position w:val="15"/>
          <w:sz w:val="31"/>
          <w:szCs w:val="31"/>
        </w:rPr>
        <w:t>第</w:t>
      </w:r>
      <w:r>
        <w:rPr>
          <w:rFonts w:ascii="黑体" w:hAnsi="黑体" w:eastAsia="黑体" w:cs="黑体"/>
          <w:spacing w:val="8"/>
          <w:position w:val="15"/>
          <w:sz w:val="31"/>
          <w:szCs w:val="31"/>
        </w:rPr>
        <w:t>二章</w:t>
      </w:r>
      <w:r>
        <w:rPr>
          <w:rFonts w:hint="eastAsia" w:ascii="黑体" w:hAnsi="黑体" w:eastAsia="黑体" w:cs="黑体"/>
          <w:spacing w:val="8"/>
          <w:position w:val="15"/>
          <w:sz w:val="31"/>
          <w:szCs w:val="31"/>
        </w:rPr>
        <w:t xml:space="preserve">    </w:t>
      </w:r>
      <w:r>
        <w:rPr>
          <w:rFonts w:ascii="黑体" w:hAnsi="黑体" w:eastAsia="黑体" w:cs="黑体"/>
          <w:spacing w:val="8"/>
          <w:position w:val="15"/>
          <w:sz w:val="31"/>
          <w:szCs w:val="31"/>
        </w:rPr>
        <w:t>投标人须知</w:t>
      </w:r>
      <w:bookmarkEnd w:id="21"/>
      <w:bookmarkEnd w:id="22"/>
      <w:bookmarkEnd w:id="23"/>
    </w:p>
    <w:p w14:paraId="7CCC2584">
      <w:pPr>
        <w:pStyle w:val="3"/>
        <w:numPr>
          <w:ilvl w:val="0"/>
          <w:numId w:val="0"/>
        </w:numPr>
      </w:pPr>
      <w:bookmarkStart w:id="24" w:name="_Toc6879"/>
      <w:bookmarkStart w:id="25" w:name="_Toc9658"/>
      <w:bookmarkStart w:id="26" w:name="_Toc22545"/>
      <w:r>
        <w:rPr>
          <w:rFonts w:hint="eastAsia" w:hAnsi="宋体" w:cs="宋体"/>
          <w:spacing w:val="9"/>
          <w:sz w:val="31"/>
          <w:szCs w:val="31"/>
        </w:rPr>
        <w:t xml:space="preserve">第一节    </w:t>
      </w:r>
      <w:r>
        <w:rPr>
          <w:rFonts w:hAnsi="宋体" w:cs="宋体"/>
          <w:spacing w:val="9"/>
          <w:sz w:val="31"/>
          <w:szCs w:val="31"/>
        </w:rPr>
        <w:t>投标须知前附</w:t>
      </w:r>
      <w:r>
        <w:rPr>
          <w:rFonts w:hAnsi="宋体" w:cs="宋体"/>
          <w:spacing w:val="8"/>
          <w:sz w:val="31"/>
          <w:szCs w:val="31"/>
        </w:rPr>
        <w:t>表</w:t>
      </w:r>
      <w:bookmarkEnd w:id="24"/>
      <w:bookmarkEnd w:id="25"/>
      <w:bookmarkEnd w:id="26"/>
    </w:p>
    <w:tbl>
      <w:tblPr>
        <w:tblStyle w:val="35"/>
        <w:tblW w:w="10167" w:type="dxa"/>
        <w:tblInd w:w="-22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872"/>
        <w:gridCol w:w="2079"/>
        <w:gridCol w:w="7216"/>
      </w:tblGrid>
      <w:tr w14:paraId="69A5E6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EC83333">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条款号</w:t>
            </w:r>
          </w:p>
        </w:tc>
        <w:tc>
          <w:tcPr>
            <w:tcW w:w="2079" w:type="dxa"/>
            <w:vAlign w:val="center"/>
          </w:tcPr>
          <w:p w14:paraId="2160FF86">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条  款  名  称</w:t>
            </w:r>
          </w:p>
        </w:tc>
        <w:tc>
          <w:tcPr>
            <w:tcW w:w="7216" w:type="dxa"/>
            <w:vAlign w:val="center"/>
          </w:tcPr>
          <w:p w14:paraId="213782E9">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编  列  内  容</w:t>
            </w:r>
          </w:p>
        </w:tc>
      </w:tr>
      <w:tr w14:paraId="4BBB27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8DA9253">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1.1.2</w:t>
            </w:r>
          </w:p>
        </w:tc>
        <w:tc>
          <w:tcPr>
            <w:tcW w:w="2079" w:type="dxa"/>
            <w:vAlign w:val="center"/>
          </w:tcPr>
          <w:p w14:paraId="1BF95042">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招标人</w:t>
            </w:r>
          </w:p>
        </w:tc>
        <w:tc>
          <w:tcPr>
            <w:tcW w:w="7216" w:type="dxa"/>
            <w:vAlign w:val="center"/>
          </w:tcPr>
          <w:p w14:paraId="4688C041">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名称：三 门 县 环 境 有 限 公 司</w:t>
            </w:r>
          </w:p>
          <w:p w14:paraId="07445402">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地址：台州市三门县上洋路20号</w:t>
            </w:r>
          </w:p>
          <w:p w14:paraId="635794C2">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 xml:space="preserve">联系人： 叶崇标 </w:t>
            </w:r>
          </w:p>
          <w:p w14:paraId="31F2D3FC">
            <w:pPr>
              <w:keepNext w:val="0"/>
              <w:keepLines w:val="0"/>
              <w:pageBreakBefore w:val="0"/>
              <w:wordWrap/>
              <w:overflowPunct/>
              <w:topLinePunct w:val="0"/>
              <w:bidi w:val="0"/>
              <w:spacing w:line="440" w:lineRule="exact"/>
              <w:rPr>
                <w:rFonts w:hint="eastAsia" w:ascii="宋体" w:hAnsi="宋体" w:eastAsia="宋体" w:cs="宋体"/>
                <w:lang w:eastAsia="zh-CN"/>
              </w:rPr>
            </w:pPr>
            <w:r>
              <w:rPr>
                <w:rFonts w:hint="eastAsia" w:ascii="宋体" w:hAnsi="宋体" w:eastAsia="宋体" w:cs="宋体"/>
              </w:rPr>
              <w:t>电话：</w:t>
            </w:r>
            <w:r>
              <w:rPr>
                <w:rFonts w:hint="eastAsia" w:ascii="宋体" w:hAnsi="宋体" w:eastAsia="宋体" w:cs="宋体"/>
                <w:lang w:eastAsia="zh-CN"/>
              </w:rPr>
              <w:t>0576-83335172</w:t>
            </w:r>
          </w:p>
        </w:tc>
      </w:tr>
      <w:tr w14:paraId="78F753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A174B78">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1.1.3</w:t>
            </w:r>
          </w:p>
        </w:tc>
        <w:tc>
          <w:tcPr>
            <w:tcW w:w="2079" w:type="dxa"/>
            <w:vAlign w:val="center"/>
          </w:tcPr>
          <w:p w14:paraId="09E72A74">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招标代理机构</w:t>
            </w:r>
          </w:p>
        </w:tc>
        <w:tc>
          <w:tcPr>
            <w:tcW w:w="7216" w:type="dxa"/>
            <w:vAlign w:val="center"/>
          </w:tcPr>
          <w:p w14:paraId="04544723">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名称：三门华厦建设工程造价事务所（普通合伙）</w:t>
            </w:r>
          </w:p>
          <w:p w14:paraId="3039B686">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地址：三门县海游街道梧桐路26号保罗大酒店4A006室</w:t>
            </w:r>
          </w:p>
          <w:p w14:paraId="311BFDFC">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联系人：方远</w:t>
            </w:r>
          </w:p>
          <w:p w14:paraId="19EB7515">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电话：13634077717</w:t>
            </w:r>
          </w:p>
        </w:tc>
      </w:tr>
      <w:tr w14:paraId="55A8870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434B9ADC">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1.1.4</w:t>
            </w:r>
          </w:p>
        </w:tc>
        <w:tc>
          <w:tcPr>
            <w:tcW w:w="2079" w:type="dxa"/>
            <w:vAlign w:val="center"/>
          </w:tcPr>
          <w:p w14:paraId="4680D4D8">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工程名称</w:t>
            </w:r>
          </w:p>
        </w:tc>
        <w:tc>
          <w:tcPr>
            <w:tcW w:w="7216" w:type="dxa"/>
            <w:vAlign w:val="center"/>
          </w:tcPr>
          <w:p w14:paraId="57724406">
            <w:pPr>
              <w:keepNext w:val="0"/>
              <w:keepLines w:val="0"/>
              <w:pageBreakBefore w:val="0"/>
              <w:wordWrap/>
              <w:overflowPunct/>
              <w:topLinePunct w:val="0"/>
              <w:bidi w:val="0"/>
              <w:spacing w:line="440" w:lineRule="exact"/>
              <w:rPr>
                <w:rFonts w:hint="eastAsia" w:ascii="宋体" w:hAnsi="宋体" w:eastAsia="宋体" w:cs="宋体"/>
                <w:lang w:eastAsia="zh-CN"/>
              </w:rPr>
            </w:pPr>
            <w:r>
              <w:rPr>
                <w:rFonts w:hint="eastAsia" w:ascii="宋体" w:hAnsi="宋体" w:eastAsia="宋体" w:cs="宋体"/>
                <w:lang w:eastAsia="zh-CN"/>
              </w:rPr>
              <w:t>三门县饮用水水源地保护及生态修复项目-农村生活污水处理工程-管材</w:t>
            </w:r>
          </w:p>
        </w:tc>
      </w:tr>
      <w:tr w14:paraId="643EB98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D51D4A4">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1.1.5</w:t>
            </w:r>
          </w:p>
        </w:tc>
        <w:tc>
          <w:tcPr>
            <w:tcW w:w="2079" w:type="dxa"/>
            <w:vAlign w:val="center"/>
          </w:tcPr>
          <w:p w14:paraId="07576608">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建设地点</w:t>
            </w:r>
          </w:p>
        </w:tc>
        <w:tc>
          <w:tcPr>
            <w:tcW w:w="7216" w:type="dxa"/>
            <w:vAlign w:val="center"/>
          </w:tcPr>
          <w:p w14:paraId="3EF1FB33">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三门县</w:t>
            </w:r>
          </w:p>
        </w:tc>
      </w:tr>
      <w:tr w14:paraId="0BC8F43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55F6BDE">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1.2.1</w:t>
            </w:r>
          </w:p>
        </w:tc>
        <w:tc>
          <w:tcPr>
            <w:tcW w:w="2079" w:type="dxa"/>
            <w:vAlign w:val="center"/>
          </w:tcPr>
          <w:p w14:paraId="48BA13F7">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资金来源出资比例</w:t>
            </w:r>
          </w:p>
        </w:tc>
        <w:tc>
          <w:tcPr>
            <w:tcW w:w="7216" w:type="dxa"/>
            <w:vAlign w:val="center"/>
          </w:tcPr>
          <w:p w14:paraId="259CCF49">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财政拨款</w:t>
            </w:r>
          </w:p>
        </w:tc>
      </w:tr>
      <w:tr w14:paraId="6E3487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74DD3DF">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1.2.2</w:t>
            </w:r>
          </w:p>
        </w:tc>
        <w:tc>
          <w:tcPr>
            <w:tcW w:w="2079" w:type="dxa"/>
            <w:vAlign w:val="center"/>
          </w:tcPr>
          <w:p w14:paraId="3FC5EF73">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资金落实情况</w:t>
            </w:r>
          </w:p>
        </w:tc>
        <w:tc>
          <w:tcPr>
            <w:tcW w:w="7216" w:type="dxa"/>
            <w:vAlign w:val="center"/>
          </w:tcPr>
          <w:p w14:paraId="277FD5A9">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已落实</w:t>
            </w:r>
          </w:p>
        </w:tc>
      </w:tr>
      <w:tr w14:paraId="173743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9F117D3">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1.3.1</w:t>
            </w:r>
          </w:p>
        </w:tc>
        <w:tc>
          <w:tcPr>
            <w:tcW w:w="2079" w:type="dxa"/>
            <w:vAlign w:val="center"/>
          </w:tcPr>
          <w:p w14:paraId="6BC0945B">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招标范围</w:t>
            </w:r>
          </w:p>
        </w:tc>
        <w:tc>
          <w:tcPr>
            <w:tcW w:w="7216" w:type="dxa"/>
            <w:vAlign w:val="center"/>
          </w:tcPr>
          <w:p w14:paraId="56084B22">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lang w:eastAsia="zh-CN"/>
              </w:rPr>
              <w:t>承插式聚乙烯实壁排水管De315 SN8、PE100实壁管子及管件、UPVC排水管等</w:t>
            </w:r>
            <w:r>
              <w:rPr>
                <w:rFonts w:hint="eastAsia" w:ascii="宋体" w:hAnsi="宋体" w:eastAsia="宋体" w:cs="宋体"/>
              </w:rPr>
              <w:t>。</w:t>
            </w:r>
          </w:p>
        </w:tc>
      </w:tr>
      <w:tr w14:paraId="0523F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6FB41A72">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1.3.2</w:t>
            </w:r>
          </w:p>
        </w:tc>
        <w:tc>
          <w:tcPr>
            <w:tcW w:w="2079" w:type="dxa"/>
            <w:vAlign w:val="center"/>
          </w:tcPr>
          <w:p w14:paraId="7E5D239F">
            <w:pPr>
              <w:keepNext w:val="0"/>
              <w:keepLines w:val="0"/>
              <w:pageBreakBefore w:val="0"/>
              <w:wordWrap/>
              <w:overflowPunct/>
              <w:topLinePunct w:val="0"/>
              <w:bidi w:val="0"/>
              <w:spacing w:line="440" w:lineRule="exact"/>
              <w:jc w:val="center"/>
              <w:rPr>
                <w:rFonts w:hint="eastAsia" w:ascii="宋体" w:hAnsi="宋体" w:eastAsia="宋体" w:cs="宋体"/>
                <w:lang w:eastAsia="zh-CN"/>
              </w:rPr>
            </w:pPr>
            <w:r>
              <w:rPr>
                <w:rFonts w:hint="eastAsia" w:ascii="宋体" w:hAnsi="宋体" w:eastAsia="宋体" w:cs="宋体"/>
                <w:lang w:eastAsia="zh-CN"/>
              </w:rPr>
              <w:t>供货期</w:t>
            </w:r>
          </w:p>
        </w:tc>
        <w:tc>
          <w:tcPr>
            <w:tcW w:w="7216" w:type="dxa"/>
            <w:vAlign w:val="center"/>
          </w:tcPr>
          <w:p w14:paraId="562C862B">
            <w:pPr>
              <w:keepNext w:val="0"/>
              <w:keepLines w:val="0"/>
              <w:pageBreakBefore w:val="0"/>
              <w:wordWrap/>
              <w:overflowPunct/>
              <w:topLinePunct w:val="0"/>
              <w:bidi w:val="0"/>
              <w:spacing w:line="440" w:lineRule="exact"/>
              <w:rPr>
                <w:rFonts w:hint="eastAsia" w:ascii="宋体" w:hAnsi="宋体" w:eastAsia="宋体" w:cs="宋体"/>
                <w:lang w:eastAsia="zh-CN"/>
              </w:rPr>
            </w:pPr>
            <w:r>
              <w:rPr>
                <w:rFonts w:hint="eastAsia" w:ascii="宋体" w:hAnsi="宋体" w:eastAsia="宋体" w:cs="宋体"/>
                <w:lang w:eastAsia="zh-CN"/>
              </w:rPr>
              <w:t>在招标人（或其委托人）发出供货通知书（或者提单）后，中标人按照中标承诺书中承诺的日历天内（不超过7日历天）完成供货。供货周期为中标通知书发出之日起至所有工程完工验收止</w:t>
            </w:r>
          </w:p>
        </w:tc>
      </w:tr>
      <w:tr w14:paraId="72981D0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1176AAD">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1.3.3</w:t>
            </w:r>
          </w:p>
        </w:tc>
        <w:tc>
          <w:tcPr>
            <w:tcW w:w="2079" w:type="dxa"/>
            <w:vAlign w:val="center"/>
          </w:tcPr>
          <w:p w14:paraId="0A644757">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质量要求</w:t>
            </w:r>
          </w:p>
        </w:tc>
        <w:tc>
          <w:tcPr>
            <w:tcW w:w="7216" w:type="dxa"/>
            <w:vAlign w:val="center"/>
          </w:tcPr>
          <w:p w14:paraId="44119BF0">
            <w:pPr>
              <w:keepNext w:val="0"/>
              <w:keepLines w:val="0"/>
              <w:pageBreakBefore w:val="0"/>
              <w:wordWrap/>
              <w:overflowPunct/>
              <w:topLinePunct w:val="0"/>
              <w:bidi w:val="0"/>
              <w:spacing w:line="440" w:lineRule="exact"/>
              <w:rPr>
                <w:rFonts w:hint="eastAsia" w:ascii="宋体" w:hAnsi="宋体" w:eastAsia="宋体" w:cs="宋体"/>
              </w:rPr>
            </w:pPr>
            <w:r>
              <w:rPr>
                <w:rFonts w:hint="eastAsia" w:ascii="宋体" w:hAnsi="宋体" w:eastAsia="宋体" w:cs="宋体"/>
              </w:rPr>
              <w:t>合格</w:t>
            </w:r>
          </w:p>
        </w:tc>
      </w:tr>
      <w:tr w14:paraId="6E1CAB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09E8363">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1.4.1</w:t>
            </w:r>
          </w:p>
        </w:tc>
        <w:tc>
          <w:tcPr>
            <w:tcW w:w="2079" w:type="dxa"/>
            <w:vAlign w:val="center"/>
          </w:tcPr>
          <w:p w14:paraId="6C2351E4">
            <w:pPr>
              <w:keepNext w:val="0"/>
              <w:keepLines w:val="0"/>
              <w:pageBreakBefore w:val="0"/>
              <w:wordWrap/>
              <w:overflowPunct/>
              <w:topLinePunct w:val="0"/>
              <w:bidi w:val="0"/>
              <w:spacing w:line="440" w:lineRule="exact"/>
              <w:jc w:val="center"/>
              <w:rPr>
                <w:rFonts w:hint="eastAsia" w:ascii="宋体" w:hAnsi="宋体" w:eastAsia="宋体" w:cs="宋体"/>
              </w:rPr>
            </w:pPr>
            <w:r>
              <w:rPr>
                <w:rFonts w:hint="eastAsia" w:ascii="宋体" w:hAnsi="宋体" w:eastAsia="宋体" w:cs="宋体"/>
              </w:rPr>
              <w:t>投标人资质条件</w:t>
            </w:r>
          </w:p>
        </w:tc>
        <w:tc>
          <w:tcPr>
            <w:tcW w:w="7216" w:type="dxa"/>
            <w:vAlign w:val="center"/>
          </w:tcPr>
          <w:p w14:paraId="22098B5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本次招标要求投标人须具备：</w:t>
            </w:r>
          </w:p>
          <w:p w14:paraId="6F6E41FA">
            <w:pPr>
              <w:keepNext w:val="0"/>
              <w:keepLines w:val="0"/>
              <w:pageBreakBefore w:val="0"/>
              <w:widowControl/>
              <w:numPr>
                <w:ilvl w:val="0"/>
                <w:numId w:val="6"/>
              </w:numPr>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highlight w:val="none"/>
              </w:rPr>
            </w:pPr>
            <w:r>
              <w:rPr>
                <w:rFonts w:hint="eastAsia" w:ascii="宋体" w:hAnsi="宋体" w:eastAsia="宋体" w:cs="宋体"/>
                <w:highlight w:val="none"/>
              </w:rPr>
              <w:t>具有独立法人资格，在中国境内国家行政管理部门注册登记并批准生产管材的生产企业。</w:t>
            </w:r>
          </w:p>
          <w:p w14:paraId="0E532EB1">
            <w:pPr>
              <w:keepNext w:val="0"/>
              <w:keepLines w:val="0"/>
              <w:pageBreakBefore w:val="0"/>
              <w:widowControl/>
              <w:numPr>
                <w:ilvl w:val="0"/>
                <w:numId w:val="6"/>
              </w:numPr>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highlight w:val="none"/>
              </w:rPr>
              <w:t>法定代表人为同一个人的两个及两个以上法人，以及母公司与其控股公司，只能有一家参加投标。</w:t>
            </w:r>
          </w:p>
          <w:p w14:paraId="7220837D">
            <w:pPr>
              <w:keepNext w:val="0"/>
              <w:keepLines w:val="0"/>
              <w:pageBreakBefore w:val="0"/>
              <w:widowControl/>
              <w:numPr>
                <w:ilvl w:val="0"/>
                <w:numId w:val="6"/>
              </w:numPr>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highlight w:val="none"/>
              </w:rPr>
              <w:t>投标人投标所使用的资格、信誉、荣誉、业绩、企业认证等所有资料必须为投标单位所拥有，不能用母公司、子公司等其他有关联的公司资料所代替。</w:t>
            </w:r>
          </w:p>
        </w:tc>
      </w:tr>
      <w:tr w14:paraId="64D176A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CE75545">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1"/>
                <w:szCs w:val="24"/>
              </w:rPr>
              <w:t>1.</w:t>
            </w:r>
            <w:r>
              <w:rPr>
                <w:rFonts w:hint="eastAsia" w:ascii="宋体" w:hAnsi="宋体" w:eastAsia="宋体" w:cs="宋体"/>
                <w:szCs w:val="24"/>
              </w:rPr>
              <w:t>4.3</w:t>
            </w:r>
          </w:p>
        </w:tc>
        <w:tc>
          <w:tcPr>
            <w:tcW w:w="2079" w:type="dxa"/>
            <w:vAlign w:val="center"/>
          </w:tcPr>
          <w:p w14:paraId="31BF185A">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1"/>
                <w:szCs w:val="24"/>
              </w:rPr>
              <w:t>是否接受联合体投标</w:t>
            </w:r>
          </w:p>
        </w:tc>
        <w:tc>
          <w:tcPr>
            <w:tcW w:w="7216" w:type="dxa"/>
            <w:vAlign w:val="center"/>
          </w:tcPr>
          <w:p w14:paraId="0B15F7D6">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spacing w:val="5"/>
                <w:szCs w:val="24"/>
              </w:rPr>
              <w:t>不接受</w:t>
            </w:r>
          </w:p>
        </w:tc>
      </w:tr>
      <w:tr w14:paraId="4C88D5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2C0C692">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4"/>
                <w:szCs w:val="24"/>
              </w:rPr>
              <w:t>1.9.</w:t>
            </w:r>
            <w:r>
              <w:rPr>
                <w:rFonts w:hint="eastAsia" w:ascii="宋体" w:hAnsi="宋体" w:eastAsia="宋体" w:cs="宋体"/>
                <w:spacing w:val="3"/>
                <w:szCs w:val="24"/>
              </w:rPr>
              <w:t>1</w:t>
            </w:r>
          </w:p>
        </w:tc>
        <w:tc>
          <w:tcPr>
            <w:tcW w:w="2079" w:type="dxa"/>
            <w:vAlign w:val="center"/>
          </w:tcPr>
          <w:p w14:paraId="488E9ED6">
            <w:pPr>
              <w:keepNext w:val="0"/>
              <w:keepLines w:val="0"/>
              <w:pageBreakBefore w:val="0"/>
              <w:wordWrap/>
              <w:overflowPunct/>
              <w:topLinePunct w:val="0"/>
              <w:bidi w:val="0"/>
              <w:spacing w:line="440" w:lineRule="exact"/>
              <w:ind w:left="113"/>
              <w:jc w:val="center"/>
              <w:rPr>
                <w:rFonts w:hint="eastAsia" w:ascii="宋体" w:hAnsi="宋体" w:eastAsia="宋体" w:cs="宋体"/>
                <w:szCs w:val="24"/>
              </w:rPr>
            </w:pPr>
            <w:r>
              <w:rPr>
                <w:rFonts w:hint="eastAsia" w:ascii="宋体" w:hAnsi="宋体" w:eastAsia="宋体" w:cs="宋体"/>
                <w:spacing w:val="8"/>
                <w:szCs w:val="24"/>
              </w:rPr>
              <w:t>踏</w:t>
            </w:r>
            <w:r>
              <w:rPr>
                <w:rFonts w:hint="eastAsia" w:ascii="宋体" w:hAnsi="宋体" w:eastAsia="宋体" w:cs="宋体"/>
                <w:spacing w:val="7"/>
                <w:szCs w:val="24"/>
              </w:rPr>
              <w:t>勘现场</w:t>
            </w:r>
          </w:p>
        </w:tc>
        <w:tc>
          <w:tcPr>
            <w:tcW w:w="7216" w:type="dxa"/>
            <w:vAlign w:val="center"/>
          </w:tcPr>
          <w:p w14:paraId="227062BE">
            <w:pPr>
              <w:keepNext w:val="0"/>
              <w:keepLines w:val="0"/>
              <w:pageBreakBefore w:val="0"/>
              <w:wordWrap/>
              <w:overflowPunct/>
              <w:topLinePunct w:val="0"/>
              <w:bidi w:val="0"/>
              <w:spacing w:line="440" w:lineRule="exact"/>
              <w:ind w:left="114"/>
              <w:rPr>
                <w:rFonts w:hint="eastAsia" w:ascii="宋体" w:hAnsi="宋体" w:eastAsia="宋体" w:cs="宋体"/>
                <w:szCs w:val="24"/>
              </w:rPr>
            </w:pPr>
            <w:r>
              <w:rPr>
                <w:rFonts w:hint="eastAsia" w:ascii="宋体" w:hAnsi="宋体" w:eastAsia="宋体" w:cs="宋体"/>
                <w:spacing w:val="10"/>
                <w:szCs w:val="24"/>
              </w:rPr>
              <w:t>不</w:t>
            </w:r>
            <w:r>
              <w:rPr>
                <w:rFonts w:hint="eastAsia" w:ascii="宋体" w:hAnsi="宋体" w:eastAsia="宋体" w:cs="宋体"/>
                <w:spacing w:val="7"/>
                <w:szCs w:val="24"/>
              </w:rPr>
              <w:t>组织，由潜在投标人自行前往现场踏勘。</w:t>
            </w:r>
          </w:p>
        </w:tc>
      </w:tr>
      <w:tr w14:paraId="4700C1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86754D3">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1"/>
                <w:szCs w:val="24"/>
              </w:rPr>
              <w:t>1</w:t>
            </w:r>
            <w:r>
              <w:rPr>
                <w:rFonts w:hint="eastAsia" w:ascii="宋体" w:hAnsi="宋体" w:eastAsia="宋体" w:cs="宋体"/>
                <w:szCs w:val="24"/>
              </w:rPr>
              <w:t>.10</w:t>
            </w:r>
          </w:p>
        </w:tc>
        <w:tc>
          <w:tcPr>
            <w:tcW w:w="2079" w:type="dxa"/>
            <w:vAlign w:val="center"/>
          </w:tcPr>
          <w:p w14:paraId="6F2DF9F1">
            <w:pPr>
              <w:keepNext w:val="0"/>
              <w:keepLines w:val="0"/>
              <w:pageBreakBefore w:val="0"/>
              <w:wordWrap/>
              <w:overflowPunct/>
              <w:topLinePunct w:val="0"/>
              <w:bidi w:val="0"/>
              <w:spacing w:line="440" w:lineRule="exact"/>
              <w:ind w:left="115"/>
              <w:jc w:val="center"/>
              <w:rPr>
                <w:rFonts w:hint="eastAsia" w:ascii="宋体" w:hAnsi="宋体" w:eastAsia="宋体" w:cs="宋体"/>
                <w:szCs w:val="24"/>
              </w:rPr>
            </w:pPr>
            <w:r>
              <w:rPr>
                <w:rFonts w:hint="eastAsia" w:ascii="宋体" w:hAnsi="宋体" w:eastAsia="宋体" w:cs="宋体"/>
                <w:spacing w:val="9"/>
                <w:szCs w:val="24"/>
              </w:rPr>
              <w:t>投</w:t>
            </w:r>
            <w:r>
              <w:rPr>
                <w:rFonts w:hint="eastAsia" w:ascii="宋体" w:hAnsi="宋体" w:eastAsia="宋体" w:cs="宋体"/>
                <w:spacing w:val="7"/>
                <w:szCs w:val="24"/>
              </w:rPr>
              <w:t>标预备会</w:t>
            </w:r>
          </w:p>
        </w:tc>
        <w:tc>
          <w:tcPr>
            <w:tcW w:w="7216" w:type="dxa"/>
            <w:vAlign w:val="center"/>
          </w:tcPr>
          <w:p w14:paraId="51DA83D7">
            <w:pPr>
              <w:keepNext w:val="0"/>
              <w:keepLines w:val="0"/>
              <w:pageBreakBefore w:val="0"/>
              <w:wordWrap/>
              <w:overflowPunct/>
              <w:topLinePunct w:val="0"/>
              <w:bidi w:val="0"/>
              <w:spacing w:line="440" w:lineRule="exact"/>
              <w:ind w:left="114"/>
              <w:rPr>
                <w:rFonts w:hint="eastAsia" w:ascii="宋体" w:hAnsi="宋体" w:eastAsia="宋体" w:cs="宋体"/>
                <w:szCs w:val="24"/>
              </w:rPr>
            </w:pPr>
            <w:r>
              <w:rPr>
                <w:rFonts w:hint="eastAsia" w:ascii="宋体" w:hAnsi="宋体" w:eastAsia="宋体" w:cs="宋体"/>
                <w:spacing w:val="6"/>
                <w:szCs w:val="24"/>
              </w:rPr>
              <w:t>不</w:t>
            </w:r>
            <w:r>
              <w:rPr>
                <w:rFonts w:hint="eastAsia" w:ascii="宋体" w:hAnsi="宋体" w:eastAsia="宋体" w:cs="宋体"/>
                <w:spacing w:val="5"/>
                <w:szCs w:val="24"/>
              </w:rPr>
              <w:t>召开</w:t>
            </w:r>
          </w:p>
        </w:tc>
      </w:tr>
      <w:tr w14:paraId="212BA24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30CF32C">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1"/>
                <w:szCs w:val="24"/>
              </w:rPr>
              <w:t>1</w:t>
            </w:r>
            <w:r>
              <w:rPr>
                <w:rFonts w:hint="eastAsia" w:ascii="宋体" w:hAnsi="宋体" w:eastAsia="宋体" w:cs="宋体"/>
                <w:szCs w:val="24"/>
              </w:rPr>
              <w:t>.11</w:t>
            </w:r>
          </w:p>
        </w:tc>
        <w:tc>
          <w:tcPr>
            <w:tcW w:w="2079" w:type="dxa"/>
            <w:vAlign w:val="center"/>
          </w:tcPr>
          <w:p w14:paraId="22D98905">
            <w:pPr>
              <w:keepNext w:val="0"/>
              <w:keepLines w:val="0"/>
              <w:pageBreakBefore w:val="0"/>
              <w:wordWrap/>
              <w:overflowPunct/>
              <w:topLinePunct w:val="0"/>
              <w:bidi w:val="0"/>
              <w:spacing w:line="440" w:lineRule="exact"/>
              <w:ind w:left="115"/>
              <w:jc w:val="center"/>
              <w:rPr>
                <w:rFonts w:hint="eastAsia" w:ascii="宋体" w:hAnsi="宋体" w:eastAsia="宋体" w:cs="宋体"/>
                <w:szCs w:val="24"/>
              </w:rPr>
            </w:pPr>
            <w:r>
              <w:rPr>
                <w:rFonts w:hint="eastAsia" w:ascii="宋体" w:hAnsi="宋体" w:eastAsia="宋体" w:cs="宋体"/>
                <w:spacing w:val="4"/>
                <w:szCs w:val="24"/>
              </w:rPr>
              <w:t>分</w:t>
            </w:r>
            <w:r>
              <w:rPr>
                <w:rFonts w:hint="eastAsia" w:ascii="宋体" w:hAnsi="宋体" w:eastAsia="宋体" w:cs="宋体"/>
                <w:spacing w:val="3"/>
                <w:szCs w:val="24"/>
              </w:rPr>
              <w:t>包</w:t>
            </w:r>
          </w:p>
        </w:tc>
        <w:tc>
          <w:tcPr>
            <w:tcW w:w="7216" w:type="dxa"/>
            <w:vAlign w:val="center"/>
          </w:tcPr>
          <w:p w14:paraId="0E6A5AD7">
            <w:pPr>
              <w:keepNext w:val="0"/>
              <w:keepLines w:val="0"/>
              <w:pageBreakBefore w:val="0"/>
              <w:wordWrap/>
              <w:overflowPunct/>
              <w:topLinePunct w:val="0"/>
              <w:bidi w:val="0"/>
              <w:spacing w:line="440" w:lineRule="exact"/>
              <w:ind w:left="114"/>
              <w:rPr>
                <w:rFonts w:hint="eastAsia" w:ascii="宋体" w:hAnsi="宋体" w:eastAsia="宋体" w:cs="宋体"/>
                <w:szCs w:val="24"/>
              </w:rPr>
            </w:pPr>
            <w:r>
              <w:rPr>
                <w:rFonts w:hint="eastAsia" w:ascii="宋体" w:hAnsi="宋体" w:eastAsia="宋体" w:cs="宋体"/>
                <w:spacing w:val="6"/>
                <w:szCs w:val="24"/>
              </w:rPr>
              <w:t>不</w:t>
            </w:r>
            <w:r>
              <w:rPr>
                <w:rFonts w:hint="eastAsia" w:ascii="宋体" w:hAnsi="宋体" w:eastAsia="宋体" w:cs="宋体"/>
                <w:spacing w:val="5"/>
                <w:szCs w:val="24"/>
              </w:rPr>
              <w:t>允许</w:t>
            </w:r>
          </w:p>
        </w:tc>
      </w:tr>
      <w:tr w14:paraId="580BE89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1FE46A8">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1"/>
                <w:szCs w:val="24"/>
              </w:rPr>
              <w:t>1</w:t>
            </w:r>
            <w:r>
              <w:rPr>
                <w:rFonts w:hint="eastAsia" w:ascii="宋体" w:hAnsi="宋体" w:eastAsia="宋体" w:cs="宋体"/>
                <w:szCs w:val="24"/>
              </w:rPr>
              <w:t>.12</w:t>
            </w:r>
          </w:p>
        </w:tc>
        <w:tc>
          <w:tcPr>
            <w:tcW w:w="2079" w:type="dxa"/>
            <w:vAlign w:val="center"/>
          </w:tcPr>
          <w:p w14:paraId="32E956FA">
            <w:pPr>
              <w:keepNext w:val="0"/>
              <w:keepLines w:val="0"/>
              <w:pageBreakBefore w:val="0"/>
              <w:wordWrap/>
              <w:overflowPunct/>
              <w:topLinePunct w:val="0"/>
              <w:bidi w:val="0"/>
              <w:spacing w:line="440" w:lineRule="exact"/>
              <w:ind w:left="112"/>
              <w:jc w:val="center"/>
              <w:rPr>
                <w:rFonts w:hint="eastAsia" w:ascii="宋体" w:hAnsi="宋体" w:eastAsia="宋体" w:cs="宋体"/>
                <w:szCs w:val="24"/>
              </w:rPr>
            </w:pPr>
            <w:r>
              <w:rPr>
                <w:rFonts w:hint="eastAsia" w:ascii="宋体" w:hAnsi="宋体" w:eastAsia="宋体" w:cs="宋体"/>
                <w:spacing w:val="5"/>
                <w:szCs w:val="24"/>
              </w:rPr>
              <w:t>偏离</w:t>
            </w:r>
          </w:p>
        </w:tc>
        <w:tc>
          <w:tcPr>
            <w:tcW w:w="7216" w:type="dxa"/>
            <w:vAlign w:val="center"/>
          </w:tcPr>
          <w:p w14:paraId="3CBA7449">
            <w:pPr>
              <w:keepNext w:val="0"/>
              <w:keepLines w:val="0"/>
              <w:pageBreakBefore w:val="0"/>
              <w:wordWrap/>
              <w:overflowPunct/>
              <w:topLinePunct w:val="0"/>
              <w:bidi w:val="0"/>
              <w:spacing w:line="440" w:lineRule="exact"/>
              <w:ind w:left="114"/>
              <w:rPr>
                <w:rFonts w:hint="eastAsia" w:ascii="宋体" w:hAnsi="宋体" w:eastAsia="宋体" w:cs="宋体"/>
                <w:szCs w:val="24"/>
              </w:rPr>
            </w:pPr>
            <w:r>
              <w:rPr>
                <w:rFonts w:hint="eastAsia" w:ascii="宋体" w:hAnsi="宋体" w:eastAsia="宋体" w:cs="宋体"/>
                <w:spacing w:val="6"/>
                <w:szCs w:val="24"/>
              </w:rPr>
              <w:t>不</w:t>
            </w:r>
            <w:r>
              <w:rPr>
                <w:rFonts w:hint="eastAsia" w:ascii="宋体" w:hAnsi="宋体" w:eastAsia="宋体" w:cs="宋体"/>
                <w:spacing w:val="5"/>
                <w:szCs w:val="24"/>
              </w:rPr>
              <w:t>允许</w:t>
            </w:r>
          </w:p>
        </w:tc>
      </w:tr>
      <w:tr w14:paraId="17C21BE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BE6BB0D">
            <w:pPr>
              <w:keepNext w:val="0"/>
              <w:keepLines w:val="0"/>
              <w:pageBreakBefore w:val="0"/>
              <w:wordWrap/>
              <w:overflowPunct/>
              <w:topLinePunct w:val="0"/>
              <w:bidi w:val="0"/>
              <w:spacing w:line="440" w:lineRule="exact"/>
              <w:jc w:val="center"/>
              <w:rPr>
                <w:rFonts w:hint="eastAsia" w:ascii="宋体" w:hAnsi="宋体" w:eastAsia="宋体" w:cs="宋体"/>
                <w:szCs w:val="24"/>
              </w:rPr>
            </w:pPr>
          </w:p>
          <w:p w14:paraId="3DA2C587">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1"/>
                <w:szCs w:val="24"/>
              </w:rPr>
              <w:t>2.</w:t>
            </w:r>
            <w:r>
              <w:rPr>
                <w:rFonts w:hint="eastAsia" w:ascii="宋体" w:hAnsi="宋体" w:eastAsia="宋体" w:cs="宋体"/>
                <w:szCs w:val="24"/>
              </w:rPr>
              <w:t>1</w:t>
            </w:r>
          </w:p>
        </w:tc>
        <w:tc>
          <w:tcPr>
            <w:tcW w:w="2079" w:type="dxa"/>
            <w:vAlign w:val="center"/>
          </w:tcPr>
          <w:p w14:paraId="2880A3C9">
            <w:pPr>
              <w:keepNext w:val="0"/>
              <w:keepLines w:val="0"/>
              <w:pageBreakBefore w:val="0"/>
              <w:wordWrap/>
              <w:overflowPunct/>
              <w:topLinePunct w:val="0"/>
              <w:bidi w:val="0"/>
              <w:spacing w:line="440" w:lineRule="exact"/>
              <w:ind w:right="109"/>
              <w:jc w:val="center"/>
              <w:rPr>
                <w:rFonts w:hint="eastAsia" w:ascii="宋体" w:hAnsi="宋体" w:eastAsia="宋体" w:cs="宋体"/>
                <w:szCs w:val="24"/>
              </w:rPr>
            </w:pPr>
            <w:r>
              <w:rPr>
                <w:rFonts w:hint="eastAsia" w:ascii="宋体" w:hAnsi="宋体" w:eastAsia="宋体" w:cs="宋体"/>
                <w:spacing w:val="13"/>
                <w:szCs w:val="24"/>
              </w:rPr>
              <w:t>构成招标文件的</w:t>
            </w:r>
            <w:r>
              <w:rPr>
                <w:rFonts w:hint="eastAsia" w:ascii="宋体" w:hAnsi="宋体" w:eastAsia="宋体" w:cs="宋体"/>
                <w:spacing w:val="8"/>
                <w:szCs w:val="24"/>
              </w:rPr>
              <w:t>其</w:t>
            </w:r>
            <w:r>
              <w:rPr>
                <w:rFonts w:hint="eastAsia" w:ascii="宋体" w:hAnsi="宋体" w:eastAsia="宋体" w:cs="宋体"/>
                <w:spacing w:val="7"/>
                <w:szCs w:val="24"/>
              </w:rPr>
              <w:t>他材料</w:t>
            </w:r>
          </w:p>
        </w:tc>
        <w:tc>
          <w:tcPr>
            <w:tcW w:w="7216" w:type="dxa"/>
            <w:vAlign w:val="center"/>
          </w:tcPr>
          <w:p w14:paraId="6A182464">
            <w:pPr>
              <w:keepNext w:val="0"/>
              <w:keepLines w:val="0"/>
              <w:pageBreakBefore w:val="0"/>
              <w:wordWrap/>
              <w:overflowPunct/>
              <w:topLinePunct w:val="0"/>
              <w:bidi w:val="0"/>
              <w:spacing w:line="440" w:lineRule="exact"/>
              <w:ind w:right="109"/>
              <w:rPr>
                <w:rFonts w:hint="eastAsia" w:ascii="宋体" w:hAnsi="宋体" w:eastAsia="宋体" w:cs="宋体"/>
                <w:spacing w:val="13"/>
                <w:szCs w:val="24"/>
              </w:rPr>
            </w:pPr>
            <w:r>
              <w:rPr>
                <w:rFonts w:hint="eastAsia" w:ascii="宋体" w:hAnsi="宋体" w:eastAsia="宋体" w:cs="宋体"/>
                <w:spacing w:val="13"/>
                <w:szCs w:val="24"/>
              </w:rPr>
              <w:t>其他材料：</w:t>
            </w:r>
          </w:p>
          <w:p w14:paraId="3B391062">
            <w:pPr>
              <w:keepNext w:val="0"/>
              <w:keepLines w:val="0"/>
              <w:pageBreakBefore w:val="0"/>
              <w:wordWrap/>
              <w:overflowPunct/>
              <w:topLinePunct w:val="0"/>
              <w:bidi w:val="0"/>
              <w:spacing w:line="440" w:lineRule="exact"/>
              <w:ind w:right="109"/>
              <w:rPr>
                <w:rFonts w:hint="eastAsia" w:ascii="宋体" w:hAnsi="宋体" w:eastAsia="宋体" w:cs="宋体"/>
                <w:spacing w:val="13"/>
                <w:szCs w:val="24"/>
              </w:rPr>
            </w:pPr>
            <w:r>
              <w:rPr>
                <w:rFonts w:hint="eastAsia" w:ascii="宋体" w:hAnsi="宋体" w:eastAsia="宋体" w:cs="宋体"/>
                <w:spacing w:val="13"/>
                <w:szCs w:val="24"/>
              </w:rPr>
              <w:t>1)电子招标文件及投标工具安装程序(三门投标编制</w:t>
            </w:r>
            <w:r>
              <w:rPr>
                <w:rFonts w:hint="eastAsia" w:ascii="宋体" w:hAnsi="宋体" w:eastAsia="宋体" w:cs="宋体"/>
                <w:spacing w:val="13"/>
                <w:szCs w:val="24"/>
                <w:lang w:eastAsia="zh-CN"/>
              </w:rPr>
              <w:t>4.5.0.1版本</w:t>
            </w:r>
            <w:r>
              <w:rPr>
                <w:rFonts w:hint="eastAsia" w:ascii="宋体" w:hAnsi="宋体" w:eastAsia="宋体" w:cs="宋体"/>
                <w:spacing w:val="13"/>
                <w:szCs w:val="24"/>
              </w:rPr>
              <w:t>)</w:t>
            </w:r>
          </w:p>
          <w:p w14:paraId="17364357">
            <w:pPr>
              <w:keepNext w:val="0"/>
              <w:keepLines w:val="0"/>
              <w:pageBreakBefore w:val="0"/>
              <w:wordWrap/>
              <w:overflowPunct/>
              <w:topLinePunct w:val="0"/>
              <w:bidi w:val="0"/>
              <w:spacing w:line="440" w:lineRule="exact"/>
              <w:ind w:right="109"/>
              <w:rPr>
                <w:rFonts w:hint="eastAsia" w:ascii="宋体" w:hAnsi="宋体" w:eastAsia="宋体" w:cs="宋体"/>
                <w:szCs w:val="24"/>
              </w:rPr>
            </w:pPr>
            <w:r>
              <w:rPr>
                <w:rFonts w:hint="eastAsia" w:ascii="宋体" w:hAnsi="宋体" w:eastAsia="宋体" w:cs="宋体"/>
                <w:spacing w:val="13"/>
                <w:szCs w:val="24"/>
              </w:rPr>
              <w:t>2)施工图纸电子文档；</w:t>
            </w:r>
          </w:p>
        </w:tc>
      </w:tr>
      <w:tr w14:paraId="5252A53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CB42DDB">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4"/>
                <w:szCs w:val="24"/>
              </w:rPr>
              <w:t>2.2.</w:t>
            </w:r>
            <w:r>
              <w:rPr>
                <w:rFonts w:hint="eastAsia" w:ascii="宋体" w:hAnsi="宋体" w:eastAsia="宋体" w:cs="宋体"/>
                <w:spacing w:val="3"/>
                <w:szCs w:val="24"/>
              </w:rPr>
              <w:t>2</w:t>
            </w:r>
          </w:p>
        </w:tc>
        <w:tc>
          <w:tcPr>
            <w:tcW w:w="2079" w:type="dxa"/>
            <w:vAlign w:val="center"/>
          </w:tcPr>
          <w:p w14:paraId="774FD6FD">
            <w:pPr>
              <w:keepNext w:val="0"/>
              <w:keepLines w:val="0"/>
              <w:pageBreakBefore w:val="0"/>
              <w:wordWrap/>
              <w:overflowPunct/>
              <w:topLinePunct w:val="0"/>
              <w:bidi w:val="0"/>
              <w:spacing w:line="440" w:lineRule="exact"/>
              <w:ind w:left="115"/>
              <w:jc w:val="center"/>
              <w:rPr>
                <w:rFonts w:hint="eastAsia" w:ascii="宋体" w:hAnsi="宋体" w:eastAsia="宋体" w:cs="宋体"/>
                <w:szCs w:val="24"/>
              </w:rPr>
            </w:pPr>
            <w:r>
              <w:rPr>
                <w:rFonts w:hint="eastAsia" w:ascii="宋体" w:hAnsi="宋体" w:eastAsia="宋体" w:cs="宋体"/>
                <w:spacing w:val="8"/>
                <w:szCs w:val="24"/>
              </w:rPr>
              <w:t>投标截止时</w:t>
            </w:r>
            <w:r>
              <w:rPr>
                <w:rFonts w:hint="eastAsia" w:ascii="宋体" w:hAnsi="宋体" w:eastAsia="宋体" w:cs="宋体"/>
                <w:spacing w:val="7"/>
                <w:szCs w:val="24"/>
              </w:rPr>
              <w:t>间</w:t>
            </w:r>
          </w:p>
        </w:tc>
        <w:tc>
          <w:tcPr>
            <w:tcW w:w="7216" w:type="dxa"/>
            <w:vAlign w:val="center"/>
          </w:tcPr>
          <w:p w14:paraId="4CF79D19">
            <w:pPr>
              <w:keepNext w:val="0"/>
              <w:keepLines w:val="0"/>
              <w:pageBreakBefore w:val="0"/>
              <w:wordWrap/>
              <w:overflowPunct/>
              <w:topLinePunct w:val="0"/>
              <w:bidi w:val="0"/>
              <w:spacing w:line="440" w:lineRule="exact"/>
              <w:ind w:left="114"/>
              <w:rPr>
                <w:rFonts w:hint="eastAsia" w:ascii="宋体" w:hAnsi="宋体" w:eastAsia="宋体" w:cs="宋体"/>
                <w:szCs w:val="24"/>
              </w:rPr>
            </w:pPr>
            <w:r>
              <w:rPr>
                <w:rFonts w:hint="eastAsia" w:ascii="宋体" w:hAnsi="宋体" w:eastAsia="宋体" w:cs="宋体"/>
                <w:spacing w:val="13"/>
                <w:szCs w:val="24"/>
              </w:rPr>
              <w:t>详</w:t>
            </w:r>
            <w:r>
              <w:rPr>
                <w:rFonts w:hint="eastAsia" w:ascii="宋体" w:hAnsi="宋体" w:eastAsia="宋体" w:cs="宋体"/>
                <w:spacing w:val="8"/>
                <w:szCs w:val="24"/>
              </w:rPr>
              <w:t>见本工程招标公告</w:t>
            </w:r>
          </w:p>
        </w:tc>
      </w:tr>
      <w:tr w14:paraId="6AA075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202B982">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8"/>
                <w:szCs w:val="24"/>
              </w:rPr>
              <w:t>3</w:t>
            </w:r>
            <w:r>
              <w:rPr>
                <w:rFonts w:hint="eastAsia" w:ascii="宋体" w:hAnsi="宋体" w:eastAsia="宋体" w:cs="宋体"/>
                <w:spacing w:val="7"/>
                <w:szCs w:val="24"/>
              </w:rPr>
              <w:t>.1</w:t>
            </w:r>
          </w:p>
        </w:tc>
        <w:tc>
          <w:tcPr>
            <w:tcW w:w="2079" w:type="dxa"/>
            <w:vAlign w:val="center"/>
          </w:tcPr>
          <w:p w14:paraId="77460F0C">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8"/>
                <w:szCs w:val="24"/>
              </w:rPr>
              <w:t>投标文件组</w:t>
            </w:r>
            <w:r>
              <w:rPr>
                <w:rFonts w:hint="eastAsia" w:ascii="宋体" w:hAnsi="宋体" w:eastAsia="宋体" w:cs="宋体"/>
                <w:spacing w:val="7"/>
                <w:szCs w:val="24"/>
              </w:rPr>
              <w:t>成</w:t>
            </w:r>
          </w:p>
        </w:tc>
        <w:tc>
          <w:tcPr>
            <w:tcW w:w="7216" w:type="dxa"/>
            <w:vAlign w:val="center"/>
          </w:tcPr>
          <w:p w14:paraId="55BC3B67">
            <w:pPr>
              <w:keepNext w:val="0"/>
              <w:keepLines w:val="0"/>
              <w:pageBreakBefore w:val="0"/>
              <w:wordWrap/>
              <w:overflowPunct/>
              <w:topLinePunct w:val="0"/>
              <w:bidi w:val="0"/>
              <w:spacing w:line="440" w:lineRule="exact"/>
              <w:rPr>
                <w:rFonts w:hint="eastAsia" w:ascii="宋体" w:hAnsi="宋体" w:eastAsia="宋体" w:cs="宋体"/>
                <w:color w:val="auto"/>
              </w:rPr>
            </w:pPr>
            <w:r>
              <w:rPr>
                <w:rFonts w:hint="eastAsia" w:ascii="宋体" w:hAnsi="宋体" w:eastAsia="宋体" w:cs="宋体"/>
              </w:rPr>
              <w:t>投标文件由</w:t>
            </w:r>
            <w:r>
              <w:rPr>
                <w:rFonts w:hint="eastAsia" w:ascii="宋体" w:hAnsi="宋体" w:eastAsia="宋体" w:cs="宋体"/>
                <w:lang w:eastAsia="zh-CN"/>
              </w:rPr>
              <w:t>资信标、</w:t>
            </w:r>
            <w:r>
              <w:rPr>
                <w:rFonts w:hint="eastAsia" w:ascii="宋体" w:hAnsi="宋体" w:eastAsia="宋体" w:cs="宋体"/>
              </w:rPr>
              <w:t>技术标和商务标</w:t>
            </w:r>
            <w:r>
              <w:rPr>
                <w:rFonts w:hint="eastAsia" w:ascii="宋体" w:hAnsi="宋体" w:eastAsia="宋体" w:cs="宋体"/>
                <w:lang w:eastAsia="zh-CN"/>
              </w:rPr>
              <w:t>三</w:t>
            </w:r>
            <w:r>
              <w:rPr>
                <w:rFonts w:hint="eastAsia" w:ascii="宋体" w:hAnsi="宋体" w:eastAsia="宋体" w:cs="宋体"/>
              </w:rPr>
              <w:t>部分组成，由三门投标编制</w:t>
            </w:r>
            <w:r>
              <w:rPr>
                <w:rFonts w:hint="eastAsia" w:ascii="宋体" w:hAnsi="宋体" w:eastAsia="宋体" w:cs="宋体"/>
                <w:lang w:eastAsia="zh-CN"/>
              </w:rPr>
              <w:t>4.5.</w:t>
            </w:r>
            <w:r>
              <w:rPr>
                <w:rFonts w:hint="eastAsia" w:ascii="宋体" w:hAnsi="宋体" w:eastAsia="宋体" w:cs="宋体"/>
                <w:color w:val="auto"/>
                <w:lang w:eastAsia="zh-CN"/>
              </w:rPr>
              <w:t>0.1版本</w:t>
            </w:r>
            <w:r>
              <w:rPr>
                <w:rFonts w:hint="eastAsia" w:ascii="宋体" w:hAnsi="宋体" w:eastAsia="宋体" w:cs="宋体"/>
                <w:color w:val="auto"/>
              </w:rPr>
              <w:t>生成后缀名.已加密投标文件。</w:t>
            </w:r>
          </w:p>
          <w:p w14:paraId="313FC033">
            <w:pPr>
              <w:pStyle w:val="7"/>
              <w:keepNext w:val="0"/>
              <w:keepLines w:val="0"/>
              <w:pageBreakBefore w:val="0"/>
              <w:wordWrap/>
              <w:overflowPunct/>
              <w:topLinePunct w:val="0"/>
              <w:bidi w:val="0"/>
              <w:adjustRightInd w:val="0"/>
              <w:spacing w:line="440" w:lineRule="exact"/>
              <w:ind w:firstLine="0" w:firstLineChars="0"/>
              <w:jc w:val="left"/>
              <w:rPr>
                <w:rFonts w:hint="eastAsia" w:ascii="宋体" w:hAnsi="宋体" w:eastAsia="宋体" w:cs="宋体"/>
                <w:b/>
                <w:color w:val="auto"/>
              </w:rPr>
            </w:pPr>
            <w:r>
              <w:rPr>
                <w:rFonts w:hint="eastAsia" w:ascii="宋体" w:hAnsi="宋体" w:eastAsia="宋体" w:cs="宋体"/>
                <w:b/>
                <w:color w:val="auto"/>
              </w:rPr>
              <w:t>投标文件由资信</w:t>
            </w:r>
            <w:r>
              <w:rPr>
                <w:rFonts w:hint="eastAsia" w:ascii="宋体" w:hAnsi="宋体" w:eastAsia="宋体" w:cs="宋体"/>
                <w:b/>
                <w:color w:val="auto"/>
                <w:lang w:eastAsia="zh-CN"/>
              </w:rPr>
              <w:t>标、</w:t>
            </w:r>
            <w:r>
              <w:rPr>
                <w:rFonts w:hint="eastAsia" w:ascii="宋体" w:hAnsi="宋体" w:eastAsia="宋体" w:cs="宋体"/>
                <w:b/>
                <w:color w:val="auto"/>
              </w:rPr>
              <w:t>技术标和商务标</w:t>
            </w:r>
            <w:r>
              <w:rPr>
                <w:rFonts w:hint="eastAsia" w:ascii="宋体" w:hAnsi="宋体" w:eastAsia="宋体" w:cs="宋体"/>
                <w:b/>
                <w:color w:val="auto"/>
                <w:lang w:eastAsia="zh-CN"/>
              </w:rPr>
              <w:t>三</w:t>
            </w:r>
            <w:r>
              <w:rPr>
                <w:rFonts w:hint="eastAsia" w:ascii="宋体" w:hAnsi="宋体" w:eastAsia="宋体" w:cs="宋体"/>
                <w:b/>
                <w:color w:val="auto"/>
              </w:rPr>
              <w:t>部分组成，由三门投标编制</w:t>
            </w:r>
            <w:r>
              <w:rPr>
                <w:rFonts w:hint="eastAsia" w:ascii="宋体" w:hAnsi="宋体" w:eastAsia="宋体" w:cs="宋体"/>
                <w:b/>
                <w:color w:val="auto"/>
                <w:lang w:eastAsia="zh-CN"/>
              </w:rPr>
              <w:t>4.5.0.1版本</w:t>
            </w:r>
            <w:r>
              <w:rPr>
                <w:rFonts w:hint="eastAsia" w:ascii="宋体" w:hAnsi="宋体" w:eastAsia="宋体" w:cs="宋体"/>
                <w:b/>
                <w:color w:val="auto"/>
              </w:rPr>
              <w:t>生成后缀名.已加密投标文件。</w:t>
            </w:r>
          </w:p>
          <w:p w14:paraId="1A3D6274">
            <w:pPr>
              <w:pStyle w:val="7"/>
              <w:keepNext w:val="0"/>
              <w:keepLines w:val="0"/>
              <w:pageBreakBefore w:val="0"/>
              <w:numPr>
                <w:ilvl w:val="0"/>
                <w:numId w:val="7"/>
              </w:numPr>
              <w:wordWrap/>
              <w:overflowPunct/>
              <w:topLinePunct w:val="0"/>
              <w:bidi w:val="0"/>
              <w:spacing w:line="440" w:lineRule="exact"/>
              <w:ind w:left="0" w:firstLine="480" w:firstLineChars="200"/>
              <w:jc w:val="left"/>
              <w:rPr>
                <w:rFonts w:hint="eastAsia" w:ascii="宋体" w:hAnsi="宋体" w:eastAsia="宋体" w:cs="宋体"/>
                <w:color w:val="auto"/>
                <w:sz w:val="24"/>
                <w:szCs w:val="24"/>
                <w:lang w:eastAsia="zh-CN"/>
              </w:rPr>
            </w:pPr>
            <w:r>
              <w:rPr>
                <w:rFonts w:hint="eastAsia" w:ascii="宋体" w:hAnsi="宋体" w:eastAsia="宋体" w:cs="宋体"/>
                <w:color w:val="auto"/>
                <w:sz w:val="24"/>
                <w:szCs w:val="24"/>
              </w:rPr>
              <w:t>资信</w:t>
            </w:r>
            <w:r>
              <w:rPr>
                <w:rFonts w:hint="eastAsia" w:ascii="宋体" w:hAnsi="宋体" w:eastAsia="宋体" w:cs="宋体"/>
                <w:color w:val="auto"/>
                <w:sz w:val="24"/>
                <w:szCs w:val="24"/>
                <w:lang w:eastAsia="zh-CN"/>
              </w:rPr>
              <w:t>标的组成</w:t>
            </w:r>
          </w:p>
          <w:p w14:paraId="51575CBA">
            <w:pPr>
              <w:pStyle w:val="7"/>
              <w:keepNext w:val="0"/>
              <w:keepLines w:val="0"/>
              <w:pageBreakBefore w:val="0"/>
              <w:numPr>
                <w:ilvl w:val="0"/>
                <w:numId w:val="8"/>
              </w:numPr>
              <w:wordWrap/>
              <w:overflowPunct/>
              <w:topLinePunct w:val="0"/>
              <w:bidi w:val="0"/>
              <w:spacing w:line="440" w:lineRule="exac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投标人营业执照、资质证书（若为代理商时需同时提供制造商营业执照）；</w:t>
            </w:r>
          </w:p>
          <w:p w14:paraId="6494FECC">
            <w:pPr>
              <w:pStyle w:val="7"/>
              <w:keepNext w:val="0"/>
              <w:keepLines w:val="0"/>
              <w:pageBreakBefore w:val="0"/>
              <w:numPr>
                <w:ilvl w:val="0"/>
                <w:numId w:val="8"/>
              </w:numPr>
              <w:wordWrap/>
              <w:overflowPunct/>
              <w:topLinePunct w:val="0"/>
              <w:bidi w:val="0"/>
              <w:spacing w:line="440" w:lineRule="exact"/>
              <w:ind w:left="0" w:leftChars="0" w:firstLine="480" w:firstLineChars="200"/>
              <w:jc w:val="left"/>
              <w:rPr>
                <w:rFonts w:hint="eastAsia" w:ascii="宋体" w:hAnsi="宋体" w:eastAsia="宋体" w:cs="宋体"/>
                <w:color w:val="auto"/>
                <w:sz w:val="24"/>
                <w:szCs w:val="24"/>
              </w:rPr>
            </w:pPr>
            <w:r>
              <w:rPr>
                <w:rFonts w:hint="eastAsia" w:ascii="宋体" w:hAnsi="宋体" w:eastAsia="宋体" w:cs="宋体"/>
                <w:color w:val="auto"/>
                <w:sz w:val="24"/>
                <w:szCs w:val="24"/>
              </w:rPr>
              <w:t>法定代表人授权委托书(附件</w:t>
            </w:r>
            <w:r>
              <w:rPr>
                <w:rFonts w:hint="eastAsia" w:ascii="宋体" w:hAnsi="宋体" w:cs="宋体"/>
                <w:color w:val="auto"/>
                <w:sz w:val="24"/>
                <w:szCs w:val="24"/>
                <w:lang w:eastAsia="zh-CN"/>
              </w:rPr>
              <w:t>二</w:t>
            </w:r>
            <w:r>
              <w:rPr>
                <w:rFonts w:hint="eastAsia" w:ascii="宋体" w:hAnsi="宋体" w:eastAsia="宋体" w:cs="宋体"/>
                <w:color w:val="auto"/>
                <w:sz w:val="24"/>
                <w:szCs w:val="24"/>
              </w:rPr>
              <w:t>)；</w:t>
            </w:r>
          </w:p>
          <w:p w14:paraId="3E4DD6E9">
            <w:pPr>
              <w:keepNext w:val="0"/>
              <w:keepLines w:val="0"/>
              <w:pageBreakBefore w:val="0"/>
              <w:numPr>
                <w:ilvl w:val="0"/>
                <w:numId w:val="8"/>
              </w:numPr>
              <w:wordWrap/>
              <w:overflowPunct/>
              <w:topLinePunct w:val="0"/>
              <w:bidi w:val="0"/>
              <w:spacing w:line="440" w:lineRule="exact"/>
              <w:ind w:left="0" w:leftChars="0"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投标人资格自查表</w:t>
            </w:r>
            <w:r>
              <w:rPr>
                <w:rFonts w:hint="eastAsia" w:ascii="宋体" w:hAnsi="宋体" w:eastAsia="宋体" w:cs="宋体"/>
                <w:b/>
                <w:color w:val="auto"/>
                <w:sz w:val="24"/>
                <w:szCs w:val="24"/>
                <w:lang w:eastAsia="zh-CN"/>
              </w:rPr>
              <w:t>（附件三）；</w:t>
            </w:r>
          </w:p>
          <w:p w14:paraId="01CDA328">
            <w:pPr>
              <w:keepNext w:val="0"/>
              <w:keepLines w:val="0"/>
              <w:pageBreakBefore w:val="0"/>
              <w:numPr>
                <w:ilvl w:val="0"/>
                <w:numId w:val="8"/>
              </w:numPr>
              <w:wordWrap/>
              <w:overflowPunct/>
              <w:topLinePunct w:val="0"/>
              <w:bidi w:val="0"/>
              <w:spacing w:line="440" w:lineRule="exact"/>
              <w:ind w:left="0" w:leftChars="0"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台州市建设工程诚信投标承诺书</w:t>
            </w:r>
            <w:r>
              <w:rPr>
                <w:rFonts w:hint="eastAsia" w:ascii="宋体" w:hAnsi="宋体" w:eastAsia="宋体" w:cs="宋体"/>
                <w:color w:val="auto"/>
                <w:sz w:val="24"/>
                <w:szCs w:val="24"/>
                <w:lang w:eastAsia="zh-CN"/>
              </w:rPr>
              <w:t>（附件四）</w:t>
            </w:r>
          </w:p>
          <w:p w14:paraId="4DB3525F">
            <w:pPr>
              <w:pStyle w:val="7"/>
              <w:keepNext w:val="0"/>
              <w:keepLines w:val="0"/>
              <w:pageBreakBefore w:val="0"/>
              <w:widowControl w:val="0"/>
              <w:numPr>
                <w:ilvl w:val="0"/>
                <w:numId w:val="8"/>
              </w:numPr>
              <w:kinsoku/>
              <w:wordWrap/>
              <w:overflowPunct/>
              <w:topLinePunct w:val="0"/>
              <w:autoSpaceDE/>
              <w:autoSpaceDN/>
              <w:bidi w:val="0"/>
              <w:adjustRightInd/>
              <w:snapToGrid/>
              <w:spacing w:line="440" w:lineRule="exact"/>
              <w:ind w:left="0" w:leftChars="0" w:firstLine="480" w:firstLineChars="200"/>
              <w:textAlignment w:val="auto"/>
              <w:rPr>
                <w:rFonts w:hint="eastAsia" w:ascii="宋体" w:hAnsi="宋体"/>
                <w:color w:val="auto"/>
                <w:lang w:eastAsia="zh-CN"/>
              </w:rPr>
            </w:pPr>
            <w:r>
              <w:rPr>
                <w:rFonts w:hint="eastAsia" w:ascii="宋体" w:hAnsi="宋体" w:eastAsia="宋体" w:cs="宋体"/>
                <w:color w:val="auto"/>
                <w:sz w:val="24"/>
                <w:szCs w:val="24"/>
                <w:highlight w:val="none"/>
                <w:lang w:val="en-US" w:eastAsia="zh-CN"/>
              </w:rPr>
              <w:t>提供招标公告中符合</w:t>
            </w: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lang w:val="en-US" w:eastAsia="zh-CN"/>
              </w:rPr>
              <w:t>资格要求的有效资质证明，以及需要说明的其他资料投标人资格证明材料。（格式自拟）</w:t>
            </w:r>
          </w:p>
          <w:p w14:paraId="107A45A7">
            <w:pPr>
              <w:pStyle w:val="7"/>
              <w:keepNext w:val="0"/>
              <w:keepLines w:val="0"/>
              <w:pageBreakBefore w:val="0"/>
              <w:numPr>
                <w:ilvl w:val="0"/>
                <w:numId w:val="7"/>
              </w:numPr>
              <w:wordWrap/>
              <w:overflowPunct/>
              <w:topLinePunct w:val="0"/>
              <w:bidi w:val="0"/>
              <w:spacing w:line="360" w:lineRule="auto"/>
              <w:ind w:firstLine="480" w:firstLineChars="200"/>
              <w:jc w:val="left"/>
              <w:rPr>
                <w:rFonts w:hint="eastAsia" w:ascii="宋体" w:hAnsi="宋体"/>
                <w:color w:val="auto"/>
              </w:rPr>
            </w:pPr>
            <w:r>
              <w:rPr>
                <w:rFonts w:hint="eastAsia" w:ascii="宋体" w:hAnsi="宋体"/>
                <w:color w:val="auto"/>
              </w:rPr>
              <w:t>技术标的组成</w:t>
            </w:r>
            <w:r>
              <w:rPr>
                <w:rFonts w:hint="eastAsia" w:ascii="宋体" w:hAnsi="宋体"/>
                <w:b/>
                <w:bCs/>
                <w:color w:val="auto"/>
                <w:lang w:eastAsia="zh-CN"/>
              </w:rPr>
              <w:t>（含样品）</w:t>
            </w:r>
            <w:r>
              <w:rPr>
                <w:rFonts w:hint="eastAsia" w:ascii="宋体" w:hAnsi="宋体"/>
                <w:color w:val="auto"/>
              </w:rPr>
              <w:t>：</w:t>
            </w:r>
          </w:p>
          <w:p w14:paraId="2ECCF2C4">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color w:val="auto"/>
              </w:rPr>
              <w:t>技术标评分索引表</w:t>
            </w:r>
            <w:r>
              <w:rPr>
                <w:rFonts w:hint="eastAsia" w:ascii="宋体" w:hAnsi="宋体" w:eastAsia="宋体"/>
                <w:color w:val="auto"/>
                <w:lang w:eastAsia="zh-CN"/>
              </w:rPr>
              <w:t>（附件</w:t>
            </w:r>
            <w:r>
              <w:rPr>
                <w:rFonts w:hint="eastAsia" w:ascii="宋体" w:hAnsi="宋体"/>
                <w:color w:val="auto"/>
                <w:lang w:eastAsia="zh-CN"/>
              </w:rPr>
              <w:t>五</w:t>
            </w:r>
            <w:r>
              <w:rPr>
                <w:rFonts w:hint="eastAsia" w:ascii="宋体" w:hAnsi="宋体" w:eastAsia="宋体"/>
                <w:color w:val="auto"/>
                <w:lang w:eastAsia="zh-CN"/>
              </w:rPr>
              <w:t>）</w:t>
            </w:r>
          </w:p>
          <w:p w14:paraId="6D35EFE7">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Times New Roman" w:hAnsi="Times New Roman"/>
                <w:color w:val="auto"/>
              </w:rPr>
              <w:t>投标人或制造商基本情况表</w:t>
            </w:r>
            <w:r>
              <w:rPr>
                <w:rFonts w:hint="eastAsia" w:ascii="宋体" w:hAnsi="宋体"/>
                <w:color w:val="auto"/>
              </w:rPr>
              <w:t>（附件</w:t>
            </w:r>
            <w:r>
              <w:rPr>
                <w:rFonts w:hint="eastAsia" w:ascii="宋体" w:hAnsi="宋体"/>
                <w:color w:val="auto"/>
                <w:lang w:eastAsia="zh-CN"/>
              </w:rPr>
              <w:t>六</w:t>
            </w:r>
            <w:r>
              <w:rPr>
                <w:rFonts w:hint="eastAsia" w:ascii="宋体" w:hAnsi="宋体"/>
                <w:color w:val="auto"/>
              </w:rPr>
              <w:t>）；</w:t>
            </w:r>
          </w:p>
          <w:p w14:paraId="676DAEB9">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color w:val="auto"/>
              </w:rPr>
              <w:t>项目实施情况一览表（附件</w:t>
            </w:r>
            <w:r>
              <w:rPr>
                <w:rFonts w:hint="eastAsia" w:ascii="宋体" w:hAnsi="宋体"/>
                <w:color w:val="auto"/>
                <w:lang w:eastAsia="zh-CN"/>
              </w:rPr>
              <w:t>七</w:t>
            </w:r>
            <w:r>
              <w:rPr>
                <w:rFonts w:hint="eastAsia" w:ascii="宋体" w:hAnsi="宋体"/>
                <w:color w:val="auto"/>
              </w:rPr>
              <w:t>）；</w:t>
            </w:r>
          </w:p>
          <w:p w14:paraId="51E168B4">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szCs w:val="21"/>
              </w:rPr>
            </w:pPr>
            <w:r>
              <w:rPr>
                <w:rFonts w:hint="eastAsia" w:ascii="宋体" w:hAnsi="宋体"/>
                <w:color w:val="auto"/>
                <w:szCs w:val="21"/>
              </w:rPr>
              <w:t>备品备件一览表（附件</w:t>
            </w:r>
            <w:r>
              <w:rPr>
                <w:rFonts w:hint="eastAsia" w:ascii="宋体" w:hAnsi="宋体"/>
                <w:color w:val="auto"/>
                <w:szCs w:val="21"/>
                <w:lang w:eastAsia="zh-CN"/>
              </w:rPr>
              <w:t>八</w:t>
            </w:r>
            <w:r>
              <w:rPr>
                <w:rFonts w:hint="eastAsia" w:ascii="宋体" w:hAnsi="宋体"/>
                <w:color w:val="auto"/>
                <w:szCs w:val="21"/>
              </w:rPr>
              <w:t>）</w:t>
            </w:r>
          </w:p>
          <w:p w14:paraId="70712E2D">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color w:val="auto"/>
              </w:rPr>
              <w:t>现场指导主要人员表（附件</w:t>
            </w:r>
            <w:r>
              <w:rPr>
                <w:rFonts w:hint="eastAsia" w:ascii="宋体" w:hAnsi="宋体"/>
                <w:color w:val="auto"/>
                <w:lang w:eastAsia="zh-CN"/>
              </w:rPr>
              <w:t>九</w:t>
            </w:r>
            <w:bookmarkStart w:id="147" w:name="_GoBack"/>
            <w:bookmarkEnd w:id="147"/>
            <w:r>
              <w:rPr>
                <w:rFonts w:hint="eastAsia" w:ascii="宋体" w:hAnsi="宋体"/>
                <w:color w:val="auto"/>
              </w:rPr>
              <w:t>）；</w:t>
            </w:r>
          </w:p>
          <w:p w14:paraId="7BB889B6">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color w:val="auto"/>
                <w:lang w:eastAsia="zh-CN"/>
              </w:rPr>
              <w:t>企业信誉度；</w:t>
            </w:r>
          </w:p>
          <w:p w14:paraId="44AD42AC">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color w:val="auto"/>
                <w:lang w:eastAsia="zh-CN"/>
              </w:rPr>
              <w:t>企业资信；</w:t>
            </w:r>
          </w:p>
          <w:p w14:paraId="742BF0F9">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eastAsia="宋体"/>
                <w:color w:val="auto"/>
                <w:lang w:eastAsia="zh-CN"/>
              </w:rPr>
              <w:t>供货及质量保证措施</w:t>
            </w:r>
            <w:r>
              <w:rPr>
                <w:rFonts w:hint="eastAsia" w:ascii="宋体" w:hAnsi="宋体"/>
                <w:color w:val="auto"/>
              </w:rPr>
              <w:t>；</w:t>
            </w:r>
          </w:p>
          <w:p w14:paraId="02F49DB0">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ascii="宋体" w:hAnsi="宋体" w:cs="宋体"/>
                <w:color w:val="auto"/>
              </w:rPr>
            </w:pPr>
            <w:r>
              <w:rPr>
                <w:rFonts w:hint="eastAsia" w:ascii="宋体" w:hAnsi="宋体" w:cs="宋体"/>
                <w:color w:val="auto"/>
              </w:rPr>
              <w:t>售后服务措施及承诺内容</w:t>
            </w:r>
            <w:r>
              <w:rPr>
                <w:rFonts w:hint="eastAsia" w:ascii="宋体" w:hAnsi="宋体"/>
                <w:color w:val="auto"/>
              </w:rPr>
              <w:t>；</w:t>
            </w:r>
          </w:p>
          <w:p w14:paraId="1E376FE8">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cs="宋体"/>
                <w:color w:val="auto"/>
              </w:rPr>
              <w:t>产品质量保险及专利等</w:t>
            </w:r>
            <w:r>
              <w:rPr>
                <w:rFonts w:hint="eastAsia" w:ascii="宋体" w:hAnsi="宋体" w:eastAsia="宋体" w:cs="宋体"/>
                <w:color w:val="auto"/>
                <w:lang w:eastAsia="zh-CN"/>
              </w:rPr>
              <w:t>；</w:t>
            </w:r>
          </w:p>
          <w:p w14:paraId="336B0D0C">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color w:val="auto"/>
              </w:rPr>
              <w:t>投标产品质量检验；</w:t>
            </w:r>
          </w:p>
          <w:p w14:paraId="3E7B9F91">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color w:val="auto"/>
              </w:rPr>
              <w:t>PE管材的生产原材料</w:t>
            </w:r>
            <w:r>
              <w:rPr>
                <w:rFonts w:hint="eastAsia" w:ascii="宋体" w:hAnsi="宋体" w:eastAsia="宋体"/>
                <w:color w:val="auto"/>
                <w:lang w:eastAsia="zh-CN"/>
              </w:rPr>
              <w:t>；</w:t>
            </w:r>
          </w:p>
          <w:p w14:paraId="51F90C97">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宋体" w:hAnsi="宋体"/>
                <w:color w:val="auto"/>
              </w:rPr>
            </w:pPr>
            <w:r>
              <w:rPr>
                <w:rFonts w:hint="eastAsia" w:ascii="宋体" w:hAnsi="宋体"/>
                <w:color w:val="auto"/>
              </w:rPr>
              <w:t>生产设备和检测设备情况</w:t>
            </w:r>
            <w:r>
              <w:rPr>
                <w:rFonts w:hint="eastAsia" w:ascii="宋体" w:hAnsi="宋体"/>
                <w:color w:val="auto"/>
                <w:lang w:eastAsia="zh-CN"/>
              </w:rPr>
              <w:t>；</w:t>
            </w:r>
          </w:p>
          <w:p w14:paraId="47A1120D">
            <w:pPr>
              <w:pStyle w:val="7"/>
              <w:keepNext w:val="0"/>
              <w:keepLines w:val="0"/>
              <w:pageBreakBefore w:val="0"/>
              <w:numPr>
                <w:ilvl w:val="0"/>
                <w:numId w:val="9"/>
              </w:numPr>
              <w:wordWrap/>
              <w:overflowPunct/>
              <w:topLinePunct w:val="0"/>
              <w:bidi w:val="0"/>
              <w:spacing w:line="440" w:lineRule="exact"/>
              <w:ind w:left="0" w:leftChars="0" w:firstLine="480" w:firstLineChars="200"/>
              <w:jc w:val="left"/>
              <w:rPr>
                <w:rFonts w:hint="eastAsia" w:ascii="黑体" w:hAnsi="宋体" w:eastAsia="黑体"/>
                <w:b/>
                <w:highlight w:val="none"/>
              </w:rPr>
            </w:pPr>
            <w:r>
              <w:rPr>
                <w:rFonts w:hint="eastAsia" w:ascii="宋体" w:hAnsi="宋体"/>
                <w:color w:val="auto"/>
              </w:rPr>
              <w:t>投标人认为需要提供的其他材料（所有评分项涉及到的证书及证明材料）。</w:t>
            </w:r>
          </w:p>
          <w:p w14:paraId="037E16E1">
            <w:pPr>
              <w:pStyle w:val="7"/>
              <w:keepNext w:val="0"/>
              <w:keepLines w:val="0"/>
              <w:pageBreakBefore w:val="0"/>
              <w:numPr>
                <w:ilvl w:val="0"/>
                <w:numId w:val="9"/>
              </w:numPr>
              <w:wordWrap/>
              <w:overflowPunct/>
              <w:topLinePunct w:val="0"/>
              <w:bidi w:val="0"/>
              <w:spacing w:line="440" w:lineRule="exact"/>
              <w:ind w:left="0" w:leftChars="0" w:firstLine="482" w:firstLineChars="200"/>
              <w:jc w:val="left"/>
              <w:rPr>
                <w:rFonts w:hint="eastAsia" w:ascii="黑体" w:hAnsi="宋体" w:eastAsia="黑体"/>
                <w:b/>
                <w:highlight w:val="none"/>
              </w:rPr>
            </w:pPr>
            <w:r>
              <w:rPr>
                <w:rFonts w:hint="eastAsia" w:ascii="黑体" w:hAnsi="宋体" w:eastAsia="黑体"/>
                <w:b/>
                <w:highlight w:val="none"/>
              </w:rPr>
              <w:t>投标产品样品：</w:t>
            </w:r>
          </w:p>
          <w:p w14:paraId="02106C16">
            <w:pPr>
              <w:pStyle w:val="7"/>
              <w:spacing w:line="360" w:lineRule="auto"/>
              <w:rPr>
                <w:rFonts w:hint="eastAsia" w:ascii="宋体" w:hAnsi="宋体"/>
                <w:highlight w:val="none"/>
              </w:rPr>
            </w:pPr>
            <w:r>
              <w:rPr>
                <w:rFonts w:hint="eastAsia" w:ascii="宋体" w:hAnsi="宋体"/>
                <w:highlight w:val="none"/>
              </w:rPr>
              <w:t>1）投标产品样品按以下要求单独提供，无需密封。</w:t>
            </w:r>
            <w:r>
              <w:rPr>
                <w:rFonts w:hint="eastAsia" w:ascii="宋体" w:hAnsi="宋体"/>
                <w:b/>
                <w:bCs/>
                <w:highlight w:val="none"/>
              </w:rPr>
              <w:t>产品样品贴上盖有投标人公章的标签</w:t>
            </w:r>
            <w:r>
              <w:rPr>
                <w:rFonts w:hint="eastAsia" w:ascii="宋体" w:hAnsi="宋体"/>
                <w:highlight w:val="none"/>
              </w:rPr>
              <w:t>，投标人提供的产品样品上必须带有能体现生产厂家的符合国标的永久性标志，管材的内外表面应清洁。</w:t>
            </w:r>
          </w:p>
          <w:p w14:paraId="21F29507">
            <w:pPr>
              <w:keepNext w:val="0"/>
              <w:keepLines w:val="0"/>
              <w:pageBreakBefore w:val="0"/>
              <w:widowControl/>
              <w:kinsoku w:val="0"/>
              <w:wordWrap/>
              <w:overflowPunct/>
              <w:topLinePunct w:val="0"/>
              <w:autoSpaceDE w:val="0"/>
              <w:autoSpaceDN w:val="0"/>
              <w:bidi w:val="0"/>
              <w:adjustRightInd w:val="0"/>
              <w:snapToGrid w:val="0"/>
              <w:ind w:firstLine="480" w:firstLineChars="200"/>
              <w:textAlignment w:val="baseline"/>
              <w:rPr>
                <w:rFonts w:hint="eastAsia" w:asciiTheme="minorEastAsia" w:hAnsiTheme="minorEastAsia" w:eastAsiaTheme="minorEastAsia" w:cstheme="minorEastAsia"/>
                <w:lang w:val="en-US" w:eastAsia="zh-CN"/>
              </w:rPr>
            </w:pPr>
            <w:bookmarkStart w:id="27" w:name="_Toc56099878"/>
            <w:bookmarkStart w:id="28" w:name="_Toc24087"/>
            <w:r>
              <w:rPr>
                <w:rFonts w:hint="eastAsia" w:asciiTheme="minorEastAsia" w:hAnsiTheme="minorEastAsia" w:eastAsiaTheme="minorEastAsia" w:cstheme="minorEastAsia"/>
                <w:lang w:val="en-US" w:eastAsia="zh-CN"/>
              </w:rPr>
              <w:t>2）样品包括：</w:t>
            </w:r>
            <w:bookmarkEnd w:id="27"/>
            <w:bookmarkEnd w:id="28"/>
          </w:p>
          <w:p w14:paraId="3D345BC7">
            <w:pPr>
              <w:pStyle w:val="7"/>
              <w:numPr>
                <w:ilvl w:val="0"/>
                <w:numId w:val="10"/>
              </w:numPr>
              <w:spacing w:line="400" w:lineRule="exact"/>
              <w:ind w:left="0" w:firstLine="420"/>
              <w:rPr>
                <w:rFonts w:hint="eastAsia" w:ascii="宋体" w:hAnsi="宋体"/>
                <w:szCs w:val="21"/>
                <w:highlight w:val="none"/>
              </w:rPr>
            </w:pPr>
            <w:r>
              <w:rPr>
                <w:rFonts w:hint="eastAsia" w:ascii="宋体" w:hAnsi="宋体"/>
                <w:highlight w:val="none"/>
                <w:u w:val="single"/>
              </w:rPr>
              <w:t>承插式聚乙烯实壁排水管</w:t>
            </w:r>
            <w:r>
              <w:rPr>
                <w:rFonts w:hint="eastAsia" w:ascii="宋体" w:hAnsi="宋体"/>
                <w:highlight w:val="none"/>
                <w:u w:val="single"/>
                <w:lang w:val="zh-CN"/>
              </w:rPr>
              <w:t>：规格：dn315 SN8，长度为50</w:t>
            </w:r>
            <w:r>
              <w:rPr>
                <w:rFonts w:hint="eastAsia" w:ascii="宋体" w:hAnsi="宋体"/>
                <w:highlight w:val="none"/>
                <w:u w:val="single"/>
                <w:lang w:val="en-US" w:eastAsia="zh-CN"/>
              </w:rPr>
              <w:t>cm</w:t>
            </w:r>
            <w:r>
              <w:rPr>
                <w:rFonts w:hint="eastAsia" w:ascii="宋体" w:hAnsi="宋体"/>
                <w:highlight w:val="none"/>
                <w:u w:val="single"/>
                <w:lang w:val="zh-CN"/>
              </w:rPr>
              <w:t>，需包含承口端及丁腈橡胶密封圈（</w:t>
            </w:r>
            <w:r>
              <w:rPr>
                <w:rFonts w:hint="eastAsia" w:ascii="宋体" w:hAnsi="宋体" w:eastAsia="宋体" w:cs="宋体"/>
                <w:sz w:val="21"/>
                <w:szCs w:val="21"/>
                <w:u w:val="single"/>
                <w:lang w:val="en-US" w:eastAsia="zh-CN"/>
              </w:rPr>
              <w:t>承口要求一次注塑成型且有制造公司名称的永久性标记，但递交时需要进行遮挡。</w:t>
            </w:r>
            <w:r>
              <w:rPr>
                <w:rFonts w:hint="eastAsia" w:ascii="宋体" w:hAnsi="宋体"/>
                <w:highlight w:val="none"/>
                <w:u w:val="single"/>
                <w:lang w:val="zh-CN"/>
              </w:rPr>
              <w:t>）；</w:t>
            </w:r>
          </w:p>
          <w:p w14:paraId="39F19B8B">
            <w:pPr>
              <w:autoSpaceDE w:val="0"/>
              <w:autoSpaceDN w:val="0"/>
              <w:adjustRightInd w:val="0"/>
              <w:spacing w:line="360" w:lineRule="auto"/>
              <w:ind w:firstLine="480" w:firstLineChars="200"/>
              <w:outlineLvl w:val="0"/>
              <w:rPr>
                <w:rFonts w:hint="eastAsia" w:ascii="宋体" w:hAnsi="宋体"/>
                <w:szCs w:val="21"/>
                <w:highlight w:val="none"/>
              </w:rPr>
            </w:pPr>
            <w:bookmarkStart w:id="29" w:name="_Toc30628"/>
            <w:r>
              <w:rPr>
                <w:rFonts w:hint="eastAsia" w:ascii="宋体" w:hAnsi="宋体"/>
                <w:b/>
                <w:highlight w:val="none"/>
              </w:rPr>
              <w:t>注：</w:t>
            </w:r>
            <w:bookmarkEnd w:id="29"/>
          </w:p>
          <w:p w14:paraId="7C9D16E3">
            <w:pPr>
              <w:spacing w:line="360" w:lineRule="auto"/>
              <w:rPr>
                <w:rFonts w:hint="eastAsia" w:ascii="宋体" w:hAnsi="宋体"/>
                <w:b/>
                <w:highlight w:val="none"/>
              </w:rPr>
            </w:pPr>
            <w:r>
              <w:rPr>
                <w:rFonts w:hint="eastAsia" w:ascii="宋体" w:hAnsi="宋体"/>
                <w:b/>
                <w:highlight w:val="none"/>
              </w:rPr>
              <w:t>1）</w:t>
            </w:r>
            <w:r>
              <w:rPr>
                <w:rFonts w:hint="eastAsia" w:ascii="宋体" w:hAnsi="宋体"/>
                <w:szCs w:val="21"/>
                <w:highlight w:val="none"/>
              </w:rPr>
              <w:t>投标人在投标时必须按以上要求提供投标产品样品</w:t>
            </w:r>
            <w:r>
              <w:rPr>
                <w:rFonts w:hint="eastAsia" w:ascii="宋体" w:hAnsi="宋体"/>
                <w:b/>
                <w:highlight w:val="none"/>
              </w:rPr>
              <w:t>，否则作无效标处理；</w:t>
            </w:r>
          </w:p>
          <w:p w14:paraId="46E355AE">
            <w:pPr>
              <w:spacing w:line="360" w:lineRule="auto"/>
              <w:rPr>
                <w:rFonts w:hint="eastAsia" w:ascii="宋体" w:hAnsi="宋体"/>
                <w:szCs w:val="21"/>
                <w:highlight w:val="none"/>
              </w:rPr>
            </w:pPr>
            <w:r>
              <w:rPr>
                <w:rFonts w:hint="eastAsia" w:ascii="宋体" w:hAnsi="宋体"/>
                <w:szCs w:val="21"/>
                <w:highlight w:val="none"/>
              </w:rPr>
              <w:t>2）样品在</w:t>
            </w:r>
            <w:r>
              <w:rPr>
                <w:szCs w:val="21"/>
                <w:highlight w:val="none"/>
              </w:rPr>
              <w:t>投标截止时间</w:t>
            </w:r>
            <w:r>
              <w:rPr>
                <w:rFonts w:hint="eastAsia"/>
                <w:szCs w:val="21"/>
                <w:highlight w:val="none"/>
              </w:rPr>
              <w:t>前</w:t>
            </w:r>
            <w:r>
              <w:rPr>
                <w:rFonts w:hint="eastAsia" w:ascii="宋体" w:hAnsi="宋体"/>
                <w:szCs w:val="21"/>
                <w:highlight w:val="none"/>
              </w:rPr>
              <w:t>递交，未中标的投标单位样品自行打包运回，投标人自行考虑相关费用；</w:t>
            </w:r>
          </w:p>
          <w:p w14:paraId="006F144F">
            <w:pPr>
              <w:spacing w:line="360" w:lineRule="auto"/>
              <w:rPr>
                <w:rFonts w:hint="eastAsia" w:ascii="宋体" w:hAnsi="宋体"/>
                <w:szCs w:val="21"/>
                <w:highlight w:val="none"/>
              </w:rPr>
            </w:pPr>
            <w:r>
              <w:rPr>
                <w:rFonts w:hint="eastAsia" w:ascii="宋体" w:hAnsi="宋体"/>
                <w:szCs w:val="21"/>
                <w:highlight w:val="none"/>
              </w:rPr>
              <w:t>3）评标委员会可视情况对样品进行破坏性试验；</w:t>
            </w:r>
          </w:p>
          <w:p w14:paraId="3F35A6BE">
            <w:pPr>
              <w:spacing w:line="360" w:lineRule="auto"/>
              <w:rPr>
                <w:rFonts w:hint="eastAsia" w:ascii="宋体" w:hAnsi="宋体" w:eastAsia="宋体" w:cs="Times New Roman"/>
                <w:szCs w:val="21"/>
                <w:highlight w:val="none"/>
              </w:rPr>
            </w:pPr>
            <w:r>
              <w:rPr>
                <w:rFonts w:hint="eastAsia" w:ascii="宋体" w:hAnsi="宋体" w:eastAsia="宋体" w:cs="Times New Roman"/>
                <w:szCs w:val="21"/>
                <w:highlight w:val="none"/>
              </w:rPr>
              <w:t>4）样品将作为今后货物验收的依据之一。</w:t>
            </w:r>
          </w:p>
          <w:p w14:paraId="168C1856">
            <w:pPr>
              <w:spacing w:line="360" w:lineRule="auto"/>
              <w:rPr>
                <w:rFonts w:hint="eastAsia" w:ascii="宋体" w:hAnsi="宋体"/>
                <w:color w:val="auto"/>
              </w:rPr>
            </w:pPr>
            <w:r>
              <w:rPr>
                <w:rFonts w:hint="eastAsia" w:ascii="宋体" w:hAnsi="宋体" w:eastAsia="宋体" w:cs="Times New Roman"/>
                <w:szCs w:val="21"/>
                <w:highlight w:val="none"/>
                <w:lang w:val="en-US" w:eastAsia="zh-CN"/>
              </w:rPr>
              <w:t>5）</w:t>
            </w:r>
            <w:r>
              <w:rPr>
                <w:rFonts w:hint="eastAsia" w:ascii="宋体" w:hAnsi="宋体" w:eastAsia="宋体" w:cs="Times New Roman"/>
                <w:szCs w:val="21"/>
                <w:highlight w:val="none"/>
                <w:lang w:eastAsia="zh-CN"/>
              </w:rPr>
              <w:t>所有样品（包括整体样品） 均不得出现或映射投标人、制造商名称、logo、条形码、二维码等，不能去除的应进行遮挡。如出现则投标人所有样品评分均为零分，由投标人自行检查确认。</w:t>
            </w:r>
          </w:p>
          <w:p w14:paraId="7E43DA07">
            <w:pPr>
              <w:pStyle w:val="7"/>
              <w:keepNext w:val="0"/>
              <w:keepLines w:val="0"/>
              <w:pageBreakBefore w:val="0"/>
              <w:wordWrap/>
              <w:overflowPunct/>
              <w:topLinePunct w:val="0"/>
              <w:bidi w:val="0"/>
              <w:adjustRightInd w:val="0"/>
              <w:snapToGrid w:val="0"/>
              <w:spacing w:line="440" w:lineRule="exact"/>
              <w:ind w:firstLine="482" w:firstLineChars="200"/>
              <w:jc w:val="left"/>
              <w:rPr>
                <w:rFonts w:hint="eastAsia" w:ascii="宋体" w:hAnsi="宋体" w:cs="宋体"/>
                <w:b/>
                <w:color w:val="auto"/>
                <w:szCs w:val="21"/>
              </w:rPr>
            </w:pPr>
            <w:r>
              <w:rPr>
                <w:rFonts w:hint="eastAsia" w:ascii="宋体" w:hAnsi="宋体" w:cs="宋体"/>
                <w:b/>
                <w:color w:val="auto"/>
                <w:szCs w:val="21"/>
              </w:rPr>
              <w:t>2</w:t>
            </w:r>
            <w:r>
              <w:rPr>
                <w:rFonts w:ascii="宋体" w:hAnsi="宋体" w:cs="宋体"/>
                <w:b/>
                <w:color w:val="auto"/>
                <w:szCs w:val="21"/>
              </w:rPr>
              <w:t>、商务标</w:t>
            </w:r>
          </w:p>
          <w:p w14:paraId="3B3BD04D">
            <w:pPr>
              <w:keepNext w:val="0"/>
              <w:keepLines w:val="0"/>
              <w:pageBreakBefore w:val="0"/>
              <w:wordWrap/>
              <w:overflowPunct/>
              <w:topLinePunct w:val="0"/>
              <w:bidi w:val="0"/>
              <w:spacing w:line="360" w:lineRule="auto"/>
              <w:ind w:firstLine="480" w:firstLineChars="200"/>
              <w:rPr>
                <w:rFonts w:hint="eastAsia" w:asciiTheme="minorEastAsia" w:hAnsiTheme="minorEastAsia" w:eastAsiaTheme="minorEastAsia" w:cstheme="minorEastAsia"/>
                <w:color w:val="auto"/>
              </w:rPr>
            </w:pPr>
            <w:r>
              <w:rPr>
                <w:rFonts w:hint="eastAsia" w:asciiTheme="minorEastAsia" w:hAnsiTheme="minorEastAsia" w:eastAsiaTheme="minorEastAsia" w:cstheme="minorEastAsia"/>
                <w:color w:val="auto"/>
              </w:rPr>
              <w:t>(1)投标函(附件</w:t>
            </w:r>
            <w:r>
              <w:rPr>
                <w:rFonts w:hint="eastAsia" w:asciiTheme="minorEastAsia" w:hAnsiTheme="minorEastAsia" w:eastAsiaTheme="minorEastAsia" w:cstheme="minorEastAsia"/>
                <w:color w:val="auto"/>
                <w:lang w:eastAsia="zh-CN"/>
              </w:rPr>
              <w:t>一</w:t>
            </w:r>
            <w:r>
              <w:rPr>
                <w:rFonts w:hint="eastAsia" w:asciiTheme="minorEastAsia" w:hAnsiTheme="minorEastAsia" w:eastAsiaTheme="minorEastAsia" w:cstheme="minorEastAsia"/>
                <w:color w:val="auto"/>
              </w:rPr>
              <w:t>)；</w:t>
            </w:r>
          </w:p>
          <w:p w14:paraId="28AF5D71">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rPr>
              <w:t>备注：以上商务标内容均需在三门投标编制4.5.0.1版本中的商务标对应处自行添加后自动生成，添加的内容须为清晰的电子文档。</w:t>
            </w:r>
          </w:p>
        </w:tc>
      </w:tr>
      <w:tr w14:paraId="30E2921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6333E70">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8"/>
                <w:szCs w:val="24"/>
              </w:rPr>
              <w:t>3</w:t>
            </w:r>
            <w:r>
              <w:rPr>
                <w:rFonts w:hint="eastAsia" w:ascii="宋体" w:hAnsi="宋体" w:eastAsia="宋体" w:cs="宋体"/>
                <w:spacing w:val="6"/>
                <w:szCs w:val="24"/>
              </w:rPr>
              <w:t>.2</w:t>
            </w:r>
          </w:p>
        </w:tc>
        <w:tc>
          <w:tcPr>
            <w:tcW w:w="2079" w:type="dxa"/>
            <w:vAlign w:val="center"/>
          </w:tcPr>
          <w:p w14:paraId="66EF2800">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b/>
              </w:rPr>
              <w:t>最高投标限价和预算审核价</w:t>
            </w:r>
          </w:p>
        </w:tc>
        <w:tc>
          <w:tcPr>
            <w:tcW w:w="7216" w:type="dxa"/>
            <w:vAlign w:val="center"/>
          </w:tcPr>
          <w:p w14:paraId="7FDE759E">
            <w:pPr>
              <w:keepNext w:val="0"/>
              <w:keepLines w:val="0"/>
              <w:pageBreakBefore w:val="0"/>
              <w:wordWrap/>
              <w:overflowPunct/>
              <w:topLinePunct w:val="0"/>
              <w:bidi w:val="0"/>
              <w:spacing w:line="440" w:lineRule="exact"/>
              <w:ind w:left="236" w:hanging="236" w:hangingChars="98"/>
              <w:rPr>
                <w:rFonts w:hint="eastAsia" w:ascii="宋体" w:hAnsi="宋体" w:eastAsia="宋体" w:cs="宋体"/>
                <w:b/>
              </w:rPr>
            </w:pPr>
            <w:r>
              <w:rPr>
                <w:rFonts w:hint="eastAsia" w:ascii="宋体" w:hAnsi="宋体" w:eastAsia="宋体" w:cs="宋体"/>
                <w:b/>
              </w:rPr>
              <w:t>预算审核价为人民币：</w:t>
            </w:r>
            <w:r>
              <w:rPr>
                <w:rFonts w:hint="eastAsia" w:ascii="宋体" w:hAnsi="宋体" w:eastAsia="宋体" w:cs="宋体"/>
                <w:b/>
                <w:u w:val="single"/>
                <w:lang w:eastAsia="zh-CN"/>
              </w:rPr>
              <w:t>6871672</w:t>
            </w:r>
            <w:r>
              <w:rPr>
                <w:rFonts w:hint="eastAsia" w:ascii="宋体" w:hAnsi="宋体" w:eastAsia="宋体" w:cs="宋体"/>
                <w:b/>
                <w:u w:val="single"/>
              </w:rPr>
              <w:t xml:space="preserve"> </w:t>
            </w:r>
            <w:r>
              <w:rPr>
                <w:rFonts w:hint="eastAsia" w:ascii="宋体" w:hAnsi="宋体" w:eastAsia="宋体" w:cs="宋体"/>
                <w:b/>
              </w:rPr>
              <w:t>元。</w:t>
            </w:r>
          </w:p>
          <w:p w14:paraId="145324A3">
            <w:pPr>
              <w:keepNext w:val="0"/>
              <w:keepLines w:val="0"/>
              <w:pageBreakBefore w:val="0"/>
              <w:wordWrap/>
              <w:overflowPunct/>
              <w:topLinePunct w:val="0"/>
              <w:bidi w:val="0"/>
              <w:spacing w:line="440" w:lineRule="exact"/>
              <w:rPr>
                <w:rFonts w:hint="eastAsia" w:ascii="宋体" w:hAnsi="宋体" w:eastAsia="宋体" w:cs="宋体"/>
                <w:b/>
                <w:highlight w:val="none"/>
              </w:rPr>
            </w:pPr>
            <w:r>
              <w:rPr>
                <w:rFonts w:hint="eastAsia" w:ascii="宋体" w:hAnsi="宋体" w:eastAsia="宋体" w:cs="宋体"/>
                <w:b/>
              </w:rPr>
              <w:t>最高投标限价为人民</w:t>
            </w:r>
            <w:r>
              <w:rPr>
                <w:rFonts w:hint="eastAsia" w:ascii="宋体" w:hAnsi="宋体" w:eastAsia="宋体" w:cs="宋体"/>
                <w:b/>
                <w:highlight w:val="none"/>
              </w:rPr>
              <w:t>币：</w:t>
            </w:r>
            <w:r>
              <w:rPr>
                <w:rFonts w:hint="eastAsia" w:ascii="宋体" w:hAnsi="宋体" w:eastAsia="宋体" w:cs="宋体"/>
                <w:b/>
                <w:highlight w:val="none"/>
                <w:u w:val="single"/>
              </w:rPr>
              <w:t xml:space="preserve"> 6012713</w:t>
            </w:r>
            <w:r>
              <w:rPr>
                <w:rFonts w:hint="eastAsia" w:ascii="宋体" w:hAnsi="宋体" w:eastAsia="宋体" w:cs="宋体"/>
                <w:b/>
                <w:highlight w:val="none"/>
                <w:u w:val="single"/>
                <w:lang w:val="en-US" w:eastAsia="zh-CN"/>
              </w:rPr>
              <w:t>.00</w:t>
            </w:r>
            <w:r>
              <w:rPr>
                <w:rFonts w:hint="eastAsia" w:ascii="宋体" w:hAnsi="宋体" w:eastAsia="宋体" w:cs="宋体"/>
                <w:b/>
                <w:highlight w:val="none"/>
              </w:rPr>
              <w:t>元（预算审核价*</w:t>
            </w:r>
            <w:r>
              <w:rPr>
                <w:rFonts w:hint="eastAsia" w:ascii="宋体" w:hAnsi="宋体" w:eastAsia="宋体" w:cs="宋体"/>
                <w:b/>
                <w:highlight w:val="none"/>
                <w:u w:val="single"/>
                <w:lang w:val="en-US" w:eastAsia="zh-CN"/>
              </w:rPr>
              <w:t xml:space="preserve"> 87.5</w:t>
            </w:r>
            <w:r>
              <w:rPr>
                <w:rFonts w:hint="eastAsia" w:ascii="宋体" w:hAnsi="宋体" w:eastAsia="宋体" w:cs="宋体"/>
                <w:b/>
                <w:highlight w:val="none"/>
                <w:u w:val="single"/>
              </w:rPr>
              <w:t xml:space="preserve"> </w:t>
            </w:r>
            <w:r>
              <w:rPr>
                <w:rFonts w:hint="eastAsia" w:ascii="宋体" w:hAnsi="宋体" w:eastAsia="宋体" w:cs="宋体"/>
                <w:b/>
                <w:highlight w:val="none"/>
              </w:rPr>
              <w:t>%）。</w:t>
            </w:r>
          </w:p>
          <w:p w14:paraId="54B14CF7">
            <w:pPr>
              <w:keepNext w:val="0"/>
              <w:keepLines w:val="0"/>
              <w:pageBreakBefore w:val="0"/>
              <w:wordWrap/>
              <w:overflowPunct/>
              <w:topLinePunct w:val="0"/>
              <w:bidi w:val="0"/>
              <w:spacing w:line="440" w:lineRule="exact"/>
              <w:rPr>
                <w:rFonts w:hint="eastAsia" w:ascii="宋体" w:hAnsi="宋体" w:eastAsia="宋体" w:cs="宋体"/>
                <w:spacing w:val="18"/>
                <w:szCs w:val="24"/>
              </w:rPr>
            </w:pPr>
            <w:r>
              <w:rPr>
                <w:rFonts w:hint="eastAsia" w:ascii="宋体" w:hAnsi="宋体" w:eastAsia="宋体" w:cs="宋体"/>
                <w:b/>
                <w:highlight w:val="none"/>
              </w:rPr>
              <w:t>投标报价高于最高投标限价的作无效标处理。</w:t>
            </w:r>
          </w:p>
        </w:tc>
      </w:tr>
      <w:tr w14:paraId="4AD6668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F0A9D6B">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8"/>
                <w:szCs w:val="24"/>
              </w:rPr>
              <w:t>3</w:t>
            </w:r>
            <w:r>
              <w:rPr>
                <w:rFonts w:hint="eastAsia" w:ascii="宋体" w:hAnsi="宋体" w:eastAsia="宋体" w:cs="宋体"/>
                <w:spacing w:val="6"/>
                <w:szCs w:val="24"/>
              </w:rPr>
              <w:t>.3</w:t>
            </w:r>
          </w:p>
        </w:tc>
        <w:tc>
          <w:tcPr>
            <w:tcW w:w="2079" w:type="dxa"/>
            <w:vAlign w:val="center"/>
          </w:tcPr>
          <w:p w14:paraId="55460CC1">
            <w:pPr>
              <w:keepNext w:val="0"/>
              <w:keepLines w:val="0"/>
              <w:pageBreakBefore w:val="0"/>
              <w:wordWrap/>
              <w:overflowPunct/>
              <w:topLinePunct w:val="0"/>
              <w:bidi w:val="0"/>
              <w:spacing w:line="440" w:lineRule="exact"/>
              <w:ind w:left="115"/>
              <w:jc w:val="center"/>
              <w:rPr>
                <w:rFonts w:hint="eastAsia" w:ascii="宋体" w:hAnsi="宋体" w:eastAsia="宋体" w:cs="宋体"/>
                <w:szCs w:val="24"/>
              </w:rPr>
            </w:pPr>
            <w:r>
              <w:rPr>
                <w:rFonts w:hint="eastAsia" w:ascii="宋体" w:hAnsi="宋体" w:eastAsia="宋体" w:cs="宋体"/>
                <w:spacing w:val="9"/>
                <w:szCs w:val="24"/>
              </w:rPr>
              <w:t>投</w:t>
            </w:r>
            <w:r>
              <w:rPr>
                <w:rFonts w:hint="eastAsia" w:ascii="宋体" w:hAnsi="宋体" w:eastAsia="宋体" w:cs="宋体"/>
                <w:spacing w:val="7"/>
                <w:szCs w:val="24"/>
              </w:rPr>
              <w:t>标有效期</w:t>
            </w:r>
          </w:p>
        </w:tc>
        <w:tc>
          <w:tcPr>
            <w:tcW w:w="7216" w:type="dxa"/>
            <w:vAlign w:val="center"/>
          </w:tcPr>
          <w:p w14:paraId="7B641DC1">
            <w:pPr>
              <w:keepNext w:val="0"/>
              <w:keepLines w:val="0"/>
              <w:pageBreakBefore w:val="0"/>
              <w:wordWrap/>
              <w:overflowPunct/>
              <w:topLinePunct w:val="0"/>
              <w:bidi w:val="0"/>
              <w:spacing w:line="440" w:lineRule="exact"/>
              <w:ind w:left="112"/>
              <w:rPr>
                <w:rFonts w:hint="eastAsia" w:ascii="宋体" w:hAnsi="宋体" w:eastAsia="宋体" w:cs="宋体"/>
                <w:szCs w:val="24"/>
              </w:rPr>
            </w:pPr>
            <w:r>
              <w:rPr>
                <w:rFonts w:hint="eastAsia" w:ascii="宋体" w:hAnsi="宋体" w:eastAsia="宋体" w:cs="宋体"/>
                <w:spacing w:val="18"/>
                <w:szCs w:val="24"/>
              </w:rPr>
              <w:t>9</w:t>
            </w:r>
            <w:r>
              <w:rPr>
                <w:rFonts w:hint="eastAsia" w:ascii="宋体" w:hAnsi="宋体" w:eastAsia="宋体" w:cs="宋体"/>
                <w:spacing w:val="10"/>
                <w:szCs w:val="24"/>
              </w:rPr>
              <w:t>0日历天(自投标截止日起计算)</w:t>
            </w:r>
          </w:p>
        </w:tc>
      </w:tr>
      <w:tr w14:paraId="10C1AA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9A656F3">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8"/>
                <w:szCs w:val="24"/>
              </w:rPr>
              <w:t>3</w:t>
            </w:r>
            <w:r>
              <w:rPr>
                <w:rFonts w:hint="eastAsia" w:ascii="宋体" w:hAnsi="宋体" w:eastAsia="宋体" w:cs="宋体"/>
                <w:spacing w:val="6"/>
                <w:szCs w:val="24"/>
              </w:rPr>
              <w:t>.4.1</w:t>
            </w:r>
          </w:p>
        </w:tc>
        <w:tc>
          <w:tcPr>
            <w:tcW w:w="2079" w:type="dxa"/>
            <w:vAlign w:val="center"/>
          </w:tcPr>
          <w:p w14:paraId="482A646F">
            <w:pPr>
              <w:keepNext w:val="0"/>
              <w:keepLines w:val="0"/>
              <w:pageBreakBefore w:val="0"/>
              <w:wordWrap/>
              <w:overflowPunct/>
              <w:topLinePunct w:val="0"/>
              <w:bidi w:val="0"/>
              <w:spacing w:line="440" w:lineRule="exact"/>
              <w:ind w:left="115"/>
              <w:jc w:val="center"/>
              <w:rPr>
                <w:rFonts w:hint="eastAsia" w:ascii="宋体" w:hAnsi="宋体" w:eastAsia="宋体" w:cs="宋体"/>
                <w:szCs w:val="24"/>
              </w:rPr>
            </w:pPr>
            <w:r>
              <w:rPr>
                <w:rFonts w:hint="eastAsia" w:ascii="宋体" w:hAnsi="宋体" w:eastAsia="宋体" w:cs="宋体"/>
                <w:spacing w:val="9"/>
                <w:szCs w:val="24"/>
              </w:rPr>
              <w:t>投</w:t>
            </w:r>
            <w:r>
              <w:rPr>
                <w:rFonts w:hint="eastAsia" w:ascii="宋体" w:hAnsi="宋体" w:eastAsia="宋体" w:cs="宋体"/>
                <w:spacing w:val="7"/>
                <w:szCs w:val="24"/>
              </w:rPr>
              <w:t>标保证金</w:t>
            </w:r>
          </w:p>
        </w:tc>
        <w:tc>
          <w:tcPr>
            <w:tcW w:w="7216" w:type="dxa"/>
            <w:vAlign w:val="center"/>
          </w:tcPr>
          <w:p w14:paraId="5F7282F0">
            <w:pPr>
              <w:autoSpaceDE/>
              <w:autoSpaceDN/>
              <w:adjustRightInd/>
              <w:spacing w:line="440" w:lineRule="exact"/>
              <w:rPr>
                <w:rFonts w:hint="eastAsia" w:ascii="宋体" w:hAnsi="宋体" w:eastAsia="宋体" w:cs="宋体"/>
                <w:color w:val="auto"/>
                <w:sz w:val="24"/>
                <w:szCs w:val="24"/>
              </w:rPr>
            </w:pPr>
            <w:r>
              <w:rPr>
                <w:rFonts w:hint="eastAsia" w:ascii="宋体" w:hAnsi="宋体" w:eastAsia="宋体" w:cs="宋体"/>
                <w:snapToGrid w:val="0"/>
                <w:color w:val="auto"/>
                <w:sz w:val="24"/>
                <w:szCs w:val="24"/>
              </w:rPr>
              <w:sym w:font="Wingdings" w:char="00FE"/>
            </w:r>
            <w:r>
              <w:rPr>
                <w:rFonts w:hint="eastAsia" w:ascii="宋体" w:hAnsi="宋体" w:eastAsia="宋体" w:cs="宋体"/>
                <w:b/>
                <w:bCs/>
                <w:color w:val="auto"/>
                <w:sz w:val="24"/>
                <w:szCs w:val="24"/>
              </w:rPr>
              <w:t>要求递交投标保证金。</w:t>
            </w:r>
          </w:p>
          <w:p w14:paraId="58C64DCB">
            <w:pPr>
              <w:numPr>
                <w:ilvl w:val="0"/>
                <w:numId w:val="11"/>
              </w:numPr>
              <w:autoSpaceDE/>
              <w:autoSpaceDN/>
              <w:adjustRightInd/>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担保金额：人民币</w:t>
            </w:r>
            <w:r>
              <w:rPr>
                <w:rFonts w:hint="eastAsia" w:ascii="宋体" w:hAnsi="宋体" w:eastAsia="宋体" w:cs="宋体"/>
                <w:b/>
                <w:bCs/>
                <w:color w:val="auto"/>
                <w:sz w:val="24"/>
                <w:szCs w:val="24"/>
                <w:u w:val="single"/>
                <w:lang w:val="en-US" w:eastAsia="zh-CN"/>
              </w:rPr>
              <w:t xml:space="preserve"> 13 </w:t>
            </w:r>
            <w:r>
              <w:rPr>
                <w:rFonts w:hint="eastAsia" w:ascii="宋体" w:hAnsi="宋体" w:eastAsia="宋体" w:cs="宋体"/>
                <w:b/>
                <w:bCs/>
                <w:color w:val="auto"/>
                <w:sz w:val="24"/>
                <w:szCs w:val="24"/>
              </w:rPr>
              <w:t>万元</w:t>
            </w:r>
          </w:p>
          <w:p w14:paraId="570BBF27">
            <w:pPr>
              <w:numPr>
                <w:ilvl w:val="0"/>
                <w:numId w:val="11"/>
              </w:numPr>
              <w:autoSpaceDE/>
              <w:autoSpaceDN/>
              <w:adjustRightInd/>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投标保证金缴纳方式（任选一种）：现金、银行保函、保险机构保证保险保单、融资担保公司保函。</w:t>
            </w:r>
          </w:p>
          <w:p w14:paraId="51E01E5F">
            <w:pPr>
              <w:numPr>
                <w:ilvl w:val="0"/>
                <w:numId w:val="12"/>
              </w:numPr>
              <w:autoSpaceDE/>
              <w:autoSpaceDN/>
              <w:adjustRightInd/>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现金</w:t>
            </w:r>
          </w:p>
          <w:p w14:paraId="271A7EE6">
            <w:pPr>
              <w:numPr>
                <w:ilvl w:val="0"/>
                <w:numId w:val="13"/>
              </w:numPr>
              <w:autoSpaceDE/>
              <w:autoSpaceDN/>
              <w:adjustRightIn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电汇或网银转账（请不要使用“支付宝”等第三方支付平台），并通过“三门县建设工程项目交易系统”取得相应的取得投标保证金收款账户信息后支付，具体详见三门县公共资源交易中心网站“办事指南”栏目“三门县投标保证金（虚拟账户）缴纳操作说明”；</w:t>
            </w:r>
          </w:p>
          <w:p w14:paraId="1B7FA2F1">
            <w:pPr>
              <w:numPr>
                <w:ilvl w:val="0"/>
                <w:numId w:val="13"/>
              </w:numPr>
              <w:autoSpaceDE/>
              <w:autoSpaceDN/>
              <w:adjustRightIn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投标保证金应在投标截止时间前到交易中心账户。</w:t>
            </w:r>
          </w:p>
          <w:p w14:paraId="32118FA8">
            <w:pPr>
              <w:numPr>
                <w:ilvl w:val="0"/>
                <w:numId w:val="12"/>
              </w:numPr>
              <w:autoSpaceDE/>
              <w:autoSpaceDN/>
              <w:adjustRightInd/>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银行保函、保险机构保证保险保单、融资担保公司保函（以下合称“工程保函”）</w:t>
            </w:r>
          </w:p>
          <w:p w14:paraId="538BD90E">
            <w:pPr>
              <w:numPr>
                <w:ilvl w:val="0"/>
                <w:numId w:val="14"/>
              </w:numPr>
              <w:autoSpaceDE/>
              <w:autoSpaceDN/>
              <w:adjustRightIn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工程保函的受益人</w:t>
            </w:r>
            <w:r>
              <w:rPr>
                <w:rFonts w:hint="eastAsia" w:ascii="宋体" w:hAnsi="宋体" w:eastAsia="宋体" w:cs="宋体"/>
                <w:color w:val="auto"/>
                <w:kern w:val="2"/>
                <w:sz w:val="24"/>
                <w:szCs w:val="24"/>
              </w:rPr>
              <w:t>：</w:t>
            </w:r>
            <w:r>
              <w:rPr>
                <w:rFonts w:hint="eastAsia" w:ascii="宋体" w:hAnsi="宋体" w:eastAsia="宋体" w:cs="宋体"/>
                <w:color w:val="auto"/>
                <w:sz w:val="24"/>
                <w:szCs w:val="24"/>
                <w:u w:val="single"/>
              </w:rPr>
              <w:t xml:space="preserve">三门县环境有限公司 </w:t>
            </w:r>
            <w:r>
              <w:rPr>
                <w:rFonts w:hint="eastAsia" w:ascii="宋体" w:hAnsi="宋体" w:eastAsia="宋体" w:cs="宋体"/>
                <w:color w:val="auto"/>
                <w:sz w:val="24"/>
                <w:szCs w:val="24"/>
              </w:rPr>
              <w:t>（招标人名称）；</w:t>
            </w:r>
          </w:p>
          <w:p w14:paraId="50CBA7C5">
            <w:pPr>
              <w:numPr>
                <w:ilvl w:val="0"/>
                <w:numId w:val="14"/>
              </w:numPr>
              <w:autoSpaceDE/>
              <w:autoSpaceDN/>
              <w:adjustRightInd/>
              <w:spacing w:line="440" w:lineRule="exact"/>
              <w:ind w:firstLine="482" w:firstLineChars="200"/>
              <w:rPr>
                <w:rFonts w:hint="eastAsia" w:ascii="宋体" w:hAnsi="宋体" w:eastAsia="宋体" w:cs="宋体"/>
                <w:color w:val="auto"/>
                <w:sz w:val="24"/>
                <w:szCs w:val="24"/>
              </w:rPr>
            </w:pPr>
            <w:r>
              <w:rPr>
                <w:rFonts w:hint="eastAsia" w:ascii="宋体" w:hAnsi="宋体" w:eastAsia="宋体" w:cs="宋体"/>
                <w:b/>
                <w:bCs/>
                <w:color w:val="auto"/>
                <w:sz w:val="24"/>
                <w:szCs w:val="24"/>
              </w:rPr>
              <w:t>工程保函的有效期为1年</w:t>
            </w:r>
            <w:r>
              <w:rPr>
                <w:rFonts w:hint="eastAsia" w:ascii="宋体" w:hAnsi="宋体" w:eastAsia="宋体" w:cs="宋体"/>
                <w:color w:val="auto"/>
                <w:sz w:val="24"/>
                <w:szCs w:val="24"/>
              </w:rPr>
              <w:t>；</w:t>
            </w:r>
          </w:p>
          <w:p w14:paraId="525EC136">
            <w:pPr>
              <w:numPr>
                <w:ilvl w:val="0"/>
                <w:numId w:val="14"/>
              </w:numPr>
              <w:autoSpaceDE/>
              <w:autoSpaceDN/>
              <w:adjustRightIn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递交方式：</w:t>
            </w:r>
          </w:p>
          <w:p w14:paraId="459159CF">
            <w:pPr>
              <w:autoSpaceDE/>
              <w:autoSpaceDN/>
              <w:adjustRightInd/>
              <w:spacing w:line="440" w:lineRule="exact"/>
              <w:ind w:firstLine="311" w:firstLineChars="129"/>
              <w:rPr>
                <w:rFonts w:hint="eastAsia" w:ascii="宋体" w:hAnsi="宋体" w:eastAsia="宋体" w:cs="宋体"/>
                <w:color w:val="auto"/>
                <w:sz w:val="24"/>
                <w:szCs w:val="24"/>
              </w:rPr>
            </w:pPr>
            <w:r>
              <w:rPr>
                <w:rFonts w:hint="eastAsia" w:ascii="宋体" w:hAnsi="宋体" w:eastAsia="宋体" w:cs="宋体"/>
                <w:b/>
                <w:bCs/>
                <w:color w:val="auto"/>
                <w:sz w:val="24"/>
                <w:szCs w:val="24"/>
              </w:rPr>
              <w:t>递交方式一（电子保函系统）</w:t>
            </w:r>
            <w:r>
              <w:rPr>
                <w:rFonts w:hint="eastAsia" w:ascii="宋体" w:hAnsi="宋体" w:eastAsia="宋体" w:cs="宋体"/>
                <w:color w:val="auto"/>
                <w:sz w:val="24"/>
                <w:szCs w:val="24"/>
              </w:rPr>
              <w:t>：</w:t>
            </w:r>
          </w:p>
          <w:p w14:paraId="10C3F508">
            <w:pPr>
              <w:autoSpaceDE/>
              <w:autoSpaceDN/>
              <w:adjustRightInd/>
              <w:spacing w:line="440" w:lineRule="exact"/>
              <w:ind w:firstLine="309" w:firstLineChars="129"/>
              <w:rPr>
                <w:rFonts w:hint="eastAsia" w:ascii="宋体" w:hAnsi="宋体" w:eastAsia="宋体" w:cs="宋体"/>
                <w:color w:val="auto"/>
                <w:sz w:val="24"/>
                <w:szCs w:val="24"/>
              </w:rPr>
            </w:pPr>
            <w:r>
              <w:rPr>
                <w:rFonts w:hint="eastAsia" w:ascii="宋体" w:hAnsi="宋体" w:eastAsia="宋体" w:cs="宋体"/>
                <w:color w:val="auto"/>
                <w:sz w:val="24"/>
                <w:szCs w:val="24"/>
              </w:rPr>
              <w:t>通过三门县建设工程项目交易系统在“业务管理—费用管理”栏目选择“电子保函”递交方式，并按系统流程进行操作、申购电子保函。</w:t>
            </w:r>
          </w:p>
          <w:p w14:paraId="69445E20">
            <w:pPr>
              <w:autoSpaceDE/>
              <w:autoSpaceDN/>
              <w:adjustRightInd/>
              <w:spacing w:line="440" w:lineRule="exact"/>
              <w:ind w:firstLine="309" w:firstLineChars="129"/>
              <w:rPr>
                <w:rFonts w:hint="eastAsia" w:ascii="宋体" w:hAnsi="宋体" w:eastAsia="宋体" w:cs="宋体"/>
                <w:color w:val="auto"/>
                <w:sz w:val="24"/>
                <w:szCs w:val="24"/>
              </w:rPr>
            </w:pPr>
            <w:r>
              <w:rPr>
                <w:rFonts w:hint="eastAsia" w:ascii="宋体" w:hAnsi="宋体" w:eastAsia="宋体" w:cs="宋体"/>
                <w:color w:val="auto"/>
                <w:sz w:val="24"/>
                <w:szCs w:val="24"/>
              </w:rPr>
              <w:t>注：电子保单生效时间为投保第二天00:00,各投标人须在投标截止时间前1天申购电子保函；付款后请确认已收到出单提醒短信，或者在系统中查看保单状态为“已出单”，因未确认保函出单情况导致递交投标保证金失败的，所有后果由投标人自行承担。</w:t>
            </w:r>
          </w:p>
          <w:p w14:paraId="36C74489">
            <w:pPr>
              <w:autoSpaceDE/>
              <w:autoSpaceDN/>
              <w:adjustRightInd/>
              <w:spacing w:line="440" w:lineRule="exact"/>
              <w:ind w:firstLine="311" w:firstLineChars="129"/>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递交方式二（非电子保函系统）：</w:t>
            </w:r>
          </w:p>
          <w:p w14:paraId="6747DE2D">
            <w:pPr>
              <w:autoSpaceDE/>
              <w:autoSpaceDN/>
              <w:adjustRightInd/>
              <w:spacing w:line="440" w:lineRule="exact"/>
              <w:ind w:firstLine="309" w:firstLineChars="129"/>
              <w:rPr>
                <w:rFonts w:hint="eastAsia" w:ascii="宋体" w:hAnsi="宋体" w:eastAsia="宋体" w:cs="宋体"/>
                <w:color w:val="auto"/>
                <w:sz w:val="24"/>
                <w:szCs w:val="24"/>
              </w:rPr>
            </w:pPr>
            <w:r>
              <w:rPr>
                <w:rFonts w:hint="eastAsia" w:ascii="宋体" w:hAnsi="宋体" w:eastAsia="宋体" w:cs="宋体"/>
                <w:color w:val="auto"/>
                <w:sz w:val="24"/>
                <w:szCs w:val="24"/>
              </w:rPr>
              <w:t>投标人须在投标截止时间前将工程保函纸质原件、基本账户证明材料复印件（加盖公章）、保费支付的银行回单一并按要求递交。</w:t>
            </w:r>
          </w:p>
          <w:p w14:paraId="013E198D">
            <w:pPr>
              <w:autoSpaceDE/>
              <w:autoSpaceDN/>
              <w:adjustRightInd/>
              <w:spacing w:line="440" w:lineRule="exact"/>
              <w:ind w:firstLine="309" w:firstLineChars="129"/>
              <w:rPr>
                <w:rFonts w:hint="eastAsia" w:ascii="宋体" w:hAnsi="宋体" w:eastAsia="宋体" w:cs="宋体"/>
                <w:color w:val="auto"/>
                <w:sz w:val="24"/>
                <w:szCs w:val="24"/>
              </w:rPr>
            </w:pPr>
            <w:r>
              <w:rPr>
                <w:rFonts w:hint="eastAsia" w:ascii="宋体" w:hAnsi="宋体" w:eastAsia="宋体" w:cs="宋体"/>
                <w:color w:val="auto"/>
                <w:sz w:val="24"/>
                <w:szCs w:val="24"/>
              </w:rPr>
              <w:t>递交方式：现场递交；</w:t>
            </w:r>
          </w:p>
          <w:p w14:paraId="53D32750">
            <w:pPr>
              <w:numPr>
                <w:ilvl w:val="0"/>
                <w:numId w:val="15"/>
              </w:numPr>
              <w:autoSpaceDE/>
              <w:autoSpaceDN/>
              <w:adjustRightInd/>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若是投标人的法定代表人递交工程保函的，应持法定代表人身份证明原件（参考格式见附录1）及身份证原件，否则工程保函不予签收。</w:t>
            </w:r>
          </w:p>
          <w:p w14:paraId="271740FF">
            <w:pPr>
              <w:numPr>
                <w:ilvl w:val="0"/>
                <w:numId w:val="15"/>
              </w:numPr>
              <w:autoSpaceDE/>
              <w:autoSpaceDN/>
              <w:adjustRightInd/>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若是投标人委托代理人递交工程保函的，应持针对本项目的法定代表人授权委托书原件（参考格式见附录1）及身份证原件，否则工程保函不予签收。</w:t>
            </w:r>
          </w:p>
          <w:p w14:paraId="3E09A6CC">
            <w:pPr>
              <w:numPr>
                <w:ilvl w:val="0"/>
                <w:numId w:val="15"/>
              </w:numPr>
              <w:autoSpaceDE/>
              <w:autoSpaceDN/>
              <w:adjustRightInd/>
              <w:spacing w:line="440" w:lineRule="exact"/>
              <w:ind w:firstLine="482" w:firstLineChars="200"/>
              <w:rPr>
                <w:rFonts w:hint="eastAsia" w:ascii="宋体" w:hAnsi="宋体" w:eastAsia="宋体" w:cs="宋体"/>
                <w:b/>
                <w:bCs/>
                <w:color w:val="auto"/>
                <w:sz w:val="24"/>
                <w:szCs w:val="24"/>
              </w:rPr>
            </w:pPr>
            <w:r>
              <w:rPr>
                <w:rFonts w:hint="eastAsia" w:ascii="宋体" w:hAnsi="宋体" w:eastAsia="宋体" w:cs="宋体"/>
                <w:b/>
                <w:bCs/>
                <w:color w:val="auto"/>
                <w:sz w:val="24"/>
                <w:szCs w:val="24"/>
              </w:rPr>
              <w:t>递交工程保函时所要求提供的法定代表人授权委托书或法定代表人身份证明中的人员须与投标文件组成中提供的人员一致，若提供的不一致则以无效标处理。</w:t>
            </w:r>
          </w:p>
          <w:p w14:paraId="58226EFD">
            <w:pPr>
              <w:autoSpaceDE/>
              <w:autoSpaceDN/>
              <w:adjustRightInd/>
              <w:spacing w:line="440" w:lineRule="exact"/>
              <w:ind w:firstLine="309" w:firstLineChars="129"/>
              <w:rPr>
                <w:rFonts w:hint="eastAsia" w:ascii="宋体" w:hAnsi="宋体" w:eastAsia="宋体" w:cs="宋体"/>
                <w:color w:val="auto"/>
                <w:sz w:val="24"/>
                <w:szCs w:val="24"/>
              </w:rPr>
            </w:pPr>
            <w:r>
              <w:rPr>
                <w:rFonts w:hint="eastAsia" w:ascii="宋体" w:hAnsi="宋体" w:eastAsia="宋体" w:cs="宋体"/>
                <w:color w:val="auto"/>
                <w:sz w:val="24"/>
                <w:szCs w:val="24"/>
              </w:rPr>
              <w:t>递交时间：同投标文件递交截止时间；</w:t>
            </w:r>
          </w:p>
          <w:p w14:paraId="31DE896B">
            <w:pPr>
              <w:autoSpaceDE/>
              <w:autoSpaceDN/>
              <w:adjustRightInd/>
              <w:spacing w:line="440" w:lineRule="exact"/>
              <w:ind w:firstLine="309" w:firstLineChars="129"/>
              <w:rPr>
                <w:rFonts w:hint="eastAsia" w:ascii="宋体" w:hAnsi="宋体" w:eastAsia="宋体" w:cs="宋体"/>
                <w:color w:val="auto"/>
                <w:sz w:val="24"/>
                <w:szCs w:val="24"/>
              </w:rPr>
            </w:pPr>
            <w:r>
              <w:rPr>
                <w:rFonts w:hint="eastAsia" w:ascii="宋体" w:hAnsi="宋体" w:eastAsia="宋体" w:cs="宋体"/>
                <w:color w:val="auto"/>
                <w:sz w:val="24"/>
                <w:szCs w:val="24"/>
              </w:rPr>
              <w:t>递交地点：三门县公共资源交易中心交易大厅（一）；</w:t>
            </w:r>
          </w:p>
          <w:p w14:paraId="15D2F3BC">
            <w:pPr>
              <w:autoSpaceDE/>
              <w:autoSpaceDN/>
              <w:adjustRightInd/>
              <w:spacing w:line="440" w:lineRule="exact"/>
              <w:ind w:firstLine="309" w:firstLineChars="129"/>
              <w:rPr>
                <w:rFonts w:hint="eastAsia" w:ascii="宋体" w:hAnsi="宋体" w:eastAsia="宋体" w:cs="宋体"/>
                <w:color w:val="auto"/>
                <w:sz w:val="24"/>
                <w:szCs w:val="24"/>
              </w:rPr>
            </w:pPr>
            <w:r>
              <w:rPr>
                <w:rFonts w:hint="eastAsia" w:ascii="宋体" w:hAnsi="宋体" w:eastAsia="宋体" w:cs="宋体"/>
                <w:color w:val="auto"/>
                <w:sz w:val="24"/>
                <w:szCs w:val="24"/>
              </w:rPr>
              <w:t>接收人：三门华厦建设工程造价事务所（普通合伙）；</w:t>
            </w:r>
          </w:p>
          <w:p w14:paraId="0F82A3BC">
            <w:pPr>
              <w:autoSpaceDE/>
              <w:autoSpaceDN/>
              <w:adjustRightInd/>
              <w:spacing w:line="440" w:lineRule="exact"/>
              <w:ind w:firstLine="309" w:firstLineChars="129"/>
              <w:rPr>
                <w:rFonts w:hint="eastAsia" w:ascii="宋体" w:hAnsi="宋体" w:eastAsia="宋体" w:cs="宋体"/>
                <w:color w:val="auto"/>
                <w:sz w:val="24"/>
                <w:szCs w:val="24"/>
              </w:rPr>
            </w:pPr>
            <w:r>
              <w:rPr>
                <w:rFonts w:hint="eastAsia" w:ascii="宋体" w:hAnsi="宋体" w:eastAsia="宋体" w:cs="宋体"/>
                <w:color w:val="auto"/>
                <w:sz w:val="24"/>
                <w:szCs w:val="24"/>
              </w:rPr>
              <w:t>接收人联系方式：方  远 13634077717；</w:t>
            </w:r>
          </w:p>
          <w:p w14:paraId="501A8E23">
            <w:pPr>
              <w:autoSpaceDE/>
              <w:autoSpaceDN/>
              <w:adjustRightInd/>
              <w:spacing w:line="440" w:lineRule="exact"/>
              <w:ind w:firstLine="309" w:firstLineChars="129"/>
              <w:rPr>
                <w:rFonts w:hint="eastAsia" w:ascii="宋体" w:hAnsi="宋体" w:eastAsia="宋体" w:cs="宋体"/>
                <w:color w:val="auto"/>
                <w:sz w:val="24"/>
                <w:szCs w:val="24"/>
              </w:rPr>
            </w:pPr>
            <w:r>
              <w:rPr>
                <w:rFonts w:hint="eastAsia" w:ascii="宋体" w:hAnsi="宋体" w:eastAsia="宋体" w:cs="宋体"/>
                <w:color w:val="auto"/>
                <w:sz w:val="24"/>
                <w:szCs w:val="24"/>
              </w:rPr>
              <w:t>注：投标保函文件中必须包含投标企业的信息，包含但不限于投标企业名称、保证方式、保证金额、保函获得时间、保证项目名称、保函有效期限、保费标准、费用支付账户（基本账户）等。保费应一函一付，通过企业基本账户支付。</w:t>
            </w:r>
            <w:r>
              <w:rPr>
                <w:rFonts w:hint="eastAsia" w:ascii="宋体" w:hAnsi="宋体" w:eastAsia="宋体" w:cs="宋体"/>
                <w:b/>
                <w:bCs/>
                <w:color w:val="auto"/>
                <w:sz w:val="24"/>
                <w:szCs w:val="24"/>
              </w:rPr>
              <w:t>（工程保函的保险（保证）责任必须包括本招标文件“投标人须知 3.4.4”所列条款。）（温馨提示：请各投标单位仔细核对工程保函的保险责任所列条款。）</w:t>
            </w:r>
          </w:p>
          <w:p w14:paraId="2B7ED30C">
            <w:pPr>
              <w:numPr>
                <w:ilvl w:val="0"/>
                <w:numId w:val="11"/>
              </w:numPr>
              <w:autoSpaceDE/>
              <w:autoSpaceDN/>
              <w:adjustRightInd/>
              <w:spacing w:line="440" w:lineRule="exact"/>
              <w:rPr>
                <w:rFonts w:hint="eastAsia" w:ascii="宋体" w:hAnsi="宋体" w:eastAsia="宋体" w:cs="宋体"/>
                <w:b/>
                <w:bCs/>
                <w:color w:val="auto"/>
                <w:sz w:val="24"/>
                <w:szCs w:val="24"/>
              </w:rPr>
            </w:pPr>
            <w:r>
              <w:rPr>
                <w:rFonts w:hint="eastAsia" w:ascii="宋体" w:hAnsi="宋体" w:eastAsia="宋体" w:cs="宋体"/>
                <w:b/>
                <w:bCs/>
                <w:color w:val="auto"/>
                <w:sz w:val="24"/>
                <w:szCs w:val="24"/>
              </w:rPr>
              <w:t>注意事项</w:t>
            </w:r>
          </w:p>
          <w:p w14:paraId="1C8E6013">
            <w:pPr>
              <w:numPr>
                <w:ilvl w:val="0"/>
                <w:numId w:val="16"/>
              </w:numPr>
              <w:autoSpaceDE/>
              <w:autoSpaceDN/>
              <w:adjustRightIn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若招标文件允许联合体投标且投标人以联合体身份投标的，由联合体牵头人提交投标保证金；</w:t>
            </w:r>
          </w:p>
          <w:p w14:paraId="40D7FF86">
            <w:pPr>
              <w:numPr>
                <w:ilvl w:val="0"/>
                <w:numId w:val="16"/>
              </w:numPr>
              <w:autoSpaceDE/>
              <w:autoSpaceDN/>
              <w:adjustRightIn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投标保证金收款账号根据不同工程（标段）由系统随机生成，此账号只在本工程（标段）中使用有效，请注意核对；</w:t>
            </w:r>
          </w:p>
          <w:p w14:paraId="798EF3D8">
            <w:pPr>
              <w:numPr>
                <w:ilvl w:val="0"/>
                <w:numId w:val="16"/>
              </w:numPr>
              <w:autoSpaceDE/>
              <w:autoSpaceDN/>
              <w:adjustRightIn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因各银行系统到账时间不同，采用现金方式缴纳投标保证金的，请尽量提前缴纳，以实际到帐时间为准；</w:t>
            </w:r>
          </w:p>
          <w:p w14:paraId="6A8F81F9">
            <w:pPr>
              <w:numPr>
                <w:ilvl w:val="0"/>
                <w:numId w:val="16"/>
              </w:numPr>
              <w:autoSpaceDE/>
              <w:autoSpaceDN/>
              <w:adjustRightInd/>
              <w:spacing w:line="440" w:lineRule="exact"/>
              <w:ind w:firstLine="482" w:firstLineChars="200"/>
              <w:rPr>
                <w:rFonts w:hint="eastAsia" w:ascii="宋体" w:hAnsi="宋体" w:eastAsia="宋体" w:cs="宋体"/>
                <w:b/>
                <w:color w:val="auto"/>
                <w:sz w:val="24"/>
                <w:szCs w:val="24"/>
              </w:rPr>
            </w:pPr>
            <w:r>
              <w:rPr>
                <w:rFonts w:hint="eastAsia" w:ascii="宋体" w:hAnsi="宋体" w:eastAsia="宋体" w:cs="宋体"/>
                <w:b/>
                <w:color w:val="auto"/>
                <w:sz w:val="24"/>
                <w:szCs w:val="24"/>
              </w:rPr>
              <w:t>以现金形式提交的投标保证金应当从投标人基本账户转出；</w:t>
            </w:r>
          </w:p>
          <w:p w14:paraId="6B0BF8E1">
            <w:pPr>
              <w:numPr>
                <w:ilvl w:val="0"/>
                <w:numId w:val="16"/>
              </w:numPr>
              <w:autoSpaceDE/>
              <w:autoSpaceDN/>
              <w:adjustRightInd/>
              <w:spacing w:line="440" w:lineRule="exact"/>
              <w:ind w:firstLine="480" w:firstLineChars="200"/>
              <w:rPr>
                <w:rFonts w:hint="eastAsia" w:ascii="宋体" w:hAnsi="宋体" w:eastAsia="宋体" w:cs="宋体"/>
                <w:color w:val="auto"/>
                <w:sz w:val="24"/>
                <w:szCs w:val="24"/>
              </w:rPr>
            </w:pPr>
            <w:r>
              <w:rPr>
                <w:rFonts w:hint="eastAsia" w:ascii="宋体" w:hAnsi="宋体" w:eastAsia="宋体" w:cs="宋体"/>
                <w:color w:val="auto"/>
                <w:sz w:val="24"/>
                <w:szCs w:val="24"/>
              </w:rPr>
              <w:t>若有疑问，请咨询技术服务热线：13968512856。</w:t>
            </w:r>
          </w:p>
          <w:p w14:paraId="5EBA81BD">
            <w:pPr>
              <w:pStyle w:val="18"/>
              <w:keepNext w:val="0"/>
              <w:keepLines w:val="0"/>
              <w:pageBreakBefore w:val="0"/>
              <w:wordWrap/>
              <w:overflowPunct/>
              <w:topLinePunct w:val="0"/>
              <w:bidi w:val="0"/>
              <w:spacing w:line="440" w:lineRule="exact"/>
              <w:ind w:firstLine="0"/>
              <w:rPr>
                <w:rFonts w:hint="eastAsia" w:ascii="宋体" w:hAnsi="宋体" w:eastAsia="宋体" w:cs="宋体"/>
                <w:spacing w:val="5"/>
                <w:sz w:val="24"/>
                <w:szCs w:val="24"/>
              </w:rPr>
            </w:pPr>
            <w:r>
              <w:rPr>
                <w:rFonts w:hint="eastAsia" w:ascii="宋体" w:hAnsi="宋体" w:eastAsia="宋体" w:cs="宋体"/>
                <w:b/>
                <w:color w:val="auto"/>
                <w:sz w:val="24"/>
                <w:szCs w:val="24"/>
              </w:rPr>
              <w:t>以上未按要求提供或提供不清晰的，评标委员会可能做出不利于投标人的评审结果，由此造成的风险由投标人自行承担。</w:t>
            </w:r>
          </w:p>
        </w:tc>
      </w:tr>
      <w:tr w14:paraId="51121A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431678D">
            <w:pPr>
              <w:pStyle w:val="59"/>
              <w:kinsoku w:val="0"/>
              <w:spacing w:line="440" w:lineRule="exact"/>
              <w:jc w:val="center"/>
              <w:rPr>
                <w:rFonts w:hint="eastAsia" w:ascii="宋体" w:hAnsi="宋体" w:eastAsia="宋体" w:cs="宋体"/>
                <w:szCs w:val="24"/>
              </w:rPr>
            </w:pPr>
            <w:r>
              <w:rPr>
                <w:rFonts w:hint="eastAsia" w:ascii="宋体" w:hAnsi="宋体" w:cs="宋体"/>
                <w:lang w:val="en-US" w:eastAsia="zh-CN"/>
              </w:rPr>
              <w:t>3.4.4</w:t>
            </w:r>
          </w:p>
        </w:tc>
        <w:tc>
          <w:tcPr>
            <w:tcW w:w="2079" w:type="dxa"/>
            <w:vAlign w:val="center"/>
          </w:tcPr>
          <w:p w14:paraId="6AAB5167">
            <w:pPr>
              <w:pStyle w:val="57"/>
              <w:spacing w:before="78" w:line="219" w:lineRule="auto"/>
              <w:ind w:left="48" w:leftChars="0"/>
              <w:jc w:val="center"/>
              <w:rPr>
                <w:rFonts w:hint="eastAsia" w:ascii="宋体" w:hAnsi="宋体" w:eastAsia="宋体" w:cs="宋体"/>
                <w:szCs w:val="24"/>
              </w:rPr>
            </w:pPr>
            <w:r>
              <w:rPr>
                <w:rFonts w:hint="eastAsia" w:ascii="宋体" w:hAnsi="宋体" w:eastAsia="宋体" w:cs="宋体"/>
                <w:sz w:val="24"/>
                <w:szCs w:val="24"/>
                <w:lang w:val="en-US" w:eastAsia="zh-CN" w:bidi="ar-SA"/>
              </w:rPr>
              <w:t>其他可以不予退还投标保证金的情形</w:t>
            </w:r>
          </w:p>
        </w:tc>
        <w:tc>
          <w:tcPr>
            <w:tcW w:w="7216" w:type="dxa"/>
            <w:vAlign w:val="top"/>
          </w:tcPr>
          <w:p w14:paraId="7B9F3F74">
            <w:pPr>
              <w:pStyle w:val="57"/>
              <w:keepNext w:val="0"/>
              <w:keepLines w:val="0"/>
              <w:pageBreakBefore w:val="0"/>
              <w:widowControl w:val="0"/>
              <w:kinsoku/>
              <w:wordWrap/>
              <w:overflowPunct/>
              <w:topLinePunct w:val="0"/>
              <w:autoSpaceDE w:val="0"/>
              <w:autoSpaceDN w:val="0"/>
              <w:bidi w:val="0"/>
              <w:adjustRightInd w:val="0"/>
              <w:snapToGrid/>
              <w:spacing w:line="400" w:lineRule="exact"/>
              <w:ind w:left="33" w:right="27" w:firstLine="25"/>
              <w:textAlignment w:val="auto"/>
              <w:rPr>
                <w:sz w:val="24"/>
                <w:szCs w:val="24"/>
                <w:lang w:eastAsia="zh-CN"/>
              </w:rPr>
            </w:pPr>
            <w:r>
              <w:rPr>
                <w:rFonts w:hint="eastAsia"/>
                <w:spacing w:val="4"/>
                <w:sz w:val="24"/>
                <w:szCs w:val="24"/>
                <w:lang w:eastAsia="zh-CN"/>
              </w:rPr>
              <w:t>☑</w:t>
            </w:r>
            <w:r>
              <w:rPr>
                <w:rFonts w:ascii="Times New Roman" w:hAnsi="Times New Roman" w:eastAsia="Times New Roman" w:cs="Times New Roman"/>
                <w:spacing w:val="4"/>
                <w:sz w:val="24"/>
                <w:szCs w:val="24"/>
                <w:lang w:eastAsia="zh-CN"/>
              </w:rPr>
              <w:t>1.</w:t>
            </w:r>
            <w:r>
              <w:rPr>
                <w:spacing w:val="4"/>
                <w:sz w:val="24"/>
                <w:szCs w:val="24"/>
                <w:lang w:eastAsia="zh-CN"/>
              </w:rPr>
              <w:t>经查实，投标人在投标过程中存在串通投标或弄虚作</w:t>
            </w:r>
            <w:r>
              <w:rPr>
                <w:spacing w:val="-3"/>
                <w:sz w:val="24"/>
                <w:szCs w:val="24"/>
                <w:lang w:eastAsia="zh-CN"/>
              </w:rPr>
              <w:t>假的。</w:t>
            </w:r>
          </w:p>
          <w:p w14:paraId="45EB823F">
            <w:pPr>
              <w:pStyle w:val="57"/>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ascii="宋体" w:hAnsi="宋体" w:eastAsia="宋体" w:cs="宋体"/>
                <w:spacing w:val="5"/>
                <w:sz w:val="24"/>
                <w:szCs w:val="24"/>
                <w:lang w:eastAsia="zh-CN"/>
              </w:rPr>
            </w:pPr>
            <w:r>
              <w:rPr>
                <w:rFonts w:hint="eastAsia"/>
                <w:spacing w:val="4"/>
                <w:sz w:val="24"/>
                <w:szCs w:val="24"/>
                <w:lang w:eastAsia="zh-CN"/>
              </w:rPr>
              <w:t>□</w:t>
            </w:r>
            <w:r>
              <w:rPr>
                <w:rFonts w:ascii="Times New Roman" w:hAnsi="Times New Roman" w:eastAsia="Times New Roman" w:cs="Times New Roman"/>
                <w:spacing w:val="4"/>
                <w:sz w:val="24"/>
                <w:szCs w:val="24"/>
                <w:lang w:eastAsia="zh-CN"/>
              </w:rPr>
              <w:t>2.</w:t>
            </w:r>
            <w:r>
              <w:rPr>
                <w:spacing w:val="4"/>
                <w:sz w:val="24"/>
                <w:szCs w:val="24"/>
                <w:lang w:eastAsia="zh-CN"/>
              </w:rPr>
              <w:t>拟派项目负责人在投标截止日有在其他在建合同工程</w:t>
            </w:r>
            <w:r>
              <w:rPr>
                <w:spacing w:val="-1"/>
                <w:sz w:val="24"/>
                <w:szCs w:val="24"/>
                <w:lang w:eastAsia="zh-CN"/>
              </w:rPr>
              <w:t>上担任</w:t>
            </w:r>
            <w:r>
              <w:rPr>
                <w:rFonts w:ascii="宋体" w:hAnsi="宋体" w:eastAsia="宋体" w:cs="宋体"/>
                <w:spacing w:val="5"/>
                <w:sz w:val="24"/>
                <w:szCs w:val="24"/>
                <w:lang w:eastAsia="zh-CN"/>
              </w:rPr>
              <w:t>项目负责人的情形。</w:t>
            </w:r>
          </w:p>
          <w:p w14:paraId="4BC86F3B">
            <w:pPr>
              <w:pStyle w:val="57"/>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default" w:ascii="宋体" w:hAnsi="宋体" w:eastAsia="宋体" w:cs="宋体"/>
                <w:spacing w:val="5"/>
                <w:sz w:val="24"/>
                <w:szCs w:val="24"/>
                <w:lang w:val="en-US" w:eastAsia="zh-CN"/>
              </w:rPr>
            </w:pPr>
            <w:r>
              <w:rPr>
                <w:rFonts w:hint="eastAsia" w:ascii="宋体" w:hAnsi="宋体" w:eastAsia="宋体" w:cs="宋体"/>
                <w:spacing w:val="5"/>
                <w:sz w:val="24"/>
                <w:szCs w:val="24"/>
                <w:lang w:val="en-US" w:eastAsia="zh-CN"/>
              </w:rPr>
              <w:t>3</w:t>
            </w:r>
            <w:r>
              <w:rPr>
                <w:rFonts w:ascii="宋体" w:hAnsi="宋体" w:eastAsia="宋体" w:cs="宋体"/>
                <w:spacing w:val="5"/>
                <w:sz w:val="24"/>
                <w:szCs w:val="24"/>
                <w:lang w:eastAsia="zh-CN"/>
              </w:rPr>
              <w:t>.其他：</w:t>
            </w:r>
            <w:r>
              <w:rPr>
                <w:rFonts w:hint="eastAsia" w:ascii="宋体" w:hAnsi="宋体" w:eastAsia="宋体" w:cs="宋体"/>
                <w:spacing w:val="5"/>
                <w:sz w:val="24"/>
                <w:szCs w:val="24"/>
                <w:lang w:val="en-US" w:eastAsia="zh-CN"/>
              </w:rPr>
              <w:t>投标人违反《台州市建设工程诚信投标承诺书》承诺内容，或者对《投标人资格自查表》中的自查内容进行虚假瞒报的；</w:t>
            </w:r>
          </w:p>
          <w:p w14:paraId="1BDBDFE2">
            <w:pPr>
              <w:pStyle w:val="57"/>
              <w:keepNext w:val="0"/>
              <w:keepLines w:val="0"/>
              <w:pageBreakBefore w:val="0"/>
              <w:widowControl w:val="0"/>
              <w:kinsoku/>
              <w:wordWrap/>
              <w:overflowPunct/>
              <w:topLinePunct w:val="0"/>
              <w:autoSpaceDE w:val="0"/>
              <w:autoSpaceDN w:val="0"/>
              <w:bidi w:val="0"/>
              <w:adjustRightInd w:val="0"/>
              <w:snapToGrid/>
              <w:spacing w:line="400" w:lineRule="exact"/>
              <w:ind w:left="33"/>
              <w:textAlignment w:val="auto"/>
              <w:rPr>
                <w:sz w:val="24"/>
                <w:szCs w:val="24"/>
                <w:lang w:eastAsia="zh-CN"/>
              </w:rPr>
            </w:pPr>
            <w:r>
              <w:rPr>
                <w:spacing w:val="-2"/>
                <w:sz w:val="24"/>
                <w:szCs w:val="24"/>
                <w:lang w:eastAsia="zh-CN"/>
              </w:rPr>
              <w:t>注：本招标文件的“投标保证金不予退还”是指：</w:t>
            </w:r>
          </w:p>
          <w:p w14:paraId="6F9873EB">
            <w:pPr>
              <w:pStyle w:val="57"/>
              <w:keepNext w:val="0"/>
              <w:keepLines w:val="0"/>
              <w:pageBreakBefore w:val="0"/>
              <w:widowControl w:val="0"/>
              <w:kinsoku/>
              <w:wordWrap/>
              <w:overflowPunct/>
              <w:topLinePunct w:val="0"/>
              <w:autoSpaceDE w:val="0"/>
              <w:autoSpaceDN w:val="0"/>
              <w:bidi w:val="0"/>
              <w:adjustRightInd w:val="0"/>
              <w:snapToGrid/>
              <w:spacing w:line="400" w:lineRule="exact"/>
              <w:ind w:left="45"/>
              <w:textAlignment w:val="auto"/>
              <w:rPr>
                <w:sz w:val="24"/>
                <w:szCs w:val="24"/>
                <w:lang w:eastAsia="zh-CN"/>
              </w:rPr>
            </w:pPr>
            <w:r>
              <w:rPr>
                <w:spacing w:val="-2"/>
                <w:sz w:val="24"/>
                <w:szCs w:val="24"/>
                <w:lang w:eastAsia="zh-CN"/>
              </w:rPr>
              <w:t>（</w:t>
            </w:r>
            <w:r>
              <w:rPr>
                <w:rFonts w:ascii="Times New Roman" w:hAnsi="Times New Roman" w:eastAsia="Times New Roman" w:cs="Times New Roman"/>
                <w:spacing w:val="-2"/>
                <w:sz w:val="24"/>
                <w:szCs w:val="24"/>
                <w:lang w:eastAsia="zh-CN"/>
              </w:rPr>
              <w:t>1</w:t>
            </w:r>
            <w:r>
              <w:rPr>
                <w:spacing w:val="-2"/>
                <w:sz w:val="24"/>
                <w:szCs w:val="24"/>
                <w:lang w:eastAsia="zh-CN"/>
              </w:rPr>
              <w:t>）以现金转账形式，转账现金不予退还。</w:t>
            </w:r>
          </w:p>
          <w:p w14:paraId="5999A7CF">
            <w:pPr>
              <w:pStyle w:val="57"/>
              <w:keepNext w:val="0"/>
              <w:keepLines w:val="0"/>
              <w:pageBreakBefore w:val="0"/>
              <w:widowControl w:val="0"/>
              <w:kinsoku/>
              <w:wordWrap/>
              <w:overflowPunct/>
              <w:topLinePunct w:val="0"/>
              <w:autoSpaceDE w:val="0"/>
              <w:autoSpaceDN w:val="0"/>
              <w:bidi w:val="0"/>
              <w:adjustRightInd w:val="0"/>
              <w:snapToGrid/>
              <w:spacing w:line="400" w:lineRule="exact"/>
              <w:ind w:left="34" w:right="27" w:firstLine="11"/>
              <w:textAlignment w:val="auto"/>
              <w:rPr>
                <w:sz w:val="24"/>
                <w:szCs w:val="24"/>
                <w:lang w:eastAsia="zh-CN"/>
              </w:rPr>
            </w:pPr>
            <w:r>
              <w:rPr>
                <w:spacing w:val="5"/>
                <w:sz w:val="24"/>
                <w:szCs w:val="24"/>
                <w:lang w:eastAsia="zh-CN"/>
              </w:rPr>
              <w:t>（</w:t>
            </w:r>
            <w:r>
              <w:rPr>
                <w:rFonts w:ascii="Times New Roman" w:hAnsi="Times New Roman" w:eastAsia="Times New Roman" w:cs="Times New Roman"/>
                <w:spacing w:val="5"/>
                <w:sz w:val="24"/>
                <w:szCs w:val="24"/>
                <w:lang w:eastAsia="zh-CN"/>
              </w:rPr>
              <w:t>2</w:t>
            </w:r>
            <w:r>
              <w:rPr>
                <w:spacing w:val="5"/>
                <w:sz w:val="24"/>
                <w:szCs w:val="24"/>
                <w:lang w:eastAsia="zh-CN"/>
              </w:rPr>
              <w:t>）以银行（数字）保函形式，招标人作为受益人向银</w:t>
            </w:r>
            <w:r>
              <w:rPr>
                <w:spacing w:val="-2"/>
                <w:sz w:val="24"/>
                <w:szCs w:val="24"/>
                <w:lang w:eastAsia="zh-CN"/>
              </w:rPr>
              <w:t>行提起索赔。</w:t>
            </w:r>
          </w:p>
          <w:p w14:paraId="7CEF77E1">
            <w:pPr>
              <w:pStyle w:val="57"/>
              <w:keepNext w:val="0"/>
              <w:keepLines w:val="0"/>
              <w:pageBreakBefore w:val="0"/>
              <w:widowControl w:val="0"/>
              <w:kinsoku/>
              <w:wordWrap/>
              <w:overflowPunct/>
              <w:topLinePunct w:val="0"/>
              <w:autoSpaceDE w:val="0"/>
              <w:autoSpaceDN w:val="0"/>
              <w:bidi w:val="0"/>
              <w:adjustRightInd w:val="0"/>
              <w:snapToGrid/>
              <w:spacing w:line="400" w:lineRule="exact"/>
              <w:ind w:left="61" w:right="48" w:hanging="16"/>
              <w:textAlignment w:val="auto"/>
              <w:rPr>
                <w:sz w:val="24"/>
                <w:szCs w:val="24"/>
                <w:lang w:eastAsia="zh-CN"/>
              </w:rPr>
            </w:pPr>
            <w:r>
              <w:rPr>
                <w:spacing w:val="4"/>
                <w:sz w:val="24"/>
                <w:szCs w:val="24"/>
                <w:lang w:eastAsia="zh-CN"/>
              </w:rPr>
              <w:t>（</w:t>
            </w:r>
            <w:r>
              <w:rPr>
                <w:rFonts w:ascii="Times New Roman" w:hAnsi="Times New Roman" w:eastAsia="Times New Roman" w:cs="Times New Roman"/>
                <w:spacing w:val="4"/>
                <w:sz w:val="24"/>
                <w:szCs w:val="24"/>
                <w:lang w:eastAsia="zh-CN"/>
              </w:rPr>
              <w:t>3</w:t>
            </w:r>
            <w:r>
              <w:rPr>
                <w:spacing w:val="4"/>
                <w:sz w:val="24"/>
                <w:szCs w:val="24"/>
                <w:lang w:eastAsia="zh-CN"/>
              </w:rPr>
              <w:t>）以保证保险形式，招标人作为被保险人（受益人）</w:t>
            </w:r>
            <w:r>
              <w:rPr>
                <w:spacing w:val="-5"/>
                <w:sz w:val="24"/>
                <w:szCs w:val="24"/>
                <w:lang w:eastAsia="zh-CN"/>
              </w:rPr>
              <w:t>向保险人提起索赔。</w:t>
            </w:r>
          </w:p>
          <w:p w14:paraId="0E98C3BB">
            <w:pPr>
              <w:pStyle w:val="57"/>
              <w:keepNext w:val="0"/>
              <w:keepLines w:val="0"/>
              <w:pageBreakBefore w:val="0"/>
              <w:widowControl w:val="0"/>
              <w:kinsoku/>
              <w:wordWrap/>
              <w:overflowPunct/>
              <w:topLinePunct w:val="0"/>
              <w:autoSpaceDE w:val="0"/>
              <w:autoSpaceDN w:val="0"/>
              <w:bidi w:val="0"/>
              <w:adjustRightInd w:val="0"/>
              <w:snapToGrid/>
              <w:spacing w:line="400" w:lineRule="exact"/>
              <w:ind w:left="33" w:leftChars="0" w:right="27" w:rightChars="0" w:firstLine="12" w:firstLineChars="0"/>
              <w:textAlignment w:val="auto"/>
              <w:rPr>
                <w:rFonts w:hint="eastAsia" w:ascii="宋体" w:hAnsi="宋体" w:eastAsia="宋体" w:cs="宋体"/>
                <w:spacing w:val="6"/>
                <w:szCs w:val="24"/>
              </w:rPr>
            </w:pPr>
            <w:r>
              <w:rPr>
                <w:spacing w:val="5"/>
                <w:sz w:val="24"/>
                <w:szCs w:val="24"/>
                <w:lang w:eastAsia="zh-CN"/>
              </w:rPr>
              <w:t>（</w:t>
            </w:r>
            <w:r>
              <w:rPr>
                <w:rFonts w:ascii="Times New Roman" w:hAnsi="Times New Roman" w:eastAsia="Times New Roman" w:cs="Times New Roman"/>
                <w:spacing w:val="5"/>
                <w:sz w:val="24"/>
                <w:szCs w:val="24"/>
                <w:lang w:eastAsia="zh-CN"/>
              </w:rPr>
              <w:t>4</w:t>
            </w:r>
            <w:r>
              <w:rPr>
                <w:spacing w:val="5"/>
                <w:sz w:val="24"/>
                <w:szCs w:val="24"/>
                <w:lang w:eastAsia="zh-CN"/>
              </w:rPr>
              <w:t>）以担保公司担保形式，招标人作为受益人向担保人</w:t>
            </w:r>
            <w:r>
              <w:rPr>
                <w:spacing w:val="-2"/>
                <w:sz w:val="24"/>
                <w:szCs w:val="24"/>
                <w:lang w:eastAsia="zh-CN"/>
              </w:rPr>
              <w:t>提起索赔。</w:t>
            </w:r>
          </w:p>
        </w:tc>
      </w:tr>
      <w:tr w14:paraId="36138BF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1219BDF">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zCs w:val="24"/>
              </w:rPr>
              <w:t>3.5</w:t>
            </w:r>
          </w:p>
        </w:tc>
        <w:tc>
          <w:tcPr>
            <w:tcW w:w="2079" w:type="dxa"/>
            <w:vAlign w:val="center"/>
          </w:tcPr>
          <w:p w14:paraId="216586F7">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zCs w:val="24"/>
              </w:rPr>
              <w:t>是否允许递交备选投标方案</w:t>
            </w:r>
          </w:p>
        </w:tc>
        <w:tc>
          <w:tcPr>
            <w:tcW w:w="7216" w:type="dxa"/>
            <w:vAlign w:val="center"/>
          </w:tcPr>
          <w:p w14:paraId="07146FD9">
            <w:pPr>
              <w:keepNext w:val="0"/>
              <w:keepLines w:val="0"/>
              <w:pageBreakBefore w:val="0"/>
              <w:wordWrap/>
              <w:overflowPunct/>
              <w:topLinePunct w:val="0"/>
              <w:bidi w:val="0"/>
              <w:spacing w:line="440" w:lineRule="exact"/>
              <w:ind w:right="36"/>
              <w:rPr>
                <w:rFonts w:hint="eastAsia" w:ascii="宋体" w:hAnsi="宋体" w:eastAsia="宋体" w:cs="宋体"/>
                <w:spacing w:val="8"/>
                <w:szCs w:val="24"/>
              </w:rPr>
            </w:pPr>
            <w:r>
              <w:rPr>
                <w:rFonts w:hint="eastAsia" w:ascii="宋体" w:hAnsi="宋体" w:eastAsia="宋体" w:cs="宋体"/>
                <w:spacing w:val="6"/>
                <w:szCs w:val="24"/>
              </w:rPr>
              <w:t>不</w:t>
            </w:r>
            <w:r>
              <w:rPr>
                <w:rFonts w:hint="eastAsia" w:ascii="宋体" w:hAnsi="宋体" w:eastAsia="宋体" w:cs="宋体"/>
                <w:spacing w:val="5"/>
                <w:szCs w:val="24"/>
              </w:rPr>
              <w:t>允许</w:t>
            </w:r>
          </w:p>
        </w:tc>
      </w:tr>
      <w:tr w14:paraId="3A6D98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6B41D0A8">
            <w:pPr>
              <w:keepNext w:val="0"/>
              <w:keepLines w:val="0"/>
              <w:pageBreakBefore w:val="0"/>
              <w:wordWrap/>
              <w:overflowPunct/>
              <w:topLinePunct w:val="0"/>
              <w:bidi w:val="0"/>
              <w:spacing w:line="440" w:lineRule="exact"/>
              <w:jc w:val="center"/>
              <w:rPr>
                <w:rFonts w:hint="default" w:ascii="宋体" w:hAnsi="宋体" w:eastAsia="宋体" w:cs="宋体"/>
                <w:spacing w:val="4"/>
                <w:szCs w:val="24"/>
                <w:lang w:val="en-US" w:eastAsia="zh-CN"/>
              </w:rPr>
            </w:pPr>
            <w:r>
              <w:rPr>
                <w:rFonts w:hint="eastAsia" w:ascii="宋体" w:hAnsi="宋体" w:eastAsia="宋体" w:cs="宋体"/>
                <w:spacing w:val="4"/>
                <w:szCs w:val="24"/>
                <w:lang w:val="en-US" w:eastAsia="zh-CN"/>
              </w:rPr>
              <w:t>4.1.1</w:t>
            </w:r>
          </w:p>
        </w:tc>
        <w:tc>
          <w:tcPr>
            <w:tcW w:w="2079" w:type="dxa"/>
            <w:vAlign w:val="center"/>
          </w:tcPr>
          <w:p w14:paraId="033F248A">
            <w:pPr>
              <w:pStyle w:val="59"/>
              <w:kinsoku w:val="0"/>
              <w:spacing w:line="440" w:lineRule="exact"/>
              <w:jc w:val="center"/>
              <w:rPr>
                <w:rFonts w:hint="eastAsia" w:ascii="宋体" w:hAnsi="宋体" w:eastAsia="宋体" w:cs="宋体"/>
                <w:spacing w:val="15"/>
                <w:position w:val="13"/>
                <w:szCs w:val="24"/>
              </w:rPr>
            </w:pPr>
            <w:r>
              <w:rPr>
                <w:rFonts w:hint="eastAsia" w:ascii="宋体" w:hAnsi="宋体" w:cs="宋体"/>
                <w:color w:val="auto"/>
              </w:rPr>
              <w:t>电子投标文件加密要求</w:t>
            </w:r>
          </w:p>
        </w:tc>
        <w:tc>
          <w:tcPr>
            <w:tcW w:w="7216" w:type="dxa"/>
            <w:vAlign w:val="center"/>
          </w:tcPr>
          <w:p w14:paraId="4CDE830E">
            <w:pPr>
              <w:pStyle w:val="59"/>
              <w:kinsoku w:val="0"/>
              <w:spacing w:line="440" w:lineRule="exact"/>
              <w:jc w:val="both"/>
              <w:rPr>
                <w:rFonts w:hint="eastAsia" w:ascii="宋体" w:hAnsi="宋体" w:eastAsia="宋体" w:cs="宋体"/>
                <w:spacing w:val="13"/>
                <w:szCs w:val="24"/>
              </w:rPr>
            </w:pPr>
            <w:r>
              <w:rPr>
                <w:rFonts w:hint="eastAsia" w:ascii="宋体" w:hAnsi="宋体" w:cs="宋体"/>
                <w:color w:val="auto"/>
                <w:kern w:val="2"/>
              </w:rPr>
              <w:t>使用投标工具软件编制生成电子投标文件。</w:t>
            </w:r>
          </w:p>
        </w:tc>
      </w:tr>
      <w:tr w14:paraId="518414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507C843">
            <w:pPr>
              <w:pStyle w:val="59"/>
              <w:kinsoku w:val="0"/>
              <w:spacing w:line="440" w:lineRule="exact"/>
              <w:jc w:val="center"/>
              <w:rPr>
                <w:rFonts w:hint="eastAsia" w:ascii="宋体" w:hAnsi="宋体" w:eastAsia="宋体" w:cs="宋体"/>
                <w:szCs w:val="24"/>
              </w:rPr>
            </w:pPr>
            <w:r>
              <w:rPr>
                <w:rFonts w:hint="eastAsia" w:ascii="宋体" w:hAnsi="宋体" w:cs="宋体"/>
                <w:color w:val="auto"/>
              </w:rPr>
              <w:t>4.2.1</w:t>
            </w:r>
          </w:p>
        </w:tc>
        <w:tc>
          <w:tcPr>
            <w:tcW w:w="2079" w:type="dxa"/>
            <w:vAlign w:val="center"/>
          </w:tcPr>
          <w:p w14:paraId="169A612C">
            <w:pPr>
              <w:pStyle w:val="59"/>
              <w:kinsoku w:val="0"/>
              <w:spacing w:line="440" w:lineRule="exact"/>
              <w:jc w:val="center"/>
              <w:rPr>
                <w:rFonts w:hint="eastAsia" w:ascii="宋体" w:hAnsi="宋体" w:eastAsia="宋体" w:cs="宋体"/>
                <w:szCs w:val="24"/>
              </w:rPr>
            </w:pPr>
            <w:r>
              <w:rPr>
                <w:rFonts w:hint="eastAsia" w:ascii="宋体" w:hAnsi="宋体" w:cs="宋体"/>
                <w:color w:val="auto"/>
              </w:rPr>
              <w:t>投标截止时间/电子投标文件上传截止时间</w:t>
            </w:r>
          </w:p>
        </w:tc>
        <w:tc>
          <w:tcPr>
            <w:tcW w:w="7216" w:type="dxa"/>
            <w:vAlign w:val="center"/>
          </w:tcPr>
          <w:p w14:paraId="691B25C0">
            <w:pPr>
              <w:spacing w:line="440" w:lineRule="exact"/>
              <w:jc w:val="both"/>
              <w:rPr>
                <w:rFonts w:hint="eastAsia" w:ascii="宋体" w:hAnsi="宋体" w:eastAsia="宋体" w:cs="宋体"/>
                <w:spacing w:val="20"/>
                <w:szCs w:val="24"/>
              </w:rPr>
            </w:pPr>
            <w:r>
              <w:rPr>
                <w:color w:val="auto"/>
                <w:u w:val="single"/>
              </w:rPr>
              <w:tab/>
            </w:r>
            <w:r>
              <w:rPr>
                <w:rFonts w:hint="eastAsia" w:ascii="宋体" w:hAnsi="宋体" w:cs="宋体"/>
                <w:color w:val="auto"/>
              </w:rPr>
              <w:t>详见本项目招标公告</w:t>
            </w:r>
          </w:p>
        </w:tc>
      </w:tr>
      <w:tr w14:paraId="46FAB3F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6E69E13C">
            <w:pPr>
              <w:pStyle w:val="59"/>
              <w:kinsoku w:val="0"/>
              <w:spacing w:line="440" w:lineRule="exact"/>
              <w:ind w:left="103" w:leftChars="0"/>
              <w:jc w:val="center"/>
              <w:rPr>
                <w:rFonts w:hint="eastAsia" w:ascii="宋体" w:hAnsi="宋体" w:eastAsia="宋体" w:cs="宋体"/>
                <w:spacing w:val="4"/>
                <w:szCs w:val="24"/>
              </w:rPr>
            </w:pPr>
            <w:r>
              <w:rPr>
                <w:rFonts w:hint="eastAsia" w:ascii="宋体" w:hAnsi="宋体" w:cs="宋体"/>
                <w:color w:val="auto"/>
              </w:rPr>
              <w:t>4.2.2</w:t>
            </w:r>
          </w:p>
        </w:tc>
        <w:tc>
          <w:tcPr>
            <w:tcW w:w="2079" w:type="dxa"/>
            <w:vAlign w:val="center"/>
          </w:tcPr>
          <w:p w14:paraId="5D0C3B7F">
            <w:pPr>
              <w:pStyle w:val="59"/>
              <w:kinsoku w:val="0"/>
              <w:spacing w:line="440" w:lineRule="exact"/>
              <w:jc w:val="center"/>
              <w:rPr>
                <w:rFonts w:hint="eastAsia" w:ascii="宋体" w:hAnsi="宋体" w:eastAsia="宋体" w:cs="宋体"/>
                <w:spacing w:val="13"/>
                <w:position w:val="13"/>
                <w:szCs w:val="24"/>
              </w:rPr>
            </w:pPr>
            <w:r>
              <w:rPr>
                <w:rFonts w:hint="eastAsia" w:ascii="宋体" w:hAnsi="宋体" w:cs="宋体"/>
                <w:color w:val="auto"/>
              </w:rPr>
              <w:t>电子投标文件上传平台</w:t>
            </w:r>
          </w:p>
        </w:tc>
        <w:tc>
          <w:tcPr>
            <w:tcW w:w="7216" w:type="dxa"/>
            <w:vAlign w:val="center"/>
          </w:tcPr>
          <w:p w14:paraId="65C85591">
            <w:pPr>
              <w:pStyle w:val="7"/>
              <w:numPr>
                <w:ilvl w:val="0"/>
                <w:numId w:val="17"/>
              </w:numPr>
              <w:spacing w:line="440" w:lineRule="exact"/>
              <w:ind w:firstLineChars="0"/>
              <w:rPr>
                <w:rFonts w:ascii="宋体" w:hAnsi="宋体" w:cs="宋体"/>
                <w:color w:val="auto"/>
              </w:rPr>
            </w:pPr>
            <w:r>
              <w:rPr>
                <w:rFonts w:hint="eastAsia" w:ascii="宋体" w:hAnsi="宋体" w:cs="宋体"/>
                <w:color w:val="auto"/>
              </w:rPr>
              <w:t>本项目采用不见面开标形式，投标人进行远程解密无需到开标现场。电子投标文件上传至三门县工程建设电子交易平台（步骤如下），投标截止时间后对加密的投标文件进行远程解密，如远程解密遇有问题的请联系章宏涛13968512856。</w:t>
            </w:r>
          </w:p>
          <w:p w14:paraId="02DE70AE">
            <w:pPr>
              <w:pStyle w:val="7"/>
              <w:numPr>
                <w:ilvl w:val="0"/>
                <w:numId w:val="17"/>
              </w:numPr>
              <w:spacing w:line="440" w:lineRule="exact"/>
              <w:ind w:firstLineChars="0"/>
              <w:rPr>
                <w:rFonts w:ascii="宋体" w:hAnsi="宋体" w:cs="宋体"/>
                <w:b/>
                <w:color w:val="auto"/>
              </w:rPr>
            </w:pPr>
            <w:r>
              <w:rPr>
                <w:rFonts w:hint="eastAsia" w:ascii="宋体" w:hAnsi="宋体" w:cs="宋体"/>
                <w:b/>
                <w:color w:val="auto"/>
              </w:rPr>
              <w:t>电子投标文件上传步骤：</w:t>
            </w:r>
          </w:p>
          <w:p w14:paraId="637BB285">
            <w:pPr>
              <w:pStyle w:val="7"/>
              <w:numPr>
                <w:ilvl w:val="0"/>
                <w:numId w:val="18"/>
              </w:numPr>
              <w:spacing w:line="440" w:lineRule="exact"/>
              <w:ind w:firstLineChars="0"/>
              <w:rPr>
                <w:rFonts w:ascii="宋体" w:hAnsi="宋体" w:cs="宋体"/>
                <w:color w:val="auto"/>
              </w:rPr>
            </w:pPr>
            <w:r>
              <w:rPr>
                <w:rFonts w:hint="eastAsia" w:ascii="宋体" w:hAnsi="宋体" w:cs="宋体"/>
                <w:color w:val="auto"/>
              </w:rPr>
              <w:t>登录三门县工程建设电子交易平台（网址：http://jyzx.sanmen.gov.cn）；</w:t>
            </w:r>
          </w:p>
          <w:p w14:paraId="1D1DC2D0">
            <w:pPr>
              <w:pStyle w:val="7"/>
              <w:numPr>
                <w:ilvl w:val="0"/>
                <w:numId w:val="18"/>
              </w:numPr>
              <w:spacing w:line="440" w:lineRule="exact"/>
              <w:ind w:firstLineChars="0"/>
              <w:rPr>
                <w:rFonts w:ascii="宋体" w:hAnsi="宋体" w:cs="宋体"/>
                <w:color w:val="auto"/>
              </w:rPr>
            </w:pPr>
            <w:r>
              <w:rPr>
                <w:rFonts w:hint="eastAsia" w:ascii="宋体" w:hAnsi="宋体" w:cs="宋体"/>
                <w:color w:val="auto"/>
              </w:rPr>
              <w:t>须先在电子交易系统中下载投标项目招标文件，后在 “我的待办”，选择投标项目，点击“上传标书（后缀名.已加密投标文件）” 并保存。</w:t>
            </w:r>
          </w:p>
          <w:p w14:paraId="6B4D3521">
            <w:pPr>
              <w:spacing w:line="440" w:lineRule="exact"/>
              <w:ind w:firstLine="480" w:firstLineChars="200"/>
              <w:rPr>
                <w:rFonts w:hint="eastAsia" w:ascii="宋体" w:hAnsi="宋体" w:eastAsia="宋体" w:cs="宋体"/>
                <w:szCs w:val="24"/>
              </w:rPr>
            </w:pPr>
            <w:r>
              <w:rPr>
                <w:rFonts w:hint="eastAsia" w:ascii="宋体" w:hAnsi="宋体" w:cs="宋体"/>
                <w:color w:val="auto"/>
              </w:rPr>
              <w:t>投标人应在投标截止时间前上传完成电子投标文件。</w:t>
            </w:r>
          </w:p>
        </w:tc>
      </w:tr>
      <w:tr w14:paraId="7A7B5DF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695B7F4B">
            <w:pPr>
              <w:pStyle w:val="59"/>
              <w:kinsoku w:val="0"/>
              <w:spacing w:line="440" w:lineRule="exact"/>
              <w:jc w:val="center"/>
              <w:rPr>
                <w:rFonts w:hint="eastAsia" w:ascii="宋体" w:hAnsi="宋体" w:eastAsia="宋体" w:cs="宋体"/>
                <w:szCs w:val="24"/>
              </w:rPr>
            </w:pPr>
            <w:r>
              <w:rPr>
                <w:rFonts w:hint="eastAsia" w:ascii="宋体" w:hAnsi="宋体" w:cs="宋体"/>
                <w:color w:val="auto"/>
              </w:rPr>
              <w:t>4.2.5</w:t>
            </w:r>
          </w:p>
        </w:tc>
        <w:tc>
          <w:tcPr>
            <w:tcW w:w="2079" w:type="dxa"/>
            <w:vAlign w:val="center"/>
          </w:tcPr>
          <w:p w14:paraId="762F4014">
            <w:pPr>
              <w:spacing w:line="440" w:lineRule="exact"/>
              <w:jc w:val="center"/>
              <w:rPr>
                <w:rFonts w:hint="eastAsia" w:ascii="宋体" w:hAnsi="宋体" w:eastAsia="宋体" w:cs="宋体"/>
                <w:spacing w:val="13"/>
                <w:position w:val="13"/>
                <w:szCs w:val="24"/>
              </w:rPr>
            </w:pPr>
            <w:r>
              <w:rPr>
                <w:rFonts w:hint="eastAsia" w:ascii="宋体" w:hAnsi="宋体" w:cs="宋体"/>
                <w:color w:val="auto"/>
              </w:rPr>
              <w:t>电子投标文件的拒收情形</w:t>
            </w:r>
          </w:p>
        </w:tc>
        <w:tc>
          <w:tcPr>
            <w:tcW w:w="7216" w:type="dxa"/>
            <w:vAlign w:val="center"/>
          </w:tcPr>
          <w:p w14:paraId="05298B36">
            <w:pPr>
              <w:numPr>
                <w:ilvl w:val="0"/>
                <w:numId w:val="19"/>
              </w:numPr>
              <w:spacing w:line="440" w:lineRule="exact"/>
              <w:rPr>
                <w:rFonts w:ascii="宋体" w:hAnsi="宋体" w:cs="宋体"/>
                <w:color w:val="auto"/>
              </w:rPr>
            </w:pPr>
            <w:r>
              <w:rPr>
                <w:rFonts w:hint="eastAsia" w:ascii="宋体" w:hAnsi="宋体" w:cs="宋体"/>
                <w:color w:val="auto"/>
              </w:rPr>
              <w:t>投标截止时间后送达（上传）的投标文件、未按招标文件要求上传的；</w:t>
            </w:r>
          </w:p>
          <w:p w14:paraId="33966D51">
            <w:pPr>
              <w:numPr>
                <w:ilvl w:val="0"/>
                <w:numId w:val="19"/>
              </w:numPr>
              <w:spacing w:line="440" w:lineRule="exact"/>
              <w:rPr>
                <w:rFonts w:ascii="宋体" w:hAnsi="宋体" w:cs="宋体"/>
                <w:color w:val="auto"/>
              </w:rPr>
            </w:pPr>
            <w:r>
              <w:rPr>
                <w:rFonts w:hint="eastAsia" w:ascii="宋体" w:hAnsi="宋体" w:cs="宋体"/>
                <w:color w:val="auto"/>
              </w:rPr>
              <w:t>投标人未按规定加密的投标文件，应当拒收。</w:t>
            </w:r>
          </w:p>
          <w:p w14:paraId="2F66EA3C">
            <w:pPr>
              <w:numPr>
                <w:ilvl w:val="0"/>
                <w:numId w:val="19"/>
              </w:numPr>
              <w:spacing w:line="440" w:lineRule="exact"/>
              <w:rPr>
                <w:rFonts w:ascii="宋体" w:hAnsi="宋体" w:cs="宋体"/>
                <w:color w:val="auto"/>
              </w:rPr>
            </w:pPr>
            <w:r>
              <w:rPr>
                <w:rFonts w:hint="eastAsia" w:ascii="宋体" w:hAnsi="宋体" w:cs="宋体"/>
                <w:color w:val="auto"/>
              </w:rPr>
              <w:t>存在下列情况之一的，视为拒收：</w:t>
            </w:r>
          </w:p>
          <w:p w14:paraId="01321720">
            <w:pPr>
              <w:pStyle w:val="57"/>
              <w:numPr>
                <w:ilvl w:val="0"/>
                <w:numId w:val="20"/>
              </w:numPr>
              <w:spacing w:line="440" w:lineRule="exact"/>
              <w:ind w:left="45"/>
              <w:rPr>
                <w:color w:val="auto"/>
              </w:rPr>
            </w:pPr>
            <w:r>
              <w:rPr>
                <w:rFonts w:hint="eastAsia"/>
                <w:color w:val="auto"/>
              </w:rPr>
              <w:t>电子投标文件无法解密的；</w:t>
            </w:r>
          </w:p>
          <w:p w14:paraId="0984322E">
            <w:pPr>
              <w:pStyle w:val="57"/>
              <w:numPr>
                <w:ilvl w:val="0"/>
                <w:numId w:val="20"/>
              </w:numPr>
              <w:spacing w:line="440" w:lineRule="exact"/>
              <w:ind w:left="45"/>
              <w:rPr>
                <w:color w:val="auto"/>
              </w:rPr>
            </w:pPr>
            <w:r>
              <w:rPr>
                <w:color w:val="auto"/>
              </w:rPr>
              <w:t>电子投标文件解密后无法正确读取的；</w:t>
            </w:r>
          </w:p>
          <w:p w14:paraId="603BE18F">
            <w:pPr>
              <w:pStyle w:val="57"/>
              <w:numPr>
                <w:ilvl w:val="0"/>
                <w:numId w:val="20"/>
              </w:numPr>
              <w:spacing w:line="440" w:lineRule="exact"/>
              <w:ind w:left="45"/>
              <w:rPr>
                <w:color w:val="auto"/>
              </w:rPr>
            </w:pPr>
            <w:r>
              <w:rPr>
                <w:color w:val="auto"/>
              </w:rPr>
              <w:t>电子投标文件无法导入成功的；</w:t>
            </w:r>
          </w:p>
          <w:p w14:paraId="4C6BEE8B">
            <w:pPr>
              <w:spacing w:line="440" w:lineRule="exact"/>
              <w:rPr>
                <w:rFonts w:hint="eastAsia" w:ascii="宋体" w:hAnsi="宋体" w:eastAsia="宋体" w:cs="宋体"/>
                <w:spacing w:val="20"/>
                <w:szCs w:val="24"/>
              </w:rPr>
            </w:pPr>
            <w:r>
              <w:rPr>
                <w:rFonts w:hint="eastAsia" w:ascii="宋体" w:hAnsi="宋体" w:cs="宋体"/>
                <w:color w:val="auto"/>
              </w:rPr>
              <w:t>5.其他：</w:t>
            </w:r>
            <w:r>
              <w:rPr>
                <w:rFonts w:hint="eastAsia" w:ascii="宋体" w:hAnsi="宋体" w:cs="宋体"/>
                <w:color w:val="auto"/>
                <w:u w:val="single"/>
              </w:rPr>
              <w:t xml:space="preserve">   /   </w:t>
            </w:r>
            <w:r>
              <w:rPr>
                <w:rFonts w:hint="eastAsia" w:ascii="宋体" w:hAnsi="宋体" w:cs="宋体"/>
                <w:color w:val="auto"/>
              </w:rPr>
              <w:t>。</w:t>
            </w:r>
          </w:p>
        </w:tc>
      </w:tr>
      <w:tr w14:paraId="348CD8A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872" w:type="dxa"/>
            <w:vAlign w:val="center"/>
          </w:tcPr>
          <w:p w14:paraId="2D3E6C5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hint="eastAsia" w:ascii="宋体" w:hAnsi="宋体" w:eastAsia="宋体" w:cs="宋体"/>
                <w:szCs w:val="24"/>
              </w:rPr>
            </w:pPr>
            <w:r>
              <w:rPr>
                <w:rFonts w:hint="eastAsia" w:ascii="宋体" w:hAnsi="宋体" w:eastAsia="宋体" w:cs="宋体"/>
                <w:szCs w:val="24"/>
              </w:rPr>
              <w:t>5.1</w:t>
            </w:r>
          </w:p>
        </w:tc>
        <w:tc>
          <w:tcPr>
            <w:tcW w:w="2079" w:type="dxa"/>
            <w:vAlign w:val="center"/>
          </w:tcPr>
          <w:p w14:paraId="4ED02F5C">
            <w:pPr>
              <w:bidi w:val="0"/>
              <w:jc w:val="center"/>
              <w:rPr>
                <w:rFonts w:hint="eastAsia" w:ascii="宋体" w:hAnsi="宋体" w:eastAsia="宋体" w:cs="宋体"/>
                <w:spacing w:val="13"/>
                <w:position w:val="13"/>
                <w:szCs w:val="24"/>
              </w:rPr>
            </w:pPr>
            <w:r>
              <w:rPr>
                <w:rFonts w:hint="eastAsia" w:ascii="宋体" w:hAnsi="宋体" w:eastAsia="宋体" w:cs="宋体"/>
              </w:rPr>
              <w:t>开标时间和地点</w:t>
            </w:r>
          </w:p>
        </w:tc>
        <w:tc>
          <w:tcPr>
            <w:tcW w:w="7216" w:type="dxa"/>
            <w:vAlign w:val="center"/>
          </w:tcPr>
          <w:p w14:paraId="0CE47C9A">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spacing w:val="13"/>
                <w:szCs w:val="24"/>
              </w:rPr>
              <w:t>详</w:t>
            </w:r>
            <w:r>
              <w:rPr>
                <w:rFonts w:hint="eastAsia" w:ascii="宋体" w:hAnsi="宋体" w:eastAsia="宋体" w:cs="宋体"/>
                <w:spacing w:val="8"/>
                <w:szCs w:val="24"/>
              </w:rPr>
              <w:t>见本工程招标公告</w:t>
            </w:r>
          </w:p>
        </w:tc>
      </w:tr>
      <w:tr w14:paraId="39BE9E4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1A60DEDB">
            <w:pPr>
              <w:keepNext w:val="0"/>
              <w:keepLines w:val="0"/>
              <w:pageBreakBefore w:val="0"/>
              <w:wordWrap/>
              <w:overflowPunct/>
              <w:topLinePunct w:val="0"/>
              <w:bidi w:val="0"/>
              <w:spacing w:line="440" w:lineRule="exact"/>
              <w:jc w:val="center"/>
              <w:rPr>
                <w:rFonts w:hint="eastAsia" w:ascii="宋体" w:hAnsi="宋体" w:eastAsia="宋体" w:cs="宋体"/>
                <w:spacing w:val="4"/>
                <w:szCs w:val="24"/>
              </w:rPr>
            </w:pPr>
          </w:p>
          <w:p w14:paraId="752799B0">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4"/>
                <w:szCs w:val="24"/>
              </w:rPr>
              <w:t>5</w:t>
            </w:r>
            <w:r>
              <w:rPr>
                <w:rFonts w:hint="eastAsia" w:ascii="宋体" w:hAnsi="宋体" w:eastAsia="宋体" w:cs="宋体"/>
                <w:spacing w:val="2"/>
                <w:szCs w:val="24"/>
              </w:rPr>
              <w:t>.2</w:t>
            </w:r>
          </w:p>
        </w:tc>
        <w:tc>
          <w:tcPr>
            <w:tcW w:w="2079" w:type="dxa"/>
            <w:vAlign w:val="center"/>
          </w:tcPr>
          <w:p w14:paraId="0B3FDC91">
            <w:pPr>
              <w:keepNext w:val="0"/>
              <w:keepLines w:val="0"/>
              <w:pageBreakBefore w:val="0"/>
              <w:wordWrap/>
              <w:overflowPunct/>
              <w:topLinePunct w:val="0"/>
              <w:bidi w:val="0"/>
              <w:spacing w:line="440" w:lineRule="exact"/>
              <w:ind w:left="113"/>
              <w:jc w:val="center"/>
              <w:rPr>
                <w:rFonts w:hint="eastAsia" w:ascii="宋体" w:hAnsi="宋体" w:eastAsia="宋体" w:cs="宋体"/>
                <w:spacing w:val="8"/>
                <w:szCs w:val="24"/>
              </w:rPr>
            </w:pPr>
          </w:p>
          <w:p w14:paraId="45AB7564">
            <w:pPr>
              <w:keepNext w:val="0"/>
              <w:keepLines w:val="0"/>
              <w:pageBreakBefore w:val="0"/>
              <w:wordWrap/>
              <w:overflowPunct/>
              <w:topLinePunct w:val="0"/>
              <w:bidi w:val="0"/>
              <w:spacing w:line="440" w:lineRule="exact"/>
              <w:ind w:left="113"/>
              <w:jc w:val="center"/>
              <w:rPr>
                <w:rFonts w:hint="eastAsia" w:ascii="宋体" w:hAnsi="宋体" w:eastAsia="宋体" w:cs="宋体"/>
                <w:spacing w:val="8"/>
                <w:position w:val="13"/>
                <w:szCs w:val="24"/>
              </w:rPr>
            </w:pPr>
            <w:r>
              <w:rPr>
                <w:rFonts w:hint="eastAsia" w:ascii="宋体" w:hAnsi="宋体" w:eastAsia="宋体" w:cs="宋体"/>
                <w:spacing w:val="8"/>
                <w:szCs w:val="24"/>
              </w:rPr>
              <w:t>开</w:t>
            </w:r>
            <w:r>
              <w:rPr>
                <w:rFonts w:hint="eastAsia" w:ascii="宋体" w:hAnsi="宋体" w:eastAsia="宋体" w:cs="宋体"/>
                <w:spacing w:val="7"/>
                <w:szCs w:val="24"/>
              </w:rPr>
              <w:t>标程序</w:t>
            </w:r>
          </w:p>
        </w:tc>
        <w:tc>
          <w:tcPr>
            <w:tcW w:w="7216" w:type="dxa"/>
            <w:vAlign w:val="center"/>
          </w:tcPr>
          <w:p w14:paraId="5DC34901">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szCs w:val="24"/>
              </w:rPr>
              <w:t>1、本项目采用不见面开标形式，所有投标人的法定代表人或委托代理人在开标当日(投标截止时间前)登录三门县公共资源交易不见面开标大厅并签到，</w:t>
            </w:r>
            <w:r>
              <w:rPr>
                <w:rFonts w:hint="eastAsia" w:ascii="宋体" w:hAnsi="宋体" w:eastAsia="宋体" w:cs="宋体"/>
                <w:b/>
                <w:bCs/>
                <w:szCs w:val="24"/>
              </w:rPr>
              <w:t>未完成签到的，将无法解密投标文件，并视为放弃投标</w:t>
            </w:r>
            <w:r>
              <w:rPr>
                <w:rFonts w:hint="eastAsia" w:ascii="宋体" w:hAnsi="宋体" w:eastAsia="宋体" w:cs="宋体"/>
                <w:szCs w:val="24"/>
              </w:rPr>
              <w:t>。不见面开标大厅系统登录：插入CA锁并登录交易系统—业务办理—开评标—进入不见面开标系统。</w:t>
            </w:r>
          </w:p>
          <w:p w14:paraId="27D496BD">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szCs w:val="24"/>
              </w:rPr>
              <w:t>2、招标代理开启不见面开标系统视频直播，开标全过程录像由三门县公共资源交易中心录制保存备查。</w:t>
            </w:r>
          </w:p>
          <w:p w14:paraId="21A78F4D">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szCs w:val="24"/>
              </w:rPr>
              <w:t>3、投标截止时间到达后，各投标人自行在不见面开标系统对电子投标文件进行解密，投标文件解密时间为40分钟(时间以招标人或招标代理机构确定“开始解密”时开始计算) ，逾期未解密的视为投标人放弃投标。</w:t>
            </w:r>
          </w:p>
          <w:p w14:paraId="3431511E">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szCs w:val="24"/>
              </w:rPr>
              <w:t>4、招标代理现场公布解密投标人投标文件情况。</w:t>
            </w:r>
          </w:p>
          <w:p w14:paraId="6301C510">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szCs w:val="24"/>
              </w:rPr>
              <w:t>5、评标委员会根据招标文件规定的程序及方法对投标文件进行评审。每个环节评审结果招标代理均在不见面开标大厅宣布。</w:t>
            </w:r>
          </w:p>
          <w:p w14:paraId="55F1D67F">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szCs w:val="24"/>
              </w:rPr>
              <w:t>6、各投标人的法定代表人或委托人代理人必须在开标、评标期间保持网络及电话畅通，若评标委员会要求投标人澄清或说明时，投标人在规定的时间(由评标委员会确定合理所需时间)以予澄清或说明，否则视为自动放弃；后果由该投标人自行承担。所有澄清或说明转换成PDF形式并签章后通过不见面开标系统传输。注：若有异常情况或疑问的，可通过不见面开标系统音视频交互跟开标人联系，或及时咨询品茗公司，技术服务电话：章宏涛，13968512856，也可加入 QQ“三门交易平台交流群”(群号：146117595)进行业务咨询。</w:t>
            </w:r>
          </w:p>
        </w:tc>
      </w:tr>
      <w:tr w14:paraId="25D0AAC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C38DA34">
            <w:pPr>
              <w:pStyle w:val="59"/>
              <w:kinsoku w:val="0"/>
              <w:spacing w:line="440" w:lineRule="exact"/>
              <w:ind w:left="103" w:leftChars="0" w:right="-5" w:rightChars="0"/>
              <w:jc w:val="center"/>
              <w:rPr>
                <w:rFonts w:hint="eastAsia" w:ascii="宋体" w:hAnsi="宋体" w:eastAsia="宋体" w:cs="宋体"/>
                <w:spacing w:val="4"/>
                <w:szCs w:val="24"/>
              </w:rPr>
            </w:pPr>
            <w:r>
              <w:rPr>
                <w:rFonts w:hint="eastAsia" w:ascii="宋体" w:hAnsi="宋体" w:cs="宋体"/>
              </w:rPr>
              <w:t>5.4</w:t>
            </w:r>
          </w:p>
        </w:tc>
        <w:tc>
          <w:tcPr>
            <w:tcW w:w="2079" w:type="dxa"/>
            <w:vAlign w:val="center"/>
          </w:tcPr>
          <w:p w14:paraId="6ABACC18">
            <w:pPr>
              <w:pStyle w:val="59"/>
              <w:kinsoku w:val="0"/>
              <w:spacing w:line="440" w:lineRule="exact"/>
              <w:ind w:right="1" w:rightChars="0"/>
              <w:jc w:val="center"/>
              <w:rPr>
                <w:rFonts w:hint="eastAsia" w:ascii="宋体" w:hAnsi="宋体" w:eastAsia="宋体" w:cs="宋体"/>
                <w:spacing w:val="8"/>
                <w:szCs w:val="24"/>
              </w:rPr>
            </w:pPr>
            <w:r>
              <w:rPr>
                <w:rFonts w:hint="eastAsia" w:ascii="宋体" w:hAnsi="宋体" w:cs="宋体"/>
              </w:rPr>
              <w:t>特殊情况处置</w:t>
            </w:r>
          </w:p>
        </w:tc>
        <w:tc>
          <w:tcPr>
            <w:tcW w:w="7216" w:type="dxa"/>
            <w:vAlign w:val="center"/>
          </w:tcPr>
          <w:p w14:paraId="750AA03A">
            <w:pPr>
              <w:pStyle w:val="57"/>
              <w:keepNext w:val="0"/>
              <w:keepLines w:val="0"/>
              <w:pageBreakBefore w:val="0"/>
              <w:widowControl w:val="0"/>
              <w:numPr>
                <w:ilvl w:val="0"/>
                <w:numId w:val="21"/>
              </w:numPr>
              <w:kinsoku/>
              <w:wordWrap/>
              <w:overflowPunct/>
              <w:topLinePunct w:val="0"/>
              <w:autoSpaceDE w:val="0"/>
              <w:autoSpaceDN w:val="0"/>
              <w:bidi w:val="0"/>
              <w:adjustRightInd w:val="0"/>
              <w:snapToGrid/>
              <w:spacing w:line="440" w:lineRule="exact"/>
              <w:ind w:left="224" w:leftChars="0" w:right="27" w:firstLine="16" w:firstLine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因网络、系统、电力等不可抗力因素投标截止时间延期的，需更新制作投标文件并按招标文件要求重新递交。</w:t>
            </w:r>
          </w:p>
          <w:p w14:paraId="669E7C5B">
            <w:pPr>
              <w:pStyle w:val="57"/>
              <w:keepNext w:val="0"/>
              <w:keepLines w:val="0"/>
              <w:pageBreakBefore w:val="0"/>
              <w:widowControl w:val="0"/>
              <w:numPr>
                <w:ilvl w:val="0"/>
                <w:numId w:val="0"/>
              </w:numPr>
              <w:kinsoku/>
              <w:wordWrap/>
              <w:overflowPunct/>
              <w:topLinePunct w:val="0"/>
              <w:autoSpaceDE w:val="0"/>
              <w:autoSpaceDN w:val="0"/>
              <w:bidi w:val="0"/>
              <w:adjustRightInd w:val="0"/>
              <w:snapToGrid/>
              <w:spacing w:line="440" w:lineRule="exact"/>
              <w:ind w:right="27" w:rightChars="0"/>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☑2.开标特别说明</w:t>
            </w:r>
          </w:p>
          <w:p w14:paraId="7179AF82">
            <w:pPr>
              <w:pStyle w:val="57"/>
              <w:keepNext w:val="0"/>
              <w:keepLines w:val="0"/>
              <w:pageBreakBefore w:val="0"/>
              <w:widowControl w:val="0"/>
              <w:kinsoku/>
              <w:wordWrap/>
              <w:overflowPunct/>
              <w:topLinePunct w:val="0"/>
              <w:autoSpaceDE w:val="0"/>
              <w:autoSpaceDN w:val="0"/>
              <w:bidi w:val="0"/>
              <w:adjustRightInd w:val="0"/>
              <w:snapToGrid/>
              <w:spacing w:line="440" w:lineRule="exact"/>
              <w:ind w:left="33" w:right="27" w:firstLine="12"/>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（1）因投标人原因造成其电子投标文件未解密的，视为撤销其投标文件；投标截止时间前未完成投标文件传输的，视为撤回投标文件；因投标人之外的原因造成电子投标文件未解密的，视为撤回其投标文件。</w:t>
            </w:r>
          </w:p>
          <w:p w14:paraId="685D11C2">
            <w:pPr>
              <w:pStyle w:val="57"/>
              <w:keepNext w:val="0"/>
              <w:keepLines w:val="0"/>
              <w:pageBreakBefore w:val="0"/>
              <w:widowControl w:val="0"/>
              <w:kinsoku/>
              <w:wordWrap/>
              <w:overflowPunct/>
              <w:topLinePunct w:val="0"/>
              <w:autoSpaceDE w:val="0"/>
              <w:autoSpaceDN w:val="0"/>
              <w:bidi w:val="0"/>
              <w:adjustRightInd w:val="0"/>
              <w:snapToGrid/>
              <w:spacing w:line="440" w:lineRule="exact"/>
              <w:ind w:left="36" w:right="27" w:firstLine="9"/>
              <w:textAlignment w:val="auto"/>
              <w:rPr>
                <w:rFonts w:hint="eastAsia" w:ascii="宋体" w:hAnsi="宋体" w:eastAsia="宋体" w:cs="宋体"/>
                <w:sz w:val="24"/>
                <w:szCs w:val="24"/>
                <w:lang w:val="en-US" w:eastAsia="zh-CN" w:bidi="ar-SA"/>
              </w:rPr>
            </w:pPr>
            <w:r>
              <w:rPr>
                <w:rFonts w:hint="eastAsia" w:ascii="宋体" w:hAnsi="宋体" w:eastAsia="宋体" w:cs="宋体"/>
                <w:sz w:val="24"/>
                <w:szCs w:val="24"/>
                <w:lang w:val="en-US" w:eastAsia="zh-CN" w:bidi="ar-SA"/>
              </w:rPr>
              <w:t>（2）投标人必须使用生成电子投标文件的CA数字证书解密电子投标文件。</w:t>
            </w:r>
          </w:p>
          <w:p w14:paraId="772F6137">
            <w:pPr>
              <w:keepNext w:val="0"/>
              <w:keepLines w:val="0"/>
              <w:pageBreakBefore w:val="0"/>
              <w:widowControl w:val="0"/>
              <w:numPr>
                <w:ilvl w:val="0"/>
                <w:numId w:val="22"/>
              </w:numPr>
              <w:kinsoku/>
              <w:wordWrap/>
              <w:overflowPunct/>
              <w:topLinePunct w:val="0"/>
              <w:autoSpaceDE w:val="0"/>
              <w:autoSpaceDN w:val="0"/>
              <w:bidi w:val="0"/>
              <w:adjustRightInd w:val="0"/>
              <w:snapToGrid/>
              <w:spacing w:line="440" w:lineRule="exact"/>
              <w:ind w:left="425" w:leftChars="0" w:hanging="425" w:firstLineChars="0"/>
              <w:textAlignment w:val="auto"/>
              <w:rPr>
                <w:rFonts w:hint="eastAsia" w:ascii="宋体" w:hAnsi="宋体" w:eastAsia="宋体" w:cs="宋体"/>
                <w:szCs w:val="24"/>
              </w:rPr>
            </w:pPr>
            <w:r>
              <w:rPr>
                <w:rFonts w:hint="eastAsia" w:ascii="宋体" w:hAnsi="宋体" w:eastAsia="宋体" w:cs="宋体"/>
                <w:sz w:val="24"/>
                <w:szCs w:val="24"/>
                <w:lang w:val="en-US" w:eastAsia="zh-CN" w:bidi="ar-SA"/>
              </w:rPr>
              <w:t>3.其他：</w:t>
            </w:r>
            <w:r>
              <w:rPr>
                <w:rFonts w:hint="eastAsia" w:ascii="宋体" w:hAnsi="宋体" w:eastAsia="宋体" w:cs="宋体"/>
                <w:sz w:val="24"/>
                <w:szCs w:val="24"/>
                <w:u w:val="single"/>
                <w:lang w:val="en-US" w:eastAsia="zh-CN" w:bidi="ar-SA"/>
              </w:rPr>
              <w:t xml:space="preserve"> /    </w:t>
            </w:r>
            <w:r>
              <w:rPr>
                <w:rFonts w:hint="eastAsia" w:ascii="宋体" w:hAnsi="宋体" w:eastAsia="宋体" w:cs="宋体"/>
                <w:sz w:val="24"/>
                <w:szCs w:val="24"/>
                <w:lang w:val="en-US" w:eastAsia="zh-CN" w:bidi="ar-SA"/>
              </w:rPr>
              <w:t>。</w:t>
            </w:r>
          </w:p>
        </w:tc>
      </w:tr>
      <w:tr w14:paraId="6D7FB8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48C1FFA">
            <w:pPr>
              <w:pStyle w:val="59"/>
              <w:kinsoku w:val="0"/>
              <w:spacing w:line="440" w:lineRule="exact"/>
              <w:ind w:left="367" w:leftChars="0"/>
              <w:jc w:val="center"/>
              <w:rPr>
                <w:rFonts w:hint="eastAsia" w:ascii="宋体" w:hAnsi="宋体" w:eastAsia="宋体" w:cs="宋体"/>
                <w:spacing w:val="7"/>
                <w:szCs w:val="24"/>
              </w:rPr>
            </w:pPr>
            <w:r>
              <w:rPr>
                <w:rFonts w:hint="eastAsia" w:ascii="宋体" w:hAnsi="宋体" w:cs="宋体"/>
                <w:color w:val="auto"/>
              </w:rPr>
              <w:t>6.1.1</w:t>
            </w:r>
          </w:p>
        </w:tc>
        <w:tc>
          <w:tcPr>
            <w:tcW w:w="2079" w:type="dxa"/>
            <w:vAlign w:val="center"/>
          </w:tcPr>
          <w:p w14:paraId="05881810">
            <w:pPr>
              <w:pStyle w:val="59"/>
              <w:kinsoku w:val="0"/>
              <w:spacing w:line="440" w:lineRule="exact"/>
              <w:jc w:val="center"/>
              <w:rPr>
                <w:rFonts w:hint="eastAsia" w:ascii="宋体" w:hAnsi="宋体" w:eastAsia="宋体" w:cs="宋体"/>
                <w:spacing w:val="8"/>
                <w:szCs w:val="24"/>
              </w:rPr>
            </w:pPr>
            <w:r>
              <w:rPr>
                <w:rFonts w:hint="eastAsia" w:ascii="宋体" w:hAnsi="宋体" w:cs="宋体"/>
                <w:color w:val="auto"/>
              </w:rPr>
              <w:t>评标委员会的组建</w:t>
            </w:r>
          </w:p>
        </w:tc>
        <w:tc>
          <w:tcPr>
            <w:tcW w:w="7216" w:type="dxa"/>
            <w:vAlign w:val="center"/>
          </w:tcPr>
          <w:p w14:paraId="493BF889">
            <w:pPr>
              <w:pStyle w:val="60"/>
              <w:kinsoku w:val="0"/>
              <w:spacing w:line="440" w:lineRule="exact"/>
              <w:jc w:val="both"/>
              <w:rPr>
                <w:rFonts w:hint="eastAsia" w:ascii="宋体" w:hAnsi="宋体" w:eastAsia="宋体" w:cs="宋体"/>
                <w:spacing w:val="7"/>
                <w:szCs w:val="24"/>
              </w:rPr>
            </w:pPr>
            <w:r>
              <w:rPr>
                <w:rFonts w:hint="eastAsia" w:cs="宋体"/>
                <w:color w:val="auto"/>
                <w:szCs w:val="24"/>
              </w:rPr>
              <w:t>评标委员会构成：</w:t>
            </w:r>
            <w:r>
              <w:rPr>
                <w:rFonts w:hint="eastAsia" w:cs="宋体"/>
                <w:color w:val="auto"/>
                <w:szCs w:val="24"/>
                <w:lang w:val="en-US"/>
              </w:rPr>
              <w:t>执行《浙江省综合性评标专家库管理办法实施细则》相关规定。</w:t>
            </w:r>
          </w:p>
        </w:tc>
      </w:tr>
      <w:tr w14:paraId="5B65FD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84D20F2">
            <w:pPr>
              <w:pStyle w:val="59"/>
              <w:kinsoku w:val="0"/>
              <w:spacing w:line="440" w:lineRule="exact"/>
              <w:jc w:val="center"/>
              <w:rPr>
                <w:rFonts w:hint="eastAsia" w:ascii="宋体" w:hAnsi="宋体" w:eastAsia="宋体" w:cs="宋体"/>
                <w:spacing w:val="7"/>
                <w:szCs w:val="24"/>
              </w:rPr>
            </w:pPr>
            <w:r>
              <w:rPr>
                <w:rFonts w:hint="eastAsia" w:ascii="宋体" w:hAnsi="宋体" w:cs="宋体"/>
                <w:color w:val="auto"/>
              </w:rPr>
              <w:t>6.3</w:t>
            </w:r>
          </w:p>
        </w:tc>
        <w:tc>
          <w:tcPr>
            <w:tcW w:w="2079" w:type="dxa"/>
            <w:vAlign w:val="center"/>
          </w:tcPr>
          <w:p w14:paraId="6FE6F3F6">
            <w:pPr>
              <w:pStyle w:val="59"/>
              <w:kinsoku w:val="0"/>
              <w:spacing w:line="440" w:lineRule="exact"/>
              <w:jc w:val="center"/>
              <w:rPr>
                <w:rFonts w:hint="eastAsia" w:ascii="宋体" w:hAnsi="宋体" w:eastAsia="宋体" w:cs="宋体"/>
                <w:spacing w:val="8"/>
                <w:szCs w:val="24"/>
              </w:rPr>
            </w:pPr>
            <w:r>
              <w:rPr>
                <w:rFonts w:hint="eastAsia" w:ascii="宋体" w:hAnsi="宋体" w:cs="宋体"/>
                <w:color w:val="auto"/>
              </w:rPr>
              <w:t>评标办法</w:t>
            </w:r>
          </w:p>
        </w:tc>
        <w:tc>
          <w:tcPr>
            <w:tcW w:w="7216" w:type="dxa"/>
            <w:vAlign w:val="center"/>
          </w:tcPr>
          <w:p w14:paraId="400AF4F4">
            <w:pPr>
              <w:pStyle w:val="59"/>
              <w:tabs>
                <w:tab w:val="left" w:pos="2309"/>
                <w:tab w:val="left" w:pos="2729"/>
                <w:tab w:val="left" w:pos="3826"/>
              </w:tabs>
              <w:kinsoku w:val="0"/>
              <w:spacing w:line="440" w:lineRule="exact"/>
              <w:jc w:val="both"/>
              <w:rPr>
                <w:rFonts w:ascii="宋体" w:hAnsi="宋体" w:cs="宋体"/>
                <w:color w:val="auto"/>
                <w:u w:val="single"/>
              </w:rPr>
            </w:pPr>
            <w:r>
              <w:rPr>
                <w:rFonts w:hint="eastAsia"/>
                <w:color w:val="auto"/>
              </w:rPr>
              <w:t>☑</w:t>
            </w:r>
            <w:r>
              <w:rPr>
                <w:rFonts w:ascii="Times New Roman" w:hAnsi="Times New Roman" w:eastAsia="Times New Roman"/>
                <w:color w:val="auto"/>
              </w:rPr>
              <w:t>1.</w:t>
            </w:r>
            <w:r>
              <w:rPr>
                <w:color w:val="auto"/>
              </w:rPr>
              <w:t>技术标打分制的综合评估法：</w:t>
            </w:r>
            <w:r>
              <w:rPr>
                <w:rFonts w:hint="eastAsia" w:ascii="宋体" w:hAnsi="宋体" w:cs="宋体"/>
                <w:color w:val="auto"/>
                <w:u w:val="single"/>
              </w:rPr>
              <w:t>资信标评分（</w:t>
            </w:r>
            <w:r>
              <w:rPr>
                <w:rFonts w:hint="eastAsia" w:ascii="宋体" w:hAnsi="宋体" w:eastAsia="宋体" w:cs="宋体"/>
                <w:color w:val="auto"/>
                <w:u w:val="single"/>
                <w:lang w:val="en-US" w:eastAsia="zh-CN"/>
              </w:rPr>
              <w:t>0</w:t>
            </w:r>
            <w:r>
              <w:rPr>
                <w:rFonts w:hint="eastAsia" w:ascii="宋体" w:hAnsi="宋体" w:cs="宋体"/>
                <w:color w:val="auto"/>
                <w:u w:val="single"/>
              </w:rPr>
              <w:t>分），</w:t>
            </w:r>
            <w:r>
              <w:rPr>
                <w:color w:val="auto"/>
                <w:u w:val="single"/>
              </w:rPr>
              <w:t>技术标</w:t>
            </w:r>
            <w:r>
              <w:rPr>
                <w:rFonts w:hint="eastAsia"/>
                <w:color w:val="auto"/>
                <w:u w:val="single"/>
              </w:rPr>
              <w:t>评分（</w:t>
            </w:r>
            <w:r>
              <w:rPr>
                <w:rFonts w:hint="eastAsia" w:ascii="宋体" w:hAnsi="宋体" w:cs="宋体"/>
                <w:color w:val="auto"/>
                <w:u w:val="single"/>
                <w:lang w:val="en-US" w:eastAsia="zh-CN"/>
              </w:rPr>
              <w:t>60</w:t>
            </w:r>
            <w:r>
              <w:rPr>
                <w:rFonts w:hint="eastAsia"/>
                <w:color w:val="auto"/>
                <w:u w:val="single"/>
              </w:rPr>
              <w:t>分），</w:t>
            </w:r>
            <w:r>
              <w:rPr>
                <w:rFonts w:hint="eastAsia" w:ascii="宋体" w:hAnsi="宋体" w:cs="宋体"/>
                <w:color w:val="auto"/>
                <w:u w:val="single"/>
              </w:rPr>
              <w:t>商务标评分（</w:t>
            </w:r>
            <w:r>
              <w:rPr>
                <w:rFonts w:hint="eastAsia" w:ascii="宋体" w:hAnsi="宋体" w:eastAsia="宋体" w:cs="宋体"/>
                <w:color w:val="auto"/>
                <w:u w:val="single"/>
                <w:lang w:val="en-US" w:eastAsia="zh-CN"/>
              </w:rPr>
              <w:t>40</w:t>
            </w:r>
            <w:r>
              <w:rPr>
                <w:rFonts w:hint="eastAsia" w:ascii="宋体" w:hAnsi="宋体" w:cs="宋体"/>
                <w:color w:val="auto"/>
                <w:u w:val="single"/>
              </w:rPr>
              <w:t>分）。</w:t>
            </w:r>
          </w:p>
          <w:p w14:paraId="5293B35F">
            <w:pPr>
              <w:pStyle w:val="59"/>
              <w:tabs>
                <w:tab w:val="left" w:pos="2309"/>
                <w:tab w:val="left" w:pos="2729"/>
                <w:tab w:val="left" w:pos="3826"/>
              </w:tabs>
              <w:kinsoku w:val="0"/>
              <w:spacing w:line="440" w:lineRule="exact"/>
              <w:jc w:val="both"/>
              <w:rPr>
                <w:color w:val="auto"/>
              </w:rPr>
            </w:pPr>
            <w:r>
              <w:rPr>
                <w:rFonts w:hint="eastAsia"/>
                <w:color w:val="auto"/>
              </w:rPr>
              <w:t>□</w:t>
            </w:r>
            <w:r>
              <w:rPr>
                <w:rFonts w:ascii="Times New Roman" w:hAnsi="Times New Roman" w:eastAsia="Times New Roman"/>
                <w:color w:val="auto"/>
              </w:rPr>
              <w:t>2.</w:t>
            </w:r>
            <w:r>
              <w:rPr>
                <w:color w:val="auto"/>
              </w:rPr>
              <w:t>技术标通过制的综合评估法：</w:t>
            </w:r>
            <w:r>
              <w:rPr>
                <w:rFonts w:hint="eastAsia"/>
                <w:color w:val="auto"/>
                <w:u w:val="single"/>
              </w:rPr>
              <w:t xml:space="preserve"> / </w:t>
            </w:r>
            <w:r>
              <w:rPr>
                <w:color w:val="auto"/>
              </w:rPr>
              <w:t>。</w:t>
            </w:r>
          </w:p>
          <w:p w14:paraId="6C644AB8">
            <w:pPr>
              <w:pStyle w:val="59"/>
              <w:tabs>
                <w:tab w:val="left" w:pos="2309"/>
                <w:tab w:val="left" w:pos="2729"/>
                <w:tab w:val="left" w:pos="3826"/>
              </w:tabs>
              <w:kinsoku w:val="0"/>
              <w:spacing w:line="440" w:lineRule="exact"/>
              <w:jc w:val="both"/>
              <w:rPr>
                <w:color w:val="auto"/>
              </w:rPr>
            </w:pPr>
            <w:r>
              <w:rPr>
                <w:rFonts w:hint="eastAsia"/>
                <w:color w:val="auto"/>
              </w:rPr>
              <w:t>□</w:t>
            </w:r>
            <w:r>
              <w:rPr>
                <w:rFonts w:ascii="Times New Roman" w:hAnsi="Times New Roman" w:eastAsia="Times New Roman"/>
                <w:color w:val="auto"/>
              </w:rPr>
              <w:t>3.</w:t>
            </w:r>
            <w:r>
              <w:rPr>
                <w:color w:val="auto"/>
              </w:rPr>
              <w:t>资信商务评估法 ：</w:t>
            </w:r>
            <w:r>
              <w:rPr>
                <w:rFonts w:hint="eastAsia"/>
                <w:color w:val="auto"/>
                <w:u w:val="single"/>
              </w:rPr>
              <w:t xml:space="preserve">  /  </w:t>
            </w:r>
            <w:r>
              <w:rPr>
                <w:color w:val="auto"/>
              </w:rPr>
              <w:t>。</w:t>
            </w:r>
          </w:p>
          <w:p w14:paraId="262F8F66">
            <w:pPr>
              <w:pStyle w:val="59"/>
              <w:tabs>
                <w:tab w:val="left" w:pos="2309"/>
                <w:tab w:val="left" w:pos="2729"/>
                <w:tab w:val="left" w:pos="3826"/>
              </w:tabs>
              <w:kinsoku w:val="0"/>
              <w:spacing w:line="440" w:lineRule="exact"/>
              <w:jc w:val="both"/>
              <w:rPr>
                <w:rFonts w:hint="eastAsia" w:ascii="宋体" w:hAnsi="宋体" w:eastAsia="宋体" w:cs="宋体"/>
                <w:spacing w:val="7"/>
                <w:szCs w:val="24"/>
              </w:rPr>
            </w:pPr>
            <w:r>
              <w:rPr>
                <w:rFonts w:ascii="Times New Roman" w:hAnsi="Times New Roman" w:eastAsia="Times New Roman"/>
                <w:color w:val="auto"/>
              </w:rPr>
              <w:t>4.</w:t>
            </w:r>
            <w:r>
              <w:rPr>
                <w:color w:val="auto"/>
              </w:rPr>
              <w:t>其他：</w:t>
            </w:r>
            <w:r>
              <w:rPr>
                <w:rFonts w:hint="eastAsia"/>
                <w:color w:val="auto"/>
                <w:u w:val="single"/>
              </w:rPr>
              <w:t xml:space="preserve">   /   </w:t>
            </w:r>
            <w:r>
              <w:rPr>
                <w:color w:val="auto"/>
              </w:rPr>
              <w:t>。</w:t>
            </w:r>
          </w:p>
        </w:tc>
      </w:tr>
      <w:tr w14:paraId="65F58CE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7DE16E3">
            <w:pPr>
              <w:pStyle w:val="59"/>
              <w:kinsoku w:val="0"/>
              <w:spacing w:line="440" w:lineRule="exact"/>
              <w:jc w:val="center"/>
              <w:rPr>
                <w:rFonts w:hint="eastAsia" w:ascii="宋体" w:hAnsi="宋体" w:eastAsia="宋体" w:cs="宋体"/>
                <w:spacing w:val="7"/>
                <w:szCs w:val="24"/>
              </w:rPr>
            </w:pPr>
            <w:r>
              <w:rPr>
                <w:rFonts w:hint="eastAsia" w:ascii="宋体" w:hAnsi="宋体" w:cs="宋体"/>
                <w:color w:val="auto"/>
              </w:rPr>
              <w:t>6.3.2</w:t>
            </w:r>
          </w:p>
        </w:tc>
        <w:tc>
          <w:tcPr>
            <w:tcW w:w="2079" w:type="dxa"/>
            <w:vAlign w:val="center"/>
          </w:tcPr>
          <w:p w14:paraId="40A3C80A">
            <w:pPr>
              <w:pStyle w:val="59"/>
              <w:kinsoku w:val="0"/>
              <w:spacing w:line="440" w:lineRule="exact"/>
              <w:jc w:val="center"/>
              <w:rPr>
                <w:rFonts w:hint="eastAsia" w:ascii="宋体" w:hAnsi="宋体" w:eastAsia="宋体" w:cs="宋体"/>
                <w:spacing w:val="8"/>
                <w:szCs w:val="24"/>
              </w:rPr>
            </w:pPr>
            <w:r>
              <w:rPr>
                <w:rFonts w:hint="eastAsia" w:ascii="宋体" w:hAnsi="宋体" w:cs="宋体"/>
                <w:color w:val="auto"/>
              </w:rPr>
              <w:t>评标委员会推荐中标候选人的人数</w:t>
            </w:r>
          </w:p>
        </w:tc>
        <w:tc>
          <w:tcPr>
            <w:tcW w:w="7216" w:type="dxa"/>
            <w:vAlign w:val="center"/>
          </w:tcPr>
          <w:p w14:paraId="429ABF5E">
            <w:pPr>
              <w:pStyle w:val="57"/>
              <w:spacing w:line="440" w:lineRule="exact"/>
              <w:rPr>
                <w:color w:val="auto"/>
              </w:rPr>
            </w:pPr>
            <w:r>
              <w:rPr>
                <w:rFonts w:hint="eastAsia"/>
                <w:color w:val="auto"/>
              </w:rPr>
              <w:t>☑</w:t>
            </w:r>
            <w:r>
              <w:rPr>
                <w:color w:val="auto"/>
              </w:rPr>
              <w:t>1.</w:t>
            </w:r>
            <w:r>
              <w:rPr>
                <w:rFonts w:hint="eastAsia"/>
                <w:color w:val="auto"/>
                <w:u w:val="single"/>
              </w:rPr>
              <w:t>推荐一名中标候选人</w:t>
            </w:r>
            <w:r>
              <w:rPr>
                <w:color w:val="auto"/>
              </w:rPr>
              <w:t>。</w:t>
            </w:r>
          </w:p>
          <w:p w14:paraId="2F7E9FC8">
            <w:pPr>
              <w:pStyle w:val="23"/>
              <w:spacing w:line="440" w:lineRule="exact"/>
              <w:rPr>
                <w:rFonts w:hint="eastAsia" w:ascii="宋体" w:hAnsi="宋体" w:eastAsia="宋体" w:cs="宋体"/>
                <w:spacing w:val="7"/>
                <w:szCs w:val="24"/>
              </w:rPr>
            </w:pPr>
            <w:r>
              <w:rPr>
                <w:rFonts w:hint="eastAsia" w:ascii="宋体" w:hAnsi="宋体" w:cs="宋体"/>
                <w:b w:val="0"/>
                <w:bCs/>
                <w:color w:val="auto"/>
                <w:szCs w:val="24"/>
              </w:rPr>
              <w:t>□2.评定分离：</w:t>
            </w:r>
            <w:r>
              <w:rPr>
                <w:rFonts w:hint="eastAsia" w:ascii="宋体" w:hAnsi="宋体" w:cs="宋体"/>
                <w:b w:val="0"/>
                <w:bCs/>
                <w:color w:val="auto"/>
                <w:sz w:val="25"/>
                <w:szCs w:val="25"/>
                <w:u w:val="single"/>
              </w:rPr>
              <w:t>不排序的方式向招标人推荐</w:t>
            </w:r>
            <w:r>
              <w:rPr>
                <w:rFonts w:hint="eastAsia" w:ascii="宋体" w:hAnsi="宋体" w:cs="宋体"/>
                <w:b w:val="0"/>
                <w:bCs/>
                <w:color w:val="auto"/>
                <w:szCs w:val="24"/>
                <w:u w:val="single"/>
              </w:rPr>
              <w:t xml:space="preserve">3-5 </w:t>
            </w:r>
            <w:r>
              <w:rPr>
                <w:rFonts w:hint="eastAsia" w:ascii="宋体" w:hAnsi="宋体" w:cs="宋体"/>
                <w:b w:val="0"/>
                <w:bCs/>
                <w:color w:val="auto"/>
                <w:sz w:val="25"/>
                <w:szCs w:val="25"/>
                <w:u w:val="single"/>
              </w:rPr>
              <w:t>名中</w:t>
            </w:r>
            <w:r>
              <w:rPr>
                <w:rFonts w:hint="eastAsia" w:ascii="宋体" w:hAnsi="宋体" w:cs="宋体"/>
                <w:b w:val="0"/>
                <w:bCs/>
                <w:color w:val="auto"/>
                <w:sz w:val="25"/>
                <w:szCs w:val="25"/>
              </w:rPr>
              <w:t>标</w:t>
            </w:r>
            <w:r>
              <w:rPr>
                <w:rFonts w:hint="eastAsia" w:ascii="宋体" w:hAnsi="宋体" w:cs="宋体"/>
                <w:b w:val="0"/>
                <w:bCs/>
                <w:color w:val="auto"/>
                <w:sz w:val="25"/>
                <w:szCs w:val="25"/>
                <w:u w:val="single"/>
              </w:rPr>
              <w:t>候选人（如有效投标人≤</w:t>
            </w:r>
            <w:r>
              <w:rPr>
                <w:rFonts w:hint="eastAsia" w:ascii="宋体" w:hAnsi="宋体" w:cs="宋体"/>
                <w:b w:val="0"/>
                <w:bCs/>
                <w:color w:val="auto"/>
                <w:szCs w:val="24"/>
                <w:u w:val="single"/>
              </w:rPr>
              <w:t>6</w:t>
            </w:r>
            <w:r>
              <w:rPr>
                <w:rFonts w:hint="eastAsia" w:ascii="宋体" w:hAnsi="宋体" w:cs="宋体"/>
                <w:b w:val="0"/>
                <w:bCs/>
                <w:color w:val="auto"/>
                <w:sz w:val="25"/>
                <w:szCs w:val="25"/>
                <w:u w:val="single"/>
              </w:rPr>
              <w:t>家的应推荐</w:t>
            </w:r>
            <w:r>
              <w:rPr>
                <w:rFonts w:hint="eastAsia" w:ascii="宋体" w:hAnsi="宋体" w:cs="宋体"/>
                <w:b w:val="0"/>
                <w:bCs/>
                <w:color w:val="auto"/>
                <w:szCs w:val="24"/>
                <w:u w:val="single"/>
              </w:rPr>
              <w:t>3</w:t>
            </w:r>
            <w:r>
              <w:rPr>
                <w:rFonts w:hint="eastAsia" w:ascii="宋体" w:hAnsi="宋体" w:cs="宋体"/>
                <w:b w:val="0"/>
                <w:bCs/>
                <w:color w:val="auto"/>
                <w:sz w:val="25"/>
                <w:szCs w:val="25"/>
                <w:u w:val="single"/>
              </w:rPr>
              <w:t>名，有效投标人</w:t>
            </w:r>
            <w:r>
              <w:rPr>
                <w:rFonts w:hint="eastAsia" w:ascii="宋体" w:hAnsi="宋体" w:cs="宋体"/>
                <w:b w:val="0"/>
                <w:bCs/>
                <w:color w:val="auto"/>
                <w:szCs w:val="24"/>
                <w:u w:val="single"/>
              </w:rPr>
              <w:t>7-9</w:t>
            </w:r>
            <w:r>
              <w:rPr>
                <w:rFonts w:hint="eastAsia" w:ascii="宋体" w:hAnsi="宋体" w:cs="宋体"/>
                <w:b w:val="0"/>
                <w:bCs/>
                <w:color w:val="auto"/>
                <w:sz w:val="25"/>
                <w:szCs w:val="25"/>
                <w:u w:val="single"/>
              </w:rPr>
              <w:t>家的应推荐</w:t>
            </w:r>
            <w:r>
              <w:rPr>
                <w:rFonts w:hint="eastAsia" w:ascii="宋体" w:hAnsi="宋体" w:cs="宋体"/>
                <w:b w:val="0"/>
                <w:bCs/>
                <w:color w:val="auto"/>
                <w:szCs w:val="24"/>
                <w:u w:val="single"/>
              </w:rPr>
              <w:t>3-4</w:t>
            </w:r>
            <w:r>
              <w:rPr>
                <w:rFonts w:hint="eastAsia" w:ascii="宋体" w:hAnsi="宋体" w:cs="宋体"/>
                <w:b w:val="0"/>
                <w:bCs/>
                <w:color w:val="auto"/>
                <w:sz w:val="25"/>
                <w:szCs w:val="25"/>
                <w:u w:val="single"/>
              </w:rPr>
              <w:t>名）</w:t>
            </w:r>
            <w:r>
              <w:rPr>
                <w:rFonts w:hint="eastAsia" w:ascii="宋体" w:hAnsi="宋体" w:cs="宋体"/>
                <w:b w:val="0"/>
                <w:bCs/>
                <w:color w:val="auto"/>
                <w:sz w:val="25"/>
                <w:szCs w:val="25"/>
              </w:rPr>
              <w:t>。</w:t>
            </w:r>
          </w:p>
        </w:tc>
      </w:tr>
      <w:tr w14:paraId="6A765C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28289B8">
            <w:pPr>
              <w:pStyle w:val="59"/>
              <w:kinsoku w:val="0"/>
              <w:spacing w:line="440" w:lineRule="exact"/>
              <w:ind w:left="2" w:leftChars="0"/>
              <w:jc w:val="center"/>
              <w:rPr>
                <w:rFonts w:hint="eastAsia" w:ascii="宋体" w:hAnsi="宋体" w:eastAsia="宋体" w:cs="宋体"/>
                <w:spacing w:val="7"/>
                <w:szCs w:val="24"/>
              </w:rPr>
            </w:pPr>
            <w:r>
              <w:rPr>
                <w:rFonts w:hint="eastAsia" w:ascii="宋体" w:hAnsi="宋体" w:cs="宋体"/>
                <w:color w:val="auto"/>
              </w:rPr>
              <w:t>7.1.1</w:t>
            </w:r>
          </w:p>
        </w:tc>
        <w:tc>
          <w:tcPr>
            <w:tcW w:w="2079" w:type="dxa"/>
            <w:vAlign w:val="center"/>
          </w:tcPr>
          <w:p w14:paraId="25EA9CE9">
            <w:pPr>
              <w:pStyle w:val="59"/>
              <w:kinsoku w:val="0"/>
              <w:spacing w:line="440" w:lineRule="exact"/>
              <w:jc w:val="center"/>
              <w:rPr>
                <w:rFonts w:hint="eastAsia" w:ascii="宋体" w:hAnsi="宋体" w:eastAsia="宋体" w:cs="宋体"/>
                <w:spacing w:val="8"/>
                <w:szCs w:val="24"/>
              </w:rPr>
            </w:pPr>
            <w:r>
              <w:rPr>
                <w:rFonts w:hint="eastAsia" w:ascii="宋体" w:hAnsi="宋体" w:cs="宋体"/>
                <w:color w:val="auto"/>
              </w:rPr>
              <w:t>中标候选人公示媒介及期限</w:t>
            </w:r>
          </w:p>
        </w:tc>
        <w:tc>
          <w:tcPr>
            <w:tcW w:w="7216" w:type="dxa"/>
            <w:vAlign w:val="center"/>
          </w:tcPr>
          <w:p w14:paraId="1A1A3A20">
            <w:pPr>
              <w:widowControl/>
              <w:autoSpaceDE/>
              <w:autoSpaceDN/>
              <w:adjustRightInd/>
              <w:spacing w:line="440" w:lineRule="exact"/>
              <w:rPr>
                <w:rFonts w:ascii="宋体" w:hAnsi="宋体" w:cs="宋体"/>
                <w:color w:val="auto"/>
              </w:rPr>
            </w:pPr>
            <w:r>
              <w:rPr>
                <w:rFonts w:hint="eastAsia" w:ascii="宋体" w:hAnsi="宋体" w:cs="宋体"/>
                <w:color w:val="auto"/>
              </w:rPr>
              <w:t>公示媒介：三门县公共资源交易网（网址：http://www.sanmen.gov.cn/col/col1229610743/index.html）和浙江省公共资源交易服务平台</w:t>
            </w:r>
            <w:r>
              <w:rPr>
                <w:rFonts w:hint="eastAsia" w:ascii="宋体" w:hAnsi="宋体" w:cs="宋体"/>
                <w:color w:val="auto"/>
                <w:u w:val="single"/>
              </w:rPr>
              <w:t>https://ggzy.zj.gov.cn</w:t>
            </w:r>
            <w:r>
              <w:rPr>
                <w:rFonts w:hint="eastAsia" w:ascii="宋体" w:hAnsi="宋体" w:cs="宋体"/>
                <w:color w:val="auto"/>
              </w:rPr>
              <w:t>上发布。</w:t>
            </w:r>
          </w:p>
          <w:p w14:paraId="26A3DB43">
            <w:pPr>
              <w:pStyle w:val="59"/>
              <w:tabs>
                <w:tab w:val="left" w:pos="2100"/>
              </w:tabs>
              <w:kinsoku w:val="0"/>
              <w:spacing w:line="440" w:lineRule="exact"/>
              <w:jc w:val="both"/>
              <w:rPr>
                <w:rFonts w:hint="eastAsia" w:ascii="宋体" w:hAnsi="宋体" w:eastAsia="宋体" w:cs="宋体"/>
                <w:spacing w:val="7"/>
                <w:szCs w:val="24"/>
              </w:rPr>
            </w:pPr>
            <w:r>
              <w:rPr>
                <w:rFonts w:hint="eastAsia" w:ascii="宋体" w:hAnsi="宋体" w:cs="宋体"/>
                <w:color w:val="auto"/>
              </w:rPr>
              <w:t>公示期限：不少于3日。如遇国家法定休假日，应顺延至法定休假日后第一个工作日。</w:t>
            </w:r>
          </w:p>
        </w:tc>
      </w:tr>
      <w:tr w14:paraId="4BBB0C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8A2E0B0">
            <w:pPr>
              <w:pStyle w:val="59"/>
              <w:kinsoku w:val="0"/>
              <w:spacing w:line="440" w:lineRule="exact"/>
              <w:ind w:left="2" w:leftChars="0"/>
              <w:jc w:val="center"/>
              <w:rPr>
                <w:rFonts w:hint="eastAsia" w:ascii="宋体" w:hAnsi="宋体" w:eastAsia="宋体" w:cs="宋体"/>
                <w:spacing w:val="7"/>
                <w:szCs w:val="24"/>
              </w:rPr>
            </w:pPr>
            <w:r>
              <w:rPr>
                <w:rFonts w:hint="eastAsia" w:ascii="宋体" w:hAnsi="宋体" w:cs="宋体"/>
                <w:color w:val="auto"/>
              </w:rPr>
              <w:t>7.1.2</w:t>
            </w:r>
          </w:p>
        </w:tc>
        <w:tc>
          <w:tcPr>
            <w:tcW w:w="2079" w:type="dxa"/>
            <w:vAlign w:val="center"/>
          </w:tcPr>
          <w:p w14:paraId="2906875C">
            <w:pPr>
              <w:pStyle w:val="59"/>
              <w:kinsoku w:val="0"/>
              <w:spacing w:line="440" w:lineRule="exact"/>
              <w:jc w:val="center"/>
              <w:rPr>
                <w:rFonts w:hint="eastAsia" w:ascii="宋体" w:hAnsi="宋体" w:eastAsia="宋体" w:cs="宋体"/>
                <w:spacing w:val="8"/>
                <w:szCs w:val="24"/>
              </w:rPr>
            </w:pPr>
            <w:r>
              <w:rPr>
                <w:rFonts w:hint="eastAsia" w:ascii="宋体" w:hAnsi="宋体" w:cs="宋体"/>
                <w:color w:val="auto"/>
              </w:rPr>
              <w:t>中标候选人公示的其他内容</w:t>
            </w:r>
          </w:p>
        </w:tc>
        <w:tc>
          <w:tcPr>
            <w:tcW w:w="7216" w:type="dxa"/>
            <w:vAlign w:val="center"/>
          </w:tcPr>
          <w:p w14:paraId="62B77E2F">
            <w:pPr>
              <w:pStyle w:val="59"/>
              <w:tabs>
                <w:tab w:val="left" w:pos="2100"/>
              </w:tabs>
              <w:kinsoku w:val="0"/>
              <w:spacing w:line="440" w:lineRule="exact"/>
              <w:jc w:val="both"/>
              <w:rPr>
                <w:rFonts w:hint="eastAsia" w:ascii="宋体" w:hAnsi="宋体" w:eastAsia="宋体" w:cs="宋体"/>
                <w:spacing w:val="7"/>
                <w:szCs w:val="24"/>
              </w:rPr>
            </w:pPr>
            <w:r>
              <w:rPr>
                <w:rFonts w:hint="eastAsia" w:ascii="宋体" w:hAnsi="宋体" w:cs="宋体"/>
                <w:b/>
                <w:color w:val="auto"/>
              </w:rPr>
              <w:t>被否决的投标及否决原因。公布各评标专家（名字不予公布，以评标专家一、二等对应）针对各投标人技术标、商务标内容的总分情况。</w:t>
            </w:r>
          </w:p>
        </w:tc>
      </w:tr>
      <w:tr w14:paraId="129B12C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756EC048">
            <w:pPr>
              <w:pStyle w:val="59"/>
              <w:kinsoku w:val="0"/>
              <w:spacing w:line="440" w:lineRule="exact"/>
              <w:ind w:left="2" w:leftChars="0"/>
              <w:jc w:val="center"/>
              <w:rPr>
                <w:rFonts w:hint="eastAsia" w:ascii="宋体" w:hAnsi="宋体" w:eastAsia="宋体" w:cs="宋体"/>
                <w:spacing w:val="7"/>
                <w:szCs w:val="24"/>
              </w:rPr>
            </w:pPr>
            <w:r>
              <w:rPr>
                <w:rFonts w:hint="eastAsia" w:ascii="宋体" w:hAnsi="宋体" w:cs="宋体"/>
                <w:color w:val="auto"/>
              </w:rPr>
              <w:t>7.2</w:t>
            </w:r>
          </w:p>
        </w:tc>
        <w:tc>
          <w:tcPr>
            <w:tcW w:w="2079" w:type="dxa"/>
            <w:vAlign w:val="center"/>
          </w:tcPr>
          <w:p w14:paraId="7CC6A05C">
            <w:pPr>
              <w:pStyle w:val="57"/>
              <w:spacing w:line="440" w:lineRule="exact"/>
              <w:ind w:left="289" w:leftChars="0"/>
              <w:jc w:val="center"/>
              <w:rPr>
                <w:rFonts w:hint="eastAsia" w:ascii="宋体" w:hAnsi="宋体" w:eastAsia="宋体" w:cs="宋体"/>
                <w:spacing w:val="8"/>
                <w:szCs w:val="24"/>
              </w:rPr>
            </w:pPr>
            <w:r>
              <w:rPr>
                <w:color w:val="auto"/>
              </w:rPr>
              <w:t>确定中标人</w:t>
            </w:r>
          </w:p>
        </w:tc>
        <w:tc>
          <w:tcPr>
            <w:tcW w:w="7216" w:type="dxa"/>
            <w:vAlign w:val="top"/>
          </w:tcPr>
          <w:p w14:paraId="2C1FCA39">
            <w:pPr>
              <w:pStyle w:val="57"/>
              <w:spacing w:line="440" w:lineRule="exact"/>
              <w:ind w:left="58"/>
              <w:rPr>
                <w:color w:val="auto"/>
              </w:rPr>
            </w:pPr>
            <w:r>
              <w:rPr>
                <w:rFonts w:hint="eastAsia"/>
                <w:color w:val="auto"/>
              </w:rPr>
              <w:t>□</w:t>
            </w:r>
            <w:r>
              <w:rPr>
                <w:color w:val="auto"/>
              </w:rPr>
              <w:t>授权评标委员会确定中标人。</w:t>
            </w:r>
          </w:p>
          <w:p w14:paraId="68EB7DBA">
            <w:pPr>
              <w:pStyle w:val="57"/>
              <w:spacing w:line="440" w:lineRule="exact"/>
              <w:ind w:left="58"/>
              <w:rPr>
                <w:color w:val="auto"/>
              </w:rPr>
            </w:pPr>
            <w:r>
              <w:rPr>
                <w:rFonts w:hint="eastAsia"/>
                <w:color w:val="auto"/>
              </w:rPr>
              <w:t>☑</w:t>
            </w:r>
            <w:r>
              <w:rPr>
                <w:color w:val="auto"/>
              </w:rPr>
              <w:t>根据评标委员会推荐，由招标人确定中标人。</w:t>
            </w:r>
          </w:p>
          <w:p w14:paraId="0507D173">
            <w:pPr>
              <w:pStyle w:val="57"/>
              <w:spacing w:line="440" w:lineRule="exact"/>
              <w:ind w:left="64" w:right="84" w:hanging="6"/>
              <w:rPr>
                <w:color w:val="auto"/>
              </w:rPr>
            </w:pPr>
            <w:r>
              <w:rPr>
                <w:color w:val="auto"/>
              </w:rPr>
              <w:t>□评定分离，根据评标委员会推荐，另行组织定标会议，由定标委员会确定中标人。</w:t>
            </w:r>
          </w:p>
          <w:p w14:paraId="7B5FFD3A">
            <w:pPr>
              <w:pStyle w:val="57"/>
              <w:spacing w:line="440" w:lineRule="exact"/>
              <w:ind w:left="58" w:leftChars="0"/>
              <w:rPr>
                <w:rFonts w:hint="eastAsia" w:ascii="宋体" w:hAnsi="宋体" w:eastAsia="宋体" w:cs="宋体"/>
                <w:spacing w:val="7"/>
                <w:szCs w:val="24"/>
              </w:rPr>
            </w:pPr>
            <w:r>
              <w:rPr>
                <w:rFonts w:hint="eastAsia"/>
                <w:color w:val="auto"/>
              </w:rPr>
              <w:t>□</w:t>
            </w:r>
            <w:r>
              <w:rPr>
                <w:color w:val="auto"/>
              </w:rPr>
              <w:t>其他：</w:t>
            </w:r>
            <w:r>
              <w:rPr>
                <w:rFonts w:hint="eastAsia"/>
                <w:color w:val="auto"/>
                <w:u w:val="single"/>
              </w:rPr>
              <w:t xml:space="preserve"> /  </w:t>
            </w:r>
            <w:r>
              <w:rPr>
                <w:rFonts w:hint="eastAsia"/>
                <w:color w:val="auto"/>
              </w:rPr>
              <w:t xml:space="preserve"> </w:t>
            </w:r>
            <w:r>
              <w:rPr>
                <w:color w:val="auto"/>
              </w:rPr>
              <w:t>。</w:t>
            </w:r>
          </w:p>
        </w:tc>
      </w:tr>
      <w:tr w14:paraId="6C7B4F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8E6A3C3">
            <w:pPr>
              <w:keepNext w:val="0"/>
              <w:keepLines w:val="0"/>
              <w:pageBreakBefore w:val="0"/>
              <w:wordWrap/>
              <w:overflowPunct/>
              <w:topLinePunct w:val="0"/>
              <w:bidi w:val="0"/>
              <w:spacing w:line="440" w:lineRule="exact"/>
              <w:jc w:val="center"/>
              <w:rPr>
                <w:rFonts w:hint="eastAsia" w:ascii="宋体" w:hAnsi="宋体" w:eastAsia="宋体" w:cs="宋体"/>
                <w:spacing w:val="6"/>
                <w:szCs w:val="24"/>
              </w:rPr>
            </w:pPr>
            <w:r>
              <w:rPr>
                <w:rFonts w:hint="eastAsia" w:ascii="宋体" w:hAnsi="宋体" w:eastAsia="宋体" w:cs="宋体"/>
                <w:spacing w:val="6"/>
                <w:szCs w:val="24"/>
              </w:rPr>
              <w:t>7.2.9</w:t>
            </w:r>
          </w:p>
        </w:tc>
        <w:tc>
          <w:tcPr>
            <w:tcW w:w="2079" w:type="dxa"/>
            <w:vAlign w:val="center"/>
          </w:tcPr>
          <w:p w14:paraId="3E7F1E57">
            <w:pPr>
              <w:keepNext w:val="0"/>
              <w:keepLines w:val="0"/>
              <w:pageBreakBefore w:val="0"/>
              <w:wordWrap/>
              <w:overflowPunct/>
              <w:topLinePunct w:val="0"/>
              <w:bidi w:val="0"/>
              <w:spacing w:line="440" w:lineRule="exact"/>
              <w:jc w:val="center"/>
              <w:rPr>
                <w:rFonts w:hint="eastAsia" w:ascii="宋体" w:hAnsi="宋体" w:eastAsia="宋体" w:cs="宋体"/>
                <w:spacing w:val="6"/>
                <w:szCs w:val="24"/>
              </w:rPr>
            </w:pPr>
            <w:r>
              <w:rPr>
                <w:rFonts w:hint="eastAsia" w:ascii="宋体" w:hAnsi="宋体" w:eastAsia="宋体" w:cs="宋体"/>
                <w:spacing w:val="6"/>
                <w:szCs w:val="24"/>
                <w:lang w:eastAsia="zh-CN"/>
              </w:rPr>
              <w:t>中标公告媒介及期限</w:t>
            </w:r>
          </w:p>
        </w:tc>
        <w:tc>
          <w:tcPr>
            <w:tcW w:w="7216" w:type="dxa"/>
            <w:vAlign w:val="top"/>
          </w:tcPr>
          <w:p w14:paraId="4A4ED627">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rPr>
            </w:pPr>
            <w:r>
              <w:rPr>
                <w:rFonts w:hint="eastAsia" w:ascii="宋体" w:hAnsi="宋体" w:eastAsia="宋体" w:cs="宋体"/>
              </w:rPr>
              <w:t>公告媒介：三门县公共资源交易网（网址：http://www.sanmen.gov.cn/col/col1229610743/index.html）和浙江省公共资源交易服务平台https://ggzy.zj.gov.cn上发布。</w:t>
            </w:r>
          </w:p>
          <w:p w14:paraId="2F7B6CE2">
            <w:pPr>
              <w:keepNext w:val="0"/>
              <w:keepLines w:val="0"/>
              <w:pageBreakBefore w:val="0"/>
              <w:widowControl/>
              <w:kinsoku/>
              <w:wordWrap/>
              <w:overflowPunct/>
              <w:topLinePunct w:val="0"/>
              <w:autoSpaceDE/>
              <w:autoSpaceDN/>
              <w:bidi w:val="0"/>
              <w:adjustRightInd/>
              <w:snapToGrid/>
              <w:spacing w:line="440" w:lineRule="exact"/>
              <w:textAlignment w:val="auto"/>
              <w:rPr>
                <w:rFonts w:hint="eastAsia" w:ascii="宋体" w:hAnsi="宋体" w:eastAsia="宋体" w:cs="宋体"/>
                <w:spacing w:val="7"/>
                <w:szCs w:val="24"/>
              </w:rPr>
            </w:pPr>
            <w:r>
              <w:rPr>
                <w:rFonts w:hint="eastAsia" w:ascii="宋体" w:hAnsi="宋体" w:eastAsia="宋体" w:cs="宋体"/>
              </w:rPr>
              <w:t>公告期限：不少于3日。如遇国家法定休假日，应顺延至法定休假日后第一个工作日。</w:t>
            </w:r>
          </w:p>
        </w:tc>
      </w:tr>
      <w:tr w14:paraId="5BB062A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B1476D2">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7"/>
                <w:szCs w:val="24"/>
              </w:rPr>
              <w:t>7</w:t>
            </w:r>
            <w:r>
              <w:rPr>
                <w:rFonts w:hint="eastAsia" w:ascii="宋体" w:hAnsi="宋体" w:eastAsia="宋体" w:cs="宋体"/>
                <w:spacing w:val="6"/>
                <w:szCs w:val="24"/>
              </w:rPr>
              <w:t>.3.1</w:t>
            </w:r>
          </w:p>
        </w:tc>
        <w:tc>
          <w:tcPr>
            <w:tcW w:w="2079" w:type="dxa"/>
            <w:vAlign w:val="center"/>
          </w:tcPr>
          <w:p w14:paraId="7770841B">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8"/>
                <w:szCs w:val="24"/>
              </w:rPr>
              <w:t>履</w:t>
            </w:r>
            <w:r>
              <w:rPr>
                <w:rFonts w:hint="eastAsia" w:ascii="宋体" w:hAnsi="宋体" w:eastAsia="宋体" w:cs="宋体"/>
                <w:spacing w:val="6"/>
                <w:szCs w:val="24"/>
              </w:rPr>
              <w:t>约担保</w:t>
            </w:r>
          </w:p>
        </w:tc>
        <w:tc>
          <w:tcPr>
            <w:tcW w:w="7216" w:type="dxa"/>
            <w:vAlign w:val="center"/>
          </w:tcPr>
          <w:p w14:paraId="3288E9AF">
            <w:pPr>
              <w:keepNext w:val="0"/>
              <w:keepLines w:val="0"/>
              <w:pageBreakBefore w:val="0"/>
              <w:numPr>
                <w:ilvl w:val="0"/>
                <w:numId w:val="23"/>
              </w:numPr>
              <w:wordWrap/>
              <w:overflowPunct/>
              <w:topLinePunct w:val="0"/>
              <w:bidi w:val="0"/>
              <w:spacing w:line="440" w:lineRule="exact"/>
              <w:ind w:right="107"/>
              <w:rPr>
                <w:rFonts w:hint="eastAsia" w:ascii="宋体" w:hAnsi="宋体" w:eastAsia="宋体" w:cs="宋体"/>
                <w:spacing w:val="5"/>
                <w:szCs w:val="24"/>
              </w:rPr>
            </w:pPr>
            <w:r>
              <w:rPr>
                <w:rFonts w:hint="eastAsia" w:ascii="宋体" w:hAnsi="宋体" w:eastAsia="宋体" w:cs="宋体"/>
                <w:spacing w:val="10"/>
                <w:szCs w:val="24"/>
              </w:rPr>
              <w:t>工程履约担保采用现金或工程保函(仅指银行保函、保险机构</w:t>
            </w:r>
            <w:r>
              <w:rPr>
                <w:rFonts w:hint="eastAsia" w:ascii="宋体" w:hAnsi="宋体" w:eastAsia="宋体" w:cs="宋体"/>
                <w:szCs w:val="24"/>
              </w:rPr>
              <w:t xml:space="preserve"> </w:t>
            </w:r>
            <w:r>
              <w:rPr>
                <w:rFonts w:hint="eastAsia" w:ascii="宋体" w:hAnsi="宋体" w:eastAsia="宋体" w:cs="宋体"/>
                <w:spacing w:val="12"/>
                <w:szCs w:val="24"/>
              </w:rPr>
              <w:t>保证保</w:t>
            </w:r>
            <w:r>
              <w:rPr>
                <w:rFonts w:hint="eastAsia" w:ascii="宋体" w:hAnsi="宋体" w:eastAsia="宋体" w:cs="宋体"/>
                <w:spacing w:val="10"/>
                <w:szCs w:val="24"/>
              </w:rPr>
              <w:t>险</w:t>
            </w:r>
            <w:r>
              <w:rPr>
                <w:rFonts w:hint="eastAsia" w:ascii="宋体" w:hAnsi="宋体" w:eastAsia="宋体" w:cs="宋体"/>
                <w:spacing w:val="6"/>
                <w:szCs w:val="24"/>
              </w:rPr>
              <w:t>保单)。如采用现金的，中标人必须通过其基本账户转</w:t>
            </w:r>
            <w:r>
              <w:rPr>
                <w:rFonts w:hint="eastAsia" w:ascii="宋体" w:hAnsi="宋体" w:eastAsia="宋体" w:cs="宋体"/>
                <w:spacing w:val="8"/>
                <w:szCs w:val="24"/>
              </w:rPr>
              <w:t>出的转帐、电汇或银行汇票方式解入招标人指定帐户</w:t>
            </w:r>
            <w:r>
              <w:rPr>
                <w:rFonts w:hint="eastAsia" w:ascii="宋体" w:hAnsi="宋体" w:eastAsia="宋体" w:cs="宋体"/>
                <w:spacing w:val="5"/>
                <w:szCs w:val="24"/>
              </w:rPr>
              <w:t>。</w:t>
            </w:r>
          </w:p>
          <w:p w14:paraId="4979AB60">
            <w:pPr>
              <w:keepNext w:val="0"/>
              <w:keepLines w:val="0"/>
              <w:pageBreakBefore w:val="0"/>
              <w:wordWrap/>
              <w:overflowPunct/>
              <w:topLinePunct w:val="0"/>
              <w:bidi w:val="0"/>
              <w:spacing w:line="440" w:lineRule="exact"/>
              <w:ind w:right="107"/>
              <w:rPr>
                <w:rFonts w:hint="eastAsia" w:ascii="宋体" w:hAnsi="宋体" w:eastAsia="宋体" w:cs="宋体"/>
                <w:spacing w:val="4"/>
                <w:szCs w:val="24"/>
              </w:rPr>
            </w:pPr>
            <w:r>
              <w:rPr>
                <w:rFonts w:hint="eastAsia" w:ascii="宋体" w:hAnsi="宋体" w:eastAsia="宋体" w:cs="宋体"/>
                <w:spacing w:val="7"/>
                <w:szCs w:val="24"/>
              </w:rPr>
              <w:t>2、履约担保金额为合同总价的2%</w:t>
            </w:r>
            <w:r>
              <w:rPr>
                <w:rFonts w:hint="eastAsia" w:ascii="宋体" w:hAnsi="宋体" w:eastAsia="宋体" w:cs="宋体"/>
                <w:spacing w:val="4"/>
                <w:szCs w:val="24"/>
              </w:rPr>
              <w:t>。</w:t>
            </w:r>
          </w:p>
        </w:tc>
      </w:tr>
      <w:tr w14:paraId="46D4210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18C6A121">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5"/>
                <w:szCs w:val="24"/>
              </w:rPr>
              <w:t>1</w:t>
            </w:r>
            <w:r>
              <w:rPr>
                <w:rFonts w:hint="eastAsia" w:ascii="宋体" w:hAnsi="宋体" w:eastAsia="宋体" w:cs="宋体"/>
                <w:spacing w:val="-4"/>
                <w:szCs w:val="24"/>
              </w:rPr>
              <w:t>0</w:t>
            </w:r>
          </w:p>
        </w:tc>
        <w:tc>
          <w:tcPr>
            <w:tcW w:w="9295" w:type="dxa"/>
            <w:gridSpan w:val="2"/>
            <w:vAlign w:val="center"/>
          </w:tcPr>
          <w:p w14:paraId="17202264">
            <w:pPr>
              <w:keepNext w:val="0"/>
              <w:keepLines w:val="0"/>
              <w:pageBreakBefore w:val="0"/>
              <w:wordWrap/>
              <w:overflowPunct/>
              <w:topLinePunct w:val="0"/>
              <w:bidi w:val="0"/>
              <w:spacing w:line="440" w:lineRule="exact"/>
              <w:ind w:left="110" w:right="107" w:firstLine="2882" w:firstLineChars="1100"/>
              <w:rPr>
                <w:rFonts w:hint="eastAsia" w:ascii="宋体" w:hAnsi="宋体" w:eastAsia="宋体" w:cs="宋体"/>
                <w:spacing w:val="4"/>
                <w:szCs w:val="24"/>
              </w:rPr>
            </w:pPr>
            <w:r>
              <w:rPr>
                <w:rFonts w:hint="eastAsia" w:ascii="宋体" w:hAnsi="宋体" w:eastAsia="宋体" w:cs="宋体"/>
                <w:spacing w:val="11"/>
                <w:szCs w:val="24"/>
              </w:rPr>
              <w:t>需</w:t>
            </w:r>
            <w:r>
              <w:rPr>
                <w:rFonts w:hint="eastAsia" w:ascii="宋体" w:hAnsi="宋体" w:eastAsia="宋体" w:cs="宋体"/>
                <w:spacing w:val="7"/>
                <w:szCs w:val="24"/>
              </w:rPr>
              <w:t>要补充的其他内容</w:t>
            </w:r>
          </w:p>
        </w:tc>
      </w:tr>
      <w:tr w14:paraId="4E1474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3CC7044E">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2"/>
                <w:szCs w:val="24"/>
              </w:rPr>
              <w:t>10</w:t>
            </w:r>
            <w:r>
              <w:rPr>
                <w:rFonts w:hint="eastAsia" w:ascii="宋体" w:hAnsi="宋体" w:eastAsia="宋体" w:cs="宋体"/>
                <w:spacing w:val="-1"/>
                <w:szCs w:val="24"/>
              </w:rPr>
              <w:t>.1</w:t>
            </w:r>
          </w:p>
        </w:tc>
        <w:tc>
          <w:tcPr>
            <w:tcW w:w="2079" w:type="dxa"/>
            <w:vAlign w:val="center"/>
          </w:tcPr>
          <w:p w14:paraId="5CD44245">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12"/>
                <w:szCs w:val="24"/>
              </w:rPr>
              <w:t>电</w:t>
            </w:r>
            <w:r>
              <w:rPr>
                <w:rFonts w:hint="eastAsia" w:ascii="宋体" w:hAnsi="宋体" w:eastAsia="宋体" w:cs="宋体"/>
                <w:spacing w:val="9"/>
                <w:szCs w:val="24"/>
              </w:rPr>
              <w:t>子投标文件编</w:t>
            </w:r>
            <w:r>
              <w:rPr>
                <w:rFonts w:hint="eastAsia" w:ascii="宋体" w:hAnsi="宋体" w:eastAsia="宋体" w:cs="宋体"/>
                <w:szCs w:val="24"/>
              </w:rPr>
              <w:t>制</w:t>
            </w:r>
          </w:p>
        </w:tc>
        <w:tc>
          <w:tcPr>
            <w:tcW w:w="7216" w:type="dxa"/>
            <w:vAlign w:val="center"/>
          </w:tcPr>
          <w:p w14:paraId="55FF4355">
            <w:pPr>
              <w:keepNext w:val="0"/>
              <w:keepLines w:val="0"/>
              <w:pageBreakBefore w:val="0"/>
              <w:wordWrap/>
              <w:overflowPunct/>
              <w:topLinePunct w:val="0"/>
              <w:bidi w:val="0"/>
              <w:spacing w:line="440" w:lineRule="exact"/>
              <w:ind w:right="107"/>
              <w:rPr>
                <w:rFonts w:hint="eastAsia" w:ascii="宋体" w:hAnsi="宋体" w:eastAsia="宋体" w:cs="宋体"/>
                <w:szCs w:val="24"/>
              </w:rPr>
            </w:pPr>
            <w:r>
              <w:rPr>
                <w:rFonts w:hint="eastAsia" w:ascii="宋体" w:hAnsi="宋体" w:eastAsia="宋体" w:cs="宋体"/>
                <w:spacing w:val="25"/>
                <w:szCs w:val="24"/>
              </w:rPr>
              <w:t>本工程的投标文件必须使用投标工具安装程序(三门投标编</w:t>
            </w:r>
            <w:r>
              <w:rPr>
                <w:rFonts w:hint="eastAsia" w:ascii="宋体" w:hAnsi="宋体" w:eastAsia="宋体" w:cs="宋体"/>
                <w:spacing w:val="19"/>
                <w:szCs w:val="24"/>
              </w:rPr>
              <w:t>制</w:t>
            </w:r>
            <w:r>
              <w:rPr>
                <w:rFonts w:hint="eastAsia" w:ascii="宋体" w:hAnsi="宋体" w:eastAsia="宋体" w:cs="宋体"/>
                <w:spacing w:val="10"/>
                <w:szCs w:val="24"/>
                <w:lang w:eastAsia="zh-CN"/>
              </w:rPr>
              <w:t>4.5.0.1版本</w:t>
            </w:r>
            <w:r>
              <w:rPr>
                <w:rFonts w:hint="eastAsia" w:ascii="宋体" w:hAnsi="宋体" w:eastAsia="宋体" w:cs="宋体"/>
                <w:spacing w:val="10"/>
                <w:szCs w:val="24"/>
              </w:rPr>
              <w:t>)编制，下载地址及”建设工程电子投标编制操</w:t>
            </w:r>
            <w:r>
              <w:rPr>
                <w:rFonts w:hint="eastAsia" w:ascii="宋体" w:hAnsi="宋体" w:eastAsia="宋体" w:cs="宋体"/>
                <w:spacing w:val="9"/>
                <w:szCs w:val="24"/>
              </w:rPr>
              <w:t>作</w:t>
            </w:r>
            <w:r>
              <w:rPr>
                <w:rFonts w:hint="eastAsia" w:ascii="宋体" w:hAnsi="宋体" w:eastAsia="宋体" w:cs="宋体"/>
                <w:spacing w:val="20"/>
                <w:szCs w:val="24"/>
              </w:rPr>
              <w:t>手</w:t>
            </w:r>
            <w:r>
              <w:rPr>
                <w:rFonts w:hint="eastAsia" w:ascii="宋体" w:hAnsi="宋体" w:eastAsia="宋体" w:cs="宋体"/>
                <w:spacing w:val="10"/>
                <w:szCs w:val="24"/>
              </w:rPr>
              <w:t>册”见</w:t>
            </w:r>
            <w:r>
              <w:rPr>
                <w:rFonts w:hint="eastAsia" w:ascii="宋体" w:hAnsi="宋体" w:eastAsia="宋体" w:cs="宋体"/>
              </w:rPr>
              <w:fldChar w:fldCharType="begin"/>
            </w:r>
            <w:r>
              <w:rPr>
                <w:rFonts w:hint="eastAsia" w:ascii="宋体" w:hAnsi="宋体" w:eastAsia="宋体" w:cs="宋体"/>
              </w:rPr>
              <w:instrText xml:space="preserve"> HYPERLINK "https://jyzx.sanmen.gov.cn//Download" </w:instrText>
            </w:r>
            <w:r>
              <w:rPr>
                <w:rFonts w:hint="eastAsia" w:ascii="宋体" w:hAnsi="宋体" w:eastAsia="宋体" w:cs="宋体"/>
              </w:rPr>
              <w:fldChar w:fldCharType="separate"/>
            </w:r>
            <w:r>
              <w:rPr>
                <w:rFonts w:hint="eastAsia" w:ascii="宋体" w:hAnsi="宋体" w:eastAsia="宋体" w:cs="宋体"/>
                <w:szCs w:val="24"/>
              </w:rPr>
              <w:t>https</w:t>
            </w:r>
            <w:r>
              <w:rPr>
                <w:rFonts w:hint="eastAsia" w:ascii="宋体" w:hAnsi="宋体" w:eastAsia="宋体" w:cs="宋体"/>
                <w:spacing w:val="10"/>
                <w:szCs w:val="24"/>
              </w:rPr>
              <w:t>://</w:t>
            </w:r>
            <w:r>
              <w:rPr>
                <w:rFonts w:hint="eastAsia" w:ascii="宋体" w:hAnsi="宋体" w:eastAsia="宋体" w:cs="宋体"/>
                <w:szCs w:val="24"/>
              </w:rPr>
              <w:t>jyzx</w:t>
            </w:r>
            <w:r>
              <w:rPr>
                <w:rFonts w:hint="eastAsia" w:ascii="宋体" w:hAnsi="宋体" w:eastAsia="宋体" w:cs="宋体"/>
                <w:spacing w:val="10"/>
                <w:szCs w:val="24"/>
              </w:rPr>
              <w:t>.</w:t>
            </w:r>
            <w:r>
              <w:rPr>
                <w:rFonts w:hint="eastAsia" w:ascii="宋体" w:hAnsi="宋体" w:eastAsia="宋体" w:cs="宋体"/>
                <w:szCs w:val="24"/>
              </w:rPr>
              <w:t>sanmen</w:t>
            </w:r>
            <w:r>
              <w:rPr>
                <w:rFonts w:hint="eastAsia" w:ascii="宋体" w:hAnsi="宋体" w:eastAsia="宋体" w:cs="宋体"/>
                <w:spacing w:val="10"/>
                <w:szCs w:val="24"/>
              </w:rPr>
              <w:t>.</w:t>
            </w:r>
            <w:r>
              <w:rPr>
                <w:rFonts w:hint="eastAsia" w:ascii="宋体" w:hAnsi="宋体" w:eastAsia="宋体" w:cs="宋体"/>
                <w:szCs w:val="24"/>
              </w:rPr>
              <w:t>gov</w:t>
            </w:r>
            <w:r>
              <w:rPr>
                <w:rFonts w:hint="eastAsia" w:ascii="宋体" w:hAnsi="宋体" w:eastAsia="宋体" w:cs="宋体"/>
                <w:spacing w:val="10"/>
                <w:szCs w:val="24"/>
              </w:rPr>
              <w:t>.</w:t>
            </w:r>
            <w:r>
              <w:rPr>
                <w:rFonts w:hint="eastAsia" w:ascii="宋体" w:hAnsi="宋体" w:eastAsia="宋体" w:cs="宋体"/>
                <w:szCs w:val="24"/>
              </w:rPr>
              <w:t>cn</w:t>
            </w:r>
            <w:r>
              <w:rPr>
                <w:rFonts w:hint="eastAsia" w:ascii="宋体" w:hAnsi="宋体" w:eastAsia="宋体" w:cs="宋体"/>
                <w:spacing w:val="10"/>
                <w:szCs w:val="24"/>
              </w:rPr>
              <w:t>//</w:t>
            </w:r>
            <w:r>
              <w:rPr>
                <w:rFonts w:hint="eastAsia" w:ascii="宋体" w:hAnsi="宋体" w:eastAsia="宋体" w:cs="宋体"/>
                <w:szCs w:val="24"/>
              </w:rPr>
              <w:t>Download</w:t>
            </w:r>
            <w:r>
              <w:rPr>
                <w:rFonts w:hint="eastAsia" w:ascii="宋体" w:hAnsi="宋体" w:eastAsia="宋体" w:cs="宋体"/>
                <w:szCs w:val="24"/>
              </w:rPr>
              <w:fldChar w:fldCharType="end"/>
            </w:r>
            <w:r>
              <w:rPr>
                <w:rFonts w:hint="eastAsia" w:ascii="宋体" w:hAnsi="宋体" w:eastAsia="宋体" w:cs="宋体"/>
                <w:spacing w:val="10"/>
                <w:szCs w:val="24"/>
              </w:rPr>
              <w:t>。电子投标文</w:t>
            </w:r>
            <w:r>
              <w:rPr>
                <w:rFonts w:hint="eastAsia" w:ascii="宋体" w:hAnsi="宋体" w:eastAsia="宋体" w:cs="宋体"/>
                <w:spacing w:val="22"/>
                <w:szCs w:val="24"/>
              </w:rPr>
              <w:t>件</w:t>
            </w:r>
            <w:r>
              <w:rPr>
                <w:rFonts w:hint="eastAsia" w:ascii="宋体" w:hAnsi="宋体" w:eastAsia="宋体" w:cs="宋体"/>
                <w:spacing w:val="11"/>
                <w:szCs w:val="24"/>
              </w:rPr>
              <w:t>的编制和递交，应依照招标文件的规定进行。如未按招标文件</w:t>
            </w:r>
            <w:r>
              <w:rPr>
                <w:rFonts w:hint="eastAsia" w:ascii="宋体" w:hAnsi="宋体" w:eastAsia="宋体" w:cs="宋体"/>
                <w:spacing w:val="8"/>
                <w:szCs w:val="24"/>
              </w:rPr>
              <w:t>要</w:t>
            </w:r>
            <w:r>
              <w:rPr>
                <w:rFonts w:hint="eastAsia" w:ascii="宋体" w:hAnsi="宋体" w:eastAsia="宋体" w:cs="宋体"/>
                <w:spacing w:val="7"/>
                <w:szCs w:val="24"/>
              </w:rPr>
              <w:t>求编制、递交电子投标文件，将可能导致无效标，其后果由投</w:t>
            </w:r>
            <w:r>
              <w:rPr>
                <w:rFonts w:hint="eastAsia" w:ascii="宋体" w:hAnsi="宋体" w:eastAsia="宋体" w:cs="宋体"/>
                <w:spacing w:val="22"/>
                <w:szCs w:val="24"/>
              </w:rPr>
              <w:t>标</w:t>
            </w:r>
            <w:r>
              <w:rPr>
                <w:rFonts w:hint="eastAsia" w:ascii="宋体" w:hAnsi="宋体" w:eastAsia="宋体" w:cs="宋体"/>
                <w:spacing w:val="11"/>
                <w:szCs w:val="24"/>
              </w:rPr>
              <w:t>人自负。投标工具的开发商可根据投标人的要求，提供必要的</w:t>
            </w:r>
            <w:r>
              <w:rPr>
                <w:rFonts w:hint="eastAsia" w:ascii="宋体" w:hAnsi="宋体" w:eastAsia="宋体" w:cs="宋体"/>
                <w:spacing w:val="4"/>
                <w:szCs w:val="24"/>
              </w:rPr>
              <w:t>培训和技术指导</w:t>
            </w:r>
            <w:r>
              <w:rPr>
                <w:rFonts w:hint="eastAsia" w:ascii="宋体" w:hAnsi="宋体" w:eastAsia="宋体" w:cs="宋体"/>
                <w:spacing w:val="3"/>
                <w:szCs w:val="24"/>
              </w:rPr>
              <w:t>。</w:t>
            </w:r>
          </w:p>
          <w:p w14:paraId="3CC6EDCB">
            <w:pPr>
              <w:keepNext w:val="0"/>
              <w:keepLines w:val="0"/>
              <w:pageBreakBefore w:val="0"/>
              <w:wordWrap/>
              <w:overflowPunct/>
              <w:topLinePunct w:val="0"/>
              <w:bidi w:val="0"/>
              <w:spacing w:line="440" w:lineRule="exact"/>
              <w:rPr>
                <w:rFonts w:hint="eastAsia" w:ascii="宋体" w:hAnsi="宋体" w:eastAsia="宋体" w:cs="宋体"/>
                <w:szCs w:val="24"/>
              </w:rPr>
            </w:pPr>
            <w:r>
              <w:rPr>
                <w:rFonts w:hint="eastAsia" w:ascii="宋体" w:hAnsi="宋体" w:eastAsia="宋体" w:cs="宋体"/>
                <w:spacing w:val="16"/>
                <w:szCs w:val="24"/>
              </w:rPr>
              <w:t>投</w:t>
            </w:r>
            <w:r>
              <w:rPr>
                <w:rFonts w:hint="eastAsia" w:ascii="宋体" w:hAnsi="宋体" w:eastAsia="宋体" w:cs="宋体"/>
                <w:spacing w:val="9"/>
                <w:szCs w:val="24"/>
              </w:rPr>
              <w:t>标工具开发商：杭州品茗信息技术有限公司</w:t>
            </w:r>
          </w:p>
          <w:p w14:paraId="369D5D63">
            <w:pPr>
              <w:keepNext w:val="0"/>
              <w:keepLines w:val="0"/>
              <w:pageBreakBefore w:val="0"/>
              <w:wordWrap/>
              <w:overflowPunct/>
              <w:topLinePunct w:val="0"/>
              <w:bidi w:val="0"/>
              <w:spacing w:line="440" w:lineRule="exact"/>
              <w:ind w:right="107"/>
              <w:rPr>
                <w:rFonts w:hint="eastAsia" w:ascii="宋体" w:hAnsi="宋体" w:eastAsia="宋体" w:cs="宋体"/>
                <w:spacing w:val="4"/>
                <w:szCs w:val="24"/>
              </w:rPr>
            </w:pPr>
            <w:r>
              <w:rPr>
                <w:rFonts w:hint="eastAsia" w:ascii="宋体" w:hAnsi="宋体" w:eastAsia="宋体" w:cs="宋体"/>
                <w:spacing w:val="2"/>
                <w:szCs w:val="24"/>
              </w:rPr>
              <w:t>联系电话：章宏涛 13968512856，苏子</w:t>
            </w:r>
            <w:r>
              <w:rPr>
                <w:rFonts w:hint="eastAsia" w:ascii="宋体" w:hAnsi="宋体" w:eastAsia="宋体" w:cs="宋体"/>
                <w:spacing w:val="1"/>
                <w:szCs w:val="24"/>
              </w:rPr>
              <w:t>路 13957679912</w:t>
            </w:r>
          </w:p>
        </w:tc>
      </w:tr>
      <w:tr w14:paraId="5812965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1BBF067">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zCs w:val="24"/>
              </w:rPr>
              <w:t>10.2</w:t>
            </w:r>
          </w:p>
        </w:tc>
        <w:tc>
          <w:tcPr>
            <w:tcW w:w="2079" w:type="dxa"/>
            <w:vAlign w:val="center"/>
          </w:tcPr>
          <w:p w14:paraId="2202414A">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11"/>
                <w:szCs w:val="24"/>
              </w:rPr>
              <w:t>增</w:t>
            </w:r>
            <w:r>
              <w:rPr>
                <w:rFonts w:hint="eastAsia" w:ascii="宋体" w:hAnsi="宋体" w:eastAsia="宋体" w:cs="宋体"/>
                <w:spacing w:val="8"/>
                <w:szCs w:val="24"/>
              </w:rPr>
              <w:t>值税计税方式</w:t>
            </w:r>
          </w:p>
        </w:tc>
        <w:tc>
          <w:tcPr>
            <w:tcW w:w="7216" w:type="dxa"/>
            <w:vAlign w:val="center"/>
          </w:tcPr>
          <w:p w14:paraId="4B8F6B42">
            <w:pPr>
              <w:keepNext w:val="0"/>
              <w:keepLines w:val="0"/>
              <w:pageBreakBefore w:val="0"/>
              <w:wordWrap/>
              <w:overflowPunct/>
              <w:topLinePunct w:val="0"/>
              <w:bidi w:val="0"/>
              <w:spacing w:line="440" w:lineRule="exact"/>
              <w:ind w:right="107"/>
              <w:rPr>
                <w:rFonts w:hint="eastAsia" w:ascii="宋体" w:hAnsi="宋体" w:eastAsia="宋体" w:cs="宋体"/>
                <w:spacing w:val="25"/>
                <w:szCs w:val="24"/>
              </w:rPr>
            </w:pPr>
            <w:r>
              <w:rPr>
                <w:rFonts w:hint="eastAsia" w:ascii="宋体" w:hAnsi="宋体" w:eastAsia="宋体" w:cs="宋体"/>
                <w:spacing w:val="9"/>
                <w:szCs w:val="24"/>
              </w:rPr>
              <w:t>本工程采用一般计税</w:t>
            </w:r>
            <w:r>
              <w:rPr>
                <w:rFonts w:hint="eastAsia" w:ascii="宋体" w:hAnsi="宋体" w:eastAsia="宋体" w:cs="宋体"/>
                <w:spacing w:val="8"/>
                <w:szCs w:val="24"/>
              </w:rPr>
              <w:t>法</w:t>
            </w:r>
          </w:p>
        </w:tc>
      </w:tr>
      <w:tr w14:paraId="7C1772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09ADA23F">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2"/>
                <w:szCs w:val="24"/>
              </w:rPr>
              <w:t>10</w:t>
            </w:r>
            <w:r>
              <w:rPr>
                <w:rFonts w:hint="eastAsia" w:ascii="宋体" w:hAnsi="宋体" w:eastAsia="宋体" w:cs="宋体"/>
                <w:spacing w:val="-1"/>
                <w:szCs w:val="24"/>
              </w:rPr>
              <w:t>.3</w:t>
            </w:r>
          </w:p>
        </w:tc>
        <w:tc>
          <w:tcPr>
            <w:tcW w:w="2079" w:type="dxa"/>
            <w:vAlign w:val="center"/>
          </w:tcPr>
          <w:p w14:paraId="66742489">
            <w:pPr>
              <w:keepNext w:val="0"/>
              <w:keepLines w:val="0"/>
              <w:pageBreakBefore w:val="0"/>
              <w:wordWrap/>
              <w:overflowPunct/>
              <w:topLinePunct w:val="0"/>
              <w:bidi w:val="0"/>
              <w:spacing w:line="440" w:lineRule="exact"/>
              <w:jc w:val="center"/>
              <w:rPr>
                <w:rFonts w:hint="eastAsia" w:ascii="宋体" w:hAnsi="宋体" w:eastAsia="宋体" w:cs="宋体"/>
                <w:spacing w:val="11"/>
                <w:szCs w:val="24"/>
              </w:rPr>
            </w:pPr>
            <w:r>
              <w:rPr>
                <w:rFonts w:hint="eastAsia" w:ascii="宋体" w:hAnsi="宋体" w:eastAsia="宋体" w:cs="宋体"/>
                <w:spacing w:val="6"/>
                <w:szCs w:val="24"/>
              </w:rPr>
              <w:t>中</w:t>
            </w:r>
            <w:r>
              <w:rPr>
                <w:rFonts w:hint="eastAsia" w:ascii="宋体" w:hAnsi="宋体" w:eastAsia="宋体" w:cs="宋体"/>
                <w:spacing w:val="3"/>
                <w:szCs w:val="24"/>
              </w:rPr>
              <w:t>标后提交</w:t>
            </w:r>
            <w:r>
              <w:rPr>
                <w:rFonts w:hint="eastAsia" w:ascii="宋体" w:hAnsi="宋体" w:eastAsia="宋体" w:cs="宋体"/>
                <w:spacing w:val="8"/>
                <w:szCs w:val="24"/>
              </w:rPr>
              <w:t>投标文件份</w:t>
            </w:r>
            <w:r>
              <w:rPr>
                <w:rFonts w:hint="eastAsia" w:ascii="宋体" w:hAnsi="宋体" w:eastAsia="宋体" w:cs="宋体"/>
                <w:spacing w:val="7"/>
                <w:szCs w:val="24"/>
              </w:rPr>
              <w:t>数</w:t>
            </w:r>
          </w:p>
        </w:tc>
        <w:tc>
          <w:tcPr>
            <w:tcW w:w="7216" w:type="dxa"/>
            <w:vAlign w:val="center"/>
          </w:tcPr>
          <w:p w14:paraId="10AA9B60">
            <w:pPr>
              <w:keepNext w:val="0"/>
              <w:keepLines w:val="0"/>
              <w:pageBreakBefore w:val="0"/>
              <w:wordWrap/>
              <w:overflowPunct/>
              <w:topLinePunct w:val="0"/>
              <w:bidi w:val="0"/>
              <w:spacing w:line="440" w:lineRule="exact"/>
              <w:ind w:right="105"/>
              <w:rPr>
                <w:rFonts w:hint="eastAsia" w:ascii="宋体" w:hAnsi="宋体" w:eastAsia="宋体" w:cs="宋体"/>
                <w:szCs w:val="24"/>
              </w:rPr>
            </w:pPr>
            <w:r>
              <w:rPr>
                <w:rFonts w:hint="eastAsia" w:ascii="宋体" w:hAnsi="宋体" w:eastAsia="宋体" w:cs="宋体"/>
                <w:spacing w:val="9"/>
                <w:szCs w:val="24"/>
              </w:rPr>
              <w:t>中标候选人在领取中标通知书前，需向招标人提供纸质投标文</w:t>
            </w:r>
            <w:r>
              <w:rPr>
                <w:rFonts w:hint="eastAsia" w:ascii="宋体" w:hAnsi="宋体" w:eastAsia="宋体" w:cs="宋体"/>
                <w:spacing w:val="5"/>
                <w:szCs w:val="24"/>
              </w:rPr>
              <w:t>件</w:t>
            </w:r>
            <w:r>
              <w:rPr>
                <w:rFonts w:hint="eastAsia" w:ascii="宋体" w:hAnsi="宋体" w:eastAsia="宋体" w:cs="宋体"/>
                <w:spacing w:val="26"/>
                <w:szCs w:val="24"/>
              </w:rPr>
              <w:t>4</w:t>
            </w:r>
            <w:r>
              <w:rPr>
                <w:rFonts w:hint="eastAsia" w:ascii="宋体" w:hAnsi="宋体" w:eastAsia="宋体" w:cs="宋体"/>
                <w:spacing w:val="15"/>
                <w:szCs w:val="24"/>
              </w:rPr>
              <w:t>份(投标工具中所有内容打印成纸质文件，纸质文件上的水印</w:t>
            </w:r>
            <w:r>
              <w:rPr>
                <w:rFonts w:hint="eastAsia" w:ascii="宋体" w:hAnsi="宋体" w:eastAsia="宋体" w:cs="宋体"/>
                <w:spacing w:val="22"/>
                <w:szCs w:val="24"/>
              </w:rPr>
              <w:t>码</w:t>
            </w:r>
            <w:r>
              <w:rPr>
                <w:rFonts w:hint="eastAsia" w:ascii="宋体" w:hAnsi="宋体" w:eastAsia="宋体" w:cs="宋体"/>
                <w:spacing w:val="12"/>
                <w:szCs w:val="24"/>
              </w:rPr>
              <w:t>须与上传至“电子交易平台”上的投标文件的水印码一致)。</w:t>
            </w:r>
          </w:p>
        </w:tc>
      </w:tr>
      <w:tr w14:paraId="69B71FC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13354DEB">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2"/>
                <w:szCs w:val="24"/>
              </w:rPr>
              <w:t>10.4</w:t>
            </w:r>
          </w:p>
        </w:tc>
        <w:tc>
          <w:tcPr>
            <w:tcW w:w="2079" w:type="dxa"/>
            <w:vAlign w:val="center"/>
          </w:tcPr>
          <w:p w14:paraId="7D2B8929">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7"/>
                <w:szCs w:val="24"/>
              </w:rPr>
              <w:t>温馨提示</w:t>
            </w:r>
          </w:p>
        </w:tc>
        <w:tc>
          <w:tcPr>
            <w:tcW w:w="7216" w:type="dxa"/>
            <w:vAlign w:val="center"/>
          </w:tcPr>
          <w:p w14:paraId="0A39E29C">
            <w:pPr>
              <w:keepNext w:val="0"/>
              <w:keepLines w:val="0"/>
              <w:pageBreakBefore w:val="0"/>
              <w:wordWrap/>
              <w:overflowPunct/>
              <w:topLinePunct w:val="0"/>
              <w:bidi w:val="0"/>
              <w:spacing w:line="440" w:lineRule="exact"/>
              <w:ind w:right="105"/>
              <w:rPr>
                <w:rFonts w:hint="eastAsia" w:ascii="宋体" w:hAnsi="宋体" w:eastAsia="宋体" w:cs="宋体"/>
                <w:szCs w:val="24"/>
              </w:rPr>
            </w:pPr>
            <w:r>
              <w:rPr>
                <w:rFonts w:hint="eastAsia" w:ascii="宋体" w:hAnsi="宋体" w:eastAsia="宋体" w:cs="宋体"/>
                <w:spacing w:val="9"/>
                <w:szCs w:val="24"/>
              </w:rPr>
              <w:t>投标人须在递交投标保证金前在三门县工程建设电子交易平台中注册并核验通过。</w:t>
            </w:r>
          </w:p>
        </w:tc>
      </w:tr>
      <w:tr w14:paraId="6A72FF5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5AE4AB69">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2"/>
                <w:szCs w:val="24"/>
              </w:rPr>
              <w:t>10</w:t>
            </w:r>
            <w:r>
              <w:rPr>
                <w:rFonts w:hint="eastAsia" w:ascii="宋体" w:hAnsi="宋体" w:eastAsia="宋体" w:cs="宋体"/>
                <w:spacing w:val="-1"/>
                <w:szCs w:val="24"/>
              </w:rPr>
              <w:t>.5</w:t>
            </w:r>
          </w:p>
        </w:tc>
        <w:tc>
          <w:tcPr>
            <w:tcW w:w="2079" w:type="dxa"/>
            <w:vAlign w:val="center"/>
          </w:tcPr>
          <w:p w14:paraId="78F76825">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8"/>
                <w:szCs w:val="24"/>
              </w:rPr>
              <w:t>投标制作工</w:t>
            </w:r>
            <w:r>
              <w:rPr>
                <w:rFonts w:hint="eastAsia" w:ascii="宋体" w:hAnsi="宋体" w:eastAsia="宋体" w:cs="宋体"/>
                <w:spacing w:val="7"/>
                <w:szCs w:val="24"/>
              </w:rPr>
              <w:t>具</w:t>
            </w:r>
            <w:r>
              <w:rPr>
                <w:rFonts w:hint="eastAsia" w:ascii="宋体" w:hAnsi="宋体" w:eastAsia="宋体" w:cs="宋体"/>
                <w:szCs w:val="24"/>
              </w:rPr>
              <w:t>USB</w:t>
            </w:r>
            <w:r>
              <w:rPr>
                <w:rFonts w:hint="eastAsia" w:ascii="宋体" w:hAnsi="宋体" w:eastAsia="宋体" w:cs="宋体"/>
                <w:spacing w:val="11"/>
                <w:szCs w:val="24"/>
              </w:rPr>
              <w:t>加密锁</w:t>
            </w:r>
          </w:p>
        </w:tc>
        <w:tc>
          <w:tcPr>
            <w:tcW w:w="7216" w:type="dxa"/>
            <w:vAlign w:val="center"/>
          </w:tcPr>
          <w:p w14:paraId="46634C4D">
            <w:pPr>
              <w:keepNext w:val="0"/>
              <w:keepLines w:val="0"/>
              <w:pageBreakBefore w:val="0"/>
              <w:wordWrap/>
              <w:overflowPunct/>
              <w:topLinePunct w:val="0"/>
              <w:bidi w:val="0"/>
              <w:spacing w:line="440" w:lineRule="exact"/>
              <w:ind w:left="111" w:right="117"/>
              <w:rPr>
                <w:rFonts w:hint="eastAsia" w:ascii="宋体" w:hAnsi="宋体" w:eastAsia="宋体" w:cs="宋体"/>
                <w:szCs w:val="24"/>
              </w:rPr>
            </w:pPr>
            <w:r>
              <w:rPr>
                <w:rFonts w:hint="eastAsia" w:ascii="宋体" w:hAnsi="宋体" w:eastAsia="宋体" w:cs="宋体"/>
                <w:spacing w:val="10"/>
                <w:szCs w:val="24"/>
              </w:rPr>
              <w:t>开</w:t>
            </w:r>
            <w:r>
              <w:rPr>
                <w:rFonts w:hint="eastAsia" w:ascii="宋体" w:hAnsi="宋体" w:eastAsia="宋体" w:cs="宋体"/>
                <w:spacing w:val="8"/>
                <w:szCs w:val="24"/>
              </w:rPr>
              <w:t>标</w:t>
            </w:r>
            <w:r>
              <w:rPr>
                <w:rFonts w:hint="eastAsia" w:ascii="宋体" w:hAnsi="宋体" w:eastAsia="宋体" w:cs="宋体"/>
                <w:spacing w:val="5"/>
                <w:szCs w:val="24"/>
              </w:rPr>
              <w:t>后，经核查若不同投标人投标工具软件</w:t>
            </w:r>
            <w:r>
              <w:rPr>
                <w:rFonts w:hint="eastAsia" w:ascii="宋体" w:hAnsi="宋体" w:eastAsia="宋体" w:cs="宋体"/>
                <w:szCs w:val="24"/>
              </w:rPr>
              <w:t>USB</w:t>
            </w:r>
            <w:r>
              <w:rPr>
                <w:rFonts w:hint="eastAsia" w:ascii="宋体" w:hAnsi="宋体" w:eastAsia="宋体" w:cs="宋体"/>
                <w:spacing w:val="5"/>
                <w:szCs w:val="24"/>
              </w:rPr>
              <w:t>加密锁号相同，</w:t>
            </w:r>
            <w:r>
              <w:rPr>
                <w:rFonts w:hint="eastAsia" w:ascii="宋体" w:hAnsi="宋体" w:eastAsia="宋体" w:cs="宋体"/>
                <w:spacing w:val="7"/>
                <w:szCs w:val="24"/>
              </w:rPr>
              <w:t>所涉及投标文件均按无效标处理，同时投标保证金总额中的人民</w:t>
            </w:r>
            <w:r>
              <w:rPr>
                <w:rFonts w:hint="eastAsia" w:ascii="宋体" w:hAnsi="宋体" w:eastAsia="宋体" w:cs="宋体"/>
                <w:spacing w:val="-4"/>
                <w:szCs w:val="24"/>
              </w:rPr>
              <w:t>币</w:t>
            </w:r>
            <w:r>
              <w:rPr>
                <w:rFonts w:hint="eastAsia" w:ascii="宋体" w:hAnsi="宋体" w:eastAsia="宋体" w:cs="宋体"/>
                <w:spacing w:val="-4"/>
                <w:szCs w:val="24"/>
                <w:lang w:val="en-US" w:eastAsia="zh-CN"/>
              </w:rPr>
              <w:t>24</w:t>
            </w:r>
            <w:r>
              <w:rPr>
                <w:rFonts w:hint="eastAsia" w:ascii="宋体" w:hAnsi="宋体" w:eastAsia="宋体" w:cs="宋体"/>
                <w:spacing w:val="-2"/>
                <w:szCs w:val="24"/>
              </w:rPr>
              <w:t>万元不予以退还(如采用保函的，需补缴纳人民币</w:t>
            </w:r>
            <w:r>
              <w:rPr>
                <w:rFonts w:hint="eastAsia" w:ascii="宋体" w:hAnsi="宋体" w:eastAsia="宋体" w:cs="宋体"/>
                <w:spacing w:val="-2"/>
                <w:szCs w:val="24"/>
                <w:lang w:val="en-US" w:eastAsia="zh-CN"/>
              </w:rPr>
              <w:t>24</w:t>
            </w:r>
            <w:r>
              <w:rPr>
                <w:rFonts w:hint="eastAsia" w:ascii="宋体" w:hAnsi="宋体" w:eastAsia="宋体" w:cs="宋体"/>
                <w:spacing w:val="-2"/>
                <w:szCs w:val="24"/>
              </w:rPr>
              <w:t>万元) 。</w:t>
            </w:r>
          </w:p>
        </w:tc>
      </w:tr>
      <w:tr w14:paraId="07F24BE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 w:hRule="atLeast"/>
        </w:trPr>
        <w:tc>
          <w:tcPr>
            <w:tcW w:w="872" w:type="dxa"/>
            <w:vAlign w:val="center"/>
          </w:tcPr>
          <w:p w14:paraId="27857BD8">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5"/>
                <w:szCs w:val="24"/>
              </w:rPr>
              <w:t>1</w:t>
            </w:r>
            <w:r>
              <w:rPr>
                <w:rFonts w:hint="eastAsia" w:ascii="宋体" w:hAnsi="宋体" w:eastAsia="宋体" w:cs="宋体"/>
                <w:spacing w:val="-4"/>
                <w:szCs w:val="24"/>
              </w:rPr>
              <w:t>1</w:t>
            </w:r>
          </w:p>
        </w:tc>
        <w:tc>
          <w:tcPr>
            <w:tcW w:w="2079" w:type="dxa"/>
            <w:vAlign w:val="center"/>
          </w:tcPr>
          <w:p w14:paraId="075ECB4D">
            <w:pPr>
              <w:keepNext w:val="0"/>
              <w:keepLines w:val="0"/>
              <w:pageBreakBefore w:val="0"/>
              <w:wordWrap/>
              <w:overflowPunct/>
              <w:topLinePunct w:val="0"/>
              <w:bidi w:val="0"/>
              <w:spacing w:line="440" w:lineRule="exact"/>
              <w:jc w:val="center"/>
              <w:rPr>
                <w:rFonts w:hint="eastAsia" w:ascii="宋体" w:hAnsi="宋体" w:eastAsia="宋体" w:cs="宋体"/>
                <w:szCs w:val="24"/>
              </w:rPr>
            </w:pPr>
            <w:r>
              <w:rPr>
                <w:rFonts w:hint="eastAsia" w:ascii="宋体" w:hAnsi="宋体" w:eastAsia="宋体" w:cs="宋体"/>
                <w:spacing w:val="5"/>
                <w:szCs w:val="24"/>
              </w:rPr>
              <w:t>其</w:t>
            </w:r>
            <w:r>
              <w:rPr>
                <w:rFonts w:hint="eastAsia" w:ascii="宋体" w:hAnsi="宋体" w:eastAsia="宋体" w:cs="宋体"/>
                <w:spacing w:val="4"/>
                <w:szCs w:val="24"/>
              </w:rPr>
              <w:t>他</w:t>
            </w:r>
          </w:p>
        </w:tc>
        <w:tc>
          <w:tcPr>
            <w:tcW w:w="7216" w:type="dxa"/>
            <w:vAlign w:val="center"/>
          </w:tcPr>
          <w:p w14:paraId="457A82A2">
            <w:pPr>
              <w:keepNext w:val="0"/>
              <w:keepLines w:val="0"/>
              <w:pageBreakBefore w:val="0"/>
              <w:wordWrap/>
              <w:overflowPunct/>
              <w:topLinePunct w:val="0"/>
              <w:bidi w:val="0"/>
              <w:spacing w:line="440" w:lineRule="exact"/>
              <w:ind w:right="46"/>
              <w:rPr>
                <w:rFonts w:hint="eastAsia" w:ascii="宋体" w:hAnsi="宋体" w:eastAsia="宋体" w:cs="宋体"/>
                <w:spacing w:val="10"/>
                <w:szCs w:val="24"/>
              </w:rPr>
            </w:pPr>
            <w:r>
              <w:rPr>
                <w:rFonts w:hint="eastAsia" w:ascii="宋体" w:hAnsi="宋体" w:eastAsia="宋体" w:cs="宋体"/>
                <w:spacing w:val="-3"/>
                <w:szCs w:val="24"/>
              </w:rPr>
              <w:t>招标文件中带▲号内容为实质性内容，必须满足招标文件要</w:t>
            </w:r>
            <w:r>
              <w:rPr>
                <w:rFonts w:hint="eastAsia" w:ascii="宋体" w:hAnsi="宋体" w:eastAsia="宋体" w:cs="宋体"/>
                <w:spacing w:val="-2"/>
                <w:szCs w:val="24"/>
              </w:rPr>
              <w:t>求</w:t>
            </w:r>
            <w:r>
              <w:rPr>
                <w:rFonts w:hint="eastAsia" w:ascii="宋体" w:hAnsi="宋体" w:eastAsia="宋体" w:cs="宋体"/>
                <w:szCs w:val="24"/>
              </w:rPr>
              <w:t>，</w:t>
            </w:r>
            <w:r>
              <w:rPr>
                <w:rFonts w:hint="eastAsia" w:ascii="宋体" w:hAnsi="宋体" w:eastAsia="宋体" w:cs="宋体"/>
                <w:spacing w:val="2"/>
                <w:szCs w:val="24"/>
              </w:rPr>
              <w:t>否则为无效标</w:t>
            </w:r>
            <w:r>
              <w:rPr>
                <w:rFonts w:hint="eastAsia" w:ascii="宋体" w:hAnsi="宋体" w:eastAsia="宋体" w:cs="宋体"/>
                <w:spacing w:val="1"/>
                <w:szCs w:val="24"/>
              </w:rPr>
              <w:t>。</w:t>
            </w:r>
          </w:p>
        </w:tc>
      </w:tr>
    </w:tbl>
    <w:p w14:paraId="6081679C">
      <w:pPr>
        <w:pStyle w:val="3"/>
        <w:numPr>
          <w:ilvl w:val="0"/>
          <w:numId w:val="0"/>
        </w:numPr>
        <w:rPr>
          <w:rFonts w:hint="eastAsia" w:ascii="黑体" w:hAnsi="黑体" w:eastAsia="黑体" w:cs="黑体"/>
          <w:sz w:val="31"/>
          <w:szCs w:val="31"/>
        </w:rPr>
      </w:pPr>
      <w:bookmarkStart w:id="30" w:name="_Toc32117"/>
      <w:bookmarkStart w:id="31" w:name="_Toc26576"/>
      <w:bookmarkStart w:id="32" w:name="_Toc2692"/>
      <w:r>
        <w:rPr>
          <w:rFonts w:hint="eastAsia" w:ascii="黑体" w:hAnsi="黑体" w:eastAsia="黑体" w:cs="黑体"/>
          <w:spacing w:val="9"/>
          <w:sz w:val="31"/>
          <w:szCs w:val="31"/>
        </w:rPr>
        <w:t xml:space="preserve">第二节    </w:t>
      </w:r>
      <w:r>
        <w:rPr>
          <w:rFonts w:ascii="黑体" w:hAnsi="黑体" w:eastAsia="黑体" w:cs="黑体"/>
          <w:spacing w:val="9"/>
          <w:sz w:val="31"/>
          <w:szCs w:val="31"/>
        </w:rPr>
        <w:t>投标须</w:t>
      </w:r>
      <w:r>
        <w:rPr>
          <w:rFonts w:ascii="黑体" w:hAnsi="黑体" w:eastAsia="黑体" w:cs="黑体"/>
          <w:spacing w:val="8"/>
          <w:sz w:val="31"/>
          <w:szCs w:val="31"/>
        </w:rPr>
        <w:t>知</w:t>
      </w:r>
      <w:bookmarkEnd w:id="30"/>
      <w:bookmarkEnd w:id="31"/>
      <w:bookmarkEnd w:id="32"/>
    </w:p>
    <w:p w14:paraId="5F70B3D2">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rPr>
      </w:pPr>
      <w:bookmarkStart w:id="33" w:name="_Toc21792"/>
      <w:r>
        <w:rPr>
          <w:rFonts w:hint="eastAsia" w:ascii="宋体" w:hAnsi="宋体" w:eastAsia="宋体" w:cs="宋体"/>
          <w:b/>
          <w:bCs/>
          <w:sz w:val="28"/>
          <w:szCs w:val="28"/>
        </w:rPr>
        <w:t>总则</w:t>
      </w:r>
      <w:bookmarkEnd w:id="33"/>
    </w:p>
    <w:p w14:paraId="01AF6B9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1.1 工程概况</w:t>
      </w:r>
    </w:p>
    <w:p w14:paraId="12010912">
      <w:pPr>
        <w:keepNext w:val="0"/>
        <w:keepLines w:val="0"/>
        <w:pageBreakBefore w:val="0"/>
        <w:widowControl/>
        <w:kinsoku w:val="0"/>
        <w:wordWrap/>
        <w:overflowPunct/>
        <w:topLinePunct w:val="0"/>
        <w:autoSpaceDE w:val="0"/>
        <w:autoSpaceDN w:val="0"/>
        <w:bidi w:val="0"/>
        <w:adjustRightInd w:val="0"/>
        <w:snapToGrid w:val="0"/>
        <w:spacing w:line="440" w:lineRule="exact"/>
        <w:ind w:firstLine="466"/>
        <w:textAlignment w:val="baseline"/>
        <w:rPr>
          <w:rFonts w:hint="eastAsia" w:ascii="宋体" w:hAnsi="宋体" w:eastAsia="宋体" w:cs="宋体"/>
          <w:color w:val="auto"/>
        </w:rPr>
      </w:pPr>
      <w:r>
        <w:rPr>
          <w:rFonts w:hint="eastAsia" w:ascii="宋体" w:hAnsi="宋体" w:eastAsia="宋体" w:cs="宋体"/>
        </w:rPr>
        <w:t xml:space="preserve">1.1.1 </w:t>
      </w:r>
      <w:r>
        <w:rPr>
          <w:rFonts w:hint="eastAsia" w:ascii="宋体" w:hAnsi="宋体" w:eastAsia="宋体" w:cs="宋体"/>
          <w:color w:val="auto"/>
        </w:rPr>
        <w:t>根据《中华人民共和国招标投标法》《中华人民共和国招标投标法实施条例》等有关法律、法规和规章的规定，本招标项目已具备招标条件，现对项目施工进行招标。</w:t>
      </w:r>
    </w:p>
    <w:p w14:paraId="7E82697D">
      <w:pPr>
        <w:keepNext w:val="0"/>
        <w:keepLines w:val="0"/>
        <w:pageBreakBefore w:val="0"/>
        <w:widowControl/>
        <w:kinsoku w:val="0"/>
        <w:wordWrap/>
        <w:overflowPunct/>
        <w:topLinePunct w:val="0"/>
        <w:autoSpaceDE w:val="0"/>
        <w:autoSpaceDN w:val="0"/>
        <w:bidi w:val="0"/>
        <w:adjustRightInd w:val="0"/>
        <w:snapToGrid w:val="0"/>
        <w:spacing w:line="440" w:lineRule="exact"/>
        <w:ind w:left="499"/>
        <w:textAlignment w:val="baseline"/>
        <w:rPr>
          <w:rFonts w:hint="eastAsia" w:ascii="宋体" w:hAnsi="宋体" w:eastAsia="宋体" w:cs="宋体"/>
          <w:color w:val="auto"/>
        </w:rPr>
      </w:pPr>
      <w:r>
        <w:rPr>
          <w:rFonts w:hint="eastAsia" w:ascii="宋体" w:hAnsi="宋体" w:eastAsia="宋体" w:cs="宋体"/>
        </w:rPr>
        <w:t xml:space="preserve">1.1.2 </w:t>
      </w:r>
      <w:r>
        <w:rPr>
          <w:rFonts w:hint="eastAsia" w:ascii="宋体" w:hAnsi="宋体" w:eastAsia="宋体" w:cs="宋体"/>
          <w:color w:val="auto"/>
        </w:rPr>
        <w:t>招标人：见投标人须知前附表。</w:t>
      </w:r>
    </w:p>
    <w:p w14:paraId="1DA34362">
      <w:pPr>
        <w:keepNext w:val="0"/>
        <w:keepLines w:val="0"/>
        <w:pageBreakBefore w:val="0"/>
        <w:widowControl/>
        <w:kinsoku w:val="0"/>
        <w:wordWrap/>
        <w:overflowPunct/>
        <w:topLinePunct w:val="0"/>
        <w:autoSpaceDE w:val="0"/>
        <w:autoSpaceDN w:val="0"/>
        <w:bidi w:val="0"/>
        <w:adjustRightInd w:val="0"/>
        <w:snapToGrid w:val="0"/>
        <w:spacing w:line="440" w:lineRule="exact"/>
        <w:ind w:left="499"/>
        <w:textAlignment w:val="baseline"/>
        <w:rPr>
          <w:rFonts w:hint="eastAsia" w:ascii="宋体" w:hAnsi="宋体" w:eastAsia="宋体" w:cs="宋体"/>
          <w:color w:val="auto"/>
        </w:rPr>
      </w:pPr>
      <w:r>
        <w:rPr>
          <w:rFonts w:hint="eastAsia" w:ascii="宋体" w:hAnsi="宋体" w:eastAsia="宋体" w:cs="宋体"/>
        </w:rPr>
        <w:t xml:space="preserve">1.1.3 </w:t>
      </w:r>
      <w:r>
        <w:rPr>
          <w:rFonts w:hint="eastAsia" w:ascii="宋体" w:hAnsi="宋体" w:eastAsia="宋体" w:cs="宋体"/>
          <w:color w:val="auto"/>
        </w:rPr>
        <w:t>招标代理机构：见投标人须知前附表。</w:t>
      </w:r>
    </w:p>
    <w:p w14:paraId="7E885516">
      <w:pPr>
        <w:keepNext w:val="0"/>
        <w:keepLines w:val="0"/>
        <w:pageBreakBefore w:val="0"/>
        <w:widowControl/>
        <w:kinsoku w:val="0"/>
        <w:wordWrap/>
        <w:overflowPunct/>
        <w:topLinePunct w:val="0"/>
        <w:autoSpaceDE w:val="0"/>
        <w:autoSpaceDN w:val="0"/>
        <w:bidi w:val="0"/>
        <w:adjustRightInd w:val="0"/>
        <w:snapToGrid w:val="0"/>
        <w:spacing w:line="440" w:lineRule="exact"/>
        <w:ind w:left="499"/>
        <w:textAlignment w:val="baseline"/>
        <w:rPr>
          <w:rFonts w:hint="eastAsia" w:ascii="宋体" w:hAnsi="宋体" w:eastAsia="宋体" w:cs="宋体"/>
          <w:color w:val="auto"/>
        </w:rPr>
      </w:pPr>
      <w:r>
        <w:rPr>
          <w:rFonts w:hint="eastAsia" w:ascii="宋体" w:hAnsi="宋体" w:eastAsia="宋体" w:cs="宋体"/>
        </w:rPr>
        <w:t xml:space="preserve">1.1.4 </w:t>
      </w:r>
      <w:r>
        <w:rPr>
          <w:rFonts w:hint="eastAsia" w:ascii="宋体" w:hAnsi="宋体" w:eastAsia="宋体" w:cs="宋体"/>
          <w:color w:val="auto"/>
        </w:rPr>
        <w:t>工程名称：见投标人须知前附表。</w:t>
      </w:r>
    </w:p>
    <w:p w14:paraId="20028774">
      <w:pPr>
        <w:keepNext w:val="0"/>
        <w:keepLines w:val="0"/>
        <w:pageBreakBefore w:val="0"/>
        <w:widowControl/>
        <w:kinsoku w:val="0"/>
        <w:wordWrap/>
        <w:overflowPunct/>
        <w:topLinePunct w:val="0"/>
        <w:autoSpaceDE w:val="0"/>
        <w:autoSpaceDN w:val="0"/>
        <w:bidi w:val="0"/>
        <w:adjustRightInd w:val="0"/>
        <w:snapToGrid w:val="0"/>
        <w:spacing w:line="440" w:lineRule="exact"/>
        <w:ind w:left="499"/>
        <w:textAlignment w:val="baseline"/>
        <w:rPr>
          <w:rFonts w:hint="eastAsia" w:ascii="宋体" w:hAnsi="宋体" w:eastAsia="宋体" w:cs="宋体"/>
          <w:color w:val="auto"/>
        </w:rPr>
      </w:pPr>
      <w:r>
        <w:rPr>
          <w:rFonts w:hint="eastAsia" w:ascii="宋体" w:hAnsi="宋体" w:eastAsia="宋体" w:cs="宋体"/>
        </w:rPr>
        <w:t xml:space="preserve">1.1.5 </w:t>
      </w:r>
      <w:r>
        <w:rPr>
          <w:rFonts w:hint="eastAsia" w:ascii="宋体" w:hAnsi="宋体" w:eastAsia="宋体" w:cs="宋体"/>
          <w:color w:val="auto"/>
        </w:rPr>
        <w:t>工程建设地点：见投标人须知前附表。</w:t>
      </w:r>
    </w:p>
    <w:p w14:paraId="22F760B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1.2 资金来源和落实情况</w:t>
      </w:r>
    </w:p>
    <w:p w14:paraId="07461DA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1.2.1 本招标工程的资金来源及出资比例：见投标人须知前附表。</w:t>
      </w:r>
    </w:p>
    <w:p w14:paraId="27EB787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1.2.2 本招标工程的资金落实情况：见投标人须知前附表。</w:t>
      </w:r>
    </w:p>
    <w:p w14:paraId="0F7931F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1.3 招标范围、计划工期和质量要求</w:t>
      </w:r>
    </w:p>
    <w:p w14:paraId="377DB3A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1.3.1 本招标工程的招标范围：见投标人须知前附表。</w:t>
      </w:r>
    </w:p>
    <w:p w14:paraId="6C62FED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1.3.2 本招标工程的工期要求：见投标人须知前附表。</w:t>
      </w:r>
    </w:p>
    <w:p w14:paraId="2CD755C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1.3.3 本招标工程的质量要求：见投标人须知前附表。</w:t>
      </w:r>
    </w:p>
    <w:p w14:paraId="5C02547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1.4 投标人资格要求</w:t>
      </w:r>
    </w:p>
    <w:p w14:paraId="607004C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1.4.1 投标人应具备承担本招标工程的资质、资格和其他要求。</w:t>
      </w:r>
    </w:p>
    <w:p w14:paraId="4474C13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1.4.2 投标人不得存在下列情形之一：</w:t>
      </w:r>
    </w:p>
    <w:p w14:paraId="4E25B3F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bookmarkStart w:id="34" w:name="_Toc1841"/>
      <w:r>
        <w:rPr>
          <w:rFonts w:hint="eastAsia" w:ascii="宋体" w:hAnsi="宋体" w:eastAsia="宋体" w:cs="宋体"/>
        </w:rPr>
        <w:t>(1)为招标人不具有独立法人资格的附属机构(单位)；</w:t>
      </w:r>
      <w:bookmarkEnd w:id="34"/>
    </w:p>
    <w:p w14:paraId="1776327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(2)为本工程前期准备提供设计或咨询服务的，但设计施工总承包的除外；</w:t>
      </w:r>
    </w:p>
    <w:p w14:paraId="2C7C003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(3)为本工程的监理人；</w:t>
      </w:r>
    </w:p>
    <w:p w14:paraId="2C20FBC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(4)为本工程的代建人；</w:t>
      </w:r>
    </w:p>
    <w:p w14:paraId="0868955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(5)为本工程提供招标代理服务的；</w:t>
      </w:r>
    </w:p>
    <w:p w14:paraId="2F3597A6">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(6)与本工程的监理人或代建人或招标代理机构同为一个法定代表人的；</w:t>
      </w:r>
    </w:p>
    <w:p w14:paraId="360796D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(7)与本工程的监理人或代建人或招标代理机构相互控股或参股的；</w:t>
      </w:r>
    </w:p>
    <w:p w14:paraId="5C339B2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(8)与本工程的监理人或代建人或招标代理机构相互任职或工作的；</w:t>
      </w:r>
    </w:p>
    <w:p w14:paraId="42D37B6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(9)被责令停业的；</w:t>
      </w:r>
    </w:p>
    <w:p w14:paraId="463241F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(10)被暂停或取消投标资格的(包括项目负责人)；</w:t>
      </w:r>
    </w:p>
    <w:p w14:paraId="111A4E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(11)根据《关于在国有投资建设工程项目招投标活动中实行行贿犯罪档案查询制度的通知》(台建规[2010]219 号)规定，投标人(包括法定代表人)有行贿犯罪记录的(由投标文件提交截止之日上溯3年，行贿犯罪记录日期以法院判决生效日期为准)；</w:t>
      </w:r>
    </w:p>
    <w:p w14:paraId="393E371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1.4.3 投标人须知前附表规定接受联合体投标的，除应符合本章第1.4.1项、第1.4.2项和投标人须知前附表的要求外，还应遵守以下规定：</w:t>
      </w:r>
    </w:p>
    <w:p w14:paraId="22D4EC6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(1)联合体各方应按招标文件提供的格式签订联合体协议书，明确联合体牵头人和各方权利义务；</w:t>
      </w:r>
    </w:p>
    <w:p w14:paraId="5D7E5DA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(2)由同一专业的单位组成的联合体，按照资质等级较低的单位确定资质等级；</w:t>
      </w:r>
    </w:p>
    <w:p w14:paraId="53DC6E0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(3)联合体各方不得再以自己名义单独或参加其他联合体在同一标段中投标。</w:t>
      </w:r>
    </w:p>
    <w:p w14:paraId="4A767EA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(4)招标文件如有同意联合体参加投标的，应在招标文件中写清由联合体的牵 头人提交投标文件及缴纳投标保证金。</w:t>
      </w:r>
    </w:p>
    <w:p w14:paraId="3EE6952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35" w:name="_Toc9828"/>
      <w:r>
        <w:rPr>
          <w:rFonts w:hint="eastAsia" w:ascii="宋体" w:hAnsi="宋体" w:eastAsia="宋体" w:cs="宋体"/>
        </w:rPr>
        <w:t>1.5 费用承担</w:t>
      </w:r>
      <w:bookmarkEnd w:id="35"/>
    </w:p>
    <w:p w14:paraId="2EF4DEF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投标人准备和参加投标活动发生的费用自理。投标人网上免费下载招标文件，不收取任何工本费。</w:t>
      </w:r>
    </w:p>
    <w:p w14:paraId="031BB0B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36" w:name="_Toc8344"/>
      <w:r>
        <w:rPr>
          <w:rFonts w:hint="eastAsia" w:ascii="宋体" w:hAnsi="宋体" w:eastAsia="宋体" w:cs="宋体"/>
        </w:rPr>
        <w:t>1.6 保密</w:t>
      </w:r>
      <w:bookmarkEnd w:id="36"/>
    </w:p>
    <w:p w14:paraId="5856E1F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参与招标投标活动的各方应对招标文件和投标文件中的商业和技术等秘密保密，违者应对由此造成的后果承担法律责任。</w:t>
      </w:r>
    </w:p>
    <w:p w14:paraId="18270B1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37" w:name="_Toc29250"/>
      <w:r>
        <w:rPr>
          <w:rFonts w:hint="eastAsia" w:ascii="宋体" w:hAnsi="宋体" w:eastAsia="宋体" w:cs="宋体"/>
        </w:rPr>
        <w:t>1.7 语言文字</w:t>
      </w:r>
      <w:bookmarkEnd w:id="37"/>
    </w:p>
    <w:p w14:paraId="2CE1136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除专用术语外，与招标投标有关的语言均使用中文。必要时专用术语应附有中文注释。</w:t>
      </w:r>
    </w:p>
    <w:p w14:paraId="51B10F2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bookmarkStart w:id="38" w:name="_Toc9573"/>
      <w:r>
        <w:rPr>
          <w:rFonts w:hint="eastAsia" w:ascii="宋体" w:hAnsi="宋体" w:eastAsia="宋体" w:cs="宋体"/>
        </w:rPr>
        <w:t>1.8 计量单位</w:t>
      </w:r>
      <w:bookmarkEnd w:id="38"/>
    </w:p>
    <w:p w14:paraId="10A0589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rPr>
      </w:pPr>
      <w:r>
        <w:rPr>
          <w:rFonts w:hint="eastAsia" w:ascii="宋体" w:hAnsi="宋体" w:eastAsia="宋体" w:cs="宋体"/>
          <w:color w:val="auto"/>
        </w:rPr>
        <w:t>所有计量均采用中华人民共和国法定计量单位。</w:t>
      </w:r>
      <w:r>
        <w:rPr>
          <w:rFonts w:hint="eastAsia" w:ascii="宋体" w:hAnsi="宋体" w:eastAsia="宋体" w:cs="宋体"/>
          <w:color w:val="auto"/>
          <w:szCs w:val="21"/>
          <w:highlight w:val="none"/>
        </w:rPr>
        <w:t>（报价以“元”为单位，取整数）。</w:t>
      </w:r>
    </w:p>
    <w:p w14:paraId="72735C8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color w:val="auto"/>
        </w:rPr>
      </w:pPr>
      <w:bookmarkStart w:id="39" w:name="_Toc6349"/>
      <w:r>
        <w:rPr>
          <w:rFonts w:hint="eastAsia" w:ascii="宋体" w:hAnsi="宋体" w:eastAsia="宋体" w:cs="宋体"/>
          <w:color w:val="auto"/>
        </w:rPr>
        <w:t>1.9 踏勘现场</w:t>
      </w:r>
      <w:bookmarkEnd w:id="39"/>
    </w:p>
    <w:p w14:paraId="4EB10E9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rPr>
      </w:pPr>
      <w:r>
        <w:rPr>
          <w:rFonts w:hint="eastAsia" w:ascii="宋体" w:hAnsi="宋体" w:eastAsia="宋体" w:cs="宋体"/>
          <w:color w:val="auto"/>
        </w:rPr>
        <w:t>1.9.1 投标人须知前附表规定组织踏勘现场的，招标人按投标人须知前附表规定的时间、地点组织投标人踏勘工程现场。</w:t>
      </w:r>
    </w:p>
    <w:p w14:paraId="798A952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color w:val="auto"/>
        </w:rPr>
      </w:pPr>
      <w:bookmarkStart w:id="40" w:name="_Toc18575"/>
      <w:r>
        <w:rPr>
          <w:rFonts w:hint="eastAsia" w:ascii="宋体" w:hAnsi="宋体" w:eastAsia="宋体" w:cs="宋体"/>
          <w:color w:val="auto"/>
        </w:rPr>
        <w:t>1.9.2 投标人踏勘现场发生的费用自理。</w:t>
      </w:r>
      <w:bookmarkEnd w:id="40"/>
    </w:p>
    <w:p w14:paraId="54888CC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color w:val="auto"/>
        </w:rPr>
        <w:t>1.9.3 除招标人的原因外，投标人自行负责在踏勘现场中所</w:t>
      </w:r>
      <w:r>
        <w:rPr>
          <w:rFonts w:hint="eastAsia" w:ascii="宋体" w:hAnsi="宋体" w:eastAsia="宋体" w:cs="宋体"/>
        </w:rPr>
        <w:t>发生的人员伤亡和财产损失。</w:t>
      </w:r>
    </w:p>
    <w:p w14:paraId="158E5EB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1.9.4 招标人在踏勘现场中介绍的工程场地和相关的周边环境情况，供投标人在编制投标文件时参考，招标人不对投标人据此作出的判断和决策负责。</w:t>
      </w:r>
    </w:p>
    <w:p w14:paraId="11D4DFA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41" w:name="_Toc18949"/>
      <w:r>
        <w:rPr>
          <w:rFonts w:hint="eastAsia" w:ascii="宋体" w:hAnsi="宋体" w:eastAsia="宋体" w:cs="宋体"/>
        </w:rPr>
        <w:t>1.10 投标预备会</w:t>
      </w:r>
      <w:bookmarkEnd w:id="41"/>
    </w:p>
    <w:p w14:paraId="2E94306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投标人须知前附表规定召开投标预备会的，招标人按投标人须知前附表规定的时间和地点召开投标预备会，澄清投标人提出的问题。</w:t>
      </w:r>
    </w:p>
    <w:p w14:paraId="0612B8F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42" w:name="_Toc18271"/>
      <w:r>
        <w:rPr>
          <w:rFonts w:hint="eastAsia" w:ascii="宋体" w:hAnsi="宋体" w:eastAsia="宋体" w:cs="宋体"/>
        </w:rPr>
        <w:t>1.11 分包</w:t>
      </w:r>
      <w:bookmarkEnd w:id="42"/>
    </w:p>
    <w:p w14:paraId="174F914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投标人拟在中标后将中标工程的部分非主体、非关键性工作进行分包的，应符合投标人须知前附表规定的分包内容、分包金额和接受分包的第三人资质要求等限制性条件。</w:t>
      </w:r>
    </w:p>
    <w:p w14:paraId="6284788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43" w:name="_Toc28239"/>
      <w:r>
        <w:rPr>
          <w:rFonts w:hint="eastAsia" w:ascii="宋体" w:hAnsi="宋体" w:eastAsia="宋体" w:cs="宋体"/>
        </w:rPr>
        <w:t>1.12 偏离</w:t>
      </w:r>
      <w:bookmarkEnd w:id="43"/>
    </w:p>
    <w:p w14:paraId="0F10ADEF">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投标人须知前附表允许投标文件偏离招标文件某些要求的，偏离应当符合招标文件规定的偏离范围和幅度。</w:t>
      </w:r>
    </w:p>
    <w:p w14:paraId="0DED69F7">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rPr>
      </w:pPr>
      <w:bookmarkStart w:id="44" w:name="_Toc5965"/>
      <w:r>
        <w:rPr>
          <w:rFonts w:hint="eastAsia" w:ascii="宋体" w:hAnsi="宋体" w:eastAsia="宋体" w:cs="宋体"/>
          <w:b/>
          <w:bCs/>
          <w:sz w:val="28"/>
          <w:szCs w:val="28"/>
        </w:rPr>
        <w:t>招标文件</w:t>
      </w:r>
      <w:bookmarkEnd w:id="44"/>
    </w:p>
    <w:p w14:paraId="6806EEC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45" w:name="_Toc19794"/>
      <w:r>
        <w:rPr>
          <w:rFonts w:hint="eastAsia" w:ascii="宋体" w:hAnsi="宋体" w:eastAsia="宋体" w:cs="宋体"/>
        </w:rPr>
        <w:t>2.1 招标文件的组成 本招标文件包：</w:t>
      </w:r>
      <w:bookmarkEnd w:id="45"/>
    </w:p>
    <w:p w14:paraId="30E8543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color w:val="auto"/>
        </w:rPr>
      </w:pPr>
      <w:r>
        <w:rPr>
          <w:rFonts w:hint="eastAsia" w:ascii="宋体" w:hAnsi="宋体" w:eastAsia="宋体" w:cs="宋体"/>
          <w:color w:val="auto"/>
        </w:rPr>
        <w:t>（1）招标公告（或投标邀请书）；</w:t>
      </w:r>
    </w:p>
    <w:p w14:paraId="1AF1B19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color w:val="auto"/>
        </w:rPr>
      </w:pPr>
      <w:r>
        <w:rPr>
          <w:rFonts w:hint="eastAsia" w:ascii="宋体" w:hAnsi="宋体" w:eastAsia="宋体" w:cs="宋体"/>
          <w:color w:val="auto"/>
        </w:rPr>
        <w:t>（2）投标人须知；</w:t>
      </w:r>
    </w:p>
    <w:p w14:paraId="6170520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color w:val="auto"/>
        </w:rPr>
      </w:pPr>
      <w:r>
        <w:rPr>
          <w:rFonts w:hint="eastAsia" w:ascii="宋体" w:hAnsi="宋体" w:eastAsia="宋体" w:cs="宋体"/>
          <w:color w:val="auto"/>
        </w:rPr>
        <w:t>（3）评标定标办法；</w:t>
      </w:r>
    </w:p>
    <w:p w14:paraId="5E8D779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color w:val="auto"/>
        </w:rPr>
      </w:pPr>
      <w:r>
        <w:rPr>
          <w:rFonts w:hint="eastAsia" w:ascii="宋体" w:hAnsi="宋体" w:eastAsia="宋体" w:cs="宋体"/>
          <w:color w:val="auto"/>
        </w:rPr>
        <w:t>（4）合同条款及格式；</w:t>
      </w:r>
    </w:p>
    <w:p w14:paraId="2A63E75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color w:val="auto"/>
        </w:rPr>
      </w:pPr>
      <w:r>
        <w:rPr>
          <w:rFonts w:hint="eastAsia" w:ascii="宋体" w:hAnsi="宋体" w:eastAsia="宋体" w:cs="宋体"/>
          <w:color w:val="auto"/>
        </w:rPr>
        <w:t>（5）工程量清单编制；</w:t>
      </w:r>
    </w:p>
    <w:p w14:paraId="1F38487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color w:val="auto"/>
        </w:rPr>
      </w:pPr>
      <w:r>
        <w:rPr>
          <w:rFonts w:hint="eastAsia" w:ascii="宋体" w:hAnsi="宋体" w:eastAsia="宋体" w:cs="宋体"/>
          <w:color w:val="auto"/>
        </w:rPr>
        <w:t>（6）技术标准和要求；</w:t>
      </w:r>
    </w:p>
    <w:p w14:paraId="459252B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color w:val="auto"/>
        </w:rPr>
      </w:pPr>
      <w:r>
        <w:rPr>
          <w:rFonts w:hint="eastAsia" w:ascii="宋体" w:hAnsi="宋体" w:eastAsia="宋体" w:cs="宋体"/>
          <w:color w:val="auto"/>
        </w:rPr>
        <w:t>（7）图纸及其他资料；</w:t>
      </w:r>
    </w:p>
    <w:p w14:paraId="2889A78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color w:val="auto"/>
        </w:rPr>
      </w:pPr>
      <w:r>
        <w:rPr>
          <w:rFonts w:hint="eastAsia" w:ascii="宋体" w:hAnsi="宋体" w:eastAsia="宋体" w:cs="宋体"/>
          <w:color w:val="auto"/>
        </w:rPr>
        <w:t>（8）投标文件格式；</w:t>
      </w:r>
    </w:p>
    <w:p w14:paraId="172132D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color w:val="auto"/>
        </w:rPr>
      </w:pPr>
      <w:r>
        <w:rPr>
          <w:rFonts w:hint="eastAsia" w:ascii="宋体" w:hAnsi="宋体" w:eastAsia="宋体" w:cs="宋体"/>
          <w:color w:val="auto"/>
        </w:rPr>
        <w:t>（9）投标人须知前附表规定的其他材料。</w:t>
      </w:r>
    </w:p>
    <w:p w14:paraId="2F41289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除上款内容外，招标人在提交投标文件截止时间前，发布在交易场所(发布招标公告的媒体上)对招标文件的澄清或修改内容，均为招标文件的组成部分，对招标人和投标人起约束作用，投标人应经常浏览发布招标公告的媒体。</w:t>
      </w:r>
    </w:p>
    <w:p w14:paraId="71BFD21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46" w:name="_Toc32062"/>
      <w:r>
        <w:rPr>
          <w:rFonts w:hint="eastAsia" w:ascii="宋体" w:hAnsi="宋体" w:eastAsia="宋体" w:cs="宋体"/>
        </w:rPr>
        <w:t>2.2 招标文件的澄清</w:t>
      </w:r>
      <w:bookmarkEnd w:id="46"/>
    </w:p>
    <w:p w14:paraId="66EBD25C">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2.2.1 投标人从交易场所(发布招标公告的媒体上) 自行下载的方式获取招标文 件及相关附件。投标人在获取招标文件后，应仔细检查招标文件的所有内容，如有内 容不全、对内容有疑问等问题应自招标文件发布在交易场所(发布招标公告的媒体上)10日内向招标人提出，要求招标人对招标文件予以澄清。</w:t>
      </w:r>
    </w:p>
    <w:p w14:paraId="7FF2062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2.2.2 招标人的澄清将在交易场所(发布招标公告的媒体上)发布，所有获取招标文件的潜在投标人自行下载。澄清内容可能影响投标文件编制的，招标人应当在投标截止时间(投标截止时间详见投标人须知前附表2.2.2款规定)至少15日前，将澄清的内容在交易场所(发布招标公告的媒体上)发布；不足15日的，招标人应当顺延投标文件的截止时间。</w:t>
      </w:r>
    </w:p>
    <w:p w14:paraId="02E24A1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2.2.3 招标人及招标代理机构的任何工作人员对投标人所作的任何口头解释、介 绍、答复，只能供投标人参考，对招标人无任何约束力。</w:t>
      </w:r>
    </w:p>
    <w:p w14:paraId="3E40A15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47" w:name="_Toc2210"/>
      <w:r>
        <w:rPr>
          <w:rFonts w:hint="eastAsia" w:ascii="宋体" w:hAnsi="宋体" w:eastAsia="宋体" w:cs="宋体"/>
        </w:rPr>
        <w:t>2.3 招标文件的修改</w:t>
      </w:r>
      <w:bookmarkEnd w:id="47"/>
    </w:p>
    <w:p w14:paraId="29ABE2F0">
      <w:pPr>
        <w:keepNext w:val="0"/>
        <w:keepLines w:val="0"/>
        <w:pageBreakBefore w:val="0"/>
        <w:widowControl/>
        <w:kinsoku w:val="0"/>
        <w:wordWrap/>
        <w:overflowPunct/>
        <w:topLinePunct w:val="0"/>
        <w:autoSpaceDE w:val="0"/>
        <w:autoSpaceDN w:val="0"/>
        <w:bidi w:val="0"/>
        <w:adjustRightInd w:val="0"/>
        <w:snapToGrid w:val="0"/>
        <w:spacing w:line="440" w:lineRule="exact"/>
        <w:ind w:left="3" w:right="110" w:firstLine="471"/>
        <w:textAlignment w:val="baseline"/>
        <w:rPr>
          <w:rFonts w:ascii="宋体" w:hAnsi="宋体" w:cs="宋体"/>
          <w:color w:val="auto"/>
        </w:rPr>
      </w:pPr>
      <w:bookmarkStart w:id="48" w:name="_Toc24298"/>
      <w:r>
        <w:rPr>
          <w:rFonts w:hint="eastAsia" w:ascii="宋体" w:hAnsi="宋体" w:cs="宋体"/>
          <w:color w:val="auto"/>
        </w:rPr>
        <w:t>2.3.1 招标人以投标人须知前附表规定的形式修改招标文件，并通知所有潜在投标人。修改的内容可能影响投标文件编制的，招标人将在投标截止时间至少15日前发布修改文件；不足15日的，招标人应当顺延提交投标文件的截止时间。</w:t>
      </w:r>
    </w:p>
    <w:p w14:paraId="68C6CC73">
      <w:pPr>
        <w:keepNext w:val="0"/>
        <w:keepLines w:val="0"/>
        <w:pageBreakBefore w:val="0"/>
        <w:widowControl/>
        <w:kinsoku w:val="0"/>
        <w:wordWrap/>
        <w:overflowPunct/>
        <w:topLinePunct w:val="0"/>
        <w:autoSpaceDE w:val="0"/>
        <w:autoSpaceDN w:val="0"/>
        <w:bidi w:val="0"/>
        <w:adjustRightInd w:val="0"/>
        <w:snapToGrid w:val="0"/>
        <w:spacing w:line="440" w:lineRule="exact"/>
        <w:ind w:left="4" w:right="108" w:firstLine="482"/>
        <w:textAlignment w:val="baseline"/>
        <w:rPr>
          <w:rFonts w:ascii="宋体" w:hAnsi="宋体" w:cs="宋体"/>
          <w:color w:val="auto"/>
        </w:rPr>
      </w:pPr>
      <w:r>
        <w:rPr>
          <w:rFonts w:hint="eastAsia" w:ascii="宋体" w:hAnsi="宋体" w:cs="宋体"/>
          <w:color w:val="auto"/>
        </w:rPr>
        <w:t>2.3.2 当招标文件的修改内容与招标文件相互矛盾时，以最后发出的补充文件为准。</w:t>
      </w:r>
    </w:p>
    <w:p w14:paraId="725130AF">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rPr>
      </w:pPr>
      <w:r>
        <w:rPr>
          <w:rFonts w:hint="eastAsia" w:ascii="宋体" w:hAnsi="宋体" w:eastAsia="宋体" w:cs="宋体"/>
          <w:b/>
          <w:bCs/>
          <w:sz w:val="28"/>
          <w:szCs w:val="28"/>
        </w:rPr>
        <w:t>投标文件</w:t>
      </w:r>
      <w:bookmarkEnd w:id="48"/>
    </w:p>
    <w:p w14:paraId="515566F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3.1投标文件的组成</w:t>
      </w:r>
    </w:p>
    <w:p w14:paraId="02FF598B">
      <w:pPr>
        <w:keepNext w:val="0"/>
        <w:keepLines w:val="0"/>
        <w:pageBreakBefore w:val="0"/>
        <w:widowControl/>
        <w:kinsoku w:val="0"/>
        <w:wordWrap/>
        <w:overflowPunct/>
        <w:topLinePunct w:val="0"/>
        <w:autoSpaceDE w:val="0"/>
        <w:autoSpaceDN w:val="0"/>
        <w:bidi w:val="0"/>
        <w:adjustRightInd w:val="0"/>
        <w:snapToGrid w:val="0"/>
        <w:spacing w:line="440" w:lineRule="exact"/>
        <w:ind w:left="5" w:right="115" w:firstLine="480"/>
        <w:jc w:val="both"/>
        <w:textAlignment w:val="baseline"/>
        <w:rPr>
          <w:rFonts w:ascii="宋体" w:hAnsi="宋体" w:cs="宋体"/>
          <w:color w:val="auto"/>
        </w:rPr>
      </w:pPr>
      <w:r>
        <w:rPr>
          <w:rFonts w:hint="eastAsia" w:ascii="宋体" w:hAnsi="宋体" w:cs="宋体"/>
          <w:color w:val="auto"/>
        </w:rPr>
        <w:t>技术标打分制的综合评估法的投标文件由资信标、技术标、商务标组成，详见投标人须知前附表3.1。</w:t>
      </w:r>
    </w:p>
    <w:p w14:paraId="1F737DA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3.2投标报价</w:t>
      </w:r>
    </w:p>
    <w:p w14:paraId="25A7ABF3">
      <w:pPr>
        <w:pStyle w:val="10"/>
        <w:keepNext w:val="0"/>
        <w:keepLines w:val="0"/>
        <w:pageBreakBefore w:val="0"/>
        <w:widowControl/>
        <w:numPr>
          <w:ilvl w:val="1"/>
          <w:numId w:val="0"/>
        </w:numPr>
        <w:kinsoku w:val="0"/>
        <w:wordWrap/>
        <w:overflowPunct/>
        <w:topLinePunct w:val="0"/>
        <w:autoSpaceDE w:val="0"/>
        <w:autoSpaceDN w:val="0"/>
        <w:bidi w:val="0"/>
        <w:adjustRightInd w:val="0"/>
        <w:snapToGrid w:val="0"/>
        <w:spacing w:after="0" w:line="440" w:lineRule="exact"/>
        <w:ind w:firstLine="480" w:firstLineChars="200"/>
        <w:textAlignment w:val="baseline"/>
        <w:rPr>
          <w:rFonts w:hint="eastAsia" w:ascii="黑体" w:eastAsia="黑体"/>
          <w:b/>
          <w:bCs/>
          <w:color w:val="000000"/>
          <w:highlight w:val="none"/>
        </w:rPr>
      </w:pPr>
      <w:r>
        <w:rPr>
          <w:rFonts w:hint="eastAsia"/>
          <w:color w:val="000000"/>
          <w:highlight w:val="none"/>
        </w:rPr>
        <w:t>3.2.1报价内容：投标报价应是招标文件所确定的招标范围内全部工作内容的价格表现。其应包括产品的设计制造、包装、运输（含装卸）、产品保护、货到就位、设备安装、调试、试运行、技术服务、售后服务、质量保修及配合相关部门验收（含第三方验收）等工作</w:t>
      </w:r>
      <w:r>
        <w:rPr>
          <w:rFonts w:hint="eastAsia" w:ascii="宋体" w:hAnsi="宋体"/>
          <w:color w:val="000000"/>
          <w:highlight w:val="none"/>
        </w:rPr>
        <w:t>、退货、保险、利润、税金、政策性文件规定及合同包含的所有风险、责任等所有费用</w:t>
      </w:r>
      <w:r>
        <w:rPr>
          <w:rFonts w:hint="eastAsia"/>
          <w:color w:val="000000"/>
          <w:highlight w:val="none"/>
        </w:rPr>
        <w:t>。</w:t>
      </w:r>
      <w:r>
        <w:rPr>
          <w:rFonts w:hint="eastAsia" w:ascii="黑体" w:eastAsia="黑体"/>
          <w:b/>
          <w:bCs/>
          <w:color w:val="000000"/>
          <w:highlight w:val="none"/>
        </w:rPr>
        <w:t>供货期以日历天计。</w:t>
      </w:r>
    </w:p>
    <w:p w14:paraId="47915B71">
      <w:pPr>
        <w:pStyle w:val="10"/>
        <w:keepNext w:val="0"/>
        <w:keepLines w:val="0"/>
        <w:pageBreakBefore w:val="0"/>
        <w:widowControl/>
        <w:numPr>
          <w:ilvl w:val="1"/>
          <w:numId w:val="0"/>
        </w:numPr>
        <w:kinsoku w:val="0"/>
        <w:wordWrap/>
        <w:overflowPunct/>
        <w:topLinePunct w:val="0"/>
        <w:autoSpaceDE w:val="0"/>
        <w:autoSpaceDN w:val="0"/>
        <w:bidi w:val="0"/>
        <w:adjustRightInd w:val="0"/>
        <w:snapToGrid w:val="0"/>
        <w:spacing w:after="0" w:line="440" w:lineRule="exact"/>
        <w:ind w:firstLine="480" w:firstLineChars="200"/>
        <w:textAlignment w:val="baseline"/>
        <w:rPr>
          <w:rFonts w:hint="eastAsia"/>
          <w:color w:val="000000"/>
          <w:highlight w:val="none"/>
        </w:rPr>
      </w:pPr>
      <w:r>
        <w:rPr>
          <w:rFonts w:hint="eastAsia"/>
          <w:color w:val="000000"/>
          <w:highlight w:val="none"/>
        </w:rPr>
        <w:t>3.2.2报价方式</w:t>
      </w:r>
      <w:r>
        <w:rPr>
          <w:color w:val="000000"/>
          <w:highlight w:val="none"/>
        </w:rPr>
        <w:t>：</w:t>
      </w:r>
      <w:r>
        <w:rPr>
          <w:rFonts w:hint="eastAsia" w:ascii="黑体" w:hAnsi="宋体" w:eastAsia="黑体"/>
          <w:b/>
          <w:bCs/>
          <w:color w:val="000000"/>
          <w:highlight w:val="none"/>
        </w:rPr>
        <w:t>按采购清单中所列品目单价报价形成一个报价总价计</w:t>
      </w:r>
      <w:r>
        <w:rPr>
          <w:rFonts w:hint="eastAsia"/>
          <w:color w:val="000000"/>
          <w:highlight w:val="none"/>
        </w:rPr>
        <w:t>。</w:t>
      </w:r>
    </w:p>
    <w:p w14:paraId="09B2FF9F">
      <w:pPr>
        <w:pStyle w:val="10"/>
        <w:keepNext w:val="0"/>
        <w:keepLines w:val="0"/>
        <w:pageBreakBefore w:val="0"/>
        <w:widowControl/>
        <w:numPr>
          <w:ilvl w:val="1"/>
          <w:numId w:val="0"/>
        </w:numPr>
        <w:kinsoku w:val="0"/>
        <w:wordWrap/>
        <w:overflowPunct/>
        <w:topLinePunct w:val="0"/>
        <w:autoSpaceDE w:val="0"/>
        <w:autoSpaceDN w:val="0"/>
        <w:bidi w:val="0"/>
        <w:adjustRightInd w:val="0"/>
        <w:snapToGrid w:val="0"/>
        <w:spacing w:after="0" w:line="440" w:lineRule="exact"/>
        <w:ind w:firstLine="480" w:firstLineChars="200"/>
        <w:textAlignment w:val="baseline"/>
        <w:rPr>
          <w:rFonts w:hint="eastAsia"/>
          <w:color w:val="000000"/>
          <w:highlight w:val="none"/>
        </w:rPr>
      </w:pPr>
      <w:r>
        <w:rPr>
          <w:rFonts w:hint="eastAsia"/>
          <w:color w:val="000000"/>
          <w:highlight w:val="none"/>
        </w:rPr>
        <w:t>3.2.3附件中除空白部分由投标人自报外，其余内容作为投标报价的共同基础。</w:t>
      </w:r>
    </w:p>
    <w:p w14:paraId="72793F03">
      <w:pPr>
        <w:pStyle w:val="10"/>
        <w:keepNext w:val="0"/>
        <w:keepLines w:val="0"/>
        <w:pageBreakBefore w:val="0"/>
        <w:widowControl/>
        <w:numPr>
          <w:ilvl w:val="1"/>
          <w:numId w:val="0"/>
        </w:numPr>
        <w:kinsoku w:val="0"/>
        <w:wordWrap/>
        <w:overflowPunct/>
        <w:topLinePunct w:val="0"/>
        <w:autoSpaceDE w:val="0"/>
        <w:autoSpaceDN w:val="0"/>
        <w:bidi w:val="0"/>
        <w:adjustRightInd w:val="0"/>
        <w:snapToGrid w:val="0"/>
        <w:spacing w:after="0" w:line="440" w:lineRule="exact"/>
        <w:ind w:firstLine="480" w:firstLineChars="200"/>
        <w:textAlignment w:val="baseline"/>
        <w:rPr>
          <w:rFonts w:hint="eastAsia"/>
          <w:color w:val="000000"/>
          <w:highlight w:val="none"/>
        </w:rPr>
      </w:pPr>
      <w:r>
        <w:rPr>
          <w:rFonts w:hint="eastAsia"/>
          <w:color w:val="000000"/>
          <w:highlight w:val="none"/>
        </w:rPr>
        <w:t>3.2.4供货期：在招标人（或其委托人）发出供货通知书（或者提单）后，中标人按照中标承诺书中承诺的日历天内完成供货。供货周期为中标通知书发出之日起至工程完工验收止。</w:t>
      </w:r>
    </w:p>
    <w:p w14:paraId="05E13F13">
      <w:pPr>
        <w:pStyle w:val="10"/>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color w:val="000000"/>
          <w:highlight w:val="none"/>
        </w:rPr>
      </w:pPr>
      <w:r>
        <w:rPr>
          <w:rFonts w:hint="eastAsia"/>
          <w:color w:val="000000"/>
          <w:highlight w:val="none"/>
        </w:rPr>
        <w:t>3.2.5投标报价特别说明：</w:t>
      </w:r>
    </w:p>
    <w:p w14:paraId="6C1F6350">
      <w:pPr>
        <w:pStyle w:val="10"/>
        <w:keepNext w:val="0"/>
        <w:keepLines w:val="0"/>
        <w:pageBreakBefore w:val="0"/>
        <w:widowControl/>
        <w:numPr>
          <w:ilvl w:val="0"/>
          <w:numId w:val="25"/>
        </w:numPr>
        <w:kinsoku w:val="0"/>
        <w:wordWrap/>
        <w:overflowPunct/>
        <w:topLinePunct w:val="0"/>
        <w:autoSpaceDE w:val="0"/>
        <w:autoSpaceDN w:val="0"/>
        <w:bidi w:val="0"/>
        <w:adjustRightInd w:val="0"/>
        <w:snapToGrid w:val="0"/>
        <w:spacing w:line="440" w:lineRule="exact"/>
        <w:ind w:left="0" w:leftChars="0" w:firstLine="480" w:firstLineChars="200"/>
        <w:textAlignment w:val="baseline"/>
        <w:rPr>
          <w:rFonts w:hint="eastAsia"/>
          <w:color w:val="000000"/>
          <w:highlight w:val="none"/>
        </w:rPr>
      </w:pPr>
      <w:r>
        <w:rPr>
          <w:color w:val="000000"/>
          <w:highlight w:val="none"/>
        </w:rPr>
        <w:t xml:space="preserve">结算单价按招标人提供的采购清单中各品目单价计。 </w:t>
      </w:r>
    </w:p>
    <w:p w14:paraId="32C5E7D7">
      <w:pPr>
        <w:pStyle w:val="10"/>
        <w:keepNext w:val="0"/>
        <w:keepLines w:val="0"/>
        <w:pageBreakBefore w:val="0"/>
        <w:widowControl/>
        <w:numPr>
          <w:ilvl w:val="0"/>
          <w:numId w:val="25"/>
        </w:numPr>
        <w:kinsoku w:val="0"/>
        <w:wordWrap/>
        <w:overflowPunct/>
        <w:topLinePunct w:val="0"/>
        <w:autoSpaceDE w:val="0"/>
        <w:autoSpaceDN w:val="0"/>
        <w:bidi w:val="0"/>
        <w:adjustRightInd w:val="0"/>
        <w:snapToGrid w:val="0"/>
        <w:spacing w:line="440" w:lineRule="exact"/>
        <w:ind w:left="0" w:leftChars="0" w:firstLine="482" w:firstLineChars="200"/>
        <w:textAlignment w:val="baseline"/>
        <w:rPr>
          <w:rFonts w:hint="eastAsia"/>
          <w:b/>
          <w:bCs/>
          <w:color w:val="000000"/>
          <w:highlight w:val="none"/>
        </w:rPr>
      </w:pPr>
      <w:r>
        <w:rPr>
          <w:rFonts w:hint="eastAsia"/>
          <w:b/>
          <w:bCs/>
          <w:color w:val="000000"/>
          <w:highlight w:val="none"/>
        </w:rPr>
        <w:t>中标人应当积极配合招标人工程进度要求，及时合理安排供货。</w:t>
      </w:r>
    </w:p>
    <w:p w14:paraId="0E78B8E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3.3 投标有效期</w:t>
      </w:r>
    </w:p>
    <w:p w14:paraId="0CBDF28C">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cs="宋体"/>
          <w:color w:val="auto"/>
        </w:rPr>
      </w:pPr>
      <w:bookmarkStart w:id="49" w:name="_Toc16771"/>
      <w:r>
        <w:rPr>
          <w:rFonts w:hint="eastAsia" w:ascii="宋体" w:hAnsi="宋体" w:cs="宋体"/>
          <w:color w:val="auto"/>
        </w:rPr>
        <w:t>3.3.1 在投标人须知前附表规定的投标有效期内，投标人不得要求撤销或修改其投标文件。</w:t>
      </w:r>
    </w:p>
    <w:p w14:paraId="6EA036AE">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cs="宋体"/>
          <w:color w:val="auto"/>
        </w:rPr>
      </w:pPr>
      <w:r>
        <w:rPr>
          <w:rFonts w:hint="eastAsia" w:ascii="宋体" w:hAnsi="宋体" w:cs="宋体"/>
          <w:color w:val="auto"/>
        </w:rPr>
        <w:t>3.3.2 在投标有效期内，投标人撤销投标文件的，应承担招标文件和法律规定的责任。</w:t>
      </w:r>
    </w:p>
    <w:p w14:paraId="6C3AD543">
      <w:pPr>
        <w:keepNext w:val="0"/>
        <w:keepLines w:val="0"/>
        <w:pageBreakBefore w:val="0"/>
        <w:widowControl/>
        <w:kinsoku w:val="0"/>
        <w:wordWrap/>
        <w:overflowPunct/>
        <w:topLinePunct w:val="0"/>
        <w:autoSpaceDE w:val="0"/>
        <w:autoSpaceDN w:val="0"/>
        <w:bidi w:val="0"/>
        <w:adjustRightInd w:val="0"/>
        <w:snapToGrid w:val="0"/>
        <w:spacing w:line="440" w:lineRule="exact"/>
        <w:ind w:left="0" w:right="0" w:firstLine="480" w:firstLineChars="200"/>
        <w:textAlignment w:val="baseline"/>
        <w:rPr>
          <w:rFonts w:ascii="宋体" w:hAnsi="宋体" w:cs="宋体"/>
          <w:color w:val="auto"/>
        </w:rPr>
      </w:pPr>
      <w:r>
        <w:rPr>
          <w:rFonts w:hint="eastAsia" w:ascii="宋体" w:hAnsi="宋体" w:cs="宋体"/>
          <w:color w:val="auto"/>
        </w:rPr>
        <w:t>3.3.3出现特殊情况需要延长投标有效期的，招标人以书面形式（或电子交易平台）通知所有投标人延长投标有效期。投标人应予以书面答复，同意延长的，应相应延长其投标保证金的有效期，但不得要求或被允许修改其投标文件；投标人拒绝延长的，其投标失效，但投标人有权收回其投标保证金。</w:t>
      </w:r>
    </w:p>
    <w:p w14:paraId="0112979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3.4 投标担保</w:t>
      </w:r>
      <w:bookmarkEnd w:id="49"/>
    </w:p>
    <w:p w14:paraId="414F63E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3.4.1 投标人在递交投标文件的同时，应按投标人须知前附表规定递交投标担保。</w:t>
      </w:r>
    </w:p>
    <w:p w14:paraId="1DB7CCFE">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3.4.2 投标人不按本章第3.4.1项要求提交投标担保的，招标人将视为不响应投标而予以拒绝。</w:t>
      </w:r>
    </w:p>
    <w:p w14:paraId="2F3FDCD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3.4.3 投标担保按以下方式退还：</w:t>
      </w:r>
    </w:p>
    <w:p w14:paraId="40077F7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(1)中标人在合同签订后退还；</w:t>
      </w:r>
    </w:p>
    <w:p w14:paraId="7AB1D8E2">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(2)其余投标人(含无效标的)在中标候选人公示结束后退还。</w:t>
      </w:r>
    </w:p>
    <w:p w14:paraId="7C033798">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Ansi="宋体"/>
          <w:color w:val="auto"/>
        </w:rPr>
      </w:pPr>
      <w:r>
        <w:rPr>
          <w:rFonts w:hint="eastAsia" w:ascii="宋体" w:hAnsi="宋体" w:eastAsia="宋体" w:cs="宋体"/>
        </w:rPr>
        <w:t xml:space="preserve">3.4.4 </w:t>
      </w:r>
      <w:bookmarkStart w:id="50" w:name="_Toc12110"/>
      <w:r>
        <w:rPr>
          <w:rFonts w:hint="eastAsia" w:hAnsi="宋体"/>
          <w:color w:val="auto"/>
        </w:rPr>
        <w:t>有下列情形之一的，投标保证金将不予退还：</w:t>
      </w:r>
    </w:p>
    <w:p w14:paraId="59F17FFD">
      <w:pPr>
        <w:pStyle w:val="10"/>
        <w:numPr>
          <w:ilvl w:val="0"/>
          <w:numId w:val="26"/>
        </w:numPr>
        <w:kinsoku w:val="0"/>
        <w:spacing w:line="460" w:lineRule="exact"/>
        <w:ind w:left="0" w:firstLine="476" w:firstLineChars="200"/>
        <w:jc w:val="both"/>
        <w:rPr>
          <w:rFonts w:hAnsi="宋体"/>
          <w:spacing w:val="-1"/>
        </w:rPr>
      </w:pPr>
      <w:r>
        <w:rPr>
          <w:rFonts w:hint="eastAsia" w:hAnsi="宋体"/>
          <w:color w:val="auto"/>
          <w:spacing w:val="-1"/>
        </w:rPr>
        <w:t>投标人违反《台州市建设工程诚信投标承诺书》承诺内容，或者对《投标人资格自查表》中</w:t>
      </w:r>
      <w:r>
        <w:rPr>
          <w:rFonts w:hint="eastAsia" w:hAnsi="宋体"/>
          <w:spacing w:val="-1"/>
        </w:rPr>
        <w:t>的自查内容进行虚假瞒报的；</w:t>
      </w:r>
    </w:p>
    <w:p w14:paraId="3BB4DBD2">
      <w:pPr>
        <w:pStyle w:val="10"/>
        <w:numPr>
          <w:ilvl w:val="0"/>
          <w:numId w:val="0"/>
        </w:numPr>
        <w:kinsoku w:val="0"/>
        <w:spacing w:line="460" w:lineRule="exact"/>
        <w:ind w:leftChars="200"/>
        <w:jc w:val="both"/>
        <w:rPr>
          <w:rFonts w:hAnsi="宋体"/>
        </w:rPr>
      </w:pPr>
      <w:r>
        <w:rPr>
          <w:rFonts w:hint="eastAsia" w:hAnsi="宋体"/>
          <w:lang w:val="en-US" w:eastAsia="zh-CN"/>
        </w:rPr>
        <w:t>3.4.5</w:t>
      </w:r>
      <w:r>
        <w:rPr>
          <w:rFonts w:hint="eastAsia" w:hAnsi="宋体"/>
        </w:rPr>
        <w:t>本招标文件的“投标保证金不予退还”是指:</w:t>
      </w:r>
    </w:p>
    <w:p w14:paraId="30F578AC">
      <w:pPr>
        <w:pStyle w:val="10"/>
        <w:numPr>
          <w:ilvl w:val="0"/>
          <w:numId w:val="27"/>
        </w:numPr>
        <w:kinsoku w:val="0"/>
        <w:spacing w:line="460" w:lineRule="exact"/>
        <w:ind w:left="0" w:firstLine="476" w:firstLineChars="200"/>
        <w:jc w:val="both"/>
        <w:rPr>
          <w:rFonts w:hAnsi="宋体"/>
          <w:spacing w:val="-1"/>
        </w:rPr>
      </w:pPr>
      <w:r>
        <w:rPr>
          <w:rFonts w:hint="eastAsia" w:hAnsi="宋体"/>
          <w:spacing w:val="-1"/>
        </w:rPr>
        <w:t>以现金转账形式，转账现金不予退还。</w:t>
      </w:r>
    </w:p>
    <w:p w14:paraId="38BDEB81">
      <w:pPr>
        <w:pStyle w:val="10"/>
        <w:numPr>
          <w:ilvl w:val="0"/>
          <w:numId w:val="27"/>
        </w:numPr>
        <w:kinsoku w:val="0"/>
        <w:spacing w:line="460" w:lineRule="exact"/>
        <w:ind w:left="0" w:firstLine="476" w:firstLineChars="200"/>
        <w:jc w:val="both"/>
        <w:rPr>
          <w:rFonts w:hAnsi="宋体"/>
          <w:spacing w:val="-1"/>
        </w:rPr>
      </w:pPr>
      <w:r>
        <w:rPr>
          <w:rFonts w:hint="eastAsia" w:hAnsi="宋体"/>
          <w:spacing w:val="-1"/>
        </w:rPr>
        <w:t>以银行保函形式，招标人作为受益人向银行提起索赔。</w:t>
      </w:r>
    </w:p>
    <w:p w14:paraId="10E44F9F">
      <w:pPr>
        <w:pStyle w:val="10"/>
        <w:numPr>
          <w:ilvl w:val="0"/>
          <w:numId w:val="27"/>
        </w:numPr>
        <w:kinsoku w:val="0"/>
        <w:spacing w:line="460" w:lineRule="exact"/>
        <w:ind w:left="0" w:firstLine="476" w:firstLineChars="200"/>
        <w:jc w:val="both"/>
        <w:rPr>
          <w:rFonts w:hAnsi="宋体"/>
          <w:spacing w:val="-1"/>
        </w:rPr>
      </w:pPr>
      <w:r>
        <w:rPr>
          <w:rFonts w:hint="eastAsia" w:hAnsi="宋体"/>
          <w:spacing w:val="-1"/>
        </w:rPr>
        <w:t>以保证保险形式，招标人作为被保险人（受益人）向保险人提起索赔。</w:t>
      </w:r>
    </w:p>
    <w:p w14:paraId="5F18D7D5">
      <w:pPr>
        <w:pStyle w:val="10"/>
        <w:numPr>
          <w:ilvl w:val="0"/>
          <w:numId w:val="27"/>
        </w:numPr>
        <w:kinsoku w:val="0"/>
        <w:spacing w:line="460" w:lineRule="exact"/>
        <w:ind w:left="0" w:firstLine="476" w:firstLineChars="200"/>
        <w:jc w:val="both"/>
        <w:rPr>
          <w:rFonts w:hAnsi="宋体"/>
          <w:spacing w:val="-1"/>
        </w:rPr>
      </w:pPr>
      <w:r>
        <w:rPr>
          <w:rFonts w:hint="eastAsia" w:hAnsi="宋体"/>
          <w:spacing w:val="-1"/>
        </w:rPr>
        <w:t>以担保公司担保形式,招标人作为受益人向担保人提起索赔。</w:t>
      </w:r>
    </w:p>
    <w:p w14:paraId="7B7B818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3.5 备选投标方案</w:t>
      </w:r>
      <w:bookmarkEnd w:id="50"/>
    </w:p>
    <w:p w14:paraId="4C23F3A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除投标人须知前附表另有规定外，投标人不得递交备选投标方案。允许投标人递交备选投标方案的，只有中标人所递交的备选投标方案方可予以考虑。评标委员会认为中标人的备选投标方案优于其按照招标文件要求编制的投标方案的，招标人可以接受该备选投标方案。</w:t>
      </w:r>
    </w:p>
    <w:p w14:paraId="1A4713B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51" w:name="_Toc12088"/>
      <w:r>
        <w:rPr>
          <w:rFonts w:hint="eastAsia" w:ascii="宋体" w:hAnsi="宋体" w:eastAsia="宋体" w:cs="宋体"/>
        </w:rPr>
        <w:t>3.6 投标文件的编制</w:t>
      </w:r>
      <w:bookmarkEnd w:id="51"/>
    </w:p>
    <w:p w14:paraId="62B98BED">
      <w:pPr>
        <w:keepNext w:val="0"/>
        <w:keepLines w:val="0"/>
        <w:pageBreakBefore w:val="0"/>
        <w:widowControl/>
        <w:kinsoku w:val="0"/>
        <w:wordWrap/>
        <w:overflowPunct/>
        <w:topLinePunct w:val="0"/>
        <w:autoSpaceDE w:val="0"/>
        <w:autoSpaceDN w:val="0"/>
        <w:bidi w:val="0"/>
        <w:adjustRightInd w:val="0"/>
        <w:snapToGrid w:val="0"/>
        <w:spacing w:line="440" w:lineRule="exact"/>
        <w:ind w:right="9" w:firstLine="485"/>
        <w:textAlignment w:val="baseline"/>
        <w:rPr>
          <w:rFonts w:ascii="宋体" w:hAnsi="宋体" w:cs="宋体"/>
          <w:color w:val="auto"/>
        </w:rPr>
      </w:pPr>
      <w:bookmarkStart w:id="52" w:name="_Toc24726"/>
      <w:r>
        <w:rPr>
          <w:rFonts w:hint="eastAsia" w:ascii="宋体" w:hAnsi="宋体" w:cs="宋体"/>
          <w:color w:val="auto"/>
        </w:rPr>
        <w:t>3.</w:t>
      </w:r>
      <w:r>
        <w:rPr>
          <w:rFonts w:hint="eastAsia" w:ascii="宋体" w:hAnsi="宋体" w:eastAsia="宋体" w:cs="宋体"/>
          <w:color w:val="auto"/>
          <w:lang w:val="en-US" w:eastAsia="zh-CN"/>
        </w:rPr>
        <w:t>6</w:t>
      </w:r>
      <w:r>
        <w:rPr>
          <w:rFonts w:hint="eastAsia" w:ascii="宋体" w:hAnsi="宋体" w:cs="宋体"/>
          <w:color w:val="auto"/>
        </w:rPr>
        <w:t>.1投标文件应按第</w:t>
      </w:r>
      <w:r>
        <w:rPr>
          <w:rFonts w:hint="eastAsia" w:ascii="宋体" w:hAnsi="宋体" w:eastAsia="宋体" w:cs="宋体"/>
          <w:color w:val="auto"/>
          <w:lang w:eastAsia="zh-CN"/>
        </w:rPr>
        <w:t>六</w:t>
      </w:r>
      <w:r>
        <w:rPr>
          <w:rFonts w:hint="eastAsia" w:ascii="宋体" w:hAnsi="宋体" w:cs="宋体"/>
          <w:color w:val="auto"/>
        </w:rPr>
        <w:t>章“投标文件格式”进行编写，如有必要，可以增加附页，作为投标文件的组成部分。其中，投标函附录在满足招标文件实质性要求的基础上，可以提出比招标文件要求更有利于招标人的承诺。投标文件应尽量避免涂改、行间插字或删除。</w:t>
      </w:r>
    </w:p>
    <w:p w14:paraId="1BD80210">
      <w:pPr>
        <w:keepNext w:val="0"/>
        <w:keepLines w:val="0"/>
        <w:pageBreakBefore w:val="0"/>
        <w:widowControl/>
        <w:kinsoku w:val="0"/>
        <w:wordWrap/>
        <w:overflowPunct/>
        <w:topLinePunct w:val="0"/>
        <w:autoSpaceDE w:val="0"/>
        <w:autoSpaceDN w:val="0"/>
        <w:bidi w:val="0"/>
        <w:adjustRightInd w:val="0"/>
        <w:snapToGrid w:val="0"/>
        <w:spacing w:line="440" w:lineRule="exact"/>
        <w:ind w:left="1" w:right="9" w:firstLine="484"/>
        <w:textAlignment w:val="baseline"/>
        <w:rPr>
          <w:rFonts w:ascii="宋体" w:hAnsi="宋体" w:cs="宋体"/>
          <w:color w:val="auto"/>
        </w:rPr>
      </w:pPr>
      <w:r>
        <w:rPr>
          <w:rFonts w:hint="eastAsia" w:ascii="宋体" w:hAnsi="宋体" w:cs="宋体"/>
          <w:color w:val="auto"/>
        </w:rPr>
        <w:t>3.</w:t>
      </w:r>
      <w:r>
        <w:rPr>
          <w:rFonts w:hint="eastAsia" w:ascii="宋体" w:hAnsi="宋体" w:eastAsia="宋体" w:cs="宋体"/>
          <w:color w:val="auto"/>
          <w:lang w:val="en-US" w:eastAsia="zh-CN"/>
        </w:rPr>
        <w:t>6</w:t>
      </w:r>
      <w:r>
        <w:rPr>
          <w:rFonts w:hint="eastAsia" w:ascii="宋体" w:hAnsi="宋体" w:cs="宋体"/>
          <w:color w:val="auto"/>
        </w:rPr>
        <w:t>.2投标文件应当对招标文件有关</w:t>
      </w:r>
      <w:r>
        <w:rPr>
          <w:rFonts w:hint="eastAsia" w:ascii="宋体" w:hAnsi="宋体" w:eastAsia="宋体" w:cs="宋体"/>
          <w:color w:val="auto"/>
          <w:lang w:eastAsia="zh-CN"/>
        </w:rPr>
        <w:t>供货期</w:t>
      </w:r>
      <w:r>
        <w:rPr>
          <w:rFonts w:hint="eastAsia" w:ascii="宋体" w:hAnsi="宋体" w:cs="宋体"/>
          <w:color w:val="auto"/>
        </w:rPr>
        <w:t>、投标有效期、质量要求、技术标准和要求、招标范围等实质性内容作出响应。</w:t>
      </w:r>
    </w:p>
    <w:p w14:paraId="7FCE7467">
      <w:pPr>
        <w:keepNext w:val="0"/>
        <w:keepLines w:val="0"/>
        <w:pageBreakBefore w:val="0"/>
        <w:widowControl/>
        <w:kinsoku w:val="0"/>
        <w:wordWrap/>
        <w:overflowPunct/>
        <w:topLinePunct w:val="0"/>
        <w:autoSpaceDE w:val="0"/>
        <w:autoSpaceDN w:val="0"/>
        <w:bidi w:val="0"/>
        <w:adjustRightInd w:val="0"/>
        <w:snapToGrid w:val="0"/>
        <w:spacing w:line="440" w:lineRule="exact"/>
        <w:ind w:left="486"/>
        <w:textAlignment w:val="baseline"/>
        <w:rPr>
          <w:rFonts w:ascii="宋体" w:hAnsi="宋体" w:cs="宋体"/>
          <w:color w:val="auto"/>
        </w:rPr>
      </w:pPr>
      <w:r>
        <w:rPr>
          <w:rFonts w:hint="eastAsia" w:ascii="宋体" w:hAnsi="宋体" w:cs="宋体"/>
          <w:color w:val="auto"/>
        </w:rPr>
        <w:t>3.</w:t>
      </w:r>
      <w:r>
        <w:rPr>
          <w:rFonts w:hint="eastAsia" w:ascii="宋体" w:hAnsi="宋体" w:eastAsia="宋体" w:cs="宋体"/>
          <w:color w:val="auto"/>
          <w:lang w:val="en-US" w:eastAsia="zh-CN"/>
        </w:rPr>
        <w:t>6</w:t>
      </w:r>
      <w:r>
        <w:rPr>
          <w:rFonts w:hint="eastAsia" w:ascii="宋体" w:hAnsi="宋体" w:cs="宋体"/>
          <w:color w:val="auto"/>
        </w:rPr>
        <w:t>.3电子投标的要求</w:t>
      </w:r>
    </w:p>
    <w:p w14:paraId="595C43EF">
      <w:pPr>
        <w:keepNext w:val="0"/>
        <w:keepLines w:val="0"/>
        <w:pageBreakBefore w:val="0"/>
        <w:widowControl/>
        <w:kinsoku w:val="0"/>
        <w:wordWrap/>
        <w:overflowPunct/>
        <w:topLinePunct w:val="0"/>
        <w:autoSpaceDE w:val="0"/>
        <w:autoSpaceDN w:val="0"/>
        <w:bidi w:val="0"/>
        <w:adjustRightInd w:val="0"/>
        <w:snapToGrid w:val="0"/>
        <w:spacing w:line="440" w:lineRule="exact"/>
        <w:ind w:left="492"/>
        <w:textAlignment w:val="baseline"/>
        <w:rPr>
          <w:rFonts w:ascii="宋体" w:hAnsi="宋体" w:cs="宋体"/>
          <w:color w:val="auto"/>
        </w:rPr>
      </w:pPr>
      <w:r>
        <w:rPr>
          <w:rFonts w:hint="eastAsia" w:ascii="宋体" w:hAnsi="宋体" w:cs="宋体"/>
          <w:color w:val="auto"/>
        </w:rPr>
        <w:t>（1）电子投标文件签字或盖章的具体要求见投标人须知前附表。</w:t>
      </w:r>
    </w:p>
    <w:p w14:paraId="5FFB1CDC">
      <w:pPr>
        <w:keepNext w:val="0"/>
        <w:keepLines w:val="0"/>
        <w:pageBreakBefore w:val="0"/>
        <w:widowControl/>
        <w:kinsoku w:val="0"/>
        <w:wordWrap/>
        <w:overflowPunct/>
        <w:topLinePunct w:val="0"/>
        <w:autoSpaceDE w:val="0"/>
        <w:autoSpaceDN w:val="0"/>
        <w:bidi w:val="0"/>
        <w:adjustRightInd w:val="0"/>
        <w:snapToGrid w:val="0"/>
        <w:spacing w:line="440" w:lineRule="exact"/>
        <w:ind w:left="492"/>
        <w:textAlignment w:val="baseline"/>
        <w:rPr>
          <w:rFonts w:ascii="宋体" w:hAnsi="宋体" w:cs="宋体"/>
          <w:color w:val="auto"/>
        </w:rPr>
      </w:pPr>
      <w:r>
        <w:rPr>
          <w:rFonts w:hint="eastAsia" w:ascii="宋体" w:hAnsi="宋体" w:cs="宋体"/>
          <w:color w:val="auto"/>
        </w:rPr>
        <w:t>（2）电子投标文件制作要求见投标人须知前附表。</w:t>
      </w:r>
    </w:p>
    <w:p w14:paraId="7931D29C">
      <w:pPr>
        <w:keepNext w:val="0"/>
        <w:keepLines w:val="0"/>
        <w:pageBreakBefore w:val="0"/>
        <w:widowControl/>
        <w:kinsoku w:val="0"/>
        <w:wordWrap/>
        <w:overflowPunct/>
        <w:topLinePunct w:val="0"/>
        <w:autoSpaceDE w:val="0"/>
        <w:autoSpaceDN w:val="0"/>
        <w:bidi w:val="0"/>
        <w:adjustRightInd w:val="0"/>
        <w:snapToGrid w:val="0"/>
        <w:spacing w:line="440" w:lineRule="exact"/>
        <w:ind w:left="7" w:right="4" w:firstLine="485"/>
        <w:textAlignment w:val="baseline"/>
        <w:rPr>
          <w:rFonts w:ascii="宋体" w:hAnsi="宋体" w:cs="宋体"/>
          <w:color w:val="auto"/>
        </w:rPr>
      </w:pPr>
      <w:r>
        <w:rPr>
          <w:rFonts w:hint="eastAsia" w:ascii="宋体" w:hAnsi="宋体" w:cs="宋体"/>
          <w:color w:val="auto"/>
        </w:rPr>
        <w:t>（3）电子投标文件所附证书证件及业绩证明文件要求见投标人须知前附表规定。</w:t>
      </w:r>
    </w:p>
    <w:p w14:paraId="30F10EAC">
      <w:pPr>
        <w:keepNext w:val="0"/>
        <w:keepLines w:val="0"/>
        <w:pageBreakBefore w:val="0"/>
        <w:widowControl/>
        <w:kinsoku w:val="0"/>
        <w:wordWrap/>
        <w:overflowPunct/>
        <w:topLinePunct w:val="0"/>
        <w:autoSpaceDE w:val="0"/>
        <w:autoSpaceDN w:val="0"/>
        <w:bidi w:val="0"/>
        <w:adjustRightInd w:val="0"/>
        <w:snapToGrid w:val="0"/>
        <w:spacing w:line="440" w:lineRule="exact"/>
        <w:ind w:left="486"/>
        <w:textAlignment w:val="baseline"/>
        <w:rPr>
          <w:rFonts w:ascii="宋体" w:hAnsi="宋体" w:cs="宋体"/>
          <w:color w:val="auto"/>
        </w:rPr>
      </w:pPr>
      <w:r>
        <w:rPr>
          <w:rFonts w:hint="eastAsia" w:ascii="宋体" w:hAnsi="宋体" w:cs="宋体"/>
          <w:color w:val="auto"/>
        </w:rPr>
        <w:t>3.</w:t>
      </w:r>
      <w:r>
        <w:rPr>
          <w:rFonts w:hint="eastAsia" w:ascii="宋体" w:hAnsi="宋体" w:eastAsia="宋体" w:cs="宋体"/>
          <w:color w:val="auto"/>
          <w:lang w:val="en-US" w:eastAsia="zh-CN"/>
        </w:rPr>
        <w:t>6</w:t>
      </w:r>
      <w:r>
        <w:rPr>
          <w:rFonts w:hint="eastAsia" w:ascii="宋体" w:hAnsi="宋体" w:cs="宋体"/>
          <w:color w:val="auto"/>
        </w:rPr>
        <w:t>.4投标文件格式</w:t>
      </w:r>
    </w:p>
    <w:p w14:paraId="4D700B7B">
      <w:pPr>
        <w:keepNext w:val="0"/>
        <w:keepLines w:val="0"/>
        <w:pageBreakBefore w:val="0"/>
        <w:widowControl/>
        <w:kinsoku w:val="0"/>
        <w:wordWrap/>
        <w:overflowPunct/>
        <w:topLinePunct w:val="0"/>
        <w:autoSpaceDE w:val="0"/>
        <w:autoSpaceDN w:val="0"/>
        <w:bidi w:val="0"/>
        <w:adjustRightInd w:val="0"/>
        <w:snapToGrid w:val="0"/>
        <w:spacing w:line="440" w:lineRule="exact"/>
        <w:ind w:left="2" w:right="9" w:firstLine="478"/>
        <w:textAlignment w:val="baseline"/>
        <w:rPr>
          <w:rFonts w:ascii="宋体" w:hAnsi="宋体" w:cs="宋体"/>
          <w:color w:val="auto"/>
        </w:rPr>
      </w:pPr>
      <w:r>
        <w:rPr>
          <w:rFonts w:hint="eastAsia" w:ascii="宋体" w:hAnsi="宋体" w:cs="宋体"/>
          <w:color w:val="auto"/>
        </w:rPr>
        <w:t>投标文件包括本须知第3.1条中规定的内容，投标人提交的投标文件应使用招标文件所提供的投标文件全部格式（表格可以按同样格式扩展）。</w:t>
      </w:r>
    </w:p>
    <w:p w14:paraId="31E1DB9C">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rPr>
      </w:pPr>
      <w:r>
        <w:rPr>
          <w:rFonts w:hint="eastAsia" w:ascii="宋体" w:hAnsi="宋体" w:eastAsia="宋体" w:cs="宋体"/>
          <w:b/>
          <w:bCs/>
          <w:sz w:val="28"/>
          <w:szCs w:val="28"/>
        </w:rPr>
        <w:t>投标</w:t>
      </w:r>
      <w:bookmarkEnd w:id="52"/>
    </w:p>
    <w:p w14:paraId="2E49755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53" w:name="_Toc2358"/>
      <w:r>
        <w:rPr>
          <w:rFonts w:hint="eastAsia" w:ascii="宋体" w:hAnsi="宋体" w:eastAsia="宋体" w:cs="宋体"/>
        </w:rPr>
        <w:t>4.1投标文件的密封和标记</w:t>
      </w:r>
    </w:p>
    <w:p w14:paraId="73A86395">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cs="宋体"/>
          <w:color w:val="auto"/>
        </w:rPr>
      </w:pPr>
      <w:r>
        <w:rPr>
          <w:rFonts w:hint="eastAsia" w:ascii="宋体" w:hAnsi="宋体" w:cs="宋体"/>
          <w:color w:val="auto"/>
        </w:rPr>
        <w:t>4.1.1投标文件的密封、标记和电子投标加密要求见投标人须知前附表。</w:t>
      </w:r>
    </w:p>
    <w:p w14:paraId="1F47B6B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4.2投标文件的递交</w:t>
      </w:r>
    </w:p>
    <w:p w14:paraId="4847A54C">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cs="宋体"/>
          <w:color w:val="auto"/>
        </w:rPr>
      </w:pPr>
      <w:r>
        <w:rPr>
          <w:rFonts w:hint="eastAsia" w:ascii="宋体" w:hAnsi="宋体" w:cs="宋体"/>
          <w:color w:val="auto"/>
        </w:rPr>
        <w:t>4.2.1投标人应在投标人须知前附表规定的投标截止时间前递交投标文件。</w:t>
      </w:r>
    </w:p>
    <w:p w14:paraId="06C8377B">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cs="宋体"/>
          <w:color w:val="auto"/>
        </w:rPr>
      </w:pPr>
      <w:r>
        <w:rPr>
          <w:rFonts w:hint="eastAsia" w:ascii="宋体" w:hAnsi="宋体" w:cs="宋体"/>
          <w:color w:val="auto"/>
        </w:rPr>
        <w:t>4.2.2投标人通过下载招标文件的电子招标投标交易平台递交电子投标文件。</w:t>
      </w:r>
    </w:p>
    <w:p w14:paraId="425D0E40">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cs="宋体"/>
          <w:color w:val="auto"/>
        </w:rPr>
      </w:pPr>
      <w:r>
        <w:rPr>
          <w:rFonts w:hint="eastAsia" w:ascii="宋体" w:hAnsi="宋体" w:cs="宋体"/>
          <w:color w:val="auto"/>
        </w:rPr>
        <w:t>4.2.3除投标人须知前附表另有规定外，投标人所递交的投标文件不予退还。</w:t>
      </w:r>
    </w:p>
    <w:p w14:paraId="738D7D2B">
      <w:pPr>
        <w:keepNext w:val="0"/>
        <w:keepLines w:val="0"/>
        <w:pageBreakBefore w:val="0"/>
        <w:widowControl/>
        <w:kinsoku w:val="0"/>
        <w:wordWrap/>
        <w:overflowPunct/>
        <w:topLinePunct w:val="0"/>
        <w:autoSpaceDE w:val="0"/>
        <w:autoSpaceDN w:val="0"/>
        <w:bidi w:val="0"/>
        <w:adjustRightInd w:val="0"/>
        <w:snapToGrid w:val="0"/>
        <w:spacing w:line="440" w:lineRule="exact"/>
        <w:ind w:left="5" w:right="9" w:firstLine="475"/>
        <w:textAlignment w:val="baseline"/>
        <w:rPr>
          <w:rFonts w:ascii="宋体" w:hAnsi="宋体" w:cs="宋体"/>
          <w:color w:val="auto"/>
        </w:rPr>
      </w:pPr>
      <w:r>
        <w:rPr>
          <w:rFonts w:hint="eastAsia" w:ascii="宋体" w:hAnsi="宋体" w:cs="宋体"/>
          <w:color w:val="auto"/>
        </w:rPr>
        <w:t>4.2.4投标人完成电子投标文件上传后，电子招标投标交易平台即时向投标人发出递交回执通知。递交时间以递交回执通知载明的传输完成时间为准。</w:t>
      </w:r>
    </w:p>
    <w:p w14:paraId="2E9699B2">
      <w:pPr>
        <w:keepNext w:val="0"/>
        <w:keepLines w:val="0"/>
        <w:pageBreakBefore w:val="0"/>
        <w:widowControl/>
        <w:kinsoku w:val="0"/>
        <w:wordWrap/>
        <w:overflowPunct/>
        <w:topLinePunct w:val="0"/>
        <w:autoSpaceDE w:val="0"/>
        <w:autoSpaceDN w:val="0"/>
        <w:bidi w:val="0"/>
        <w:adjustRightInd w:val="0"/>
        <w:snapToGrid w:val="0"/>
        <w:spacing w:line="440" w:lineRule="exact"/>
        <w:ind w:left="480"/>
        <w:textAlignment w:val="baseline"/>
        <w:rPr>
          <w:rFonts w:ascii="宋体" w:hAnsi="宋体" w:cs="宋体"/>
          <w:color w:val="auto"/>
        </w:rPr>
      </w:pPr>
      <w:r>
        <w:rPr>
          <w:rFonts w:hint="eastAsia" w:ascii="宋体" w:hAnsi="宋体" w:cs="宋体"/>
          <w:color w:val="auto"/>
        </w:rPr>
        <w:t>4.2.5电子投标文件的拒收情形：见投标人须知前附表。</w:t>
      </w:r>
    </w:p>
    <w:p w14:paraId="6962CED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4.3投标文件的修改与撤回</w:t>
      </w:r>
    </w:p>
    <w:p w14:paraId="21934052">
      <w:pPr>
        <w:keepNext w:val="0"/>
        <w:keepLines w:val="0"/>
        <w:pageBreakBefore w:val="0"/>
        <w:widowControl/>
        <w:kinsoku w:val="0"/>
        <w:wordWrap/>
        <w:overflowPunct/>
        <w:topLinePunct w:val="0"/>
        <w:autoSpaceDE w:val="0"/>
        <w:autoSpaceDN w:val="0"/>
        <w:bidi w:val="0"/>
        <w:adjustRightInd w:val="0"/>
        <w:snapToGrid w:val="0"/>
        <w:spacing w:line="440" w:lineRule="exact"/>
        <w:ind w:left="20" w:right="2" w:firstLine="459"/>
        <w:textAlignment w:val="baseline"/>
        <w:rPr>
          <w:rFonts w:ascii="宋体" w:hAnsi="宋体" w:cs="宋体"/>
          <w:color w:val="auto"/>
        </w:rPr>
      </w:pPr>
      <w:r>
        <w:rPr>
          <w:rFonts w:hint="eastAsia" w:ascii="宋体" w:hAnsi="宋体" w:cs="宋体"/>
          <w:color w:val="auto"/>
        </w:rPr>
        <w:t>4.3.1在本章第4.2.1项规定的投标截止时间前，投标人可以修改或撤回已递交的投标文件，但应以书面形式通知招标人。投标截止时间前未完成投标文件传输的，视为撤回投标文件。</w:t>
      </w:r>
    </w:p>
    <w:p w14:paraId="0F744A79">
      <w:pPr>
        <w:keepNext w:val="0"/>
        <w:keepLines w:val="0"/>
        <w:pageBreakBefore w:val="0"/>
        <w:widowControl/>
        <w:kinsoku w:val="0"/>
        <w:wordWrap/>
        <w:overflowPunct/>
        <w:topLinePunct w:val="0"/>
        <w:autoSpaceDE w:val="0"/>
        <w:autoSpaceDN w:val="0"/>
        <w:bidi w:val="0"/>
        <w:adjustRightInd w:val="0"/>
        <w:snapToGrid w:val="0"/>
        <w:spacing w:line="440" w:lineRule="exact"/>
        <w:ind w:left="1" w:firstLine="478"/>
        <w:textAlignment w:val="baseline"/>
        <w:rPr>
          <w:rFonts w:ascii="宋体" w:hAnsi="宋体" w:cs="宋体"/>
          <w:color w:val="auto"/>
        </w:rPr>
      </w:pPr>
      <w:r>
        <w:rPr>
          <w:rFonts w:hint="eastAsia" w:ascii="宋体" w:hAnsi="宋体" w:cs="宋体"/>
          <w:color w:val="auto"/>
        </w:rPr>
        <w:t>4.3.2投标人修改或撤回已递交投标文件的通知，应按照本章第3.7.3项的要求加盖电子印章。电子招标投标交易平台收到通知后，即时向投标人发出确认回执通知。</w:t>
      </w:r>
    </w:p>
    <w:p w14:paraId="16401F52">
      <w:pPr>
        <w:keepNext w:val="0"/>
        <w:keepLines w:val="0"/>
        <w:pageBreakBefore w:val="0"/>
        <w:widowControl/>
        <w:kinsoku w:val="0"/>
        <w:wordWrap/>
        <w:overflowPunct/>
        <w:topLinePunct w:val="0"/>
        <w:autoSpaceDE w:val="0"/>
        <w:autoSpaceDN w:val="0"/>
        <w:bidi w:val="0"/>
        <w:adjustRightInd w:val="0"/>
        <w:snapToGrid w:val="0"/>
        <w:spacing w:line="440" w:lineRule="exact"/>
        <w:ind w:left="1" w:right="7" w:firstLine="478"/>
        <w:textAlignment w:val="baseline"/>
        <w:rPr>
          <w:rFonts w:ascii="宋体" w:hAnsi="宋体" w:cs="宋体"/>
          <w:color w:val="auto"/>
        </w:rPr>
      </w:pPr>
      <w:r>
        <w:rPr>
          <w:rFonts w:hint="eastAsia" w:ascii="宋体" w:hAnsi="宋体" w:cs="宋体"/>
          <w:color w:val="auto"/>
        </w:rPr>
        <w:t>4.3.3投标人撤回投标文件的，招标人自收到投标人书面撤回通知之日起5日内退还已收取的投标保证金。</w:t>
      </w:r>
    </w:p>
    <w:p w14:paraId="10988449">
      <w:pPr>
        <w:keepNext w:val="0"/>
        <w:keepLines w:val="0"/>
        <w:pageBreakBefore w:val="0"/>
        <w:widowControl/>
        <w:kinsoku w:val="0"/>
        <w:wordWrap/>
        <w:overflowPunct/>
        <w:topLinePunct w:val="0"/>
        <w:autoSpaceDE w:val="0"/>
        <w:autoSpaceDN w:val="0"/>
        <w:bidi w:val="0"/>
        <w:adjustRightInd w:val="0"/>
        <w:snapToGrid w:val="0"/>
        <w:spacing w:line="440" w:lineRule="exact"/>
        <w:ind w:right="32" w:firstLine="479"/>
        <w:textAlignment w:val="baseline"/>
        <w:rPr>
          <w:rFonts w:ascii="宋体" w:hAnsi="宋体" w:cs="宋体"/>
          <w:color w:val="auto"/>
        </w:rPr>
      </w:pPr>
      <w:r>
        <w:rPr>
          <w:rFonts w:hint="eastAsia" w:ascii="宋体" w:hAnsi="宋体" w:cs="宋体"/>
          <w:color w:val="auto"/>
        </w:rPr>
        <w:t>4.3.4修改的内容为投标文件的组成部分。修改的投标文件应按照本章第3条、第4条的规定进行编制、密封、标记和递交，并标明“修改”字样。</w:t>
      </w:r>
    </w:p>
    <w:p w14:paraId="5C8F3150">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rPr>
      </w:pPr>
      <w:r>
        <w:rPr>
          <w:rFonts w:hint="eastAsia" w:ascii="宋体" w:hAnsi="宋体" w:eastAsia="宋体" w:cs="宋体"/>
          <w:b/>
          <w:bCs/>
          <w:sz w:val="28"/>
          <w:szCs w:val="28"/>
        </w:rPr>
        <w:t>开标</w:t>
      </w:r>
      <w:bookmarkEnd w:id="53"/>
    </w:p>
    <w:p w14:paraId="5FEA681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54" w:name="_Toc8411"/>
      <w:r>
        <w:rPr>
          <w:rFonts w:hint="eastAsia" w:ascii="宋体" w:hAnsi="宋体" w:eastAsia="宋体" w:cs="宋体"/>
        </w:rPr>
        <w:t>5.1开标时间和地点</w:t>
      </w:r>
    </w:p>
    <w:p w14:paraId="2521E179">
      <w:pPr>
        <w:keepNext w:val="0"/>
        <w:keepLines w:val="0"/>
        <w:pageBreakBefore w:val="0"/>
        <w:widowControl/>
        <w:kinsoku w:val="0"/>
        <w:wordWrap/>
        <w:overflowPunct/>
        <w:topLinePunct w:val="0"/>
        <w:autoSpaceDE w:val="0"/>
        <w:autoSpaceDN w:val="0"/>
        <w:bidi w:val="0"/>
        <w:adjustRightInd w:val="0"/>
        <w:snapToGrid w:val="0"/>
        <w:spacing w:line="440" w:lineRule="exact"/>
        <w:ind w:left="484"/>
        <w:textAlignment w:val="baseline"/>
        <w:rPr>
          <w:rFonts w:ascii="宋体" w:hAnsi="宋体" w:cs="宋体"/>
          <w:color w:val="auto"/>
        </w:rPr>
      </w:pPr>
      <w:r>
        <w:rPr>
          <w:rFonts w:hint="eastAsia" w:ascii="宋体" w:hAnsi="宋体" w:cs="宋体"/>
          <w:color w:val="auto"/>
        </w:rPr>
        <w:t>见投标人须知前附表。</w:t>
      </w:r>
    </w:p>
    <w:p w14:paraId="0058D37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5.2开标程序</w:t>
      </w:r>
    </w:p>
    <w:p w14:paraId="445CF99D">
      <w:pPr>
        <w:keepNext w:val="0"/>
        <w:keepLines w:val="0"/>
        <w:pageBreakBefore w:val="0"/>
        <w:widowControl/>
        <w:kinsoku w:val="0"/>
        <w:wordWrap/>
        <w:overflowPunct/>
        <w:topLinePunct w:val="0"/>
        <w:autoSpaceDE w:val="0"/>
        <w:autoSpaceDN w:val="0"/>
        <w:bidi w:val="0"/>
        <w:adjustRightInd w:val="0"/>
        <w:snapToGrid w:val="0"/>
        <w:spacing w:line="440" w:lineRule="exact"/>
        <w:ind w:left="484"/>
        <w:textAlignment w:val="baseline"/>
        <w:rPr>
          <w:rFonts w:ascii="宋体" w:hAnsi="宋体" w:cs="宋体"/>
          <w:color w:val="auto"/>
        </w:rPr>
      </w:pPr>
      <w:r>
        <w:rPr>
          <w:rFonts w:hint="eastAsia" w:ascii="宋体" w:hAnsi="宋体" w:cs="宋体"/>
          <w:color w:val="auto"/>
        </w:rPr>
        <w:t>见投标人须知前附表。</w:t>
      </w:r>
    </w:p>
    <w:p w14:paraId="6EFC137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5.3开标异议</w:t>
      </w:r>
    </w:p>
    <w:p w14:paraId="75FDA33A">
      <w:pPr>
        <w:keepNext w:val="0"/>
        <w:keepLines w:val="0"/>
        <w:pageBreakBefore w:val="0"/>
        <w:widowControl/>
        <w:kinsoku w:val="0"/>
        <w:wordWrap/>
        <w:overflowPunct/>
        <w:topLinePunct w:val="0"/>
        <w:autoSpaceDE w:val="0"/>
        <w:autoSpaceDN w:val="0"/>
        <w:bidi w:val="0"/>
        <w:adjustRightInd w:val="0"/>
        <w:snapToGrid w:val="0"/>
        <w:spacing w:line="440" w:lineRule="exact"/>
        <w:ind w:left="1" w:firstLine="478"/>
        <w:textAlignment w:val="baseline"/>
        <w:rPr>
          <w:rFonts w:ascii="宋体" w:hAnsi="宋体" w:cs="宋体"/>
          <w:color w:val="auto"/>
        </w:rPr>
      </w:pPr>
      <w:r>
        <w:rPr>
          <w:rFonts w:hint="eastAsia" w:ascii="宋体" w:hAnsi="宋体" w:cs="宋体"/>
          <w:color w:val="auto"/>
        </w:rPr>
        <w:t>投标人对开标有异议的，应当在开标时提出，招标人当场作出答复，并制作记录。</w:t>
      </w:r>
    </w:p>
    <w:p w14:paraId="5F0B953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5.4特殊情况处置</w:t>
      </w:r>
    </w:p>
    <w:p w14:paraId="4C7B9BE5">
      <w:pPr>
        <w:keepNext w:val="0"/>
        <w:keepLines w:val="0"/>
        <w:pageBreakBefore w:val="0"/>
        <w:widowControl/>
        <w:kinsoku w:val="0"/>
        <w:wordWrap/>
        <w:overflowPunct/>
        <w:topLinePunct w:val="0"/>
        <w:autoSpaceDE w:val="0"/>
        <w:autoSpaceDN w:val="0"/>
        <w:bidi w:val="0"/>
        <w:adjustRightInd w:val="0"/>
        <w:snapToGrid w:val="0"/>
        <w:spacing w:line="440" w:lineRule="exact"/>
        <w:ind w:left="484"/>
        <w:textAlignment w:val="baseline"/>
        <w:rPr>
          <w:rFonts w:hint="eastAsia" w:ascii="宋体" w:hAnsi="宋体" w:eastAsia="宋体" w:cs="宋体"/>
          <w:color w:val="auto"/>
          <w:lang w:eastAsia="zh-CN"/>
        </w:rPr>
      </w:pPr>
      <w:r>
        <w:rPr>
          <w:rFonts w:hint="eastAsia" w:ascii="宋体" w:hAnsi="宋体" w:cs="宋体"/>
          <w:color w:val="auto"/>
        </w:rPr>
        <w:t>见投标人须知前附表</w:t>
      </w:r>
      <w:r>
        <w:rPr>
          <w:rFonts w:hint="eastAsia" w:ascii="宋体" w:hAnsi="宋体" w:eastAsia="宋体" w:cs="宋体"/>
          <w:color w:val="auto"/>
          <w:lang w:eastAsia="zh-CN"/>
        </w:rPr>
        <w:t>。</w:t>
      </w:r>
    </w:p>
    <w:p w14:paraId="0DA6CEE1">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rPr>
      </w:pPr>
      <w:r>
        <w:rPr>
          <w:rFonts w:hint="eastAsia" w:ascii="宋体" w:hAnsi="宋体" w:eastAsia="宋体" w:cs="宋体"/>
          <w:b/>
          <w:bCs/>
          <w:sz w:val="28"/>
          <w:szCs w:val="28"/>
        </w:rPr>
        <w:t>评标</w:t>
      </w:r>
      <w:bookmarkEnd w:id="54"/>
    </w:p>
    <w:p w14:paraId="535B535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55" w:name="_Toc16429"/>
      <w:r>
        <w:rPr>
          <w:rFonts w:hint="eastAsia" w:ascii="宋体" w:hAnsi="宋体" w:eastAsia="宋体" w:cs="宋体"/>
        </w:rPr>
        <w:t>6.1 评标委员会</w:t>
      </w:r>
      <w:bookmarkEnd w:id="55"/>
    </w:p>
    <w:p w14:paraId="2139759A">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6.1.1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4614AD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6.2 评标原则</w:t>
      </w:r>
    </w:p>
    <w:p w14:paraId="138024C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评标活动遵循公平、公正、科学和择优的原则。</w:t>
      </w:r>
    </w:p>
    <w:p w14:paraId="360F622C">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56" w:name="_Toc31542"/>
      <w:r>
        <w:rPr>
          <w:rFonts w:hint="eastAsia" w:ascii="宋体" w:hAnsi="宋体" w:eastAsia="宋体" w:cs="宋体"/>
        </w:rPr>
        <w:t>6.3 评标</w:t>
      </w:r>
      <w:bookmarkEnd w:id="56"/>
    </w:p>
    <w:p w14:paraId="01240407">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6.3.1评标委员会按照第三章“评标办法”规定的方法、评审因素、标准和程序对投标文件进行评审。第三章“评标办法”没有规定的方法、评审因素和标准，不作为评标依据。</w:t>
      </w:r>
    </w:p>
    <w:p w14:paraId="07360C34">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6.3.2评标完成后，评标委员会应当向招标人提交书面评标报告和中标候选人名单。评标委员会推荐中标候选人的人数见投标人须知前附表。</w:t>
      </w:r>
    </w:p>
    <w:p w14:paraId="3F7ECEAE">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rPr>
      </w:pPr>
      <w:bookmarkStart w:id="57" w:name="_Toc5647"/>
      <w:r>
        <w:rPr>
          <w:rFonts w:hint="eastAsia" w:ascii="宋体" w:hAnsi="宋体" w:eastAsia="宋体" w:cs="宋体"/>
          <w:b/>
          <w:bCs/>
          <w:sz w:val="28"/>
          <w:szCs w:val="28"/>
          <w:lang w:val="en-US" w:eastAsia="zh-CN"/>
        </w:rPr>
        <w:t>合同授予</w:t>
      </w:r>
      <w:bookmarkEnd w:id="57"/>
    </w:p>
    <w:p w14:paraId="3A1863C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58" w:name="_Toc28666"/>
      <w:r>
        <w:rPr>
          <w:rFonts w:hint="eastAsia" w:ascii="宋体" w:hAnsi="宋体" w:eastAsia="宋体" w:cs="宋体"/>
        </w:rPr>
        <w:t>7.1中标候选人公示媒介及期限</w:t>
      </w:r>
    </w:p>
    <w:p w14:paraId="08B242DF">
      <w:pPr>
        <w:pStyle w:val="10"/>
        <w:kinsoku w:val="0"/>
        <w:spacing w:line="460" w:lineRule="exact"/>
        <w:ind w:left="0" w:firstLine="480" w:firstLineChars="200"/>
        <w:jc w:val="both"/>
        <w:rPr>
          <w:rFonts w:hAnsi="宋体"/>
        </w:rPr>
      </w:pPr>
      <w:r>
        <w:rPr>
          <w:rFonts w:hint="eastAsia" w:hAnsi="宋体"/>
        </w:rPr>
        <w:t>7.1.1中标候选人公示媒介及期限见投标人须知前附表。</w:t>
      </w:r>
    </w:p>
    <w:p w14:paraId="084DA710">
      <w:pPr>
        <w:spacing w:line="460" w:lineRule="exact"/>
        <w:ind w:firstLine="480" w:firstLineChars="200"/>
        <w:jc w:val="both"/>
      </w:pPr>
      <w:r>
        <w:rPr>
          <w:rFonts w:hint="eastAsia" w:ascii="宋体" w:hAnsi="宋体" w:eastAsia="宋体" w:cs="Arial"/>
          <w:snapToGrid w:val="0"/>
          <w:color w:val="000000"/>
          <w:sz w:val="24"/>
          <w:szCs w:val="21"/>
          <w:lang w:val="en-US" w:eastAsia="zh-CN" w:bidi="ar-SA"/>
        </w:rPr>
        <w:t>7.1.2中标候选人公示内容包括：中标候选人（如果排序）、名称、投标报价、质量、工期（交货期）、项</w:t>
      </w:r>
      <w:r>
        <w:rPr>
          <w:rFonts w:hint="eastAsia"/>
        </w:rPr>
        <w:t>目负责人姓名及其相关证书名称和编号、响应招标文件要求的资格能力条件，提出异议的渠道和方式，以及投标人须知前附表规定的其他内容。</w:t>
      </w:r>
    </w:p>
    <w:p w14:paraId="67C8813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7.2定标方式</w:t>
      </w:r>
    </w:p>
    <w:p w14:paraId="6C15B53D">
      <w:pPr>
        <w:spacing w:line="460" w:lineRule="exact"/>
        <w:ind w:firstLine="480" w:firstLineChars="200"/>
        <w:jc w:val="both"/>
      </w:pPr>
      <w:r>
        <w:rPr>
          <w:rFonts w:hint="eastAsia"/>
        </w:rPr>
        <w:t>除投标人须知前附表规定评标委员会直接确定中标人外，招标人依据评标委员会推荐的中标候选人确定中标人。</w:t>
      </w:r>
    </w:p>
    <w:p w14:paraId="613FC729">
      <w:pPr>
        <w:spacing w:line="460" w:lineRule="exact"/>
        <w:ind w:firstLine="480" w:firstLineChars="200"/>
        <w:jc w:val="both"/>
      </w:pPr>
      <w:r>
        <w:rPr>
          <w:rFonts w:hint="eastAsia"/>
        </w:rPr>
        <w:t>国有资金占控股或者主导地位的依法必须进行招标的项目，招标人应当确定排名第一的中标候选人为中标人，中标候选人在投标截止时间至中标通知书发出之日，参与投标资质在“浙江省建筑市场监管公共服务系统”上动态核查结果若是“不合格”状态（或者资质“合格”状态的等级低于投标要求的资质等级）、放弃中标、无正当理由拒接签合同、不按照招标文件要求提交履约保证金，或者被查实存在影响招标结果的违法违规事项等情形，不符合中标条件的，本次招标失败，重新组织招标。</w:t>
      </w:r>
    </w:p>
    <w:p w14:paraId="08BD349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7.3中标通知</w:t>
      </w:r>
    </w:p>
    <w:p w14:paraId="36016A68">
      <w:pPr>
        <w:keepNext w:val="0"/>
        <w:keepLines w:val="0"/>
        <w:pageBreakBefore w:val="0"/>
        <w:widowControl/>
        <w:kinsoku w:val="0"/>
        <w:wordWrap/>
        <w:overflowPunct/>
        <w:topLinePunct w:val="0"/>
        <w:autoSpaceDE w:val="0"/>
        <w:autoSpaceDN w:val="0"/>
        <w:bidi w:val="0"/>
        <w:adjustRightInd w:val="0"/>
        <w:snapToGrid w:val="0"/>
        <w:spacing w:line="440" w:lineRule="exact"/>
        <w:ind w:left="5" w:firstLine="475"/>
        <w:textAlignment w:val="baseline"/>
        <w:rPr>
          <w:rFonts w:ascii="宋体" w:hAnsi="宋体" w:cs="宋体"/>
          <w:color w:val="auto"/>
        </w:rPr>
      </w:pPr>
      <w:r>
        <w:rPr>
          <w:rFonts w:hint="eastAsia" w:ascii="宋体" w:hAnsi="宋体" w:cs="宋体"/>
          <w:color w:val="auto"/>
        </w:rPr>
        <w:t>在本章第3.3款规定的投标有效期内，招标人以书面形式向中标人发出中标通知书，同时将中标结果通知未中标的投标人。</w:t>
      </w:r>
    </w:p>
    <w:p w14:paraId="6C6270CB">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7.4履约担保</w:t>
      </w:r>
    </w:p>
    <w:p w14:paraId="7F7E2DEE">
      <w:pPr>
        <w:keepNext w:val="0"/>
        <w:keepLines w:val="0"/>
        <w:pageBreakBefore w:val="0"/>
        <w:widowControl/>
        <w:kinsoku w:val="0"/>
        <w:wordWrap/>
        <w:overflowPunct/>
        <w:topLinePunct w:val="0"/>
        <w:autoSpaceDE w:val="0"/>
        <w:autoSpaceDN w:val="0"/>
        <w:bidi w:val="0"/>
        <w:adjustRightInd w:val="0"/>
        <w:snapToGrid w:val="0"/>
        <w:spacing w:line="440" w:lineRule="exact"/>
        <w:ind w:firstLine="486"/>
        <w:textAlignment w:val="baseline"/>
        <w:rPr>
          <w:rFonts w:ascii="宋体" w:hAnsi="宋体" w:cs="宋体"/>
          <w:color w:val="auto"/>
        </w:rPr>
      </w:pPr>
      <w:r>
        <w:rPr>
          <w:rFonts w:hint="eastAsia" w:ascii="宋体" w:hAnsi="宋体" w:cs="宋体"/>
          <w:color w:val="auto"/>
        </w:rPr>
        <w:t>7.4.1在签订合同前，中标人应按投标人须知前附表规定的金额、银行保函或保险公司保函和招标文件第四章“合同条款及格式”规定的履约担保形式向招标人提交履约担保。联合体中标的，其履约担保由牵头人递交，并应符合投标人须知前附表规定的金额、担保形式和招标文件第四章“合同条款及格式”规定的履约担保要求。</w:t>
      </w:r>
    </w:p>
    <w:p w14:paraId="3040647B">
      <w:pPr>
        <w:keepNext w:val="0"/>
        <w:keepLines w:val="0"/>
        <w:pageBreakBefore w:val="0"/>
        <w:widowControl/>
        <w:kinsoku w:val="0"/>
        <w:wordWrap/>
        <w:overflowPunct/>
        <w:topLinePunct w:val="0"/>
        <w:autoSpaceDE w:val="0"/>
        <w:autoSpaceDN w:val="0"/>
        <w:bidi w:val="0"/>
        <w:adjustRightInd w:val="0"/>
        <w:snapToGrid w:val="0"/>
        <w:spacing w:line="440" w:lineRule="exact"/>
        <w:ind w:firstLine="486"/>
        <w:textAlignment w:val="baseline"/>
        <w:rPr>
          <w:rFonts w:ascii="宋体" w:hAnsi="宋体" w:cs="宋体"/>
          <w:color w:val="auto"/>
        </w:rPr>
      </w:pPr>
      <w:r>
        <w:rPr>
          <w:rFonts w:hint="eastAsia" w:ascii="宋体" w:hAnsi="宋体" w:cs="宋体"/>
          <w:color w:val="auto"/>
        </w:rPr>
        <w:t>7.4.2中标人不能按本章第7.4.1项要求提交履约担保的，视为放弃中标，其投标保证金不予退还，给招标人造成的损失超过投标保证金数额的，中标人还应当对超过部分予以赔偿。</w:t>
      </w:r>
    </w:p>
    <w:p w14:paraId="09E69E1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r>
        <w:rPr>
          <w:rFonts w:hint="eastAsia" w:ascii="宋体" w:hAnsi="宋体" w:eastAsia="宋体" w:cs="宋体"/>
        </w:rPr>
        <w:t>7.5签订合同</w:t>
      </w:r>
    </w:p>
    <w:p w14:paraId="491B332A">
      <w:pPr>
        <w:keepNext w:val="0"/>
        <w:keepLines w:val="0"/>
        <w:pageBreakBefore w:val="0"/>
        <w:widowControl/>
        <w:kinsoku w:val="0"/>
        <w:wordWrap/>
        <w:overflowPunct/>
        <w:topLinePunct w:val="0"/>
        <w:autoSpaceDE w:val="0"/>
        <w:autoSpaceDN w:val="0"/>
        <w:bidi w:val="0"/>
        <w:adjustRightInd w:val="0"/>
        <w:snapToGrid w:val="0"/>
        <w:spacing w:line="440" w:lineRule="exact"/>
        <w:ind w:firstLine="486"/>
        <w:textAlignment w:val="baseline"/>
        <w:rPr>
          <w:rFonts w:ascii="宋体" w:hAnsi="宋体" w:cs="宋体"/>
          <w:color w:val="auto"/>
        </w:rPr>
      </w:pPr>
      <w:r>
        <w:rPr>
          <w:rFonts w:hint="eastAsia" w:ascii="宋体" w:hAnsi="宋体" w:cs="宋体"/>
          <w:color w:val="auto"/>
        </w:rPr>
        <w:t>7.5.1招标人和中标人应当在中标通知书发出之日起30日内，根据招标文件和中标人的投标文件订立书面合同。中标人无正当理由拒签合同，或者不按照招标文件要求提交履约担保的，招标人有权取消其中标资格，其投标保证金不予退还；给招标人造成的损失超过投标保证金数额的，中标人还应当对超过部分予以赔偿。</w:t>
      </w:r>
    </w:p>
    <w:p w14:paraId="3CB67A2E">
      <w:pPr>
        <w:keepNext w:val="0"/>
        <w:keepLines w:val="0"/>
        <w:pageBreakBefore w:val="0"/>
        <w:widowControl/>
        <w:kinsoku w:val="0"/>
        <w:wordWrap/>
        <w:overflowPunct/>
        <w:topLinePunct w:val="0"/>
        <w:autoSpaceDE w:val="0"/>
        <w:autoSpaceDN w:val="0"/>
        <w:bidi w:val="0"/>
        <w:adjustRightInd w:val="0"/>
        <w:snapToGrid w:val="0"/>
        <w:spacing w:line="440" w:lineRule="exact"/>
        <w:ind w:firstLine="486"/>
        <w:textAlignment w:val="baseline"/>
        <w:rPr>
          <w:rFonts w:ascii="宋体" w:hAnsi="宋体" w:cs="宋体"/>
          <w:color w:val="auto"/>
        </w:rPr>
      </w:pPr>
      <w:r>
        <w:rPr>
          <w:rFonts w:hint="eastAsia" w:ascii="宋体" w:hAnsi="宋体" w:cs="宋体"/>
          <w:color w:val="auto"/>
        </w:rPr>
        <w:t>7.5.2发出中标通知书后，招标人无正当理由拒签合同，招标人向中标人退还投标保证金；给中标人造成损失的，还应当赔偿损失。</w:t>
      </w:r>
    </w:p>
    <w:p w14:paraId="48994945">
      <w:pPr>
        <w:keepNext w:val="0"/>
        <w:keepLines w:val="0"/>
        <w:pageBreakBefore w:val="0"/>
        <w:widowControl/>
        <w:kinsoku w:val="0"/>
        <w:wordWrap/>
        <w:overflowPunct/>
        <w:topLinePunct w:val="0"/>
        <w:autoSpaceDE w:val="0"/>
        <w:autoSpaceDN w:val="0"/>
        <w:bidi w:val="0"/>
        <w:adjustRightInd w:val="0"/>
        <w:snapToGrid w:val="0"/>
        <w:spacing w:line="440" w:lineRule="exact"/>
        <w:ind w:firstLine="486"/>
        <w:textAlignment w:val="baseline"/>
      </w:pPr>
      <w:r>
        <w:rPr>
          <w:rFonts w:hint="eastAsia" w:ascii="宋体" w:hAnsi="宋体" w:cs="宋体"/>
          <w:color w:val="auto"/>
        </w:rPr>
        <w:t>7.5.3联合体中标的，联合体各方应当共同与招标人签订合同，就中标项目向招标人承担连带责任。</w:t>
      </w:r>
    </w:p>
    <w:p w14:paraId="6AE1F35C">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重新招标和不再招标</w:t>
      </w:r>
      <w:bookmarkEnd w:id="58"/>
    </w:p>
    <w:p w14:paraId="7941F9C5">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59" w:name="_Toc13328"/>
      <w:r>
        <w:rPr>
          <w:rFonts w:hint="eastAsia" w:ascii="宋体" w:hAnsi="宋体" w:eastAsia="宋体" w:cs="宋体"/>
        </w:rPr>
        <w:t>8.1 重新招标</w:t>
      </w:r>
      <w:bookmarkEnd w:id="59"/>
    </w:p>
    <w:p w14:paraId="7317E363">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有下列情形之一的，招标人将重新招标：</w:t>
      </w:r>
    </w:p>
    <w:p w14:paraId="767B51A9">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(1)投标截止时间止，投标人少于3个的；</w:t>
      </w:r>
    </w:p>
    <w:p w14:paraId="73F8B49B">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(2)有效投标少于3个，使得投标明显缺乏竞争，经评标委员会评审后否决所有投标的。</w:t>
      </w:r>
    </w:p>
    <w:p w14:paraId="2735940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60" w:name="_Toc26096"/>
      <w:r>
        <w:rPr>
          <w:rFonts w:hint="eastAsia" w:ascii="宋体" w:hAnsi="宋体" w:eastAsia="宋体" w:cs="宋体"/>
        </w:rPr>
        <w:t>8.2 不再招标</w:t>
      </w:r>
      <w:bookmarkEnd w:id="60"/>
    </w:p>
    <w:p w14:paraId="4D7C6B7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szCs w:val="23"/>
        </w:rPr>
      </w:pPr>
      <w:r>
        <w:rPr>
          <w:rFonts w:hint="eastAsia" w:ascii="宋体" w:hAnsi="宋体" w:eastAsia="宋体" w:cs="宋体"/>
        </w:rPr>
        <w:t>重新招标后投标人仍少于 3 个的，报经有关行政监督部门批准后可以不再进行招标</w:t>
      </w:r>
      <w:r>
        <w:rPr>
          <w:rFonts w:hint="eastAsia" w:ascii="宋体" w:hAnsi="宋体" w:eastAsia="宋体" w:cs="宋体"/>
          <w:spacing w:val="-7"/>
          <w:szCs w:val="23"/>
        </w:rPr>
        <w:t>。</w:t>
      </w:r>
    </w:p>
    <w:p w14:paraId="3932AFE8">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lang w:val="en-US" w:eastAsia="zh-CN"/>
        </w:rPr>
      </w:pPr>
      <w:bookmarkStart w:id="61" w:name="_Toc11218"/>
      <w:r>
        <w:rPr>
          <w:rFonts w:hint="eastAsia" w:ascii="宋体" w:hAnsi="宋体" w:eastAsia="宋体" w:cs="宋体"/>
          <w:b/>
          <w:bCs/>
          <w:sz w:val="28"/>
          <w:szCs w:val="28"/>
          <w:lang w:val="en-US" w:eastAsia="zh-CN"/>
        </w:rPr>
        <w:t>纪律和监督</w:t>
      </w:r>
      <w:bookmarkEnd w:id="61"/>
    </w:p>
    <w:p w14:paraId="689339A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62" w:name="_Toc25949"/>
      <w:r>
        <w:rPr>
          <w:rFonts w:hint="eastAsia" w:ascii="宋体" w:hAnsi="宋体" w:eastAsia="宋体" w:cs="宋体"/>
        </w:rPr>
        <w:t>9.1 对招标人的纪律要求</w:t>
      </w:r>
      <w:bookmarkEnd w:id="62"/>
    </w:p>
    <w:p w14:paraId="7317F530">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招标人不得泄漏招标投标活动中应当保密的情况和资料，不得与投标人串通损害国家利益、社会公共利益或者他人合法权益。</w:t>
      </w:r>
    </w:p>
    <w:p w14:paraId="792628BF">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63" w:name="_Toc3255"/>
      <w:r>
        <w:rPr>
          <w:rFonts w:hint="eastAsia" w:ascii="宋体" w:hAnsi="宋体" w:eastAsia="宋体" w:cs="宋体"/>
        </w:rPr>
        <w:t>9.2 对投标人的纪律要求</w:t>
      </w:r>
      <w:bookmarkEnd w:id="63"/>
    </w:p>
    <w:p w14:paraId="47F62065">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4845AA04">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64" w:name="_Toc31242"/>
      <w:r>
        <w:rPr>
          <w:rFonts w:hint="eastAsia" w:ascii="宋体" w:hAnsi="宋体" w:eastAsia="宋体" w:cs="宋体"/>
        </w:rPr>
        <w:t>9.3 对评标委员会成员的纪律要求</w:t>
      </w:r>
      <w:bookmarkEnd w:id="64"/>
    </w:p>
    <w:p w14:paraId="339847CD">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14:paraId="74074FF9">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65" w:name="_Toc21468"/>
      <w:r>
        <w:rPr>
          <w:rFonts w:hint="eastAsia" w:ascii="宋体" w:hAnsi="宋体" w:eastAsia="宋体" w:cs="宋体"/>
        </w:rPr>
        <w:t>9.4 对与评标活动有关的工作人员的纪律要求</w:t>
      </w:r>
      <w:bookmarkEnd w:id="65"/>
    </w:p>
    <w:p w14:paraId="5793EEC1">
      <w:pPr>
        <w:keepNext w:val="0"/>
        <w:keepLines w:val="0"/>
        <w:pageBreakBefore w:val="0"/>
        <w:widowControl/>
        <w:kinsoku w:val="0"/>
        <w:wordWrap/>
        <w:overflowPunct/>
        <w:topLinePunct w:val="0"/>
        <w:autoSpaceDE w:val="0"/>
        <w:autoSpaceDN w:val="0"/>
        <w:bidi w:val="0"/>
        <w:adjustRightInd w:val="0"/>
        <w:snapToGrid w:val="0"/>
        <w:spacing w:line="440" w:lineRule="exact"/>
        <w:ind w:firstLine="480" w:firstLineChars="200"/>
        <w:textAlignment w:val="baseline"/>
        <w:rPr>
          <w:rFonts w:hint="eastAsia" w:ascii="宋体" w:hAnsi="宋体" w:eastAsia="宋体" w:cs="宋体"/>
        </w:rPr>
      </w:pPr>
      <w:r>
        <w:rPr>
          <w:rFonts w:hint="eastAsia" w:ascii="宋体" w:hAnsi="宋体" w:eastAsia="宋体" w:cs="宋体"/>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14:paraId="3E03C4B0">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rPr>
      </w:pPr>
      <w:bookmarkStart w:id="66" w:name="_Toc30961"/>
      <w:r>
        <w:rPr>
          <w:rFonts w:hint="eastAsia" w:ascii="宋体" w:hAnsi="宋体" w:eastAsia="宋体" w:cs="宋体"/>
        </w:rPr>
        <w:t>9.5异议和投诉</w:t>
      </w:r>
    </w:p>
    <w:p w14:paraId="47212137">
      <w:pPr>
        <w:keepNext w:val="0"/>
        <w:keepLines w:val="0"/>
        <w:pageBreakBefore w:val="0"/>
        <w:widowControl/>
        <w:kinsoku w:val="0"/>
        <w:wordWrap/>
        <w:overflowPunct/>
        <w:topLinePunct w:val="0"/>
        <w:autoSpaceDE w:val="0"/>
        <w:autoSpaceDN w:val="0"/>
        <w:bidi w:val="0"/>
        <w:adjustRightInd w:val="0"/>
        <w:snapToGrid w:val="0"/>
        <w:spacing w:line="440" w:lineRule="exact"/>
        <w:ind w:left="481"/>
        <w:textAlignment w:val="baseline"/>
        <w:rPr>
          <w:rFonts w:ascii="宋体" w:hAnsi="宋体" w:cs="宋体"/>
          <w:color w:val="auto"/>
        </w:rPr>
      </w:pPr>
      <w:r>
        <w:rPr>
          <w:rFonts w:hint="eastAsia" w:ascii="宋体" w:hAnsi="宋体" w:cs="宋体"/>
          <w:color w:val="auto"/>
        </w:rPr>
        <w:t>9.5.1异议</w:t>
      </w:r>
    </w:p>
    <w:p w14:paraId="0E016134">
      <w:pPr>
        <w:keepNext w:val="0"/>
        <w:keepLines w:val="0"/>
        <w:pageBreakBefore w:val="0"/>
        <w:widowControl/>
        <w:kinsoku w:val="0"/>
        <w:wordWrap/>
        <w:overflowPunct/>
        <w:topLinePunct w:val="0"/>
        <w:autoSpaceDE w:val="0"/>
        <w:autoSpaceDN w:val="0"/>
        <w:bidi w:val="0"/>
        <w:adjustRightInd w:val="0"/>
        <w:snapToGrid w:val="0"/>
        <w:spacing w:line="440" w:lineRule="exact"/>
        <w:ind w:firstLine="491"/>
        <w:textAlignment w:val="baseline"/>
        <w:rPr>
          <w:rFonts w:ascii="宋体" w:hAnsi="宋体" w:cs="宋体"/>
          <w:color w:val="auto"/>
        </w:rPr>
      </w:pPr>
      <w:r>
        <w:rPr>
          <w:rFonts w:hint="eastAsia" w:ascii="宋体" w:hAnsi="宋体" w:cs="宋体"/>
          <w:color w:val="auto"/>
        </w:rPr>
        <w:t>（1）潜在投标人或者其他利害关系人对招标文件有异议的，应当在投标截止时间10日前以书面形式向招标人提出。招标人将在收到异议之日起3日内作出书面答复；作出答复前，暂停招标投标活动。</w:t>
      </w:r>
    </w:p>
    <w:p w14:paraId="06A36620">
      <w:pPr>
        <w:keepNext w:val="0"/>
        <w:keepLines w:val="0"/>
        <w:pageBreakBefore w:val="0"/>
        <w:widowControl/>
        <w:kinsoku w:val="0"/>
        <w:wordWrap/>
        <w:overflowPunct/>
        <w:topLinePunct w:val="0"/>
        <w:autoSpaceDE w:val="0"/>
        <w:autoSpaceDN w:val="0"/>
        <w:bidi w:val="0"/>
        <w:adjustRightInd w:val="0"/>
        <w:snapToGrid w:val="0"/>
        <w:spacing w:line="440" w:lineRule="exact"/>
        <w:ind w:left="16" w:firstLine="476"/>
        <w:textAlignment w:val="baseline"/>
        <w:rPr>
          <w:rFonts w:ascii="宋体" w:hAnsi="宋体" w:cs="宋体"/>
          <w:color w:val="auto"/>
        </w:rPr>
      </w:pPr>
      <w:r>
        <w:rPr>
          <w:rFonts w:hint="eastAsia" w:ascii="宋体" w:hAnsi="宋体" w:cs="宋体"/>
          <w:color w:val="auto"/>
        </w:rPr>
        <w:t>（2）投标人认为开标不符合有关规定的，应当在开标时提出异议。招标人将当场对异议给予处理或者告知处理的办法。异议和答复应记入开标记录或者制作专门记录以存档备查。</w:t>
      </w:r>
    </w:p>
    <w:p w14:paraId="4CA6FC0B">
      <w:pPr>
        <w:keepNext w:val="0"/>
        <w:keepLines w:val="0"/>
        <w:pageBreakBefore w:val="0"/>
        <w:widowControl/>
        <w:kinsoku w:val="0"/>
        <w:wordWrap/>
        <w:overflowPunct/>
        <w:topLinePunct w:val="0"/>
        <w:autoSpaceDE w:val="0"/>
        <w:autoSpaceDN w:val="0"/>
        <w:bidi w:val="0"/>
        <w:adjustRightInd w:val="0"/>
        <w:snapToGrid w:val="0"/>
        <w:spacing w:line="440" w:lineRule="exact"/>
        <w:ind w:right="67"/>
        <w:textAlignment w:val="baseline"/>
        <w:rPr>
          <w:rFonts w:ascii="宋体" w:hAnsi="宋体" w:cs="宋体"/>
          <w:color w:val="auto"/>
        </w:rPr>
      </w:pPr>
      <w:r>
        <w:rPr>
          <w:rFonts w:hint="eastAsia" w:ascii="宋体" w:hAnsi="宋体" w:cs="宋体"/>
          <w:color w:val="auto"/>
        </w:rPr>
        <w:t>（3）投标人及其他利害关系人对评标结果有异议的，应当在中标候选人公示期内以书面形式向招标人提出。招标人将在收到异议之日起3日内作出书面答复；作出答复前，暂停招标投标活动。</w:t>
      </w:r>
    </w:p>
    <w:p w14:paraId="4787BD28">
      <w:pPr>
        <w:keepNext w:val="0"/>
        <w:keepLines w:val="0"/>
        <w:pageBreakBefore w:val="0"/>
        <w:widowControl/>
        <w:kinsoku w:val="0"/>
        <w:wordWrap/>
        <w:overflowPunct/>
        <w:topLinePunct w:val="0"/>
        <w:autoSpaceDE w:val="0"/>
        <w:autoSpaceDN w:val="0"/>
        <w:bidi w:val="0"/>
        <w:adjustRightInd w:val="0"/>
        <w:snapToGrid w:val="0"/>
        <w:spacing w:line="440" w:lineRule="exact"/>
        <w:ind w:left="479"/>
        <w:textAlignment w:val="baseline"/>
        <w:rPr>
          <w:rFonts w:ascii="宋体" w:hAnsi="宋体" w:cs="宋体"/>
          <w:color w:val="auto"/>
        </w:rPr>
      </w:pPr>
      <w:r>
        <w:rPr>
          <w:rFonts w:hint="eastAsia" w:ascii="宋体" w:hAnsi="宋体" w:cs="宋体"/>
          <w:color w:val="auto"/>
        </w:rPr>
        <w:t>9.5.2投诉</w:t>
      </w:r>
    </w:p>
    <w:p w14:paraId="13D2A6D3">
      <w:pPr>
        <w:keepNext w:val="0"/>
        <w:keepLines w:val="0"/>
        <w:pageBreakBefore w:val="0"/>
        <w:widowControl/>
        <w:kinsoku w:val="0"/>
        <w:wordWrap/>
        <w:overflowPunct/>
        <w:topLinePunct w:val="0"/>
        <w:autoSpaceDE w:val="0"/>
        <w:autoSpaceDN w:val="0"/>
        <w:bidi w:val="0"/>
        <w:adjustRightInd w:val="0"/>
        <w:snapToGrid w:val="0"/>
        <w:spacing w:line="440" w:lineRule="exact"/>
        <w:ind w:right="7" w:firstLine="477"/>
        <w:textAlignment w:val="baseline"/>
        <w:rPr>
          <w:rFonts w:ascii="宋体" w:hAnsi="宋体" w:cs="宋体"/>
          <w:color w:val="auto"/>
        </w:rPr>
      </w:pPr>
      <w:r>
        <w:rPr>
          <w:rFonts w:hint="eastAsia" w:ascii="宋体" w:hAnsi="宋体" w:cs="宋体"/>
          <w:color w:val="auto"/>
        </w:rPr>
        <w:t>投标人或者其他利害关系人认为招标投标活动不符合法律、行政法规规定的，可以自知道或者应当知道之日起10日内向有关行政监督部门投诉。投诉应当有明确的请求和必要的证明材料，具体要求按国家、省及当地招投标主管部门制定的规定。就招标文件、开标和评标结果投诉的，应当先向招标人提出异议，异议答复期不计算在前款规定的期限内。</w:t>
      </w:r>
    </w:p>
    <w:p w14:paraId="6B31FB40">
      <w:pPr>
        <w:keepNext w:val="0"/>
        <w:keepLines w:val="0"/>
        <w:pageBreakBefore w:val="0"/>
        <w:widowControl/>
        <w:numPr>
          <w:ilvl w:val="0"/>
          <w:numId w:val="0"/>
        </w:numPr>
        <w:kinsoku w:val="0"/>
        <w:wordWrap/>
        <w:overflowPunct/>
        <w:topLinePunct w:val="0"/>
        <w:autoSpaceDE w:val="0"/>
        <w:autoSpaceDN w:val="0"/>
        <w:bidi w:val="0"/>
        <w:adjustRightInd w:val="0"/>
        <w:snapToGrid w:val="0"/>
        <w:spacing w:line="440" w:lineRule="exact"/>
        <w:ind w:leftChars="0" w:firstLine="480" w:firstLineChars="200"/>
        <w:textAlignment w:val="baseline"/>
        <w:rPr>
          <w:rFonts w:hint="eastAsia" w:ascii="宋体" w:hAnsi="宋体" w:eastAsia="宋体" w:cs="宋体"/>
          <w:b/>
          <w:bCs/>
          <w:sz w:val="28"/>
          <w:szCs w:val="28"/>
          <w:lang w:val="en-US" w:eastAsia="zh-CN"/>
        </w:rPr>
      </w:pPr>
      <w:r>
        <w:rPr>
          <w:rFonts w:hint="eastAsia" w:ascii="宋体" w:hAnsi="宋体" w:cs="宋体"/>
          <w:color w:val="auto"/>
        </w:rPr>
        <w:t>上述时限最后一日如遇国家法定休假日的，顺延至法定休假日后的第一个工作日。</w:t>
      </w:r>
    </w:p>
    <w:p w14:paraId="070CED55">
      <w:pPr>
        <w:keepNext w:val="0"/>
        <w:keepLines w:val="0"/>
        <w:pageBreakBefore w:val="0"/>
        <w:widowControl/>
        <w:numPr>
          <w:ilvl w:val="0"/>
          <w:numId w:val="24"/>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需要补充的其他内容</w:t>
      </w:r>
      <w:bookmarkEnd w:id="66"/>
    </w:p>
    <w:p w14:paraId="227E899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hint="eastAsia" w:ascii="宋体" w:hAnsi="宋体" w:eastAsia="宋体" w:cs="宋体"/>
          <w:lang w:eastAsia="zh-CN"/>
        </w:rPr>
        <w:sectPr>
          <w:headerReference r:id="rId10" w:type="default"/>
          <w:footerReference r:id="rId11" w:type="default"/>
          <w:pgSz w:w="11900" w:h="16840"/>
          <w:pgMar w:top="1440" w:right="1083" w:bottom="1440" w:left="1083" w:header="1077" w:footer="1032" w:gutter="0"/>
          <w:pgNumType w:fmt="decimal"/>
          <w:cols w:space="0" w:num="1"/>
        </w:sectPr>
      </w:pPr>
      <w:r>
        <w:rPr>
          <w:rFonts w:hint="eastAsia" w:ascii="宋体" w:hAnsi="宋体" w:eastAsia="宋体" w:cs="宋体"/>
        </w:rPr>
        <w:t>需要补充的其他内容：见投标人须知前附表</w:t>
      </w:r>
      <w:r>
        <w:rPr>
          <w:rFonts w:hint="eastAsia" w:ascii="宋体" w:hAnsi="宋体" w:eastAsia="宋体" w:cs="宋体"/>
          <w:lang w:eastAsia="zh-CN"/>
        </w:rPr>
        <w:t>。</w:t>
      </w:r>
    </w:p>
    <w:p w14:paraId="3FD4EF60">
      <w:pPr>
        <w:spacing w:line="360" w:lineRule="auto"/>
        <w:ind w:left="23"/>
        <w:rPr>
          <w:rFonts w:ascii="宋体" w:hAnsi="宋体" w:cs="宋体"/>
          <w:b/>
          <w:bCs/>
          <w:color w:val="auto"/>
        </w:rPr>
      </w:pPr>
      <w:r>
        <w:rPr>
          <w:rFonts w:hint="eastAsia" w:ascii="宋体" w:hAnsi="宋体" w:cs="宋体"/>
          <w:b/>
          <w:bCs/>
          <w:color w:val="auto"/>
          <w:spacing w:val="-8"/>
        </w:rPr>
        <w:t>附表二</w:t>
      </w:r>
    </w:p>
    <w:p w14:paraId="369D9853">
      <w:pPr>
        <w:spacing w:line="360" w:lineRule="auto"/>
        <w:ind w:left="3550"/>
        <w:rPr>
          <w:rFonts w:ascii="宋体" w:hAnsi="宋体" w:cs="宋体"/>
          <w:b/>
          <w:bCs/>
          <w:color w:val="auto"/>
        </w:rPr>
      </w:pPr>
      <w:r>
        <w:rPr>
          <w:rFonts w:hint="eastAsia" w:ascii="宋体" w:hAnsi="宋体" w:cs="宋体"/>
          <w:b/>
          <w:bCs/>
          <w:color w:val="auto"/>
          <w:spacing w:val="-5"/>
        </w:rPr>
        <w:t>问题澄清通知</w:t>
      </w:r>
    </w:p>
    <w:p w14:paraId="7387AF38">
      <w:pPr>
        <w:spacing w:line="360" w:lineRule="auto"/>
        <w:ind w:left="6372"/>
        <w:rPr>
          <w:rFonts w:ascii="宋体" w:hAnsi="宋体" w:cs="宋体"/>
          <w:color w:val="auto"/>
        </w:rPr>
      </w:pPr>
      <w:r>
        <w:rPr>
          <w:rFonts w:hint="eastAsia" w:ascii="宋体" w:hAnsi="宋体" w:cs="宋体"/>
          <w:color w:val="auto"/>
          <w:spacing w:val="-3"/>
        </w:rPr>
        <w:t>编号：</w:t>
      </w:r>
    </w:p>
    <w:p w14:paraId="3C69E0C9">
      <w:pPr>
        <w:pStyle w:val="10"/>
        <w:spacing w:line="360" w:lineRule="auto"/>
        <w:ind w:left="0"/>
        <w:rPr>
          <w:rFonts w:ascii="宋体" w:hAnsi="宋体" w:cs="宋体"/>
          <w:color w:val="auto"/>
        </w:rPr>
      </w:pPr>
    </w:p>
    <w:p w14:paraId="47DE3221">
      <w:pPr>
        <w:tabs>
          <w:tab w:val="left" w:pos="1618"/>
        </w:tabs>
        <w:spacing w:line="360" w:lineRule="auto"/>
        <w:rPr>
          <w:rFonts w:ascii="宋体" w:hAnsi="宋体" w:cs="宋体"/>
          <w:color w:val="auto"/>
        </w:rPr>
      </w:pPr>
      <w:r>
        <w:rPr>
          <w:rFonts w:hint="eastAsia" w:ascii="宋体" w:hAnsi="宋体" w:cs="宋体"/>
          <w:color w:val="auto"/>
          <w:u w:val="single"/>
        </w:rPr>
        <w:tab/>
      </w:r>
      <w:r>
        <w:rPr>
          <w:rFonts w:hint="eastAsia" w:ascii="宋体" w:hAnsi="宋体" w:cs="宋体"/>
          <w:color w:val="auto"/>
        </w:rPr>
        <w:t>（投标人名称）：</w:t>
      </w:r>
    </w:p>
    <w:p w14:paraId="7021D3D2">
      <w:pPr>
        <w:tabs>
          <w:tab w:val="left" w:pos="1396"/>
        </w:tabs>
        <w:spacing w:line="360" w:lineRule="auto"/>
        <w:ind w:left="15" w:firstLine="464"/>
        <w:jc w:val="both"/>
        <w:rPr>
          <w:rFonts w:ascii="宋体" w:hAnsi="宋体" w:cs="宋体"/>
          <w:color w:val="auto"/>
        </w:rPr>
      </w:pPr>
      <w:r>
        <w:rPr>
          <w:rFonts w:hint="eastAsia" w:ascii="宋体" w:hAnsi="宋体" w:cs="宋体"/>
          <w:color w:val="auto"/>
          <w:u w:val="single"/>
        </w:rPr>
        <w:tab/>
      </w:r>
      <w:r>
        <w:rPr>
          <w:rFonts w:hint="eastAsia" w:ascii="宋体" w:hAnsi="宋体" w:cs="宋体"/>
          <w:color w:val="auto"/>
          <w:spacing w:val="-4"/>
          <w:u w:val="single"/>
        </w:rPr>
        <w:t xml:space="preserve">（工程名称）    </w:t>
      </w:r>
      <w:r>
        <w:rPr>
          <w:rFonts w:hint="eastAsia" w:ascii="宋体" w:hAnsi="宋体" w:cs="宋体"/>
          <w:color w:val="auto"/>
          <w:spacing w:val="-4"/>
        </w:rPr>
        <w:t>标段施工招标的评标委员会，对你方的投标文件进行</w:t>
      </w:r>
      <w:r>
        <w:rPr>
          <w:rFonts w:hint="eastAsia" w:ascii="宋体" w:hAnsi="宋体" w:cs="宋体"/>
          <w:color w:val="auto"/>
          <w:spacing w:val="9"/>
        </w:rPr>
        <w:t>了仔细的审查，现需你方对本通知所附的问题以书面形式予以澄清、说明</w:t>
      </w:r>
      <w:r>
        <w:rPr>
          <w:rFonts w:hint="eastAsia" w:ascii="宋体" w:hAnsi="宋体" w:cs="宋体"/>
          <w:color w:val="auto"/>
          <w:spacing w:val="8"/>
        </w:rPr>
        <w:t>或者补</w:t>
      </w:r>
      <w:r>
        <w:rPr>
          <w:rFonts w:hint="eastAsia" w:ascii="宋体" w:hAnsi="宋体" w:cs="宋体"/>
          <w:color w:val="auto"/>
          <w:spacing w:val="-8"/>
        </w:rPr>
        <w:t>正。</w:t>
      </w:r>
    </w:p>
    <w:p w14:paraId="156D5098">
      <w:pPr>
        <w:spacing w:line="360" w:lineRule="auto"/>
        <w:ind w:left="757" w:right="7094" w:firstLine="14"/>
        <w:rPr>
          <w:rFonts w:ascii="宋体" w:hAnsi="宋体" w:cs="宋体"/>
          <w:color w:val="auto"/>
        </w:rPr>
      </w:pPr>
      <w:r>
        <w:rPr>
          <w:rFonts w:hint="eastAsia" w:ascii="宋体" w:hAnsi="宋体" w:cs="宋体"/>
          <w:color w:val="auto"/>
          <w:spacing w:val="-8"/>
        </w:rPr>
        <w:t>问题：1.问题：2.</w:t>
      </w:r>
    </w:p>
    <w:p w14:paraId="021DBE0D">
      <w:pPr>
        <w:spacing w:line="360" w:lineRule="auto"/>
        <w:ind w:left="737"/>
        <w:rPr>
          <w:rFonts w:ascii="宋体" w:hAnsi="宋体" w:cs="宋体"/>
          <w:color w:val="auto"/>
        </w:rPr>
      </w:pPr>
      <w:r>
        <w:rPr>
          <w:rFonts w:hint="eastAsia" w:ascii="宋体" w:hAnsi="宋体" w:cs="宋体"/>
          <w:color w:val="auto"/>
          <w:spacing w:val="-1"/>
          <w:position w:val="1"/>
        </w:rPr>
        <w:t>.......</w:t>
      </w:r>
    </w:p>
    <w:p w14:paraId="5397E0BB">
      <w:pPr>
        <w:spacing w:line="360" w:lineRule="auto"/>
        <w:ind w:left="12" w:firstLine="476"/>
        <w:rPr>
          <w:rFonts w:ascii="宋体" w:hAnsi="宋体" w:cs="宋体"/>
          <w:color w:val="auto"/>
        </w:rPr>
      </w:pPr>
      <w:r>
        <w:rPr>
          <w:rFonts w:hint="eastAsia" w:ascii="宋体" w:hAnsi="宋体" w:cs="宋体"/>
          <w:color w:val="auto"/>
          <w:spacing w:val="6"/>
        </w:rPr>
        <w:t>请将上述问题的澄清、说明或者补正于年月日时前密封递交</w:t>
      </w:r>
      <w:r>
        <w:rPr>
          <w:rFonts w:hint="eastAsia" w:ascii="宋体" w:hAnsi="宋体" w:cs="宋体"/>
          <w:color w:val="auto"/>
          <w:spacing w:val="-6"/>
        </w:rPr>
        <w:t>至。</w:t>
      </w:r>
    </w:p>
    <w:p w14:paraId="4DC52A83">
      <w:pPr>
        <w:pStyle w:val="10"/>
        <w:spacing w:line="360" w:lineRule="auto"/>
        <w:rPr>
          <w:rFonts w:ascii="宋体" w:hAnsi="宋体" w:cs="宋体"/>
          <w:color w:val="auto"/>
        </w:rPr>
      </w:pPr>
    </w:p>
    <w:p w14:paraId="4246A729">
      <w:pPr>
        <w:tabs>
          <w:tab w:val="left" w:pos="4665"/>
          <w:tab w:val="left" w:pos="5999"/>
        </w:tabs>
        <w:spacing w:line="360" w:lineRule="auto"/>
        <w:ind w:left="5279" w:right="479" w:hanging="1591"/>
        <w:rPr>
          <w:rFonts w:ascii="宋体" w:hAnsi="宋体" w:cs="宋体"/>
          <w:color w:val="auto"/>
          <w:u w:val="single"/>
        </w:rPr>
      </w:pPr>
      <w:r>
        <w:rPr>
          <w:rFonts w:hint="eastAsia" w:ascii="宋体" w:hAnsi="宋体" w:cs="宋体"/>
          <w:color w:val="auto"/>
          <w:u w:val="single"/>
        </w:rPr>
        <w:tab/>
      </w:r>
      <w:r>
        <w:rPr>
          <w:rFonts w:hint="eastAsia" w:ascii="宋体" w:hAnsi="宋体" w:cs="宋体"/>
          <w:color w:val="auto"/>
          <w:spacing w:val="-14"/>
          <w:u w:val="single"/>
        </w:rPr>
        <w:t>（工程名称）</w:t>
      </w:r>
      <w:r>
        <w:rPr>
          <w:rFonts w:hint="eastAsia" w:ascii="宋体" w:hAnsi="宋体" w:cs="宋体"/>
          <w:color w:val="auto"/>
          <w:spacing w:val="-14"/>
        </w:rPr>
        <w:t>评标委员会</w:t>
      </w:r>
      <w:r>
        <w:rPr>
          <w:rFonts w:hint="eastAsia" w:ascii="宋体" w:hAnsi="宋体" w:cs="宋体"/>
          <w:color w:val="auto"/>
          <w:u w:val="single"/>
        </w:rPr>
        <w:tab/>
      </w:r>
    </w:p>
    <w:p w14:paraId="2E6AC685">
      <w:pPr>
        <w:tabs>
          <w:tab w:val="left" w:pos="4665"/>
          <w:tab w:val="left" w:pos="5999"/>
        </w:tabs>
        <w:spacing w:line="360" w:lineRule="auto"/>
        <w:ind w:left="5279" w:right="479" w:hanging="1591"/>
        <w:rPr>
          <w:rFonts w:ascii="宋体" w:hAnsi="宋体" w:cs="宋体"/>
          <w:color w:val="auto"/>
          <w:spacing w:val="-11"/>
        </w:rPr>
      </w:pPr>
      <w:r>
        <w:rPr>
          <w:rFonts w:hint="eastAsia" w:ascii="宋体" w:hAnsi="宋体" w:cs="宋体"/>
          <w:color w:val="auto"/>
          <w:spacing w:val="-11"/>
        </w:rPr>
        <w:t>年  月  日</w:t>
      </w:r>
    </w:p>
    <w:p w14:paraId="73DA2150">
      <w:pPr>
        <w:spacing w:line="360" w:lineRule="auto"/>
        <w:rPr>
          <w:rFonts w:ascii="宋体" w:hAnsi="宋体" w:cs="宋体"/>
          <w:b/>
          <w:bCs/>
          <w:color w:val="auto"/>
          <w:spacing w:val="-8"/>
        </w:rPr>
      </w:pPr>
    </w:p>
    <w:p w14:paraId="38AE1447">
      <w:pPr>
        <w:spacing w:line="360" w:lineRule="auto"/>
        <w:rPr>
          <w:rFonts w:ascii="宋体" w:hAnsi="宋体" w:cs="宋体"/>
          <w:b/>
          <w:bCs/>
          <w:color w:val="auto"/>
        </w:rPr>
      </w:pPr>
      <w:r>
        <w:rPr>
          <w:rFonts w:hint="eastAsia" w:ascii="宋体" w:hAnsi="宋体" w:cs="宋体"/>
          <w:b/>
          <w:bCs/>
          <w:color w:val="auto"/>
          <w:spacing w:val="-8"/>
        </w:rPr>
        <w:t>附表三</w:t>
      </w:r>
    </w:p>
    <w:p w14:paraId="16E65781">
      <w:pPr>
        <w:spacing w:line="360" w:lineRule="auto"/>
        <w:ind w:left="2852"/>
        <w:rPr>
          <w:rFonts w:ascii="宋体" w:hAnsi="宋体" w:cs="宋体"/>
          <w:b/>
          <w:bCs/>
          <w:color w:val="auto"/>
        </w:rPr>
      </w:pPr>
      <w:r>
        <w:rPr>
          <w:rFonts w:hint="eastAsia" w:ascii="宋体" w:hAnsi="宋体" w:cs="宋体"/>
          <w:b/>
          <w:bCs/>
          <w:color w:val="auto"/>
          <w:spacing w:val="-3"/>
        </w:rPr>
        <w:t>问题的澄清、说明或补正</w:t>
      </w:r>
    </w:p>
    <w:p w14:paraId="2A953E5D">
      <w:pPr>
        <w:spacing w:line="360" w:lineRule="auto"/>
        <w:ind w:left="6132"/>
        <w:rPr>
          <w:rFonts w:ascii="宋体" w:hAnsi="宋体" w:cs="宋体"/>
          <w:color w:val="auto"/>
        </w:rPr>
      </w:pPr>
      <w:r>
        <w:rPr>
          <w:rFonts w:hint="eastAsia" w:ascii="宋体" w:hAnsi="宋体" w:cs="宋体"/>
          <w:color w:val="auto"/>
          <w:spacing w:val="-5"/>
        </w:rPr>
        <w:t>编号：</w:t>
      </w:r>
    </w:p>
    <w:p w14:paraId="68D9A7A6">
      <w:pPr>
        <w:pStyle w:val="10"/>
        <w:spacing w:line="360" w:lineRule="auto"/>
        <w:ind w:left="0"/>
        <w:rPr>
          <w:rFonts w:ascii="宋体" w:hAnsi="宋体" w:cs="宋体"/>
          <w:color w:val="auto"/>
        </w:rPr>
      </w:pPr>
    </w:p>
    <w:p w14:paraId="49721806">
      <w:pPr>
        <w:tabs>
          <w:tab w:val="left" w:pos="1130"/>
        </w:tabs>
        <w:spacing w:line="360" w:lineRule="auto"/>
        <w:rPr>
          <w:rFonts w:ascii="宋体" w:hAnsi="宋体" w:cs="宋体"/>
          <w:color w:val="auto"/>
        </w:rPr>
      </w:pPr>
      <w:r>
        <w:rPr>
          <w:rFonts w:hint="eastAsia" w:ascii="宋体" w:hAnsi="宋体" w:cs="宋体"/>
          <w:color w:val="auto"/>
          <w:u w:val="single"/>
        </w:rPr>
        <w:tab/>
      </w:r>
      <w:r>
        <w:rPr>
          <w:rFonts w:hint="eastAsia" w:ascii="宋体" w:hAnsi="宋体" w:cs="宋体"/>
          <w:color w:val="auto"/>
          <w:spacing w:val="-9"/>
          <w:u w:val="single"/>
        </w:rPr>
        <w:t>（工程名称）</w:t>
      </w:r>
      <w:r>
        <w:rPr>
          <w:rFonts w:hint="eastAsia" w:ascii="宋体" w:hAnsi="宋体" w:cs="宋体"/>
          <w:color w:val="auto"/>
          <w:spacing w:val="-9"/>
        </w:rPr>
        <w:t>标段施工招标评标委员会：</w:t>
      </w:r>
    </w:p>
    <w:p w14:paraId="0EF1C47B">
      <w:pPr>
        <w:spacing w:line="360" w:lineRule="auto"/>
        <w:ind w:left="13" w:right="388" w:firstLine="504"/>
        <w:rPr>
          <w:rFonts w:ascii="宋体" w:hAnsi="宋体" w:cs="宋体"/>
          <w:color w:val="auto"/>
        </w:rPr>
      </w:pPr>
      <w:r>
        <w:rPr>
          <w:rFonts w:hint="eastAsia" w:ascii="宋体" w:hAnsi="宋体" w:cs="宋体"/>
          <w:color w:val="auto"/>
          <w:spacing w:val="-3"/>
        </w:rPr>
        <w:t>问题澄清通知（编号</w:t>
      </w:r>
      <w:r>
        <w:rPr>
          <w:rFonts w:hint="eastAsia" w:ascii="宋体" w:hAnsi="宋体" w:cs="宋体"/>
          <w:color w:val="auto"/>
        </w:rPr>
        <w:t>：）</w:t>
      </w:r>
      <w:r>
        <w:rPr>
          <w:rFonts w:hint="eastAsia" w:ascii="宋体" w:hAnsi="宋体" w:cs="宋体"/>
          <w:color w:val="auto"/>
          <w:spacing w:val="-3"/>
        </w:rPr>
        <w:t>已收悉，现澄清、说明或者</w:t>
      </w:r>
      <w:r>
        <w:rPr>
          <w:rFonts w:hint="eastAsia" w:ascii="宋体" w:hAnsi="宋体" w:cs="宋体"/>
          <w:color w:val="auto"/>
          <w:spacing w:val="-4"/>
        </w:rPr>
        <w:t>补正如</w:t>
      </w:r>
      <w:r>
        <w:rPr>
          <w:rFonts w:hint="eastAsia" w:ascii="宋体" w:hAnsi="宋体" w:cs="宋体"/>
          <w:color w:val="auto"/>
          <w:spacing w:val="-7"/>
        </w:rPr>
        <w:t>下：</w:t>
      </w:r>
    </w:p>
    <w:p w14:paraId="35895342">
      <w:pPr>
        <w:spacing w:line="360" w:lineRule="auto"/>
        <w:ind w:left="485" w:right="8070" w:firstLine="23"/>
        <w:rPr>
          <w:rFonts w:ascii="宋体" w:hAnsi="宋体" w:cs="宋体"/>
          <w:color w:val="auto"/>
        </w:rPr>
      </w:pPr>
      <w:r>
        <w:rPr>
          <w:rFonts w:hint="eastAsia" w:ascii="宋体" w:hAnsi="宋体" w:cs="宋体"/>
          <w:color w:val="auto"/>
          <w:spacing w:val="-16"/>
        </w:rPr>
        <w:t>1.</w:t>
      </w:r>
      <w:r>
        <w:rPr>
          <w:rFonts w:hint="eastAsia" w:ascii="宋体" w:hAnsi="宋体" w:cs="宋体"/>
          <w:color w:val="auto"/>
          <w:spacing w:val="-4"/>
        </w:rPr>
        <w:t>2.</w:t>
      </w:r>
    </w:p>
    <w:p w14:paraId="024AB735">
      <w:pPr>
        <w:spacing w:line="360" w:lineRule="auto"/>
        <w:ind w:left="507"/>
        <w:rPr>
          <w:rFonts w:ascii="宋体" w:hAnsi="宋体" w:cs="宋体"/>
          <w:color w:val="auto"/>
        </w:rPr>
      </w:pPr>
      <w:r>
        <w:rPr>
          <w:rFonts w:hint="eastAsia" w:ascii="宋体" w:hAnsi="宋体" w:cs="宋体"/>
          <w:color w:val="auto"/>
          <w:spacing w:val="-2"/>
          <w:position w:val="1"/>
        </w:rPr>
        <w:t>……</w:t>
      </w:r>
    </w:p>
    <w:p w14:paraId="265CA5C6">
      <w:pPr>
        <w:spacing w:line="360" w:lineRule="auto"/>
        <w:ind w:left="3622"/>
        <w:rPr>
          <w:rFonts w:ascii="宋体" w:hAnsi="宋体" w:cs="宋体"/>
          <w:color w:val="auto"/>
        </w:rPr>
      </w:pPr>
      <w:r>
        <w:rPr>
          <w:rFonts w:hint="eastAsia" w:ascii="宋体" w:hAnsi="宋体" w:cs="宋体"/>
          <w:color w:val="auto"/>
          <w:spacing w:val="2"/>
        </w:rPr>
        <w:t>投标人</w:t>
      </w:r>
      <w:r>
        <w:rPr>
          <w:rFonts w:hint="eastAsia" w:ascii="宋体" w:hAnsi="宋体" w:cs="宋体"/>
          <w:color w:val="auto"/>
          <w:spacing w:val="-13"/>
        </w:rPr>
        <w:t>：</w:t>
      </w:r>
      <w:r>
        <w:rPr>
          <w:rFonts w:hint="eastAsia" w:ascii="宋体" w:hAnsi="宋体" w:cs="宋体"/>
          <w:color w:val="auto"/>
          <w:spacing w:val="-13"/>
          <w:u w:val="single"/>
        </w:rPr>
        <w:t>（</w:t>
      </w:r>
      <w:r>
        <w:rPr>
          <w:rFonts w:hint="eastAsia" w:ascii="宋体" w:hAnsi="宋体" w:cs="宋体"/>
          <w:color w:val="auto"/>
          <w:spacing w:val="2"/>
          <w:u w:val="single"/>
        </w:rPr>
        <w:t>单位名称）</w:t>
      </w:r>
    </w:p>
    <w:p w14:paraId="4B3AA2D9">
      <w:pPr>
        <w:tabs>
          <w:tab w:val="left" w:pos="6927"/>
        </w:tabs>
        <w:spacing w:line="360" w:lineRule="auto"/>
        <w:ind w:left="6388" w:right="20" w:hanging="2808"/>
        <w:rPr>
          <w:rFonts w:ascii="宋体" w:hAnsi="宋体" w:cs="宋体"/>
          <w:color w:val="auto"/>
        </w:rPr>
      </w:pPr>
      <w:r>
        <w:rPr>
          <w:rFonts w:hint="eastAsia" w:ascii="宋体" w:hAnsi="宋体" w:cs="宋体"/>
          <w:color w:val="auto"/>
        </w:rPr>
        <w:t>法定代表人或其委托代理人</w:t>
      </w:r>
      <w:r>
        <w:rPr>
          <w:rFonts w:hint="eastAsia" w:ascii="宋体" w:hAnsi="宋体" w:cs="宋体"/>
          <w:color w:val="auto"/>
          <w:spacing w:val="-17"/>
        </w:rPr>
        <w:t>：（</w:t>
      </w:r>
      <w:r>
        <w:rPr>
          <w:rFonts w:hint="eastAsia" w:ascii="宋体" w:hAnsi="宋体" w:cs="宋体"/>
          <w:color w:val="auto"/>
        </w:rPr>
        <w:t xml:space="preserve">签字或盖章） </w:t>
      </w:r>
    </w:p>
    <w:p w14:paraId="29D26589">
      <w:pPr>
        <w:tabs>
          <w:tab w:val="left" w:pos="6927"/>
        </w:tabs>
        <w:spacing w:line="360" w:lineRule="auto"/>
        <w:ind w:left="6186" w:leftChars="1789" w:right="20" w:hanging="1892" w:hangingChars="868"/>
        <w:rPr>
          <w:rFonts w:ascii="宋体" w:hAnsi="宋体" w:cs="宋体"/>
          <w:color w:val="auto"/>
        </w:rPr>
      </w:pPr>
      <w:r>
        <w:rPr>
          <w:rFonts w:hint="eastAsia" w:ascii="宋体" w:hAnsi="宋体" w:cs="宋体"/>
          <w:color w:val="auto"/>
          <w:spacing w:val="-11"/>
        </w:rPr>
        <w:t>年   月   日</w:t>
      </w:r>
    </w:p>
    <w:p w14:paraId="2136ED05">
      <w:pPr>
        <w:spacing w:line="230" w:lineRule="auto"/>
        <w:rPr>
          <w:rFonts w:ascii="宋体" w:hAnsi="宋体" w:cs="宋体"/>
          <w:color w:val="auto"/>
        </w:rPr>
        <w:sectPr>
          <w:footerReference r:id="rId12" w:type="default"/>
          <w:pgSz w:w="11906" w:h="16839"/>
          <w:pgMar w:top="1406" w:right="1589" w:bottom="1144" w:left="1588" w:header="0" w:footer="960" w:gutter="0"/>
          <w:pgNumType w:fmt="decimal"/>
          <w:cols w:space="720" w:num="1"/>
        </w:sectPr>
      </w:pPr>
    </w:p>
    <w:p w14:paraId="6B7048A7">
      <w:pPr>
        <w:pStyle w:val="2"/>
        <w:spacing w:line="360" w:lineRule="auto"/>
      </w:pPr>
      <w:bookmarkStart w:id="67" w:name="_Toc7986"/>
      <w:bookmarkStart w:id="68" w:name="_Toc14161"/>
      <w:bookmarkStart w:id="69" w:name="_Toc32000"/>
      <w:r>
        <mc:AlternateContent>
          <mc:Choice Requires="wps">
            <w:drawing>
              <wp:anchor distT="0" distB="0" distL="114300" distR="114300" simplePos="0" relativeHeight="251668480" behindDoc="0" locked="0" layoutInCell="0" allowOverlap="1">
                <wp:simplePos x="0" y="0"/>
                <wp:positionH relativeFrom="page">
                  <wp:posOffset>1139825</wp:posOffset>
                </wp:positionH>
                <wp:positionV relativeFrom="page">
                  <wp:posOffset>683895</wp:posOffset>
                </wp:positionV>
                <wp:extent cx="5593715" cy="9525"/>
                <wp:effectExtent l="0" t="0" r="635" b="1905"/>
                <wp:wrapNone/>
                <wp:docPr id="1941612040" name="Freeform 9"/>
                <wp:cNvGraphicFramePr/>
                <a:graphic xmlns:a="http://schemas.openxmlformats.org/drawingml/2006/main">
                  <a:graphicData uri="http://schemas.microsoft.com/office/word/2010/wordprocessingShape">
                    <wps:wsp>
                      <wps:cNvSpPr>
                        <a:spLocks noChangeArrowheads="1"/>
                      </wps:cNvSpPr>
                      <wps:spPr bwMode="auto">
                        <a:xfrm>
                          <a:off x="0" y="0"/>
                          <a:ext cx="5593715" cy="9525"/>
                        </a:xfrm>
                        <a:custGeom>
                          <a:avLst/>
                          <a:gdLst>
                            <a:gd name="T0" fmla="*/ 0 w 8809"/>
                            <a:gd name="T1" fmla="*/ 14 h 15"/>
                            <a:gd name="T2" fmla="*/ 8808 w 8809"/>
                            <a:gd name="T3" fmla="*/ 14 h 15"/>
                            <a:gd name="T4" fmla="*/ 8808 w 8809"/>
                            <a:gd name="T5" fmla="*/ 0 h 15"/>
                            <a:gd name="T6" fmla="*/ 0 w 8809"/>
                            <a:gd name="T7" fmla="*/ 0 h 15"/>
                            <a:gd name="T8" fmla="*/ 0 w 8809"/>
                            <a:gd name="T9" fmla="*/ 14 h 15"/>
                          </a:gdLst>
                          <a:ahLst/>
                          <a:cxnLst>
                            <a:cxn ang="0">
                              <a:pos x="T0" y="T1"/>
                            </a:cxn>
                            <a:cxn ang="0">
                              <a:pos x="T2" y="T3"/>
                            </a:cxn>
                            <a:cxn ang="0">
                              <a:pos x="T4" y="T5"/>
                            </a:cxn>
                            <a:cxn ang="0">
                              <a:pos x="T6" y="T7"/>
                            </a:cxn>
                            <a:cxn ang="0">
                              <a:pos x="T8" y="T9"/>
                            </a:cxn>
                          </a:cxnLst>
                          <a:rect l="0" t="0" r="r" b="b"/>
                          <a:pathLst>
                            <a:path w="8809" h="15">
                              <a:moveTo>
                                <a:pt x="0" y="14"/>
                              </a:moveTo>
                              <a:lnTo>
                                <a:pt x="8808" y="14"/>
                              </a:lnTo>
                              <a:lnTo>
                                <a:pt x="8808" y="0"/>
                              </a:lnTo>
                              <a:lnTo>
                                <a:pt x="0" y="0"/>
                              </a:lnTo>
                              <a:lnTo>
                                <a:pt x="0" y="14"/>
                              </a:lnTo>
                              <a:close/>
                            </a:path>
                          </a:pathLst>
                        </a:custGeom>
                        <a:solidFill>
                          <a:srgbClr val="000000"/>
                        </a:solidFill>
                        <a:ln>
                          <a:noFill/>
                        </a:ln>
                      </wps:spPr>
                      <wps:bodyPr rot="0" vert="horz" wrap="square" lIns="91440" tIns="45720" rIns="91440" bIns="45720" anchor="t" anchorCtr="0" upright="1">
                        <a:noAutofit/>
                      </wps:bodyPr>
                    </wps:wsp>
                  </a:graphicData>
                </a:graphic>
              </wp:anchor>
            </w:drawing>
          </mc:Choice>
          <mc:Fallback>
            <w:pict>
              <v:shape id="Freeform 9" o:spid="_x0000_s1026" o:spt="100" style="position:absolute;left:0pt;margin-left:89.75pt;margin-top:53.85pt;height:0.75pt;width:440.45pt;mso-position-horizontal-relative:page;mso-position-vertical-relative:page;z-index:251668480;mso-width-relative:page;mso-height-relative:page;" fillcolor="#000000" filled="t" stroked="f" coordsize="8809,15" o:allowincell="f" o:gfxdata="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" path="m0,14l8808,14,8808,0,0,0,0,14xe">
                <v:path o:connectlocs="0,8890;5593080,8890;5593080,0;0,0;0,8890" o:connectangles="0,0,0,0,0"/>
                <v:fill on="t" focussize="0,0"/>
                <v:stroke on="f"/>
                <v:imagedata o:title=""/>
                <o:lock v:ext="edit" aspectratio="f"/>
              </v:shape>
            </w:pict>
          </mc:Fallback>
        </mc:AlternateContent>
      </w:r>
      <w:r>
        <w:t>第三章</w:t>
      </w:r>
      <w:r>
        <w:rPr>
          <w:rFonts w:hint="eastAsia"/>
        </w:rPr>
        <w:t xml:space="preserve">    </w:t>
      </w:r>
      <w:r>
        <w:t>评标办法</w:t>
      </w:r>
      <w:bookmarkEnd w:id="67"/>
      <w:bookmarkEnd w:id="68"/>
      <w:bookmarkEnd w:id="69"/>
    </w:p>
    <w:p w14:paraId="4DA02BB9">
      <w:pPr>
        <w:pStyle w:val="3"/>
        <w:numPr>
          <w:ilvl w:val="0"/>
          <w:numId w:val="0"/>
        </w:numPr>
      </w:pPr>
      <w:bookmarkStart w:id="70" w:name="_Toc21479"/>
      <w:bookmarkStart w:id="71" w:name="_Toc1830"/>
      <w:bookmarkStart w:id="72" w:name="_Toc4317"/>
      <w:r>
        <w:rPr>
          <w:rFonts w:hint="eastAsia"/>
        </w:rPr>
        <w:t xml:space="preserve">第一节    </w:t>
      </w:r>
      <w:r>
        <w:t>评标办法前附表</w:t>
      </w:r>
      <w:bookmarkEnd w:id="70"/>
      <w:bookmarkEnd w:id="71"/>
      <w:bookmarkEnd w:id="72"/>
    </w:p>
    <w:tbl>
      <w:tblPr>
        <w:tblStyle w:val="35"/>
        <w:tblW w:w="9119"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02"/>
        <w:gridCol w:w="1122"/>
        <w:gridCol w:w="2293"/>
        <w:gridCol w:w="4802"/>
      </w:tblGrid>
      <w:tr w14:paraId="133F46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8" w:hRule="atLeast"/>
        </w:trPr>
        <w:tc>
          <w:tcPr>
            <w:tcW w:w="2024" w:type="dxa"/>
            <w:gridSpan w:val="2"/>
            <w:vAlign w:val="center"/>
          </w:tcPr>
          <w:p w14:paraId="14BA3831">
            <w:pPr>
              <w:jc w:val="center"/>
            </w:pPr>
            <w:r>
              <w:t>条款号</w:t>
            </w:r>
          </w:p>
        </w:tc>
        <w:tc>
          <w:tcPr>
            <w:tcW w:w="2293" w:type="dxa"/>
            <w:vAlign w:val="center"/>
          </w:tcPr>
          <w:p w14:paraId="470A7D6D">
            <w:pPr>
              <w:jc w:val="center"/>
            </w:pPr>
            <w:r>
              <w:t>评审因素</w:t>
            </w:r>
          </w:p>
        </w:tc>
        <w:tc>
          <w:tcPr>
            <w:tcW w:w="4802" w:type="dxa"/>
            <w:vAlign w:val="center"/>
          </w:tcPr>
          <w:p w14:paraId="787A9F54">
            <w:pPr>
              <w:jc w:val="center"/>
            </w:pPr>
            <w:r>
              <w:t>评审标准</w:t>
            </w:r>
          </w:p>
        </w:tc>
      </w:tr>
      <w:tr w14:paraId="6977C0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restart"/>
            <w:tcBorders>
              <w:bottom w:val="nil"/>
            </w:tcBorders>
            <w:vAlign w:val="center"/>
          </w:tcPr>
          <w:p w14:paraId="4A1089BD">
            <w:pPr>
              <w:jc w:val="center"/>
            </w:pPr>
            <w:r>
              <w:t>2.1.1</w:t>
            </w:r>
          </w:p>
        </w:tc>
        <w:tc>
          <w:tcPr>
            <w:tcW w:w="1122" w:type="dxa"/>
            <w:vMerge w:val="restart"/>
            <w:tcBorders>
              <w:bottom w:val="nil"/>
            </w:tcBorders>
            <w:vAlign w:val="center"/>
          </w:tcPr>
          <w:p w14:paraId="66605D60">
            <w:pPr>
              <w:jc w:val="center"/>
            </w:pPr>
            <w:r>
              <w:t>形式评审标准</w:t>
            </w:r>
          </w:p>
        </w:tc>
        <w:tc>
          <w:tcPr>
            <w:tcW w:w="2293" w:type="dxa"/>
            <w:vAlign w:val="center"/>
          </w:tcPr>
          <w:p w14:paraId="19EB0B43">
            <w:pPr>
              <w:jc w:val="center"/>
            </w:pPr>
            <w:r>
              <w:t>投标文件组成</w:t>
            </w:r>
          </w:p>
        </w:tc>
        <w:tc>
          <w:tcPr>
            <w:tcW w:w="4802" w:type="dxa"/>
            <w:vAlign w:val="center"/>
          </w:tcPr>
          <w:p w14:paraId="691BC594">
            <w:pPr>
              <w:jc w:val="center"/>
            </w:pPr>
            <w:r>
              <w:t>符合第二章“投标人须知”第3.1项规定</w:t>
            </w:r>
          </w:p>
        </w:tc>
      </w:tr>
      <w:tr w14:paraId="5E031AB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center"/>
          </w:tcPr>
          <w:p w14:paraId="321F7F2E">
            <w:pPr>
              <w:jc w:val="center"/>
            </w:pPr>
          </w:p>
        </w:tc>
        <w:tc>
          <w:tcPr>
            <w:tcW w:w="1122" w:type="dxa"/>
            <w:vMerge w:val="continue"/>
            <w:tcBorders>
              <w:top w:val="nil"/>
              <w:bottom w:val="nil"/>
            </w:tcBorders>
            <w:vAlign w:val="center"/>
          </w:tcPr>
          <w:p w14:paraId="7D5EDB67">
            <w:pPr>
              <w:jc w:val="center"/>
            </w:pPr>
          </w:p>
        </w:tc>
        <w:tc>
          <w:tcPr>
            <w:tcW w:w="2293" w:type="dxa"/>
            <w:vAlign w:val="center"/>
          </w:tcPr>
          <w:p w14:paraId="3B13FA80">
            <w:pPr>
              <w:jc w:val="center"/>
            </w:pPr>
            <w:r>
              <w:t>投标保证金</w:t>
            </w:r>
          </w:p>
        </w:tc>
        <w:tc>
          <w:tcPr>
            <w:tcW w:w="4802" w:type="dxa"/>
            <w:vAlign w:val="center"/>
          </w:tcPr>
          <w:p w14:paraId="087DD28D">
            <w:pPr>
              <w:jc w:val="center"/>
            </w:pPr>
            <w:r>
              <w:t>符合第二章“投标人须知”第3.4.1项规定</w:t>
            </w:r>
          </w:p>
        </w:tc>
      </w:tr>
      <w:tr w14:paraId="0448FA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center"/>
          </w:tcPr>
          <w:p w14:paraId="3825318E">
            <w:pPr>
              <w:jc w:val="center"/>
            </w:pPr>
          </w:p>
        </w:tc>
        <w:tc>
          <w:tcPr>
            <w:tcW w:w="1122" w:type="dxa"/>
            <w:vMerge w:val="continue"/>
            <w:tcBorders>
              <w:top w:val="nil"/>
              <w:bottom w:val="nil"/>
            </w:tcBorders>
            <w:vAlign w:val="center"/>
          </w:tcPr>
          <w:p w14:paraId="05EAE237">
            <w:pPr>
              <w:jc w:val="center"/>
            </w:pPr>
          </w:p>
        </w:tc>
        <w:tc>
          <w:tcPr>
            <w:tcW w:w="2293" w:type="dxa"/>
            <w:vAlign w:val="center"/>
          </w:tcPr>
          <w:p w14:paraId="1EF5125A">
            <w:pPr>
              <w:jc w:val="center"/>
            </w:pPr>
            <w:r>
              <w:t>投标文件格式</w:t>
            </w:r>
          </w:p>
        </w:tc>
        <w:tc>
          <w:tcPr>
            <w:tcW w:w="4802" w:type="dxa"/>
            <w:vAlign w:val="center"/>
          </w:tcPr>
          <w:p w14:paraId="3ACDCD47">
            <w:pPr>
              <w:jc w:val="center"/>
            </w:pPr>
            <w:r>
              <w:t>符合第二章“投标人须知”第3.6.1项规定</w:t>
            </w:r>
          </w:p>
        </w:tc>
      </w:tr>
      <w:tr w14:paraId="61FBD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center"/>
          </w:tcPr>
          <w:p w14:paraId="7EC5AF89">
            <w:pPr>
              <w:jc w:val="center"/>
            </w:pPr>
          </w:p>
        </w:tc>
        <w:tc>
          <w:tcPr>
            <w:tcW w:w="1122" w:type="dxa"/>
            <w:vMerge w:val="continue"/>
            <w:tcBorders>
              <w:top w:val="nil"/>
              <w:bottom w:val="nil"/>
            </w:tcBorders>
            <w:vAlign w:val="center"/>
          </w:tcPr>
          <w:p w14:paraId="00EC222B">
            <w:pPr>
              <w:jc w:val="center"/>
            </w:pPr>
          </w:p>
        </w:tc>
        <w:tc>
          <w:tcPr>
            <w:tcW w:w="2293" w:type="dxa"/>
            <w:vAlign w:val="center"/>
          </w:tcPr>
          <w:p w14:paraId="7DE787C9">
            <w:pPr>
              <w:jc w:val="center"/>
            </w:pPr>
            <w:r>
              <w:t>投标文件签字盖章</w:t>
            </w:r>
          </w:p>
        </w:tc>
        <w:tc>
          <w:tcPr>
            <w:tcW w:w="4802" w:type="dxa"/>
            <w:vAlign w:val="center"/>
          </w:tcPr>
          <w:p w14:paraId="365124C1">
            <w:pPr>
              <w:jc w:val="center"/>
            </w:pPr>
            <w:r>
              <w:t>符合第二章“投标人须知”第3.6.</w:t>
            </w:r>
            <w:r>
              <w:rPr>
                <w:rFonts w:hint="eastAsia" w:eastAsia="宋体"/>
                <w:lang w:val="en-US" w:eastAsia="zh-CN"/>
              </w:rPr>
              <w:t>3</w:t>
            </w:r>
            <w:r>
              <w:t>项规定</w:t>
            </w:r>
          </w:p>
        </w:tc>
      </w:tr>
      <w:tr w14:paraId="3C44EC3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tcBorders>
            <w:vAlign w:val="center"/>
          </w:tcPr>
          <w:p w14:paraId="14E842B2">
            <w:pPr>
              <w:jc w:val="center"/>
            </w:pPr>
          </w:p>
        </w:tc>
        <w:tc>
          <w:tcPr>
            <w:tcW w:w="1122" w:type="dxa"/>
            <w:vMerge w:val="continue"/>
            <w:tcBorders>
              <w:top w:val="nil"/>
            </w:tcBorders>
            <w:vAlign w:val="center"/>
          </w:tcPr>
          <w:p w14:paraId="2D536B13">
            <w:pPr>
              <w:jc w:val="center"/>
            </w:pPr>
          </w:p>
        </w:tc>
        <w:tc>
          <w:tcPr>
            <w:tcW w:w="2293" w:type="dxa"/>
            <w:vAlign w:val="center"/>
          </w:tcPr>
          <w:p w14:paraId="743F8B85">
            <w:pPr>
              <w:jc w:val="center"/>
            </w:pPr>
            <w:r>
              <w:t>报价唯一</w:t>
            </w:r>
          </w:p>
        </w:tc>
        <w:tc>
          <w:tcPr>
            <w:tcW w:w="4802" w:type="dxa"/>
            <w:vAlign w:val="center"/>
          </w:tcPr>
          <w:p w14:paraId="44D8626E">
            <w:pPr>
              <w:jc w:val="center"/>
            </w:pPr>
            <w:r>
              <w:t>只能有一个有效报价</w:t>
            </w:r>
          </w:p>
        </w:tc>
      </w:tr>
      <w:tr w14:paraId="4071F64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902" w:type="dxa"/>
            <w:vAlign w:val="center"/>
          </w:tcPr>
          <w:p w14:paraId="3B26635A">
            <w:pPr>
              <w:jc w:val="center"/>
            </w:pPr>
            <w:r>
              <w:t>2.1.2</w:t>
            </w:r>
          </w:p>
        </w:tc>
        <w:tc>
          <w:tcPr>
            <w:tcW w:w="1122" w:type="dxa"/>
            <w:vAlign w:val="center"/>
          </w:tcPr>
          <w:p w14:paraId="4ABE5314">
            <w:pPr>
              <w:jc w:val="center"/>
            </w:pPr>
            <w:r>
              <w:t>资格评审标准</w:t>
            </w:r>
          </w:p>
        </w:tc>
        <w:tc>
          <w:tcPr>
            <w:tcW w:w="2293" w:type="dxa"/>
            <w:vAlign w:val="center"/>
          </w:tcPr>
          <w:p w14:paraId="028608E0">
            <w:pPr>
              <w:jc w:val="center"/>
            </w:pPr>
            <w:r>
              <w:t>投标人资格</w:t>
            </w:r>
          </w:p>
        </w:tc>
        <w:tc>
          <w:tcPr>
            <w:tcW w:w="4802" w:type="dxa"/>
            <w:vAlign w:val="center"/>
          </w:tcPr>
          <w:p w14:paraId="6B0F2E59">
            <w:pPr>
              <w:jc w:val="center"/>
            </w:pPr>
            <w:r>
              <w:t>符合第二章“投标人须知”第1.4</w:t>
            </w:r>
            <w:r>
              <w:rPr>
                <w:rFonts w:hint="eastAsia" w:eastAsia="宋体"/>
              </w:rPr>
              <w:t>.1</w:t>
            </w:r>
            <w:r>
              <w:t>款规定</w:t>
            </w:r>
          </w:p>
        </w:tc>
      </w:tr>
      <w:tr w14:paraId="09B363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restart"/>
            <w:tcBorders>
              <w:bottom w:val="nil"/>
            </w:tcBorders>
            <w:vAlign w:val="center"/>
          </w:tcPr>
          <w:p w14:paraId="15524B69">
            <w:pPr>
              <w:jc w:val="center"/>
            </w:pPr>
            <w:r>
              <w:t>2.1.3</w:t>
            </w:r>
          </w:p>
        </w:tc>
        <w:tc>
          <w:tcPr>
            <w:tcW w:w="1122" w:type="dxa"/>
            <w:vMerge w:val="restart"/>
            <w:tcBorders>
              <w:bottom w:val="nil"/>
            </w:tcBorders>
            <w:vAlign w:val="center"/>
          </w:tcPr>
          <w:p w14:paraId="0A710D0F">
            <w:pPr>
              <w:jc w:val="center"/>
            </w:pPr>
            <w:r>
              <w:t>响应性</w:t>
            </w:r>
          </w:p>
          <w:p w14:paraId="2E0EB0F2">
            <w:pPr>
              <w:jc w:val="center"/>
            </w:pPr>
            <w:r>
              <w:t>评审标</w:t>
            </w:r>
          </w:p>
          <w:p w14:paraId="04A70C1C">
            <w:pPr>
              <w:jc w:val="center"/>
            </w:pPr>
            <w:r>
              <w:t>准</w:t>
            </w:r>
          </w:p>
        </w:tc>
        <w:tc>
          <w:tcPr>
            <w:tcW w:w="2293" w:type="dxa"/>
            <w:vAlign w:val="center"/>
          </w:tcPr>
          <w:p w14:paraId="178839A2">
            <w:pPr>
              <w:jc w:val="center"/>
            </w:pPr>
            <w:r>
              <w:t>工期</w:t>
            </w:r>
          </w:p>
        </w:tc>
        <w:tc>
          <w:tcPr>
            <w:tcW w:w="4802" w:type="dxa"/>
            <w:vAlign w:val="center"/>
          </w:tcPr>
          <w:p w14:paraId="6017BCD0">
            <w:pPr>
              <w:jc w:val="center"/>
            </w:pPr>
            <w:r>
              <w:t>符合第二章“投标人须知”第1.3.2项规定</w:t>
            </w:r>
          </w:p>
        </w:tc>
      </w:tr>
      <w:tr w14:paraId="5DD5631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902" w:type="dxa"/>
            <w:vMerge w:val="continue"/>
            <w:tcBorders>
              <w:top w:val="nil"/>
              <w:bottom w:val="nil"/>
            </w:tcBorders>
            <w:vAlign w:val="center"/>
          </w:tcPr>
          <w:p w14:paraId="420CAE26">
            <w:pPr>
              <w:jc w:val="center"/>
            </w:pPr>
          </w:p>
        </w:tc>
        <w:tc>
          <w:tcPr>
            <w:tcW w:w="1122" w:type="dxa"/>
            <w:vMerge w:val="continue"/>
            <w:tcBorders>
              <w:top w:val="nil"/>
              <w:bottom w:val="nil"/>
            </w:tcBorders>
            <w:vAlign w:val="center"/>
          </w:tcPr>
          <w:p w14:paraId="7B81ACBC">
            <w:pPr>
              <w:jc w:val="center"/>
            </w:pPr>
          </w:p>
        </w:tc>
        <w:tc>
          <w:tcPr>
            <w:tcW w:w="2293" w:type="dxa"/>
            <w:vAlign w:val="center"/>
          </w:tcPr>
          <w:p w14:paraId="38CCACB2">
            <w:pPr>
              <w:jc w:val="center"/>
            </w:pPr>
            <w:r>
              <w:t>工程质量</w:t>
            </w:r>
          </w:p>
        </w:tc>
        <w:tc>
          <w:tcPr>
            <w:tcW w:w="4802" w:type="dxa"/>
            <w:vAlign w:val="center"/>
          </w:tcPr>
          <w:p w14:paraId="1F0A0102">
            <w:pPr>
              <w:jc w:val="center"/>
            </w:pPr>
            <w:r>
              <w:t>符合第二章“投标人须知”第1.3.3项规定</w:t>
            </w:r>
          </w:p>
        </w:tc>
      </w:tr>
      <w:tr w14:paraId="7C0A3B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02" w:hRule="atLeast"/>
        </w:trPr>
        <w:tc>
          <w:tcPr>
            <w:tcW w:w="902" w:type="dxa"/>
            <w:vMerge w:val="continue"/>
            <w:tcBorders>
              <w:top w:val="nil"/>
            </w:tcBorders>
            <w:vAlign w:val="center"/>
          </w:tcPr>
          <w:p w14:paraId="5E487B58">
            <w:pPr>
              <w:jc w:val="center"/>
            </w:pPr>
          </w:p>
        </w:tc>
        <w:tc>
          <w:tcPr>
            <w:tcW w:w="1122" w:type="dxa"/>
            <w:vMerge w:val="continue"/>
            <w:tcBorders>
              <w:top w:val="nil"/>
            </w:tcBorders>
            <w:vAlign w:val="center"/>
          </w:tcPr>
          <w:p w14:paraId="1DB0CC11">
            <w:pPr>
              <w:jc w:val="center"/>
            </w:pPr>
          </w:p>
        </w:tc>
        <w:tc>
          <w:tcPr>
            <w:tcW w:w="2293" w:type="dxa"/>
            <w:vAlign w:val="center"/>
          </w:tcPr>
          <w:p w14:paraId="4027C84D">
            <w:pPr>
              <w:jc w:val="center"/>
            </w:pPr>
            <w:r>
              <w:t>投标报价</w:t>
            </w:r>
          </w:p>
        </w:tc>
        <w:tc>
          <w:tcPr>
            <w:tcW w:w="4802" w:type="dxa"/>
            <w:vAlign w:val="center"/>
          </w:tcPr>
          <w:p w14:paraId="08CEAE88">
            <w:pPr>
              <w:jc w:val="center"/>
            </w:pPr>
            <w:r>
              <w:t>符合第二章“投标人须知”第3.2</w:t>
            </w:r>
            <w:r>
              <w:rPr>
                <w:rFonts w:hint="eastAsia" w:eastAsia="宋体"/>
              </w:rPr>
              <w:t>.1</w:t>
            </w:r>
            <w:r>
              <w:t>项规定</w:t>
            </w:r>
          </w:p>
        </w:tc>
      </w:tr>
      <w:tr w14:paraId="15B33E5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0" w:hRule="atLeast"/>
        </w:trPr>
        <w:tc>
          <w:tcPr>
            <w:tcW w:w="902" w:type="dxa"/>
            <w:vAlign w:val="center"/>
          </w:tcPr>
          <w:p w14:paraId="3BB3D0C6">
            <w:pPr>
              <w:jc w:val="center"/>
            </w:pPr>
            <w:r>
              <w:t>2.1.4</w:t>
            </w:r>
          </w:p>
        </w:tc>
        <w:tc>
          <w:tcPr>
            <w:tcW w:w="1122" w:type="dxa"/>
            <w:vAlign w:val="center"/>
          </w:tcPr>
          <w:p w14:paraId="7C5D1863">
            <w:pPr>
              <w:jc w:val="center"/>
            </w:pPr>
            <w:r>
              <w:t>串通投</w:t>
            </w:r>
          </w:p>
          <w:p w14:paraId="1A7D93B7">
            <w:pPr>
              <w:jc w:val="center"/>
            </w:pPr>
            <w:r>
              <w:t>标评审</w:t>
            </w:r>
          </w:p>
          <w:p w14:paraId="5E988FCC">
            <w:pPr>
              <w:jc w:val="center"/>
            </w:pPr>
            <w:r>
              <w:t>标准</w:t>
            </w:r>
          </w:p>
        </w:tc>
        <w:tc>
          <w:tcPr>
            <w:tcW w:w="7095" w:type="dxa"/>
            <w:gridSpan w:val="2"/>
            <w:vAlign w:val="center"/>
          </w:tcPr>
          <w:p w14:paraId="05793357">
            <w:pPr>
              <w:jc w:val="center"/>
            </w:pPr>
            <w:r>
              <w:t>存在本章 3.1.2、3.1.3项规定情形之一的</w:t>
            </w:r>
          </w:p>
        </w:tc>
      </w:tr>
      <w:tr w14:paraId="6ED548C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902" w:type="dxa"/>
            <w:vAlign w:val="center"/>
          </w:tcPr>
          <w:p w14:paraId="186A5543">
            <w:pPr>
              <w:jc w:val="center"/>
            </w:pPr>
            <w:r>
              <w:t>3.2</w:t>
            </w:r>
          </w:p>
        </w:tc>
        <w:tc>
          <w:tcPr>
            <w:tcW w:w="1122" w:type="dxa"/>
            <w:vAlign w:val="center"/>
          </w:tcPr>
          <w:p w14:paraId="4255A8C8">
            <w:pPr>
              <w:jc w:val="center"/>
            </w:pPr>
            <w:r>
              <w:t>详细评审标准</w:t>
            </w:r>
          </w:p>
        </w:tc>
        <w:tc>
          <w:tcPr>
            <w:tcW w:w="2293" w:type="dxa"/>
            <w:vAlign w:val="center"/>
          </w:tcPr>
          <w:p w14:paraId="6B38D865">
            <w:pPr>
              <w:jc w:val="center"/>
            </w:pPr>
            <w:r>
              <w:t>评审和评分</w:t>
            </w:r>
          </w:p>
        </w:tc>
        <w:tc>
          <w:tcPr>
            <w:tcW w:w="4802" w:type="dxa"/>
            <w:vAlign w:val="center"/>
          </w:tcPr>
          <w:p w14:paraId="7ED28F6D">
            <w:pPr>
              <w:jc w:val="center"/>
            </w:pPr>
            <w:r>
              <w:t>详见“评标办法附件”</w:t>
            </w:r>
          </w:p>
        </w:tc>
      </w:tr>
    </w:tbl>
    <w:p w14:paraId="44883C41">
      <w:bookmarkStart w:id="73" w:name="_Toc23599"/>
      <w:r>
        <w:br w:type="page"/>
      </w:r>
    </w:p>
    <w:p w14:paraId="0756B239">
      <w:pPr>
        <w:keepNext w:val="0"/>
        <w:keepLines w:val="0"/>
        <w:pageBreakBefore w:val="0"/>
        <w:widowControl/>
        <w:numPr>
          <w:ilvl w:val="0"/>
          <w:numId w:val="28"/>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rPr>
      </w:pPr>
      <w:r>
        <w:rPr>
          <w:rFonts w:hint="eastAsia" w:ascii="宋体" w:hAnsi="宋体" w:eastAsia="宋体" w:cs="宋体"/>
        </w:rPr>
        <w:t>评标方法</w:t>
      </w:r>
      <w:bookmarkEnd w:id="73"/>
    </w:p>
    <w:p w14:paraId="23FFEEC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本次评标办法见评标办法附件。评标委员会对满足招标文件实质性要求的投标文件，按照本章第2.2款规定的评分标准进行评审和评分，并推荐中标候选人。</w:t>
      </w:r>
    </w:p>
    <w:p w14:paraId="2C78195E">
      <w:pPr>
        <w:keepNext w:val="0"/>
        <w:keepLines w:val="0"/>
        <w:pageBreakBefore w:val="0"/>
        <w:widowControl/>
        <w:numPr>
          <w:ilvl w:val="0"/>
          <w:numId w:val="28"/>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rPr>
      </w:pPr>
      <w:bookmarkStart w:id="74" w:name="_Toc14764"/>
      <w:r>
        <w:rPr>
          <w:rFonts w:hint="eastAsia" w:ascii="宋体" w:hAnsi="宋体" w:eastAsia="宋体" w:cs="宋体"/>
        </w:rPr>
        <w:t>评审标准</w:t>
      </w:r>
      <w:bookmarkEnd w:id="74"/>
    </w:p>
    <w:p w14:paraId="1671F328">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rPr>
      </w:pPr>
      <w:bookmarkStart w:id="75" w:name="_Toc21951"/>
      <w:r>
        <w:rPr>
          <w:rFonts w:hint="eastAsia" w:ascii="宋体" w:hAnsi="宋体" w:eastAsia="宋体" w:cs="宋体"/>
        </w:rPr>
        <w:t>2.1 初步评审标准</w:t>
      </w:r>
      <w:bookmarkEnd w:id="75"/>
    </w:p>
    <w:p w14:paraId="2C8A0E5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2.1.1 形式评审标准：见评标办法前附表。</w:t>
      </w:r>
    </w:p>
    <w:p w14:paraId="4755CE8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2.1.2 资格评审标准：见评标办法前附表。</w:t>
      </w:r>
    </w:p>
    <w:p w14:paraId="41E16C4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2.1.3 响应性评审标准：见评标办法前附表。</w:t>
      </w:r>
    </w:p>
    <w:p w14:paraId="0003F26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2.1.4 串通投标评审标准：见评标办法前附表。</w:t>
      </w:r>
    </w:p>
    <w:p w14:paraId="32782B7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rPr>
      </w:pPr>
      <w:bookmarkStart w:id="76" w:name="_Toc7207"/>
      <w:r>
        <w:rPr>
          <w:rFonts w:hint="eastAsia" w:ascii="宋体" w:hAnsi="宋体" w:eastAsia="宋体" w:cs="宋体"/>
        </w:rPr>
        <w:t xml:space="preserve">2.2 </w:t>
      </w:r>
      <w:bookmarkEnd w:id="76"/>
      <w:r>
        <w:rPr>
          <w:rFonts w:hint="eastAsia" w:ascii="宋体" w:hAnsi="宋体" w:eastAsia="宋体" w:cs="宋体"/>
        </w:rPr>
        <w:t>分值构成与评分标准：见评标办法附件。</w:t>
      </w:r>
    </w:p>
    <w:p w14:paraId="47297031">
      <w:pPr>
        <w:keepNext w:val="0"/>
        <w:keepLines w:val="0"/>
        <w:pageBreakBefore w:val="0"/>
        <w:widowControl/>
        <w:numPr>
          <w:ilvl w:val="0"/>
          <w:numId w:val="28"/>
        </w:numPr>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rPr>
      </w:pPr>
      <w:bookmarkStart w:id="77" w:name="_Toc19690"/>
      <w:r>
        <w:rPr>
          <w:rFonts w:hint="eastAsia" w:ascii="宋体" w:hAnsi="宋体" w:eastAsia="宋体" w:cs="宋体"/>
        </w:rPr>
        <w:t>评标程序</w:t>
      </w:r>
      <w:bookmarkEnd w:id="77"/>
    </w:p>
    <w:p w14:paraId="1BC1F34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bookmarkStart w:id="78" w:name="_Toc12767"/>
      <w:r>
        <w:rPr>
          <w:rFonts w:hint="eastAsia" w:ascii="宋体" w:hAnsi="宋体" w:eastAsia="宋体" w:cs="宋体"/>
        </w:rPr>
        <w:t>3.1 初步评审</w:t>
      </w:r>
      <w:bookmarkEnd w:id="78"/>
    </w:p>
    <w:p w14:paraId="7A9F13D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3.1.1 评标委员会依据本章第2.1.1项、第2.1.2项、第2.1.3项规定的评审标准对投标文件进行初步评审。有一项不符合评审标准的，作无效标处理。</w:t>
      </w:r>
    </w:p>
    <w:p w14:paraId="43C8A3D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3.1.2 评标委员会在评审过程中发现投标人的投标文件存在以下情形之一的，应认定为串通投标行为，其投标作无效标处理：</w:t>
      </w:r>
    </w:p>
    <w:p w14:paraId="0341C094">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(1)不同投标人的投标文件由同一单位或者个人编制(包括使用同一台电脑、同一套投标工具、同一套计价软件)；</w:t>
      </w:r>
    </w:p>
    <w:p w14:paraId="0C85A8F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(2)不同投标人委托同一单位或者个人办理投标事宜；</w:t>
      </w:r>
    </w:p>
    <w:p w14:paraId="7EAFABE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(3)不同投标人的投标文件载明的项目管理成员为同一人；</w:t>
      </w:r>
    </w:p>
    <w:p w14:paraId="34619E49">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(4)不同投标人的投标文件异常一致或者投标报价呈规律性差异；</w:t>
      </w:r>
    </w:p>
    <w:p w14:paraId="2002330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(5)不同投标人的投标文件相互混装；</w:t>
      </w:r>
    </w:p>
    <w:p w14:paraId="0F6D867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(6)不同投标人的投标保证金从同一单位或者个人的账户转出。</w:t>
      </w:r>
    </w:p>
    <w:p w14:paraId="77CB552B">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3.1.3 评标委员会在评审过程中发现投标人的投标文件存在以下情形之一的，应当向投标人质询，如投标人拒绝说明或不能合理说明理由的，应认定为串通投标行为，其投标作无效标处理：</w:t>
      </w:r>
    </w:p>
    <w:p w14:paraId="4E8F54B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(1)投标人之间协商投标报价等投标文件的实质性内容；</w:t>
      </w:r>
    </w:p>
    <w:p w14:paraId="6BB1171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(2)投标人之间约定中标人；</w:t>
      </w:r>
    </w:p>
    <w:p w14:paraId="03CFB2D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(3)投标人之间约定部分投标人放弃投标或者中标；</w:t>
      </w:r>
    </w:p>
    <w:p w14:paraId="520B86F1">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(4)属于同一集团、协会、商会等组织成员的投标人按照该组织要求协同投标；</w:t>
      </w:r>
    </w:p>
    <w:p w14:paraId="1F4499E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(5)投标人之间为谋取中标或者排斥特定投标人而采取的其他联合行动。</w:t>
      </w:r>
    </w:p>
    <w:p w14:paraId="25D1F2CA">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3.1.4 商务标修正。</w:t>
      </w:r>
    </w:p>
    <w:p w14:paraId="025BF31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评标委员会对确定为实质上响应招标文件要求的投标文件进行复核,看其是否有计算上、累计上或表达上的错误。修正错误的顺序和原则如下：</w:t>
      </w:r>
    </w:p>
    <w:p w14:paraId="1C8AA788">
      <w:pPr>
        <w:keepNext w:val="0"/>
        <w:keepLines w:val="0"/>
        <w:pageBreakBefore w:val="0"/>
        <w:widowControl/>
        <w:numPr>
          <w:ilvl w:val="0"/>
          <w:numId w:val="29"/>
        </w:numPr>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针对投标人的报价组价进行复核及评审，如发现有计算前后不一致时，以计算前的数据为准，调整计算后数值；除非评标委员会认为计算前的数据有明显的差错或遗漏，此时应以计算后的数据为准来调整计算前的数据。因电子招投标系统小数点保留位数产生的误差忽略不计。</w:t>
      </w:r>
    </w:p>
    <w:p w14:paraId="0E49D9E3">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(2)在总报价不变的前提下，评标委员会以合理原则，通过调整组价的相应内容使其一致。</w:t>
      </w:r>
    </w:p>
    <w:p w14:paraId="42389CE7">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按上述修正错误的原则，调整或修正投标文件的投标报价，经投标人确认后，调整后的投标组价对投标人起约束作用。如果投标人不接受或者投标人在评标结束之前不能到场确认的，评标委员会将把调整或修正后的投标组价作为该投标人的投标组价，进入商务标详细评审，但不接受修正的投标人最终将丧失其中标资格。</w:t>
      </w:r>
    </w:p>
    <w:p w14:paraId="10E80FA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rPr>
      </w:pPr>
      <w:bookmarkStart w:id="79" w:name="_Toc23045"/>
      <w:r>
        <w:rPr>
          <w:rFonts w:hint="eastAsia" w:ascii="宋体" w:hAnsi="宋体" w:eastAsia="宋体" w:cs="宋体"/>
        </w:rPr>
        <w:t>3.2 详细评审</w:t>
      </w:r>
      <w:bookmarkEnd w:id="79"/>
    </w:p>
    <w:p w14:paraId="31AE3DCF">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评标委员会按本章第2.2款规定进行评审和评分。</w:t>
      </w:r>
    </w:p>
    <w:p w14:paraId="0485FF8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rPr>
      </w:pPr>
      <w:bookmarkStart w:id="80" w:name="_Toc26198"/>
      <w:r>
        <w:rPr>
          <w:rFonts w:hint="eastAsia" w:ascii="宋体" w:hAnsi="宋体" w:eastAsia="宋体" w:cs="宋体"/>
        </w:rPr>
        <w:t>3.3 投标文件的澄清和补正</w:t>
      </w:r>
      <w:bookmarkEnd w:id="80"/>
    </w:p>
    <w:p w14:paraId="23A7880D">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3.3.1 在评标过程中，评标委员会可以书面形式要求投标人对所提交投标文件中不明确的内容进行书面澄清或说明，或者对细微偏差进行补正。评标委员会不接受投标人主动提出的澄清、说明或补正。</w:t>
      </w:r>
    </w:p>
    <w:p w14:paraId="6D1B1730">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3.3.2 澄清、说明和补正不得改变投标文件的实质性内容(算术性错误修正的除外)。投标人的书面澄清、说明和补正属于投标文件的组成部分。投标文件的实质性内容包括投标函是否按招标文件要求编制，总报价、质量、工期、投标资格的承诺是否响应招标文件的要求。</w:t>
      </w:r>
    </w:p>
    <w:p w14:paraId="43557CAE">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3.3.3 评标委员会对投标人提交的澄清、说明或补正有疑问的，可以要求投标人进一步澄清、说明或补正，直至满足评标委员会的要求。如果投标人不按评标委员会要求进行澄清、说明或补正的，投标人的投标报价进入详细评审，但投标人最终将丧失其中标资格。</w:t>
      </w:r>
    </w:p>
    <w:p w14:paraId="419CFCF2">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3.3.4 各投标人委托代理人或法定代表人必须在开评标期间保持电话及网络畅通，评标委员会要求投标人进行澄清或说明时，投标人委托代理人或法定代表人所留联系方式在30分钟内无法联系上的，可视作拒绝或放弃澄清或说明。</w:t>
      </w:r>
    </w:p>
    <w:p w14:paraId="3EA0B2AC">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0"/>
        <w:textAlignment w:val="baseline"/>
        <w:rPr>
          <w:rFonts w:hint="eastAsia" w:ascii="宋体" w:hAnsi="宋体" w:eastAsia="宋体" w:cs="宋体"/>
        </w:rPr>
      </w:pPr>
      <w:bookmarkStart w:id="81" w:name="_Toc3141"/>
      <w:r>
        <w:rPr>
          <w:rFonts w:hint="eastAsia" w:ascii="宋体" w:hAnsi="宋体" w:eastAsia="宋体" w:cs="宋体"/>
        </w:rPr>
        <w:t>3.4 评标结果</w:t>
      </w:r>
      <w:bookmarkEnd w:id="81"/>
    </w:p>
    <w:p w14:paraId="35F33365">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3.4.1 评标委员会按照“评标办法附件”规定推荐中标候选人。</w:t>
      </w:r>
    </w:p>
    <w:p w14:paraId="4E078B66">
      <w:pPr>
        <w:keepNext w:val="0"/>
        <w:keepLines w:val="0"/>
        <w:pageBreakBefore w:val="0"/>
        <w:widowControl/>
        <w:kinsoku w:val="0"/>
        <w:wordWrap/>
        <w:overflowPunct/>
        <w:topLinePunct w:val="0"/>
        <w:autoSpaceDE w:val="0"/>
        <w:autoSpaceDN w:val="0"/>
        <w:bidi w:val="0"/>
        <w:adjustRightInd w:val="0"/>
        <w:snapToGrid w:val="0"/>
        <w:spacing w:line="440" w:lineRule="exact"/>
        <w:ind w:left="0" w:firstLine="480" w:firstLineChars="200"/>
        <w:textAlignment w:val="baseline"/>
        <w:rPr>
          <w:rFonts w:hint="eastAsia" w:ascii="宋体" w:hAnsi="宋体" w:eastAsia="宋体" w:cs="宋体"/>
        </w:rPr>
      </w:pPr>
      <w:r>
        <w:rPr>
          <w:rFonts w:hint="eastAsia" w:ascii="宋体" w:hAnsi="宋体" w:eastAsia="宋体" w:cs="宋体"/>
        </w:rPr>
        <w:t>3.4.2 评标委员会完成评标后，应当向招标人提交书面评标报告。</w:t>
      </w:r>
    </w:p>
    <w:p w14:paraId="127B9C81">
      <w:pPr>
        <w:spacing w:line="360" w:lineRule="auto"/>
        <w:sectPr>
          <w:headerReference r:id="rId13" w:type="default"/>
          <w:footerReference r:id="rId14" w:type="default"/>
          <w:pgSz w:w="11900" w:h="16840"/>
          <w:pgMar w:top="1440" w:right="1083" w:bottom="1440" w:left="1083" w:header="1077" w:footer="1032" w:gutter="0"/>
          <w:pgNumType w:fmt="decimal"/>
          <w:cols w:space="0" w:num="1"/>
        </w:sectPr>
      </w:pPr>
    </w:p>
    <w:p w14:paraId="5E79F28C">
      <w:pPr>
        <w:pStyle w:val="3"/>
        <w:numPr>
          <w:ilvl w:val="0"/>
          <w:numId w:val="0"/>
        </w:numPr>
        <w:ind w:left="402"/>
      </w:pPr>
      <w:bookmarkStart w:id="82" w:name="_Toc23313"/>
      <w:r>
        <w:rPr>
          <w:rFonts w:hint="eastAsia"/>
        </w:rPr>
        <w:t xml:space="preserve">第二节    </w:t>
      </w:r>
      <w:r>
        <w:t>评标办法附件</w:t>
      </w:r>
      <w:bookmarkEnd w:id="82"/>
    </w:p>
    <w:p w14:paraId="036659C7">
      <w:pPr>
        <w:pStyle w:val="7"/>
        <w:spacing w:line="432" w:lineRule="auto"/>
        <w:rPr>
          <w:rFonts w:hint="eastAsia" w:ascii="宋体" w:hAnsi="宋体"/>
          <w:highlight w:val="none"/>
        </w:rPr>
      </w:pPr>
      <w:r>
        <w:rPr>
          <w:rFonts w:hint="eastAsia" w:ascii="宋体" w:hAnsi="宋体"/>
          <w:highlight w:val="none"/>
        </w:rPr>
        <w:t>第一阶段为资格审查。</w:t>
      </w:r>
    </w:p>
    <w:p w14:paraId="0943339D">
      <w:pPr>
        <w:pStyle w:val="7"/>
        <w:spacing w:line="432" w:lineRule="auto"/>
        <w:rPr>
          <w:rFonts w:hint="eastAsia" w:ascii="宋体" w:hAnsi="宋体"/>
          <w:highlight w:val="none"/>
        </w:rPr>
      </w:pPr>
      <w:r>
        <w:rPr>
          <w:rFonts w:hint="eastAsia" w:ascii="宋体" w:hAnsi="宋体"/>
          <w:highlight w:val="none"/>
        </w:rPr>
        <w:t>评标委员会按照招标文件载明的资格后审条款对投标人进行审查，凡不符合资格后审要求的，以无效标处理，不再进入技术标及商务标评审。</w:t>
      </w:r>
    </w:p>
    <w:p w14:paraId="2F071153">
      <w:pPr>
        <w:pStyle w:val="7"/>
        <w:spacing w:line="432" w:lineRule="auto"/>
        <w:rPr>
          <w:rFonts w:hint="eastAsia" w:ascii="宋体" w:hAnsi="宋体"/>
          <w:highlight w:val="none"/>
        </w:rPr>
      </w:pPr>
      <w:r>
        <w:rPr>
          <w:rFonts w:hint="eastAsia" w:ascii="宋体" w:hAnsi="宋体"/>
          <w:highlight w:val="none"/>
        </w:rPr>
        <w:t>第二阶段为技术标评审，技术标满分</w:t>
      </w:r>
      <w:r>
        <w:rPr>
          <w:rFonts w:hint="eastAsia" w:ascii="宋体" w:hAnsi="宋体"/>
          <w:highlight w:val="none"/>
          <w:lang w:val="en-US" w:eastAsia="zh-CN"/>
        </w:rPr>
        <w:t>6</w:t>
      </w:r>
      <w:r>
        <w:rPr>
          <w:rFonts w:hint="eastAsia" w:ascii="宋体" w:hAnsi="宋体"/>
          <w:highlight w:val="none"/>
        </w:rPr>
        <w:t>0.0分。</w:t>
      </w:r>
    </w:p>
    <w:p w14:paraId="75448F60">
      <w:pPr>
        <w:pStyle w:val="7"/>
        <w:spacing w:line="432" w:lineRule="auto"/>
        <w:rPr>
          <w:rFonts w:ascii="宋体" w:hAnsi="宋体"/>
          <w:highlight w:val="none"/>
        </w:rPr>
      </w:pPr>
      <w:r>
        <w:rPr>
          <w:rFonts w:hint="eastAsia" w:ascii="宋体" w:hAnsi="宋体"/>
          <w:highlight w:val="none"/>
        </w:rPr>
        <w:t>评标委员会针对技术标的各项内容，视其科学性、针对性、可行性、先进性和完善程度，由评标委员会成员分别进行打分（保留一位小数，小数点后第二位四舍五入），取平均分作为该项的分数（保留二位小数，小数点后第三位四舍五入，以下除已注明外均同）。</w:t>
      </w:r>
    </w:p>
    <w:p w14:paraId="1D359321">
      <w:pPr>
        <w:pStyle w:val="7"/>
        <w:numPr>
          <w:ilvl w:val="0"/>
          <w:numId w:val="30"/>
        </w:numPr>
        <w:spacing w:line="432" w:lineRule="auto"/>
        <w:rPr>
          <w:rFonts w:hint="eastAsia" w:ascii="宋体" w:hAnsi="宋体"/>
          <w:szCs w:val="21"/>
          <w:highlight w:val="none"/>
        </w:rPr>
      </w:pPr>
      <w:r>
        <w:rPr>
          <w:rFonts w:hint="eastAsia" w:ascii="宋体" w:hAnsi="宋体"/>
          <w:szCs w:val="21"/>
          <w:highlight w:val="none"/>
        </w:rPr>
        <w:t>技术标评分（</w:t>
      </w:r>
      <w:r>
        <w:rPr>
          <w:rFonts w:hint="eastAsia" w:ascii="宋体" w:hAnsi="宋体"/>
          <w:szCs w:val="21"/>
          <w:highlight w:val="none"/>
          <w:lang w:val="en-US" w:eastAsia="zh-CN"/>
        </w:rPr>
        <w:t>6</w:t>
      </w:r>
      <w:r>
        <w:rPr>
          <w:rFonts w:hint="eastAsia" w:ascii="宋体" w:hAnsi="宋体"/>
          <w:szCs w:val="21"/>
          <w:highlight w:val="none"/>
        </w:rPr>
        <w:t>0分）</w:t>
      </w:r>
    </w:p>
    <w:tbl>
      <w:tblPr>
        <w:tblStyle w:val="2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9"/>
        <w:gridCol w:w="7800"/>
        <w:gridCol w:w="705"/>
        <w:gridCol w:w="7"/>
      </w:tblGrid>
      <w:tr w14:paraId="6499E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blHeader/>
          <w:jc w:val="center"/>
        </w:trPr>
        <w:tc>
          <w:tcPr>
            <w:tcW w:w="729" w:type="dxa"/>
            <w:noWrap w:val="0"/>
            <w:vAlign w:val="center"/>
          </w:tcPr>
          <w:p w14:paraId="37C252DE">
            <w:pPr>
              <w:pStyle w:val="50"/>
              <w:spacing w:line="460" w:lineRule="exact"/>
              <w:jc w:val="center"/>
              <w:rPr>
                <w:color w:val="auto"/>
                <w:highlight w:val="none"/>
              </w:rPr>
            </w:pPr>
            <w:r>
              <w:rPr>
                <w:rFonts w:hint="eastAsia"/>
                <w:color w:val="auto"/>
                <w:highlight w:val="none"/>
              </w:rPr>
              <w:t>序号</w:t>
            </w:r>
          </w:p>
        </w:tc>
        <w:tc>
          <w:tcPr>
            <w:tcW w:w="1559" w:type="dxa"/>
            <w:noWrap w:val="0"/>
            <w:vAlign w:val="center"/>
          </w:tcPr>
          <w:p w14:paraId="0E5472BC">
            <w:pPr>
              <w:pStyle w:val="50"/>
              <w:spacing w:line="460" w:lineRule="exact"/>
              <w:jc w:val="center"/>
              <w:rPr>
                <w:color w:val="auto"/>
                <w:highlight w:val="none"/>
              </w:rPr>
            </w:pPr>
            <w:r>
              <w:rPr>
                <w:rFonts w:hint="eastAsia"/>
                <w:color w:val="auto"/>
                <w:highlight w:val="none"/>
              </w:rPr>
              <w:t>评审内容</w:t>
            </w:r>
          </w:p>
        </w:tc>
        <w:tc>
          <w:tcPr>
            <w:tcW w:w="7800" w:type="dxa"/>
            <w:noWrap w:val="0"/>
            <w:vAlign w:val="center"/>
          </w:tcPr>
          <w:p w14:paraId="474E0EFD">
            <w:pPr>
              <w:pStyle w:val="50"/>
              <w:spacing w:line="460" w:lineRule="exact"/>
              <w:jc w:val="center"/>
              <w:rPr>
                <w:color w:val="auto"/>
                <w:highlight w:val="none"/>
              </w:rPr>
            </w:pPr>
            <w:r>
              <w:rPr>
                <w:rFonts w:hint="eastAsia"/>
                <w:color w:val="auto"/>
                <w:highlight w:val="none"/>
              </w:rPr>
              <w:t>评分标准</w:t>
            </w:r>
          </w:p>
        </w:tc>
        <w:tc>
          <w:tcPr>
            <w:tcW w:w="712" w:type="dxa"/>
            <w:gridSpan w:val="2"/>
            <w:noWrap w:val="0"/>
            <w:vAlign w:val="center"/>
          </w:tcPr>
          <w:p w14:paraId="65045919">
            <w:pPr>
              <w:pStyle w:val="50"/>
              <w:spacing w:line="460" w:lineRule="exact"/>
              <w:jc w:val="center"/>
              <w:rPr>
                <w:color w:val="auto"/>
                <w:highlight w:val="none"/>
              </w:rPr>
            </w:pPr>
            <w:r>
              <w:rPr>
                <w:rFonts w:hint="eastAsia"/>
                <w:color w:val="auto"/>
                <w:highlight w:val="none"/>
              </w:rPr>
              <w:t>分值</w:t>
            </w:r>
          </w:p>
        </w:tc>
      </w:tr>
      <w:tr w14:paraId="53A26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jc w:val="center"/>
        </w:trPr>
        <w:tc>
          <w:tcPr>
            <w:tcW w:w="729" w:type="dxa"/>
            <w:noWrap w:val="0"/>
            <w:vAlign w:val="center"/>
          </w:tcPr>
          <w:p w14:paraId="7B75DB52">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9" w:type="dxa"/>
            <w:noWrap w:val="0"/>
            <w:vAlign w:val="center"/>
          </w:tcPr>
          <w:p w14:paraId="4A809C62">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企业信誉度</w:t>
            </w:r>
          </w:p>
        </w:tc>
        <w:tc>
          <w:tcPr>
            <w:tcW w:w="7800" w:type="dxa"/>
            <w:noWrap w:val="0"/>
            <w:vAlign w:val="center"/>
          </w:tcPr>
          <w:p w14:paraId="19C25508">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1、银行资信等级：具有20</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年度或202</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年度或202</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年度或202</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年度或202</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年度AAA信用等级的得1分；AA信用等级的得0.5分；其他不得分。</w:t>
            </w:r>
          </w:p>
          <w:p w14:paraId="6BAFFA21">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注：提供相关证书材料。</w:t>
            </w:r>
          </w:p>
        </w:tc>
        <w:tc>
          <w:tcPr>
            <w:tcW w:w="712" w:type="dxa"/>
            <w:gridSpan w:val="2"/>
            <w:noWrap w:val="0"/>
            <w:vAlign w:val="center"/>
          </w:tcPr>
          <w:p w14:paraId="2721368B">
            <w:pPr>
              <w:pStyle w:val="50"/>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hAnsi="宋体" w:cs="宋体"/>
                <w:color w:val="auto"/>
                <w:sz w:val="21"/>
                <w:szCs w:val="21"/>
                <w:highlight w:val="none"/>
                <w:lang w:val="en-US" w:eastAsia="zh-CN"/>
              </w:rPr>
              <w:t>1</w:t>
            </w:r>
          </w:p>
        </w:tc>
      </w:tr>
      <w:tr w14:paraId="326CD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noWrap w:val="0"/>
            <w:vAlign w:val="center"/>
          </w:tcPr>
          <w:p w14:paraId="24FB1ADF">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noWrap w:val="0"/>
            <w:vAlign w:val="center"/>
          </w:tcPr>
          <w:p w14:paraId="24F020C4">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企业资信</w:t>
            </w:r>
          </w:p>
        </w:tc>
        <w:tc>
          <w:tcPr>
            <w:tcW w:w="7800" w:type="dxa"/>
            <w:noWrap w:val="0"/>
            <w:vAlign w:val="center"/>
          </w:tcPr>
          <w:p w14:paraId="2623C06B">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5、获得省级及以上相关行政部门颁发的“高新技术企业证书”或“国家企业技术中心”，并在有效期内的得1分，不具备不得分。</w:t>
            </w:r>
          </w:p>
          <w:p w14:paraId="3A0982F8">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6、获得国家认可（CNAS）实验室证书证书或中国塑料加工工业协会颁发的中国塑料管道工程技术研究开发中心的，并在有效期内的得1分，不具备不得分。</w:t>
            </w:r>
          </w:p>
          <w:p w14:paraId="5FFC81F5">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注：提供相关证书材料。（原件备查）</w:t>
            </w:r>
          </w:p>
        </w:tc>
        <w:tc>
          <w:tcPr>
            <w:tcW w:w="712" w:type="dxa"/>
            <w:gridSpan w:val="2"/>
            <w:noWrap w:val="0"/>
            <w:vAlign w:val="center"/>
          </w:tcPr>
          <w:p w14:paraId="37F16B95">
            <w:pPr>
              <w:pStyle w:val="50"/>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hAnsi="宋体" w:cs="宋体"/>
                <w:color w:val="auto"/>
                <w:sz w:val="21"/>
                <w:szCs w:val="21"/>
                <w:highlight w:val="none"/>
                <w:lang w:val="en-US" w:eastAsia="zh-CN"/>
              </w:rPr>
              <w:t>2</w:t>
            </w:r>
          </w:p>
        </w:tc>
      </w:tr>
      <w:tr w14:paraId="7B72CF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 w:hRule="atLeast"/>
          <w:jc w:val="center"/>
        </w:trPr>
        <w:tc>
          <w:tcPr>
            <w:tcW w:w="729" w:type="dxa"/>
            <w:noWrap w:val="0"/>
            <w:vAlign w:val="center"/>
          </w:tcPr>
          <w:p w14:paraId="3DEF386A">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3</w:t>
            </w:r>
          </w:p>
        </w:tc>
        <w:tc>
          <w:tcPr>
            <w:tcW w:w="1559" w:type="dxa"/>
            <w:noWrap w:val="0"/>
            <w:vAlign w:val="center"/>
          </w:tcPr>
          <w:p w14:paraId="65B58F63">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7800" w:type="dxa"/>
            <w:noWrap w:val="0"/>
            <w:vAlign w:val="center"/>
          </w:tcPr>
          <w:p w14:paraId="1F89A5F2">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投标人于2021年1月1日至今完成承插式聚乙烯实壁排水管单个合同金额在人民币</w:t>
            </w:r>
            <w:r>
              <w:rPr>
                <w:rFonts w:hint="eastAsia" w:ascii="宋体" w:hAnsi="宋体" w:eastAsia="宋体" w:cs="宋体"/>
                <w:sz w:val="21"/>
                <w:szCs w:val="21"/>
                <w:highlight w:val="none"/>
              </w:rPr>
              <w:t>500万元</w:t>
            </w:r>
            <w:r>
              <w:rPr>
                <w:rFonts w:hint="eastAsia" w:ascii="宋体" w:hAnsi="宋体" w:eastAsia="宋体" w:cs="宋体"/>
                <w:color w:val="auto"/>
                <w:sz w:val="21"/>
                <w:szCs w:val="21"/>
                <w:highlight w:val="none"/>
              </w:rPr>
              <w:t>（含）以上的每个得1分，最高得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分，不具备不得分。</w:t>
            </w:r>
          </w:p>
          <w:p w14:paraId="39BEDE00">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注：提供中标通知书级合同。（原件备查）</w:t>
            </w:r>
          </w:p>
        </w:tc>
        <w:tc>
          <w:tcPr>
            <w:tcW w:w="705" w:type="dxa"/>
            <w:noWrap w:val="0"/>
            <w:vAlign w:val="center"/>
          </w:tcPr>
          <w:p w14:paraId="628B60EF">
            <w:pPr>
              <w:pStyle w:val="50"/>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hAnsi="宋体" w:cs="宋体"/>
                <w:color w:val="auto"/>
                <w:sz w:val="21"/>
                <w:szCs w:val="21"/>
                <w:highlight w:val="none"/>
                <w:lang w:val="en-US" w:eastAsia="zh-CN"/>
              </w:rPr>
              <w:t>2</w:t>
            </w:r>
          </w:p>
        </w:tc>
      </w:tr>
      <w:tr w14:paraId="6FAF1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restart"/>
            <w:noWrap w:val="0"/>
            <w:vAlign w:val="center"/>
          </w:tcPr>
          <w:p w14:paraId="1001BE2E">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4</w:t>
            </w:r>
          </w:p>
        </w:tc>
        <w:tc>
          <w:tcPr>
            <w:tcW w:w="1559" w:type="dxa"/>
            <w:vMerge w:val="restart"/>
            <w:noWrap w:val="0"/>
            <w:vAlign w:val="center"/>
          </w:tcPr>
          <w:p w14:paraId="5F1A1B4D">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供货及质量保证措施</w:t>
            </w:r>
          </w:p>
        </w:tc>
        <w:tc>
          <w:tcPr>
            <w:tcW w:w="7800" w:type="dxa"/>
            <w:noWrap w:val="0"/>
            <w:vAlign w:val="center"/>
          </w:tcPr>
          <w:p w14:paraId="1E9425E9">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供货时间响应程度：接到招标人供货通知书3天内完成供货的得1分，5天内完成供货的得0.8分，7天内完成供货的得0.5分。</w:t>
            </w:r>
          </w:p>
        </w:tc>
        <w:tc>
          <w:tcPr>
            <w:tcW w:w="705" w:type="dxa"/>
            <w:vMerge w:val="restart"/>
            <w:noWrap w:val="0"/>
            <w:vAlign w:val="center"/>
          </w:tcPr>
          <w:p w14:paraId="11AD313A">
            <w:pPr>
              <w:pStyle w:val="50"/>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hAnsi="宋体" w:cs="宋体"/>
                <w:color w:val="auto"/>
                <w:sz w:val="21"/>
                <w:szCs w:val="21"/>
                <w:highlight w:val="none"/>
                <w:lang w:val="en-US" w:eastAsia="zh-CN"/>
              </w:rPr>
              <w:t>9</w:t>
            </w:r>
          </w:p>
        </w:tc>
      </w:tr>
      <w:tr w14:paraId="2F049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00B13A4F">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2C3E9A9D">
            <w:pPr>
              <w:pStyle w:val="50"/>
              <w:spacing w:line="460" w:lineRule="exact"/>
              <w:jc w:val="center"/>
              <w:rPr>
                <w:rFonts w:ascii="宋体" w:hAnsi="宋体" w:eastAsia="宋体" w:cs="宋体"/>
                <w:color w:val="auto"/>
                <w:sz w:val="21"/>
                <w:szCs w:val="21"/>
                <w:highlight w:val="none"/>
              </w:rPr>
            </w:pPr>
          </w:p>
        </w:tc>
        <w:tc>
          <w:tcPr>
            <w:tcW w:w="7800" w:type="dxa"/>
            <w:noWrap w:val="0"/>
            <w:vAlign w:val="center"/>
          </w:tcPr>
          <w:p w14:paraId="292E1594">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由评标委员会根据投标人对配合工程施工、满足招标人供货要求、质量保证、技术保障的措施及承诺内容等进行酌情打分，一档</w:t>
            </w:r>
            <w:r>
              <w:rPr>
                <w:rFonts w:hint="eastAsia" w:hAnsi="宋体" w:cs="宋体"/>
                <w:color w:val="auto"/>
                <w:sz w:val="21"/>
                <w:szCs w:val="21"/>
                <w:highlight w:val="none"/>
                <w:lang w:val="en-US" w:eastAsia="zh-CN"/>
              </w:rPr>
              <w:t>4-6</w:t>
            </w:r>
            <w:r>
              <w:rPr>
                <w:rFonts w:hint="eastAsia" w:ascii="宋体" w:hAnsi="宋体" w:eastAsia="宋体" w:cs="宋体"/>
                <w:color w:val="auto"/>
                <w:sz w:val="21"/>
                <w:szCs w:val="21"/>
                <w:highlight w:val="none"/>
              </w:rPr>
              <w:t>分，二档</w:t>
            </w:r>
            <w:r>
              <w:rPr>
                <w:rFonts w:hint="eastAsia" w:hAnsi="宋体" w:cs="宋体"/>
                <w:color w:val="auto"/>
                <w:sz w:val="21"/>
                <w:szCs w:val="21"/>
                <w:highlight w:val="none"/>
                <w:lang w:val="en-US" w:eastAsia="zh-CN"/>
              </w:rPr>
              <w:t>2-3.9</w:t>
            </w:r>
            <w:r>
              <w:rPr>
                <w:rFonts w:hint="eastAsia" w:ascii="宋体" w:hAnsi="宋体" w:eastAsia="宋体" w:cs="宋体"/>
                <w:color w:val="auto"/>
                <w:sz w:val="21"/>
                <w:szCs w:val="21"/>
                <w:highlight w:val="none"/>
              </w:rPr>
              <w:t>分，三档0-</w:t>
            </w:r>
            <w:r>
              <w:rPr>
                <w:rFonts w:hint="eastAsia" w:hAnsi="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tc>
        <w:tc>
          <w:tcPr>
            <w:tcW w:w="705" w:type="dxa"/>
            <w:vMerge w:val="continue"/>
            <w:noWrap w:val="0"/>
            <w:vAlign w:val="center"/>
          </w:tcPr>
          <w:p w14:paraId="780453FA">
            <w:pPr>
              <w:pStyle w:val="50"/>
              <w:spacing w:line="460" w:lineRule="exact"/>
              <w:jc w:val="center"/>
              <w:rPr>
                <w:rFonts w:ascii="宋体" w:hAnsi="宋体" w:eastAsia="宋体" w:cs="宋体"/>
                <w:color w:val="auto"/>
                <w:sz w:val="21"/>
                <w:szCs w:val="21"/>
                <w:highlight w:val="none"/>
              </w:rPr>
            </w:pPr>
          </w:p>
        </w:tc>
      </w:tr>
      <w:tr w14:paraId="304F5F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0B15BB60">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358EAC12">
            <w:pPr>
              <w:pStyle w:val="50"/>
              <w:spacing w:line="460" w:lineRule="exact"/>
              <w:jc w:val="center"/>
              <w:rPr>
                <w:rFonts w:ascii="宋体" w:hAnsi="宋体" w:eastAsia="宋体" w:cs="宋体"/>
                <w:color w:val="auto"/>
                <w:sz w:val="21"/>
                <w:szCs w:val="21"/>
                <w:highlight w:val="none"/>
              </w:rPr>
            </w:pPr>
          </w:p>
        </w:tc>
        <w:tc>
          <w:tcPr>
            <w:tcW w:w="7800" w:type="dxa"/>
            <w:noWrap w:val="0"/>
            <w:vAlign w:val="center"/>
          </w:tcPr>
          <w:p w14:paraId="0B5E007F">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根据投标人提供的现场供货点的设置及技术指导人员配置等相关情况进行酌情打分，0-2分。</w:t>
            </w:r>
          </w:p>
        </w:tc>
        <w:tc>
          <w:tcPr>
            <w:tcW w:w="705" w:type="dxa"/>
            <w:vMerge w:val="continue"/>
            <w:noWrap w:val="0"/>
            <w:vAlign w:val="center"/>
          </w:tcPr>
          <w:p w14:paraId="132ABB12">
            <w:pPr>
              <w:pStyle w:val="50"/>
              <w:spacing w:line="460" w:lineRule="exact"/>
              <w:jc w:val="center"/>
              <w:rPr>
                <w:rFonts w:ascii="宋体" w:hAnsi="宋体" w:eastAsia="宋体" w:cs="宋体"/>
                <w:color w:val="auto"/>
                <w:sz w:val="21"/>
                <w:szCs w:val="21"/>
                <w:highlight w:val="none"/>
              </w:rPr>
            </w:pPr>
          </w:p>
        </w:tc>
      </w:tr>
      <w:tr w14:paraId="3EC3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noWrap w:val="0"/>
            <w:vAlign w:val="center"/>
          </w:tcPr>
          <w:p w14:paraId="06916019">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5</w:t>
            </w:r>
          </w:p>
        </w:tc>
        <w:tc>
          <w:tcPr>
            <w:tcW w:w="1559" w:type="dxa"/>
            <w:noWrap w:val="0"/>
            <w:vAlign w:val="center"/>
          </w:tcPr>
          <w:p w14:paraId="3BD61BEE">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售后服务措施及承诺内容</w:t>
            </w:r>
          </w:p>
        </w:tc>
        <w:tc>
          <w:tcPr>
            <w:tcW w:w="7800" w:type="dxa"/>
            <w:noWrap w:val="0"/>
            <w:vAlign w:val="center"/>
          </w:tcPr>
          <w:p w14:paraId="1B682EB1">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供应商设置的售后服务机构、售后服务体系完善性、售后服务体系的真实性；服务响应时间、服务人员配套等，一档3.0-6.0分，二档1.5-2.9分，三档0-1.4分。</w:t>
            </w:r>
          </w:p>
        </w:tc>
        <w:tc>
          <w:tcPr>
            <w:tcW w:w="705" w:type="dxa"/>
            <w:noWrap w:val="0"/>
            <w:vAlign w:val="center"/>
          </w:tcPr>
          <w:p w14:paraId="5195BB0B">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0-6</w:t>
            </w:r>
          </w:p>
        </w:tc>
      </w:tr>
      <w:tr w14:paraId="3E13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restart"/>
            <w:noWrap w:val="0"/>
            <w:vAlign w:val="center"/>
          </w:tcPr>
          <w:p w14:paraId="4A7F60C5">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6</w:t>
            </w:r>
          </w:p>
        </w:tc>
        <w:tc>
          <w:tcPr>
            <w:tcW w:w="1559" w:type="dxa"/>
            <w:vMerge w:val="restart"/>
            <w:noWrap w:val="0"/>
            <w:vAlign w:val="center"/>
          </w:tcPr>
          <w:p w14:paraId="6FB7C36F">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产品质量保险及专利等</w:t>
            </w:r>
          </w:p>
        </w:tc>
        <w:tc>
          <w:tcPr>
            <w:tcW w:w="7800" w:type="dxa"/>
            <w:noWrap w:val="0"/>
            <w:vAlign w:val="center"/>
          </w:tcPr>
          <w:p w14:paraId="5A97FB87">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具有产品质量保险或产品责任保险，且在有效期内的得1分（以产品质量保险单或产品责任保险单为准），不具备不得分。 </w:t>
            </w:r>
          </w:p>
          <w:p w14:paraId="3A5FB3ED">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注：提供保险单。</w:t>
            </w:r>
          </w:p>
        </w:tc>
        <w:tc>
          <w:tcPr>
            <w:tcW w:w="705" w:type="dxa"/>
            <w:vMerge w:val="restart"/>
            <w:noWrap w:val="0"/>
            <w:vAlign w:val="center"/>
          </w:tcPr>
          <w:p w14:paraId="34E7D1C3">
            <w:pPr>
              <w:pStyle w:val="50"/>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hAnsi="宋体" w:cs="宋体"/>
                <w:color w:val="auto"/>
                <w:sz w:val="21"/>
                <w:szCs w:val="21"/>
                <w:highlight w:val="none"/>
                <w:lang w:val="en-US" w:eastAsia="zh-CN"/>
              </w:rPr>
              <w:t>6</w:t>
            </w:r>
          </w:p>
        </w:tc>
      </w:tr>
      <w:tr w14:paraId="645604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53554DF3">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7B367D1E">
            <w:pPr>
              <w:pStyle w:val="50"/>
              <w:spacing w:line="460" w:lineRule="exact"/>
              <w:jc w:val="center"/>
              <w:rPr>
                <w:rFonts w:ascii="宋体" w:hAnsi="宋体" w:eastAsia="宋体" w:cs="宋体"/>
                <w:color w:val="auto"/>
                <w:sz w:val="21"/>
                <w:szCs w:val="21"/>
                <w:highlight w:val="none"/>
              </w:rPr>
            </w:pPr>
          </w:p>
        </w:tc>
        <w:tc>
          <w:tcPr>
            <w:tcW w:w="7800" w:type="dxa"/>
            <w:noWrap w:val="0"/>
            <w:vAlign w:val="center"/>
          </w:tcPr>
          <w:p w14:paraId="630C60FF">
            <w:pPr>
              <w:pStyle w:val="50"/>
              <w:spacing w:line="460" w:lineRule="exact"/>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eastAsia="zh-CN"/>
              </w:rPr>
              <w:t>投标人具有安全生产生产标准化企业证书，一级得</w:t>
            </w:r>
            <w:r>
              <w:rPr>
                <w:rFonts w:hint="eastAsia" w:hAnsi="宋体" w:cs="宋体"/>
                <w:b w:val="0"/>
                <w:bCs w:val="0"/>
                <w:color w:val="auto"/>
                <w:sz w:val="21"/>
                <w:szCs w:val="21"/>
                <w:highlight w:val="none"/>
                <w:lang w:val="en-US" w:eastAsia="zh-CN"/>
              </w:rPr>
              <w:t>3</w:t>
            </w:r>
            <w:r>
              <w:rPr>
                <w:rFonts w:hint="eastAsia" w:hAnsi="宋体" w:cs="宋体"/>
                <w:b w:val="0"/>
                <w:bCs w:val="0"/>
                <w:color w:val="auto"/>
                <w:sz w:val="21"/>
                <w:szCs w:val="21"/>
                <w:highlight w:val="none"/>
                <w:lang w:eastAsia="zh-CN"/>
              </w:rPr>
              <w:t>分，二级</w:t>
            </w:r>
            <w:r>
              <w:rPr>
                <w:rFonts w:hint="eastAsia" w:hAnsi="宋体" w:cs="宋体"/>
                <w:b w:val="0"/>
                <w:bCs w:val="0"/>
                <w:color w:val="auto"/>
                <w:sz w:val="21"/>
                <w:szCs w:val="21"/>
                <w:highlight w:val="none"/>
                <w:lang w:val="en-US" w:eastAsia="zh-CN"/>
              </w:rPr>
              <w:t>2分，三级1分。</w:t>
            </w:r>
          </w:p>
          <w:p w14:paraId="7E42C6BD">
            <w:pPr>
              <w:pStyle w:val="50"/>
              <w:spacing w:line="460" w:lineRule="exact"/>
              <w:rPr>
                <w:rFonts w:hint="default" w:hAnsi="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注：提供相关证书材料。</w:t>
            </w:r>
          </w:p>
        </w:tc>
        <w:tc>
          <w:tcPr>
            <w:tcW w:w="705" w:type="dxa"/>
            <w:vMerge w:val="continue"/>
            <w:noWrap w:val="0"/>
            <w:vAlign w:val="center"/>
          </w:tcPr>
          <w:p w14:paraId="2A065D50">
            <w:pPr>
              <w:pStyle w:val="50"/>
              <w:spacing w:line="460" w:lineRule="exact"/>
              <w:jc w:val="center"/>
              <w:rPr>
                <w:rFonts w:ascii="宋体" w:hAnsi="宋体" w:eastAsia="宋体" w:cs="宋体"/>
                <w:color w:val="auto"/>
                <w:sz w:val="21"/>
                <w:szCs w:val="21"/>
                <w:highlight w:val="none"/>
              </w:rPr>
            </w:pPr>
          </w:p>
        </w:tc>
      </w:tr>
      <w:tr w14:paraId="66E5D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5C93F282">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7CC92826">
            <w:pPr>
              <w:pStyle w:val="50"/>
              <w:spacing w:line="460" w:lineRule="exact"/>
              <w:jc w:val="center"/>
              <w:rPr>
                <w:rFonts w:ascii="宋体" w:hAnsi="宋体" w:eastAsia="宋体" w:cs="宋体"/>
                <w:color w:val="auto"/>
                <w:sz w:val="21"/>
                <w:szCs w:val="21"/>
                <w:highlight w:val="none"/>
              </w:rPr>
            </w:pPr>
          </w:p>
        </w:tc>
        <w:tc>
          <w:tcPr>
            <w:tcW w:w="7800" w:type="dxa"/>
            <w:noWrap w:val="0"/>
            <w:vAlign w:val="center"/>
          </w:tcPr>
          <w:p w14:paraId="03322584">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承插式聚乙烯实壁排水管</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具有省级及以上建设科技成果推广项目证书或住房和城乡建设部科技与产业化发展中心颁发的全国建设行业科技成果推广项目证书，且在有效期内的得1分，不具备不得分。</w:t>
            </w:r>
          </w:p>
          <w:p w14:paraId="00825FD3">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注：提供相关证书材料。</w:t>
            </w:r>
          </w:p>
        </w:tc>
        <w:tc>
          <w:tcPr>
            <w:tcW w:w="705" w:type="dxa"/>
            <w:vMerge w:val="continue"/>
            <w:noWrap w:val="0"/>
            <w:vAlign w:val="center"/>
          </w:tcPr>
          <w:p w14:paraId="4D00C381">
            <w:pPr>
              <w:pStyle w:val="50"/>
              <w:spacing w:line="460" w:lineRule="exact"/>
              <w:jc w:val="center"/>
              <w:rPr>
                <w:rFonts w:ascii="宋体" w:hAnsi="宋体" w:eastAsia="宋体" w:cs="宋体"/>
                <w:color w:val="auto"/>
                <w:sz w:val="21"/>
                <w:szCs w:val="21"/>
                <w:highlight w:val="none"/>
              </w:rPr>
            </w:pPr>
          </w:p>
        </w:tc>
      </w:tr>
      <w:tr w14:paraId="5597B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6B889CFB">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07737547">
            <w:pPr>
              <w:pStyle w:val="50"/>
              <w:spacing w:line="460" w:lineRule="exact"/>
              <w:jc w:val="center"/>
              <w:rPr>
                <w:rFonts w:ascii="宋体" w:hAnsi="宋体" w:eastAsia="宋体" w:cs="宋体"/>
                <w:color w:val="auto"/>
                <w:sz w:val="21"/>
                <w:szCs w:val="21"/>
                <w:highlight w:val="none"/>
              </w:rPr>
            </w:pPr>
          </w:p>
        </w:tc>
        <w:tc>
          <w:tcPr>
            <w:tcW w:w="7800" w:type="dxa"/>
            <w:noWrap w:val="0"/>
            <w:vAlign w:val="center"/>
          </w:tcPr>
          <w:p w14:paraId="7A8F429F">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承插式聚乙烯实壁排水管</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具有发明专利证书或具有新型实用专利证书的1分，不具备不得分。 </w:t>
            </w:r>
          </w:p>
          <w:p w14:paraId="0F5839CE">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注：提供相关证书材料。</w:t>
            </w:r>
          </w:p>
        </w:tc>
        <w:tc>
          <w:tcPr>
            <w:tcW w:w="705" w:type="dxa"/>
            <w:vMerge w:val="continue"/>
            <w:noWrap w:val="0"/>
            <w:vAlign w:val="center"/>
          </w:tcPr>
          <w:p w14:paraId="78E6B020">
            <w:pPr>
              <w:pStyle w:val="50"/>
              <w:spacing w:line="460" w:lineRule="exact"/>
              <w:jc w:val="center"/>
              <w:rPr>
                <w:rFonts w:ascii="宋体" w:hAnsi="宋体" w:eastAsia="宋体" w:cs="宋体"/>
                <w:color w:val="auto"/>
                <w:sz w:val="21"/>
                <w:szCs w:val="21"/>
                <w:highlight w:val="none"/>
              </w:rPr>
            </w:pPr>
          </w:p>
        </w:tc>
      </w:tr>
      <w:tr w14:paraId="43892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restart"/>
            <w:noWrap w:val="0"/>
            <w:vAlign w:val="center"/>
          </w:tcPr>
          <w:p w14:paraId="44D1EEB1">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7</w:t>
            </w:r>
          </w:p>
        </w:tc>
        <w:tc>
          <w:tcPr>
            <w:tcW w:w="1559" w:type="dxa"/>
            <w:vMerge w:val="restart"/>
            <w:noWrap w:val="0"/>
            <w:vAlign w:val="center"/>
          </w:tcPr>
          <w:p w14:paraId="4BF5A865">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投标产品质量检验</w:t>
            </w:r>
          </w:p>
        </w:tc>
        <w:tc>
          <w:tcPr>
            <w:tcW w:w="7800" w:type="dxa"/>
            <w:noWrap w:val="0"/>
            <w:vAlign w:val="center"/>
          </w:tcPr>
          <w:p w14:paraId="3C74877F">
            <w:pPr>
              <w:pStyle w:val="50"/>
              <w:spacing w:line="460" w:lineRule="exact"/>
              <w:rPr>
                <w:rFonts w:hint="eastAsia" w:ascii="宋体" w:hAnsi="宋体" w:eastAsia="宋体" w:cs="宋体"/>
                <w:b/>
                <w:bCs/>
                <w:color w:val="auto"/>
                <w:sz w:val="21"/>
                <w:szCs w:val="21"/>
                <w:highlight w:val="none"/>
              </w:rPr>
            </w:pPr>
            <w:r>
              <w:rPr>
                <w:rFonts w:hint="eastAsia" w:ascii="宋体" w:hAnsi="宋体" w:eastAsia="宋体" w:cs="宋体"/>
                <w:color w:val="auto"/>
                <w:sz w:val="21"/>
                <w:szCs w:val="21"/>
                <w:highlight w:val="none"/>
              </w:rPr>
              <w:t>投标产品（承插式聚乙烯实壁排水管）具有省级及以上质量检验检测中心出具的产品质量检验报告情况进行评分：按照招标文件管材采购清单型号提供（检测项需包含：氧化诱导时间、环刚度、断裂伸长率），</w:t>
            </w:r>
            <w:r>
              <w:rPr>
                <w:rFonts w:hint="eastAsia" w:ascii="宋体" w:hAnsi="宋体" w:eastAsia="宋体" w:cs="宋体"/>
                <w:color w:val="auto"/>
                <w:sz w:val="21"/>
                <w:szCs w:val="21"/>
                <w:highlight w:val="none"/>
                <w:lang w:eastAsia="zh-CN"/>
              </w:rPr>
              <w:t>每份检测报告</w:t>
            </w:r>
            <w:r>
              <w:rPr>
                <w:rFonts w:hint="eastAsia" w:ascii="宋体" w:hAnsi="宋体" w:eastAsia="宋体" w:cs="宋体"/>
                <w:color w:val="auto"/>
                <w:sz w:val="21"/>
                <w:szCs w:val="21"/>
                <w:highlight w:val="none"/>
              </w:rPr>
              <w:t>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 xml:space="preserve">本项最高2分。           </w:t>
            </w:r>
            <w:r>
              <w:rPr>
                <w:rFonts w:hint="eastAsia" w:ascii="宋体" w:hAnsi="宋体" w:eastAsia="宋体" w:cs="宋体"/>
                <w:b/>
                <w:bCs/>
                <w:color w:val="auto"/>
                <w:sz w:val="21"/>
                <w:szCs w:val="21"/>
                <w:highlight w:val="none"/>
              </w:rPr>
              <w:t>注：提供省级及以上质量检验检测机构出具的产品质量检验报告</w:t>
            </w:r>
          </w:p>
        </w:tc>
        <w:tc>
          <w:tcPr>
            <w:tcW w:w="705" w:type="dxa"/>
            <w:vMerge w:val="restart"/>
            <w:noWrap w:val="0"/>
            <w:vAlign w:val="center"/>
          </w:tcPr>
          <w:p w14:paraId="34856578">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0-9</w:t>
            </w:r>
          </w:p>
        </w:tc>
      </w:tr>
      <w:tr w14:paraId="7A631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61824D3A">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32A8AD02">
            <w:pPr>
              <w:pStyle w:val="50"/>
              <w:spacing w:line="460" w:lineRule="exact"/>
              <w:jc w:val="center"/>
              <w:rPr>
                <w:rFonts w:ascii="宋体" w:hAnsi="宋体" w:eastAsia="宋体" w:cs="宋体"/>
                <w:color w:val="auto"/>
                <w:sz w:val="21"/>
                <w:szCs w:val="21"/>
                <w:highlight w:val="none"/>
              </w:rPr>
            </w:pPr>
          </w:p>
        </w:tc>
        <w:tc>
          <w:tcPr>
            <w:tcW w:w="7800" w:type="dxa"/>
            <w:noWrap w:val="0"/>
            <w:vAlign w:val="center"/>
          </w:tcPr>
          <w:p w14:paraId="428E922C">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投标产品（PE给水管）具有省级及以上质量检验检测中心出具的产品质量检验报告情况进行评分：按招标文件管材采购清单型号提供（检测项目不少于：氧化诱导、灰份、静液压强度、断裂伸长率），每个型号得1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分，本项最高得3分。</w:t>
            </w:r>
          </w:p>
          <w:p w14:paraId="2B20AD28">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注：提供省级及以上质量检验检测机构出具的产品质量检验报告。</w:t>
            </w:r>
          </w:p>
        </w:tc>
        <w:tc>
          <w:tcPr>
            <w:tcW w:w="705" w:type="dxa"/>
            <w:vMerge w:val="continue"/>
            <w:noWrap w:val="0"/>
            <w:vAlign w:val="center"/>
          </w:tcPr>
          <w:p w14:paraId="4C22AC71">
            <w:pPr>
              <w:pStyle w:val="50"/>
              <w:spacing w:line="460" w:lineRule="exact"/>
              <w:jc w:val="center"/>
              <w:rPr>
                <w:rFonts w:ascii="宋体" w:hAnsi="宋体" w:eastAsia="宋体" w:cs="宋体"/>
                <w:color w:val="auto"/>
                <w:sz w:val="21"/>
                <w:szCs w:val="21"/>
                <w:highlight w:val="none"/>
              </w:rPr>
            </w:pPr>
          </w:p>
        </w:tc>
      </w:tr>
      <w:tr w14:paraId="61F1D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15" w:hRule="atLeast"/>
          <w:jc w:val="center"/>
        </w:trPr>
        <w:tc>
          <w:tcPr>
            <w:tcW w:w="729" w:type="dxa"/>
            <w:vMerge w:val="continue"/>
            <w:noWrap w:val="0"/>
            <w:vAlign w:val="center"/>
          </w:tcPr>
          <w:p w14:paraId="7AFF3E2E">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501CC960">
            <w:pPr>
              <w:pStyle w:val="50"/>
              <w:spacing w:line="460" w:lineRule="exact"/>
              <w:jc w:val="center"/>
              <w:rPr>
                <w:rFonts w:ascii="宋体" w:hAnsi="宋体" w:eastAsia="宋体" w:cs="宋体"/>
                <w:color w:val="auto"/>
                <w:sz w:val="21"/>
                <w:szCs w:val="21"/>
                <w:highlight w:val="none"/>
              </w:rPr>
            </w:pPr>
          </w:p>
        </w:tc>
        <w:tc>
          <w:tcPr>
            <w:tcW w:w="7800" w:type="dxa"/>
            <w:noWrap w:val="0"/>
            <w:vAlign w:val="center"/>
          </w:tcPr>
          <w:p w14:paraId="7B8CE765">
            <w:pPr>
              <w:pStyle w:val="50"/>
              <w:spacing w:line="460" w:lineRule="exact"/>
              <w:rPr>
                <w:rFonts w:ascii="宋体" w:hAnsi="宋体" w:eastAsia="宋体" w:cs="宋体"/>
                <w:sz w:val="21"/>
                <w:szCs w:val="21"/>
                <w:highlight w:val="none"/>
              </w:rPr>
            </w:pPr>
            <w:r>
              <w:rPr>
                <w:rFonts w:hint="eastAsia" w:ascii="宋体" w:hAnsi="宋体" w:eastAsia="宋体" w:cs="宋体"/>
                <w:sz w:val="21"/>
                <w:szCs w:val="21"/>
                <w:highlight w:val="none"/>
              </w:rPr>
              <w:t>投标人具有投标产品配套的丁腈橡胶圈国家级检测报告，检测指标需包含拉伸强度、压缩永久弯形、硬度变化及压缩应力松弛（100d、7d）的得4分。</w:t>
            </w:r>
          </w:p>
          <w:p w14:paraId="0F059535">
            <w:pPr>
              <w:pStyle w:val="50"/>
              <w:spacing w:line="460" w:lineRule="exact"/>
              <w:rPr>
                <w:rFonts w:ascii="宋体" w:hAnsi="宋体" w:eastAsia="宋体" w:cs="宋体"/>
                <w:b/>
                <w:bCs/>
                <w:color w:val="auto"/>
                <w:sz w:val="21"/>
                <w:szCs w:val="21"/>
                <w:highlight w:val="none"/>
              </w:rPr>
            </w:pPr>
            <w:r>
              <w:rPr>
                <w:rFonts w:hint="eastAsia" w:ascii="宋体" w:hAnsi="宋体" w:eastAsia="宋体" w:cs="宋体"/>
                <w:b/>
                <w:bCs/>
                <w:sz w:val="21"/>
                <w:szCs w:val="21"/>
                <w:highlight w:val="none"/>
              </w:rPr>
              <w:t>注：提供省级及以上质量检验检测中心出具的产品质量检验报告。</w:t>
            </w:r>
          </w:p>
        </w:tc>
        <w:tc>
          <w:tcPr>
            <w:tcW w:w="705" w:type="dxa"/>
            <w:vMerge w:val="continue"/>
            <w:noWrap w:val="0"/>
            <w:vAlign w:val="center"/>
          </w:tcPr>
          <w:p w14:paraId="6E5B199D">
            <w:pPr>
              <w:pStyle w:val="50"/>
              <w:spacing w:line="460" w:lineRule="exact"/>
              <w:jc w:val="center"/>
              <w:rPr>
                <w:rFonts w:ascii="宋体" w:hAnsi="宋体" w:eastAsia="宋体" w:cs="宋体"/>
                <w:color w:val="auto"/>
                <w:sz w:val="21"/>
                <w:szCs w:val="21"/>
                <w:highlight w:val="none"/>
              </w:rPr>
            </w:pPr>
          </w:p>
        </w:tc>
      </w:tr>
      <w:tr w14:paraId="10361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noWrap w:val="0"/>
            <w:vAlign w:val="center"/>
          </w:tcPr>
          <w:p w14:paraId="27ED2BBC">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8</w:t>
            </w:r>
          </w:p>
        </w:tc>
        <w:tc>
          <w:tcPr>
            <w:tcW w:w="1559" w:type="dxa"/>
            <w:noWrap w:val="0"/>
            <w:vAlign w:val="center"/>
          </w:tcPr>
          <w:p w14:paraId="2E5490F7">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PE管材的生产原材料</w:t>
            </w:r>
          </w:p>
        </w:tc>
        <w:tc>
          <w:tcPr>
            <w:tcW w:w="7800" w:type="dxa"/>
            <w:noWrap w:val="0"/>
            <w:vAlign w:val="center"/>
          </w:tcPr>
          <w:p w14:paraId="54F1484A">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1、产品生产的原材料必须为优质材料，根据原材料品牌、产地、等级、质量标准、有关的技术参数以及材料使用情况等证明材料进行分档打分，一档</w:t>
            </w:r>
            <w:r>
              <w:rPr>
                <w:rFonts w:hint="eastAsia" w:hAnsi="宋体" w:cs="宋体"/>
                <w:color w:val="auto"/>
                <w:sz w:val="21"/>
                <w:szCs w:val="21"/>
                <w:highlight w:val="none"/>
                <w:lang w:val="en-US" w:eastAsia="zh-CN"/>
              </w:rPr>
              <w:t>3-6</w:t>
            </w:r>
            <w:r>
              <w:rPr>
                <w:rFonts w:hint="eastAsia" w:ascii="宋体" w:hAnsi="宋体" w:eastAsia="宋体" w:cs="宋体"/>
                <w:color w:val="auto"/>
                <w:sz w:val="21"/>
                <w:szCs w:val="21"/>
                <w:highlight w:val="none"/>
              </w:rPr>
              <w:t>分，二档</w:t>
            </w:r>
            <w:r>
              <w:rPr>
                <w:rFonts w:hint="eastAsia" w:hAnsi="宋体" w:cs="宋体"/>
                <w:color w:val="auto"/>
                <w:sz w:val="21"/>
                <w:szCs w:val="21"/>
                <w:highlight w:val="none"/>
                <w:lang w:val="en-US" w:eastAsia="zh-CN"/>
              </w:rPr>
              <w:t>1.5-2.</w:t>
            </w:r>
            <w:r>
              <w:rPr>
                <w:rFonts w:hint="eastAsia" w:ascii="宋体" w:hAnsi="宋体" w:eastAsia="宋体" w:cs="宋体"/>
                <w:color w:val="auto"/>
                <w:sz w:val="21"/>
                <w:szCs w:val="21"/>
                <w:highlight w:val="none"/>
              </w:rPr>
              <w:t>9分，三档0-1.</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55FD763">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注：提供原材料采购合同和质量监督检验机构出具的原材料质量检验报告，如采用进口原材料需提供相关证明材料（不提供不得分）。</w:t>
            </w:r>
          </w:p>
        </w:tc>
        <w:tc>
          <w:tcPr>
            <w:tcW w:w="705" w:type="dxa"/>
            <w:noWrap w:val="0"/>
            <w:vAlign w:val="center"/>
          </w:tcPr>
          <w:p w14:paraId="780197CB">
            <w:pPr>
              <w:pStyle w:val="50"/>
              <w:spacing w:line="46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0-</w:t>
            </w:r>
            <w:r>
              <w:rPr>
                <w:rFonts w:hint="eastAsia" w:hAnsi="宋体" w:cs="宋体"/>
                <w:color w:val="auto"/>
                <w:sz w:val="21"/>
                <w:szCs w:val="21"/>
                <w:highlight w:val="none"/>
                <w:lang w:val="en-US" w:eastAsia="zh-CN"/>
              </w:rPr>
              <w:t>6</w:t>
            </w:r>
          </w:p>
        </w:tc>
      </w:tr>
      <w:tr w14:paraId="3121C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noWrap w:val="0"/>
            <w:vAlign w:val="center"/>
          </w:tcPr>
          <w:p w14:paraId="15548F74">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9</w:t>
            </w:r>
          </w:p>
        </w:tc>
        <w:tc>
          <w:tcPr>
            <w:tcW w:w="1559" w:type="dxa"/>
            <w:noWrap w:val="0"/>
            <w:vAlign w:val="center"/>
          </w:tcPr>
          <w:p w14:paraId="7FA61FB6">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生产设备和检测设备情况</w:t>
            </w:r>
          </w:p>
        </w:tc>
        <w:tc>
          <w:tcPr>
            <w:tcW w:w="7800" w:type="dxa"/>
            <w:noWrap w:val="0"/>
            <w:vAlign w:val="center"/>
          </w:tcPr>
          <w:p w14:paraId="6B34E89C">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1、投标人拥有进口管材生产线每条得0.5分，最高得3分，不具备的不得分；</w:t>
            </w:r>
          </w:p>
          <w:p w14:paraId="239E9A20">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2、根据投标人具有先进的产品质量检测设备情况进行打分：针对环刚度、环柔度、烘箱试验、冲击强度，一档</w:t>
            </w:r>
            <w:r>
              <w:rPr>
                <w:rFonts w:hint="eastAsia"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分，二档</w:t>
            </w:r>
            <w:r>
              <w:rPr>
                <w:rFonts w:hint="eastAsia" w:hAnsi="宋体" w:cs="宋体"/>
                <w:color w:val="auto"/>
                <w:sz w:val="21"/>
                <w:szCs w:val="21"/>
                <w:highlight w:val="none"/>
                <w:lang w:val="en-US" w:eastAsia="zh-CN"/>
              </w:rPr>
              <w:t>0.5-0.9</w:t>
            </w:r>
            <w:r>
              <w:rPr>
                <w:rFonts w:hint="eastAsia" w:ascii="宋体" w:hAnsi="宋体" w:eastAsia="宋体" w:cs="宋体"/>
                <w:color w:val="auto"/>
                <w:sz w:val="21"/>
                <w:szCs w:val="21"/>
                <w:highlight w:val="none"/>
              </w:rPr>
              <w:t>分，三档0-0.</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3682E6FE">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3、根据投标人具有原材料检测设备情况进行打分：炭黑分散、氧化诱导时间、熔体流动速率，具备一个得1分，每增加一个得0.5分，最高得2分。</w:t>
            </w:r>
          </w:p>
          <w:p w14:paraId="4ED42CE7">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注：提供生产设备、检测设备列表说明并附设备图片以及设备采购合同、发票，如为进口设备需提供相关证明材料。</w:t>
            </w:r>
          </w:p>
        </w:tc>
        <w:tc>
          <w:tcPr>
            <w:tcW w:w="705" w:type="dxa"/>
            <w:noWrap w:val="0"/>
            <w:vAlign w:val="center"/>
          </w:tcPr>
          <w:p w14:paraId="4375A1EE">
            <w:pPr>
              <w:pStyle w:val="50"/>
              <w:spacing w:line="46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hAnsi="宋体" w:cs="宋体"/>
                <w:color w:val="auto"/>
                <w:sz w:val="21"/>
                <w:szCs w:val="21"/>
                <w:highlight w:val="none"/>
                <w:lang w:val="en-US" w:eastAsia="zh-CN"/>
              </w:rPr>
              <w:t>7</w:t>
            </w:r>
          </w:p>
        </w:tc>
      </w:tr>
      <w:tr w14:paraId="661DD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noWrap w:val="0"/>
            <w:vAlign w:val="center"/>
          </w:tcPr>
          <w:p w14:paraId="145A2BFA">
            <w:pPr>
              <w:pStyle w:val="50"/>
              <w:spacing w:line="460" w:lineRule="exact"/>
              <w:jc w:val="center"/>
              <w:rPr>
                <w:rFonts w:ascii="宋体" w:hAnsi="宋体"/>
                <w:color w:val="auto"/>
                <w:highlight w:val="none"/>
              </w:rPr>
            </w:pPr>
            <w:r>
              <w:rPr>
                <w:rFonts w:hint="eastAsia"/>
                <w:color w:val="auto"/>
                <w:highlight w:val="none"/>
              </w:rPr>
              <w:t>10</w:t>
            </w:r>
          </w:p>
        </w:tc>
        <w:tc>
          <w:tcPr>
            <w:tcW w:w="1559" w:type="dxa"/>
            <w:noWrap w:val="0"/>
            <w:vAlign w:val="center"/>
          </w:tcPr>
          <w:p w14:paraId="4FECD493">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产品样品</w:t>
            </w:r>
          </w:p>
        </w:tc>
        <w:tc>
          <w:tcPr>
            <w:tcW w:w="7800" w:type="dxa"/>
            <w:noWrap w:val="0"/>
            <w:vAlign w:val="center"/>
          </w:tcPr>
          <w:p w14:paraId="6C0A0C27">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对按招标文件要求提供的承插式聚乙烯实壁排水管产品样品进行分档打分：针对投标人所提供产品样品的内外表面清洁度、色泽是否均匀、内外壁有无气泡、分解变色及明显的杂质、气味等情况，一档</w:t>
            </w:r>
            <w:r>
              <w:rPr>
                <w:rFonts w:hint="eastAsia" w:hAnsi="宋体" w:cs="宋体"/>
                <w:color w:val="auto"/>
                <w:sz w:val="21"/>
                <w:szCs w:val="21"/>
                <w:highlight w:val="none"/>
                <w:lang w:val="en-US" w:eastAsia="zh-CN"/>
              </w:rPr>
              <w:t>8</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分，二档</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w:t>
            </w:r>
            <w:r>
              <w:rPr>
                <w:rFonts w:hint="eastAsia" w:hAnsi="宋体" w:cs="宋体"/>
                <w:color w:val="auto"/>
                <w:sz w:val="21"/>
                <w:szCs w:val="21"/>
                <w:highlight w:val="none"/>
                <w:lang w:val="en-US" w:eastAsia="zh-CN"/>
              </w:rPr>
              <w:t>7</w:t>
            </w:r>
            <w:r>
              <w:rPr>
                <w:rFonts w:hint="eastAsia" w:ascii="宋体" w:hAnsi="宋体" w:eastAsia="宋体" w:cs="宋体"/>
                <w:color w:val="auto"/>
                <w:sz w:val="21"/>
                <w:szCs w:val="21"/>
                <w:highlight w:val="none"/>
              </w:rPr>
              <w:t>.9分，三档0-</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.9分。</w:t>
            </w:r>
          </w:p>
          <w:p w14:paraId="5A889DF4">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注：投标样品需包含承口及配套的丁晴胶圈，承口要求一次注塑成型且有制造公司名称</w:t>
            </w:r>
            <w:r>
              <w:rPr>
                <w:rFonts w:hint="eastAsia" w:ascii="宋体" w:hAnsi="宋体" w:eastAsia="宋体" w:cs="宋体"/>
                <w:b/>
                <w:bCs/>
                <w:sz w:val="21"/>
                <w:szCs w:val="21"/>
                <w:highlight w:val="none"/>
              </w:rPr>
              <w:t>的永久性标记</w:t>
            </w:r>
            <w:r>
              <w:rPr>
                <w:rFonts w:hint="eastAsia" w:ascii="宋体" w:hAnsi="宋体" w:eastAsia="宋体" w:cs="宋体"/>
                <w:b/>
                <w:bCs/>
                <w:sz w:val="21"/>
                <w:szCs w:val="21"/>
                <w:highlight w:val="none"/>
                <w:lang w:eastAsia="zh-CN"/>
              </w:rPr>
              <w:t>，但递交时需要进行遮挡。</w:t>
            </w:r>
          </w:p>
        </w:tc>
        <w:tc>
          <w:tcPr>
            <w:tcW w:w="705" w:type="dxa"/>
            <w:noWrap w:val="0"/>
            <w:vAlign w:val="center"/>
          </w:tcPr>
          <w:p w14:paraId="72D72E93">
            <w:pPr>
              <w:pStyle w:val="50"/>
              <w:spacing w:line="460" w:lineRule="exact"/>
              <w:jc w:val="center"/>
              <w:rPr>
                <w:rFonts w:hint="default"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0-</w:t>
            </w:r>
            <w:r>
              <w:rPr>
                <w:rFonts w:hint="eastAsia" w:hAnsi="宋体" w:cs="宋体"/>
                <w:color w:val="auto"/>
                <w:sz w:val="21"/>
                <w:szCs w:val="21"/>
                <w:highlight w:val="none"/>
                <w:lang w:val="en-US" w:eastAsia="zh-CN"/>
              </w:rPr>
              <w:t>12</w:t>
            </w:r>
          </w:p>
        </w:tc>
      </w:tr>
      <w:tr w14:paraId="4C772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noWrap w:val="0"/>
            <w:vAlign w:val="center"/>
          </w:tcPr>
          <w:p w14:paraId="71B2DE3D">
            <w:pPr>
              <w:pStyle w:val="50"/>
              <w:spacing w:line="460" w:lineRule="exact"/>
              <w:rPr>
                <w:color w:val="auto"/>
                <w:highlight w:val="none"/>
              </w:rPr>
            </w:pPr>
            <w:r>
              <w:rPr>
                <w:rFonts w:hint="eastAsia"/>
                <w:color w:val="auto"/>
                <w:highlight w:val="none"/>
              </w:rPr>
              <w:t>备注</w:t>
            </w:r>
          </w:p>
        </w:tc>
        <w:tc>
          <w:tcPr>
            <w:tcW w:w="10071" w:type="dxa"/>
            <w:gridSpan w:val="4"/>
            <w:noWrap w:val="0"/>
            <w:vAlign w:val="center"/>
          </w:tcPr>
          <w:p w14:paraId="2CBD421E">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评委打分精确至0.1分</w:t>
            </w:r>
          </w:p>
        </w:tc>
      </w:tr>
    </w:tbl>
    <w:p w14:paraId="6B438CC4">
      <w:pPr>
        <w:pStyle w:val="7"/>
        <w:spacing w:before="50" w:line="360" w:lineRule="auto"/>
        <w:ind w:left="-5" w:leftChars="-2"/>
        <w:rPr>
          <w:rFonts w:ascii="宋体" w:hAnsi="宋体"/>
          <w:szCs w:val="21"/>
          <w:highlight w:val="none"/>
        </w:rPr>
      </w:pPr>
      <w:r>
        <w:rPr>
          <w:rFonts w:hint="eastAsia" w:ascii="宋体" w:hAnsi="宋体" w:cs="宋体"/>
          <w:highlight w:val="none"/>
        </w:rPr>
        <w:t>（2）技术标评审采取淘汰制。技术标得分≥35分的投标人达到三家及以上，技术标得分≥35分的投标人全部入围，技术标得分＜35分的投标人淘汰；如技术标得分≥35分的投标人不足三家，则从30分-35分档中取前（3-n）家入围【n=技术标得分≥35分的投标人家数，如出现技术标得分相同，则均入围】，其余投标人淘汰；如技术标得分≥30分的投标人家数不足三家，则本次招标失败，</w:t>
      </w:r>
      <w:r>
        <w:rPr>
          <w:highlight w:val="none"/>
        </w:rPr>
        <w:t>招标人将重新招标</w:t>
      </w:r>
      <w:r>
        <w:rPr>
          <w:rFonts w:hint="eastAsia" w:ascii="宋体" w:hAnsi="宋体" w:cs="宋体"/>
          <w:highlight w:val="none"/>
        </w:rPr>
        <w:t>。技术标被淘汰的投标文件作无效标处理，不再进入商务标评审阶段。</w:t>
      </w:r>
    </w:p>
    <w:p w14:paraId="3C2FD98C">
      <w:pPr>
        <w:pStyle w:val="7"/>
        <w:spacing w:before="50" w:line="360" w:lineRule="auto"/>
        <w:ind w:left="-5" w:leftChars="-2"/>
        <w:rPr>
          <w:rFonts w:ascii="宋体" w:hAnsi="宋体"/>
          <w:szCs w:val="21"/>
          <w:highlight w:val="none"/>
        </w:rPr>
      </w:pPr>
      <w:r>
        <w:rPr>
          <w:rFonts w:hint="eastAsia" w:ascii="宋体" w:hAnsi="宋体"/>
          <w:szCs w:val="21"/>
          <w:highlight w:val="none"/>
        </w:rPr>
        <w:t>第三阶段为商务标评审。商务标评定分值为40分（以下除注明外，计算结果小数点后保留2位，第3位四舍五入）。</w:t>
      </w:r>
    </w:p>
    <w:p w14:paraId="4D4C7F16">
      <w:pPr>
        <w:pStyle w:val="7"/>
        <w:spacing w:before="50" w:line="360" w:lineRule="auto"/>
        <w:ind w:left="-5" w:leftChars="-2"/>
        <w:rPr>
          <w:rFonts w:ascii="宋体" w:hAnsi="宋体"/>
          <w:szCs w:val="21"/>
          <w:highlight w:val="none"/>
        </w:rPr>
      </w:pPr>
      <w:r>
        <w:rPr>
          <w:rFonts w:ascii="宋体" w:hAnsi="宋体"/>
          <w:szCs w:val="21"/>
          <w:highlight w:val="none"/>
        </w:rPr>
        <w:t>1、</w:t>
      </w:r>
      <w:r>
        <w:rPr>
          <w:rFonts w:hint="eastAsia" w:ascii="宋体" w:hAnsi="宋体"/>
          <w:highlight w:val="none"/>
        </w:rPr>
        <w:t>评标标底价的确定</w:t>
      </w:r>
    </w:p>
    <w:p w14:paraId="3633CDEA">
      <w:pPr>
        <w:pStyle w:val="7"/>
        <w:spacing w:before="50" w:line="360" w:lineRule="auto"/>
        <w:ind w:left="-5" w:leftChars="-2"/>
        <w:rPr>
          <w:rFonts w:ascii="宋体" w:hAnsi="宋体"/>
          <w:szCs w:val="21"/>
          <w:highlight w:val="none"/>
        </w:rPr>
      </w:pPr>
      <w:r>
        <w:rPr>
          <w:rFonts w:ascii="宋体" w:hAnsi="宋体"/>
          <w:szCs w:val="21"/>
          <w:highlight w:val="none"/>
        </w:rPr>
        <w:t>取所有经评审的有效</w:t>
      </w:r>
      <w:r>
        <w:rPr>
          <w:rFonts w:hint="eastAsia" w:ascii="宋体" w:hAnsi="宋体"/>
          <w:szCs w:val="21"/>
          <w:highlight w:val="none"/>
        </w:rPr>
        <w:t>投标报价的算术平均值（</w:t>
      </w:r>
      <w:r>
        <w:rPr>
          <w:rFonts w:hint="eastAsia" w:ascii="宋体" w:hAnsi="宋体"/>
          <w:highlight w:val="none"/>
        </w:rPr>
        <w:t>保留二位小数，小数点后第三位四舍五入</w:t>
      </w:r>
      <w:r>
        <w:rPr>
          <w:rFonts w:hint="eastAsia" w:ascii="宋体" w:hAnsi="宋体"/>
          <w:szCs w:val="21"/>
          <w:highlight w:val="none"/>
        </w:rPr>
        <w:t>）</w:t>
      </w:r>
      <w:r>
        <w:rPr>
          <w:rFonts w:ascii="宋体" w:hAnsi="宋体"/>
          <w:szCs w:val="21"/>
          <w:highlight w:val="none"/>
        </w:rPr>
        <w:t>作为</w:t>
      </w:r>
      <w:r>
        <w:rPr>
          <w:rFonts w:hint="eastAsia" w:ascii="宋体" w:hAnsi="宋体"/>
          <w:highlight w:val="none"/>
        </w:rPr>
        <w:t>评标标底价</w:t>
      </w:r>
      <w:r>
        <w:rPr>
          <w:rFonts w:hint="eastAsia" w:ascii="宋体" w:hAnsi="宋体"/>
          <w:szCs w:val="21"/>
          <w:highlight w:val="none"/>
        </w:rPr>
        <w:t>；若有效投标报价不足3家，评标委员会认为投标具有竞争性的，则取报价低者作为</w:t>
      </w:r>
      <w:r>
        <w:rPr>
          <w:rFonts w:hint="eastAsia" w:ascii="宋体" w:hAnsi="宋体"/>
          <w:highlight w:val="none"/>
        </w:rPr>
        <w:t>评标标底价</w:t>
      </w:r>
      <w:r>
        <w:rPr>
          <w:rFonts w:hint="eastAsia" w:ascii="宋体" w:hAnsi="宋体"/>
          <w:szCs w:val="21"/>
          <w:highlight w:val="none"/>
        </w:rPr>
        <w:t>。</w:t>
      </w:r>
    </w:p>
    <w:p w14:paraId="4C6575EB">
      <w:pPr>
        <w:pStyle w:val="7"/>
        <w:spacing w:before="50" w:line="360" w:lineRule="auto"/>
        <w:ind w:left="-5" w:leftChars="-2"/>
        <w:rPr>
          <w:rFonts w:ascii="宋体" w:hAnsi="宋体"/>
          <w:szCs w:val="21"/>
          <w:highlight w:val="none"/>
        </w:rPr>
      </w:pPr>
      <w:r>
        <w:rPr>
          <w:rFonts w:ascii="宋体" w:hAnsi="宋体"/>
          <w:szCs w:val="21"/>
          <w:highlight w:val="none"/>
        </w:rPr>
        <w:t>2、商务标得分的确定</w:t>
      </w:r>
    </w:p>
    <w:p w14:paraId="472333C5">
      <w:pPr>
        <w:pStyle w:val="7"/>
        <w:spacing w:before="50" w:line="360" w:lineRule="auto"/>
        <w:ind w:left="-5" w:leftChars="-2"/>
        <w:rPr>
          <w:rFonts w:ascii="宋体" w:hAnsi="宋体"/>
          <w:highlight w:val="none"/>
        </w:rPr>
      </w:pPr>
      <w:r>
        <w:rPr>
          <w:rFonts w:hint="eastAsia" w:ascii="宋体" w:hAnsi="宋体"/>
          <w:highlight w:val="none"/>
        </w:rPr>
        <w:t>（1）商务标分值的计算。</w:t>
      </w:r>
    </w:p>
    <w:p w14:paraId="5120626B">
      <w:pPr>
        <w:pStyle w:val="7"/>
        <w:spacing w:before="50" w:line="360" w:lineRule="auto"/>
        <w:ind w:left="-5" w:leftChars="-2"/>
        <w:rPr>
          <w:rFonts w:ascii="宋体" w:hAnsi="宋体"/>
          <w:szCs w:val="21"/>
          <w:highlight w:val="none"/>
        </w:rPr>
      </w:pPr>
      <w:r>
        <w:rPr>
          <w:rFonts w:hint="eastAsia" w:ascii="宋体" w:hAnsi="宋体"/>
          <w:szCs w:val="21"/>
          <w:highlight w:val="none"/>
        </w:rPr>
        <w:t xml:space="preserve">投标报价等于评标标底价的得40分，每低于评标标底价一个百分点的扣0.3分（商务标分值=50－| </w:t>
      </w:r>
      <w:r>
        <w:rPr>
          <w:rFonts w:ascii="宋体" w:hAnsi="宋体"/>
          <w:szCs w:val="21"/>
          <w:highlight w:val="none"/>
        </w:rPr>
        <w:object>
          <v:shape id="_x0000_i1025" o:spt="75" type="#_x0000_t75" style="height:28.15pt;width:107.05pt;" o:ole="t" filled="f" o:preferrelative="t" stroked="f" coordsize="21600,21600">
            <v:path/>
            <v:fill on="f" focussize="0,0"/>
            <v:stroke on="f"/>
            <v:imagedata r:id="rId41" o:title=""/>
            <o:lock v:ext="edit" aspectratio="t"/>
            <w10:wrap type="none"/>
            <w10:anchorlock/>
          </v:shape>
          <o:OLEObject Type="Embed" ProgID="Equation.3" ShapeID="_x0000_i1025" DrawAspect="Content" ObjectID="_1468075725" r:id="rId40">
            <o:LockedField>false</o:LockedField>
          </o:OLEObject>
        </w:object>
      </w:r>
      <w:r>
        <w:rPr>
          <w:rFonts w:hint="eastAsia" w:ascii="宋体" w:hAnsi="宋体"/>
          <w:szCs w:val="21"/>
          <w:highlight w:val="none"/>
        </w:rPr>
        <w:t xml:space="preserve">|×100×0.3），每高于评标标底价一个百分点的扣0.5分（商务标分值=40－| </w:t>
      </w:r>
      <w:r>
        <w:rPr>
          <w:rFonts w:ascii="宋体" w:hAnsi="宋体"/>
          <w:szCs w:val="21"/>
          <w:highlight w:val="none"/>
        </w:rPr>
        <w:object>
          <v:shape id="_x0000_i1026" o:spt="75" type="#_x0000_t75" style="height:28.15pt;width:107.05pt;" o:ole="t" filled="f" o:preferrelative="t" stroked="f" coordsize="21600,21600">
            <v:path/>
            <v:fill on="f" focussize="0,0"/>
            <v:stroke on="f"/>
            <v:imagedata r:id="rId43" o:title=""/>
            <o:lock v:ext="edit" aspectratio="t"/>
            <w10:wrap type="none"/>
            <w10:anchorlock/>
          </v:shape>
          <o:OLEObject Type="Embed" ProgID="Equation.3" ShapeID="_x0000_i1026" DrawAspect="Content" ObjectID="_1468075726" r:id="rId42">
            <o:LockedField>false</o:LockedField>
          </o:OLEObject>
        </w:object>
      </w:r>
      <w:r>
        <w:rPr>
          <w:rFonts w:hint="eastAsia" w:ascii="宋体" w:hAnsi="宋体"/>
          <w:szCs w:val="21"/>
          <w:highlight w:val="none"/>
        </w:rPr>
        <w:t>|×100×0.5），中间按内插法计算</w:t>
      </w:r>
      <w:r>
        <w:rPr>
          <w:rFonts w:ascii="宋体" w:hAnsi="宋体"/>
          <w:szCs w:val="21"/>
          <w:highlight w:val="none"/>
        </w:rPr>
        <w:t>。</w:t>
      </w:r>
    </w:p>
    <w:p w14:paraId="421F328D">
      <w:pPr>
        <w:pStyle w:val="7"/>
        <w:spacing w:before="50" w:line="360" w:lineRule="auto"/>
        <w:ind w:left="-5" w:leftChars="-2"/>
        <w:rPr>
          <w:rFonts w:ascii="宋体" w:hAnsi="宋体"/>
          <w:szCs w:val="21"/>
          <w:highlight w:val="none"/>
        </w:rPr>
      </w:pPr>
      <w:r>
        <w:rPr>
          <w:rFonts w:hint="eastAsia" w:ascii="宋体" w:hAnsi="宋体"/>
          <w:szCs w:val="21"/>
          <w:highlight w:val="none"/>
        </w:rPr>
        <w:t>四、评标总得分的确定。</w:t>
      </w:r>
    </w:p>
    <w:p w14:paraId="3185F941">
      <w:pPr>
        <w:pStyle w:val="7"/>
        <w:spacing w:before="50" w:line="360" w:lineRule="auto"/>
        <w:ind w:left="-5" w:leftChars="-2"/>
        <w:rPr>
          <w:rFonts w:ascii="宋体" w:hAnsi="宋体"/>
          <w:szCs w:val="21"/>
          <w:highlight w:val="none"/>
        </w:rPr>
      </w:pPr>
      <w:r>
        <w:rPr>
          <w:rFonts w:hint="eastAsia" w:ascii="宋体" w:hAnsi="宋体"/>
          <w:szCs w:val="21"/>
          <w:highlight w:val="none"/>
        </w:rPr>
        <w:t>投标人的总得分＝技术标得分＋商务标得分。</w:t>
      </w:r>
    </w:p>
    <w:p w14:paraId="3D278833">
      <w:pPr>
        <w:pStyle w:val="7"/>
        <w:spacing w:before="50" w:line="360" w:lineRule="auto"/>
        <w:ind w:left="-5" w:leftChars="-2"/>
        <w:rPr>
          <w:rFonts w:ascii="宋体" w:hAnsi="宋体"/>
          <w:szCs w:val="21"/>
          <w:highlight w:val="none"/>
        </w:rPr>
      </w:pPr>
      <w:r>
        <w:rPr>
          <w:rFonts w:hint="eastAsia" w:ascii="宋体" w:hAnsi="宋体"/>
          <w:szCs w:val="21"/>
          <w:highlight w:val="none"/>
        </w:rPr>
        <w:t>五、中标候选人的确定</w:t>
      </w:r>
    </w:p>
    <w:p w14:paraId="58C83232">
      <w:pPr>
        <w:pStyle w:val="7"/>
        <w:spacing w:before="50" w:line="360" w:lineRule="auto"/>
        <w:ind w:left="-5" w:leftChars="-2"/>
        <w:rPr>
          <w:highlight w:val="none"/>
        </w:rPr>
      </w:pPr>
      <w:r>
        <w:rPr>
          <w:rFonts w:hint="eastAsia" w:ascii="宋体" w:hAnsi="宋体"/>
          <w:bCs/>
          <w:highlight w:val="none"/>
        </w:rPr>
        <w:t>评标委员会按投标人总得分由高到低的顺序排列，推荐1名中标候选人，即总</w:t>
      </w:r>
      <w:r>
        <w:rPr>
          <w:rFonts w:hint="eastAsia" w:ascii="宋体" w:hAnsi="宋体"/>
          <w:szCs w:val="21"/>
          <w:highlight w:val="none"/>
        </w:rPr>
        <w:t>得分最高者为中标候选人，如出现得分相同，取技术标得分高者为中标候选人，如技术标得分相同的，则取</w:t>
      </w:r>
      <w:r>
        <w:rPr>
          <w:rFonts w:hint="eastAsia" w:ascii="宋体" w:hAnsi="宋体"/>
          <w:highlight w:val="none"/>
        </w:rPr>
        <w:t>投标报价低者</w:t>
      </w:r>
      <w:r>
        <w:rPr>
          <w:rFonts w:hint="eastAsia" w:ascii="宋体" w:hAnsi="宋体"/>
          <w:szCs w:val="21"/>
          <w:highlight w:val="none"/>
        </w:rPr>
        <w:t>的为中标候选人，如均相同时，则抽签确定。</w:t>
      </w:r>
    </w:p>
    <w:p w14:paraId="7EEC97EE">
      <w:pPr>
        <w:pStyle w:val="2"/>
        <w:spacing w:line="360" w:lineRule="exact"/>
        <w:ind w:firstLine="663" w:firstLineChars="150"/>
        <w:jc w:val="center"/>
        <w:rPr>
          <w:rFonts w:hint="eastAsia"/>
          <w:highlight w:val="none"/>
        </w:rPr>
      </w:pPr>
    </w:p>
    <w:p w14:paraId="409A8E5D">
      <w:pPr>
        <w:spacing w:line="299" w:lineRule="auto"/>
        <w:rPr>
          <w:rFonts w:eastAsiaTheme="minorEastAsia"/>
        </w:rPr>
      </w:pPr>
    </w:p>
    <w:p w14:paraId="7D6C1885">
      <w:pPr>
        <w:spacing w:line="299" w:lineRule="auto"/>
        <w:rPr>
          <w:rFonts w:eastAsiaTheme="minorEastAsia"/>
        </w:rPr>
      </w:pPr>
    </w:p>
    <w:p w14:paraId="36F59908">
      <w:pPr>
        <w:spacing w:line="299" w:lineRule="auto"/>
        <w:rPr>
          <w:rFonts w:eastAsiaTheme="minorEastAsia"/>
        </w:rPr>
      </w:pPr>
    </w:p>
    <w:p w14:paraId="06FCA558">
      <w:pPr>
        <w:spacing w:line="299" w:lineRule="auto"/>
        <w:rPr>
          <w:rFonts w:eastAsiaTheme="minorEastAsia"/>
        </w:rPr>
      </w:pPr>
    </w:p>
    <w:p w14:paraId="255FE7DA">
      <w:pPr>
        <w:spacing w:line="299" w:lineRule="auto"/>
        <w:rPr>
          <w:rFonts w:eastAsiaTheme="minorEastAsia"/>
        </w:rPr>
      </w:pPr>
    </w:p>
    <w:p w14:paraId="6B4E6997">
      <w:pPr>
        <w:spacing w:line="299" w:lineRule="auto"/>
        <w:rPr>
          <w:rFonts w:eastAsiaTheme="minorEastAsia"/>
        </w:rPr>
      </w:pPr>
    </w:p>
    <w:p w14:paraId="5D818A98">
      <w:pPr>
        <w:rPr>
          <w:rFonts w:hint="eastAsia"/>
          <w:highlight w:val="none"/>
        </w:rPr>
      </w:pPr>
      <w:bookmarkStart w:id="83" w:name="_Toc686"/>
      <w:r>
        <w:rPr>
          <w:rFonts w:hint="eastAsia"/>
          <w:highlight w:val="none"/>
        </w:rPr>
        <w:br w:type="page"/>
      </w:r>
    </w:p>
    <w:p w14:paraId="2E958609">
      <w:pPr>
        <w:pStyle w:val="2"/>
        <w:keepNext/>
        <w:keepLines/>
        <w:pageBreakBefore w:val="0"/>
        <w:widowControl w:val="0"/>
        <w:kinsoku/>
        <w:wordWrap/>
        <w:overflowPunct/>
        <w:topLinePunct w:val="0"/>
        <w:autoSpaceDE/>
        <w:autoSpaceDN/>
        <w:bidi w:val="0"/>
        <w:adjustRightInd/>
        <w:snapToGrid/>
        <w:spacing w:line="360" w:lineRule="auto"/>
        <w:ind w:firstLine="663" w:firstLineChars="150"/>
        <w:jc w:val="center"/>
        <w:textAlignment w:val="auto"/>
        <w:rPr>
          <w:rFonts w:hint="eastAsia"/>
          <w:highlight w:val="none"/>
        </w:rPr>
      </w:pPr>
      <w:r>
        <w:rPr>
          <w:rFonts w:hint="eastAsia"/>
          <w:highlight w:val="none"/>
        </w:rPr>
        <w:t>第四章   技术规格书</w:t>
      </w:r>
      <w:bookmarkEnd w:id="83"/>
    </w:p>
    <w:p w14:paraId="1EDA4E6F">
      <w:pPr>
        <w:pStyle w:val="4"/>
        <w:numPr>
          <w:ilvl w:val="0"/>
          <w:numId w:val="31"/>
        </w:numPr>
        <w:tabs>
          <w:tab w:val="left" w:pos="287"/>
        </w:tabs>
        <w:spacing w:before="360" w:after="0" w:line="360" w:lineRule="exact"/>
        <w:jc w:val="center"/>
        <w:rPr>
          <w:rFonts w:hint="eastAsia"/>
          <w:highlight w:val="none"/>
        </w:rPr>
      </w:pPr>
      <w:bookmarkStart w:id="84" w:name="_Toc447182057"/>
      <w:bookmarkStart w:id="85" w:name="_Toc29297"/>
      <w:bookmarkStart w:id="86" w:name="_Toc447182062"/>
      <w:r>
        <w:rPr>
          <w:rFonts w:hint="eastAsia"/>
          <w:highlight w:val="none"/>
        </w:rPr>
        <w:t>招标内容</w:t>
      </w:r>
      <w:bookmarkEnd w:id="84"/>
      <w:bookmarkEnd w:id="85"/>
    </w:p>
    <w:p w14:paraId="63A7946F">
      <w:pPr>
        <w:pStyle w:val="10"/>
        <w:numPr>
          <w:ilvl w:val="1"/>
          <w:numId w:val="0"/>
        </w:numPr>
        <w:spacing w:after="0" w:line="360" w:lineRule="auto"/>
        <w:ind w:firstLine="480" w:firstLineChars="200"/>
        <w:rPr>
          <w:rFonts w:hint="eastAsia"/>
          <w:highlight w:val="none"/>
        </w:rPr>
      </w:pPr>
      <w:r>
        <w:rPr>
          <w:rFonts w:hint="eastAsia"/>
          <w:highlight w:val="none"/>
        </w:rPr>
        <w:t>此份技术规格书是招标文件的一部分，包括</w:t>
      </w:r>
      <w:r>
        <w:rPr>
          <w:rFonts w:hint="eastAsia"/>
          <w:highlight w:val="none"/>
          <w:lang w:eastAsia="zh-CN"/>
        </w:rPr>
        <w:t>三门县饮用水水源地保护及生态修复项目-农村生活污水处理工程-管材</w:t>
      </w:r>
      <w:r>
        <w:rPr>
          <w:rFonts w:hint="eastAsia"/>
          <w:highlight w:val="none"/>
        </w:rPr>
        <w:t>及配件的设计制造、包装、运输（含装卸）、产品保护、货到就位、供货点仓储建设、仓储货物管理、二次运输至施工现场（含装卸）、技术服务、售后服务、质量保修及相关部门验收（含第三方验收）等工作。</w:t>
      </w:r>
    </w:p>
    <w:p w14:paraId="4745521B">
      <w:pPr>
        <w:pStyle w:val="4"/>
        <w:numPr>
          <w:ilvl w:val="0"/>
          <w:numId w:val="31"/>
        </w:numPr>
        <w:tabs>
          <w:tab w:val="left" w:pos="287"/>
        </w:tabs>
        <w:spacing w:before="360" w:after="0" w:line="360" w:lineRule="exact"/>
        <w:jc w:val="center"/>
        <w:rPr>
          <w:rFonts w:hint="eastAsia"/>
          <w:highlight w:val="none"/>
        </w:rPr>
      </w:pPr>
      <w:bookmarkStart w:id="87" w:name="_Toc447182058"/>
      <w:bookmarkStart w:id="88" w:name="_Toc15686"/>
      <w:r>
        <w:rPr>
          <w:rFonts w:hint="eastAsia"/>
          <w:highlight w:val="none"/>
        </w:rPr>
        <w:t>工作范围</w:t>
      </w:r>
      <w:bookmarkEnd w:id="87"/>
      <w:bookmarkEnd w:id="88"/>
    </w:p>
    <w:p w14:paraId="1C27AD09">
      <w:pPr>
        <w:pStyle w:val="10"/>
        <w:numPr>
          <w:ilvl w:val="1"/>
          <w:numId w:val="0"/>
        </w:numPr>
        <w:spacing w:after="0" w:line="360" w:lineRule="auto"/>
        <w:ind w:firstLine="480" w:firstLineChars="200"/>
        <w:rPr>
          <w:rFonts w:hint="eastAsia"/>
          <w:highlight w:val="none"/>
        </w:rPr>
      </w:pPr>
      <w:r>
        <w:rPr>
          <w:rFonts w:hint="eastAsia"/>
          <w:highlight w:val="none"/>
        </w:rPr>
        <w:t>投标人需按工作顺序提交所需的技术资料，所有资料必须符合技术规格书的要求。无论其是否被明细列在合同文件中。</w:t>
      </w:r>
    </w:p>
    <w:p w14:paraId="1DB6AA2A">
      <w:pPr>
        <w:pStyle w:val="10"/>
        <w:numPr>
          <w:ilvl w:val="1"/>
          <w:numId w:val="0"/>
        </w:numPr>
        <w:spacing w:after="0" w:line="360" w:lineRule="auto"/>
        <w:ind w:firstLine="480" w:firstLineChars="200"/>
        <w:rPr>
          <w:rFonts w:hint="eastAsia"/>
          <w:highlight w:val="none"/>
        </w:rPr>
      </w:pPr>
      <w:r>
        <w:rPr>
          <w:rFonts w:hint="eastAsia"/>
          <w:highlight w:val="none"/>
        </w:rPr>
        <w:t>提供的产品须包括以下工作服务但不仅限于以下：</w:t>
      </w:r>
    </w:p>
    <w:p w14:paraId="61397537">
      <w:pPr>
        <w:pStyle w:val="10"/>
        <w:numPr>
          <w:ilvl w:val="1"/>
          <w:numId w:val="0"/>
        </w:numPr>
        <w:spacing w:after="0" w:line="360" w:lineRule="auto"/>
        <w:ind w:firstLine="480" w:firstLineChars="200"/>
        <w:rPr>
          <w:rFonts w:hint="eastAsia"/>
          <w:highlight w:val="none"/>
        </w:rPr>
      </w:pPr>
      <w:r>
        <w:rPr>
          <w:rFonts w:hint="eastAsia"/>
          <w:highlight w:val="none"/>
        </w:rPr>
        <w:t>（1）提供产品样本和使用说明书；</w:t>
      </w:r>
    </w:p>
    <w:p w14:paraId="4264440C">
      <w:pPr>
        <w:pStyle w:val="10"/>
        <w:numPr>
          <w:ilvl w:val="1"/>
          <w:numId w:val="0"/>
        </w:numPr>
        <w:spacing w:after="0" w:line="360" w:lineRule="auto"/>
        <w:ind w:firstLine="480" w:firstLineChars="200"/>
        <w:rPr>
          <w:rFonts w:hint="eastAsia"/>
          <w:highlight w:val="none"/>
        </w:rPr>
      </w:pPr>
      <w:r>
        <w:rPr>
          <w:rFonts w:hint="eastAsia"/>
          <w:highlight w:val="none"/>
        </w:rPr>
        <w:t>（2）按招标人认可的型号规格、数量和材料进行采购、加工、制造、供货；</w:t>
      </w:r>
    </w:p>
    <w:p w14:paraId="7CE69807">
      <w:pPr>
        <w:pStyle w:val="10"/>
        <w:numPr>
          <w:ilvl w:val="1"/>
          <w:numId w:val="0"/>
        </w:numPr>
        <w:spacing w:after="0" w:line="360" w:lineRule="auto"/>
        <w:ind w:firstLine="480" w:firstLineChars="200"/>
        <w:rPr>
          <w:rFonts w:hint="eastAsia"/>
          <w:highlight w:val="none"/>
        </w:rPr>
      </w:pPr>
      <w:r>
        <w:rPr>
          <w:rFonts w:hint="eastAsia"/>
          <w:highlight w:val="none"/>
        </w:rPr>
        <w:t>（3）运输及装卸车：在接到买方供货通知后按投标承诺的供货时间，将产品送至中标人在三门县范围内的施工现场并卸车；</w:t>
      </w:r>
    </w:p>
    <w:p w14:paraId="21A1B3F1">
      <w:pPr>
        <w:pStyle w:val="10"/>
        <w:numPr>
          <w:ilvl w:val="1"/>
          <w:numId w:val="0"/>
        </w:numPr>
        <w:spacing w:after="0" w:line="360" w:lineRule="auto"/>
        <w:ind w:firstLine="480" w:firstLineChars="200"/>
        <w:rPr>
          <w:rFonts w:hint="eastAsia"/>
          <w:highlight w:val="none"/>
        </w:rPr>
      </w:pPr>
      <w:r>
        <w:rPr>
          <w:rFonts w:hint="eastAsia"/>
          <w:highlight w:val="none"/>
        </w:rPr>
        <w:t>（4）投标人应负责提供完整的中文操作维护使用手册。</w:t>
      </w:r>
    </w:p>
    <w:p w14:paraId="07FC7722">
      <w:pPr>
        <w:pStyle w:val="10"/>
        <w:numPr>
          <w:ilvl w:val="1"/>
          <w:numId w:val="0"/>
        </w:numPr>
        <w:spacing w:after="0" w:line="360" w:lineRule="auto"/>
        <w:ind w:firstLine="480" w:firstLineChars="200"/>
        <w:rPr>
          <w:rFonts w:hint="eastAsia"/>
          <w:highlight w:val="none"/>
        </w:rPr>
      </w:pPr>
      <w:r>
        <w:rPr>
          <w:rFonts w:hint="eastAsia"/>
          <w:highlight w:val="none"/>
        </w:rPr>
        <w:t>这份规格书只是对一些原则性要求，并不是详尽的要求，投标人有责任对设计符合技术规范、标准负责。</w:t>
      </w:r>
    </w:p>
    <w:p w14:paraId="11B31159">
      <w:pPr>
        <w:pStyle w:val="10"/>
        <w:numPr>
          <w:ilvl w:val="1"/>
          <w:numId w:val="0"/>
        </w:numPr>
        <w:spacing w:after="0" w:line="360" w:lineRule="auto"/>
        <w:ind w:firstLine="480" w:firstLineChars="200"/>
        <w:rPr>
          <w:rFonts w:hint="eastAsia"/>
          <w:highlight w:val="none"/>
        </w:rPr>
      </w:pPr>
      <w:r>
        <w:rPr>
          <w:rFonts w:hint="eastAsia"/>
          <w:highlight w:val="none"/>
        </w:rPr>
        <w:t>在交货时应附上产地出厂证明文件、原产地出厂合格证书、原产地装箱清单。（中文说明）</w:t>
      </w:r>
    </w:p>
    <w:p w14:paraId="007C1DAF">
      <w:pPr>
        <w:pStyle w:val="4"/>
        <w:numPr>
          <w:ilvl w:val="0"/>
          <w:numId w:val="31"/>
        </w:numPr>
        <w:tabs>
          <w:tab w:val="left" w:pos="287"/>
        </w:tabs>
        <w:spacing w:before="360" w:after="0" w:line="360" w:lineRule="exact"/>
        <w:jc w:val="center"/>
        <w:rPr>
          <w:rFonts w:hint="eastAsia"/>
          <w:highlight w:val="none"/>
        </w:rPr>
      </w:pPr>
      <w:bookmarkStart w:id="89" w:name="_Toc25751"/>
      <w:bookmarkStart w:id="90" w:name="_Toc447182059"/>
      <w:r>
        <w:rPr>
          <w:rFonts w:hint="eastAsia"/>
          <w:highlight w:val="none"/>
        </w:rPr>
        <w:t>售后服务</w:t>
      </w:r>
      <w:bookmarkEnd w:id="89"/>
      <w:bookmarkEnd w:id="90"/>
    </w:p>
    <w:p w14:paraId="2EB1C7EF">
      <w:pPr>
        <w:pStyle w:val="10"/>
        <w:numPr>
          <w:ilvl w:val="1"/>
          <w:numId w:val="0"/>
        </w:numPr>
        <w:spacing w:after="0" w:line="360" w:lineRule="auto"/>
        <w:ind w:firstLine="480" w:firstLineChars="200"/>
        <w:rPr>
          <w:rFonts w:hint="eastAsia"/>
          <w:highlight w:val="none"/>
        </w:rPr>
      </w:pPr>
      <w:r>
        <w:rPr>
          <w:rFonts w:hint="eastAsia"/>
          <w:highlight w:val="none"/>
        </w:rPr>
        <w:t>在产品安装、调试阶段，中标人根据施工需要，应派技术人员提供无偿免费的技术服务指导，配合安装、调试。不能影响招标人工期要求。</w:t>
      </w:r>
    </w:p>
    <w:p w14:paraId="4E24820D">
      <w:pPr>
        <w:pStyle w:val="10"/>
        <w:numPr>
          <w:ilvl w:val="1"/>
          <w:numId w:val="0"/>
        </w:numPr>
        <w:spacing w:after="0" w:line="360" w:lineRule="auto"/>
        <w:ind w:firstLine="480" w:firstLineChars="200"/>
        <w:rPr>
          <w:rFonts w:hint="eastAsia"/>
          <w:highlight w:val="none"/>
        </w:rPr>
      </w:pPr>
      <w:r>
        <w:rPr>
          <w:rFonts w:hint="eastAsia"/>
          <w:highlight w:val="none"/>
        </w:rPr>
        <w:t>质保期内，因产品制造质量不良而产生损坏或不能正常工作，投标人应免费退换、维修和正常保养。</w:t>
      </w:r>
    </w:p>
    <w:p w14:paraId="0D35B34F">
      <w:pPr>
        <w:pStyle w:val="10"/>
        <w:numPr>
          <w:ilvl w:val="1"/>
          <w:numId w:val="0"/>
        </w:numPr>
        <w:spacing w:after="0" w:line="360" w:lineRule="auto"/>
        <w:ind w:firstLine="480" w:firstLineChars="200"/>
        <w:rPr>
          <w:rFonts w:hint="eastAsia"/>
          <w:highlight w:val="none"/>
        </w:rPr>
      </w:pPr>
      <w:r>
        <w:rPr>
          <w:rFonts w:hint="eastAsia"/>
          <w:highlight w:val="none"/>
        </w:rPr>
        <w:t>在质保期内的工作应包括对所有常规检查。具体的操作程序和内容须在合同特殊条款中说明。</w:t>
      </w:r>
    </w:p>
    <w:p w14:paraId="5ABF8AF5">
      <w:pPr>
        <w:pStyle w:val="10"/>
        <w:numPr>
          <w:ilvl w:val="1"/>
          <w:numId w:val="0"/>
        </w:numPr>
        <w:spacing w:after="0" w:line="360" w:lineRule="auto"/>
        <w:ind w:firstLine="480" w:firstLineChars="200"/>
        <w:rPr>
          <w:rFonts w:hint="eastAsia"/>
          <w:highlight w:val="none"/>
        </w:rPr>
      </w:pPr>
      <w:r>
        <w:rPr>
          <w:rFonts w:hint="eastAsia"/>
          <w:highlight w:val="none"/>
        </w:rPr>
        <w:t>在质保期满时，招标人负责技术的工程师和投标人代表对所有产品进行另一次测试，任何故障须由投标人自费解决并取得招标人的认可。</w:t>
      </w:r>
    </w:p>
    <w:p w14:paraId="54276053">
      <w:pPr>
        <w:pStyle w:val="4"/>
        <w:numPr>
          <w:ilvl w:val="0"/>
          <w:numId w:val="31"/>
        </w:numPr>
        <w:tabs>
          <w:tab w:val="left" w:pos="287"/>
        </w:tabs>
        <w:spacing w:before="360" w:after="0" w:line="360" w:lineRule="exact"/>
        <w:jc w:val="center"/>
        <w:rPr>
          <w:highlight w:val="none"/>
        </w:rPr>
      </w:pPr>
      <w:bookmarkStart w:id="91" w:name="_Toc447182060"/>
      <w:bookmarkStart w:id="92" w:name="_Toc5282"/>
      <w:bookmarkStart w:id="93" w:name="_Toc236215064"/>
      <w:r>
        <w:rPr>
          <w:rFonts w:hint="eastAsia"/>
          <w:highlight w:val="none"/>
        </w:rPr>
        <w:t>项目技术要求：</w:t>
      </w:r>
      <w:bookmarkEnd w:id="91"/>
      <w:bookmarkEnd w:id="92"/>
    </w:p>
    <w:p w14:paraId="46F4D7EF">
      <w:pPr>
        <w:rPr>
          <w:highlight w:val="none"/>
        </w:rPr>
      </w:pPr>
    </w:p>
    <w:p w14:paraId="05FF44E7">
      <w:pPr>
        <w:pStyle w:val="10"/>
        <w:numPr>
          <w:ilvl w:val="1"/>
          <w:numId w:val="0"/>
        </w:numPr>
        <w:spacing w:after="0" w:line="360" w:lineRule="auto"/>
        <w:ind w:firstLine="480" w:firstLineChars="200"/>
        <w:rPr>
          <w:rFonts w:hint="eastAsia"/>
          <w:highlight w:val="none"/>
        </w:rPr>
      </w:pPr>
      <w:bookmarkStart w:id="94" w:name="_Toc447182061"/>
      <w:r>
        <w:rPr>
          <w:rFonts w:hint="eastAsia"/>
          <w:highlight w:val="none"/>
        </w:rPr>
        <w:t>（1）承插式聚乙烯实壁排水管材及配件技术要求：</w:t>
      </w:r>
    </w:p>
    <w:p w14:paraId="4A0CCC26">
      <w:pPr>
        <w:pStyle w:val="10"/>
        <w:numPr>
          <w:ilvl w:val="1"/>
          <w:numId w:val="0"/>
        </w:numPr>
        <w:spacing w:after="0" w:line="360" w:lineRule="auto"/>
        <w:ind w:firstLine="480" w:firstLineChars="200"/>
        <w:rPr>
          <w:rFonts w:hint="eastAsia"/>
          <w:highlight w:val="none"/>
        </w:rPr>
      </w:pPr>
      <w:r>
        <w:rPr>
          <w:rFonts w:hint="eastAsia"/>
          <w:highlight w:val="none"/>
        </w:rPr>
        <w:t xml:space="preserve">①管材正式名称：承插式聚乙烯实壁排水管 </w:t>
      </w:r>
    </w:p>
    <w:p w14:paraId="72215D89">
      <w:pPr>
        <w:pStyle w:val="10"/>
        <w:numPr>
          <w:ilvl w:val="1"/>
          <w:numId w:val="0"/>
        </w:numPr>
        <w:spacing w:after="0" w:line="360" w:lineRule="auto"/>
        <w:ind w:firstLine="480" w:firstLineChars="200"/>
        <w:rPr>
          <w:rFonts w:hint="eastAsia"/>
          <w:highlight w:val="none"/>
        </w:rPr>
      </w:pPr>
      <w:r>
        <w:rPr>
          <w:rFonts w:hint="eastAsia"/>
          <w:highlight w:val="none"/>
        </w:rPr>
        <w:t xml:space="preserve">②环刚度等级：SN8（S≥8KN/㎡） </w:t>
      </w:r>
    </w:p>
    <w:p w14:paraId="3C4DAD47">
      <w:pPr>
        <w:pStyle w:val="10"/>
        <w:numPr>
          <w:ilvl w:val="1"/>
          <w:numId w:val="0"/>
        </w:numPr>
        <w:spacing w:after="0" w:line="360" w:lineRule="auto"/>
        <w:ind w:firstLine="480" w:firstLineChars="200"/>
        <w:rPr>
          <w:rFonts w:hint="eastAsia"/>
          <w:highlight w:val="none"/>
        </w:rPr>
      </w:pPr>
      <w:r>
        <w:rPr>
          <w:rFonts w:hint="eastAsia"/>
          <w:highlight w:val="none"/>
        </w:rPr>
        <w:t xml:space="preserve">③管材的施工工艺为开挖埋管。 </w:t>
      </w:r>
    </w:p>
    <w:p w14:paraId="50629646">
      <w:pPr>
        <w:pStyle w:val="10"/>
        <w:numPr>
          <w:ilvl w:val="1"/>
          <w:numId w:val="0"/>
        </w:numPr>
        <w:spacing w:after="0" w:line="360" w:lineRule="auto"/>
        <w:ind w:firstLine="480" w:firstLineChars="200"/>
        <w:rPr>
          <w:rFonts w:hint="eastAsia"/>
          <w:highlight w:val="none"/>
        </w:rPr>
      </w:pPr>
      <w:r>
        <w:rPr>
          <w:rFonts w:hint="eastAsia"/>
          <w:highlight w:val="none"/>
        </w:rPr>
        <w:t xml:space="preserve">④管材应符合《承插式聚乙烯实壁排水管》（T/ZAQ ZZB2239—2023）的规定。 </w:t>
      </w:r>
    </w:p>
    <w:p w14:paraId="77124303">
      <w:pPr>
        <w:pStyle w:val="10"/>
        <w:numPr>
          <w:ilvl w:val="1"/>
          <w:numId w:val="0"/>
        </w:numPr>
        <w:spacing w:after="0" w:line="360" w:lineRule="auto"/>
        <w:ind w:firstLine="480" w:firstLineChars="200"/>
        <w:rPr>
          <w:rFonts w:hint="eastAsia"/>
          <w:highlight w:val="none"/>
        </w:rPr>
      </w:pPr>
      <w:r>
        <w:rPr>
          <w:rFonts w:hint="eastAsia"/>
          <w:highlight w:val="none"/>
        </w:rPr>
        <w:t>⑤管材（包括管材主体和承口部件）所用的材料应以高密度聚乙烯(HDPE)树脂为主，可加入为提高管材加工性能或其他性能所需的材料。树脂含量(质量分数)应在97%以上，灰分比例不大于1%。</w:t>
      </w:r>
    </w:p>
    <w:p w14:paraId="60788549">
      <w:pPr>
        <w:pStyle w:val="10"/>
        <w:numPr>
          <w:ilvl w:val="1"/>
          <w:numId w:val="0"/>
        </w:numPr>
        <w:spacing w:after="0" w:line="360" w:lineRule="auto"/>
        <w:ind w:firstLine="480" w:firstLineChars="200"/>
        <w:rPr>
          <w:rFonts w:hint="eastAsia"/>
          <w:highlight w:val="none"/>
        </w:rPr>
      </w:pPr>
      <w:r>
        <w:rPr>
          <w:rFonts w:hint="eastAsia"/>
          <w:highlight w:val="none"/>
        </w:rPr>
        <w:t>⑥管材连接方式为弹性密封圈承插式连接，承插接头的生产原材料应与管材一致、承插口部位的环刚度S≥8KN/㎡，弹性密封圈应采用丁腈橡胶，采用二次硫化工艺，性能应符合GB/T 21873的要求，密封圈㫳部的硬度等级宜为（60±5）IRHD，密封圈根部硬度等级宜为（80±5）IRHD。弹性密封圈的外观应光滑平整，不得有气孔、裂缝、卷褶、破损、重皮等缺陷。</w:t>
      </w:r>
    </w:p>
    <w:p w14:paraId="0A164DAE">
      <w:pPr>
        <w:pStyle w:val="10"/>
        <w:numPr>
          <w:ilvl w:val="1"/>
          <w:numId w:val="0"/>
        </w:numPr>
        <w:spacing w:after="0" w:line="360" w:lineRule="auto"/>
        <w:ind w:firstLine="480" w:firstLineChars="200"/>
        <w:rPr>
          <w:rFonts w:hint="eastAsia"/>
          <w:highlight w:val="none"/>
        </w:rPr>
      </w:pPr>
      <w:r>
        <w:rPr>
          <w:rFonts w:hint="eastAsia"/>
          <w:highlight w:val="none"/>
        </w:rPr>
        <w:t>⑦管材整体内外表面应清洁、光滑，不应有气泡、明显的划伤、凹陷、杂质、颜色不均等缺陷。管材主体端口应切割平整，并与管材轴线垂直。管材的插入端外周应有倒角修整。</w:t>
      </w:r>
    </w:p>
    <w:p w14:paraId="7AA93EF9">
      <w:pPr>
        <w:pStyle w:val="10"/>
        <w:numPr>
          <w:ilvl w:val="1"/>
          <w:numId w:val="0"/>
        </w:numPr>
        <w:spacing w:after="0" w:line="360" w:lineRule="auto"/>
        <w:ind w:firstLine="482" w:firstLineChars="200"/>
        <w:rPr>
          <w:rFonts w:hint="eastAsia"/>
          <w:b/>
          <w:bCs/>
          <w:highlight w:val="none"/>
        </w:rPr>
      </w:pPr>
      <w:r>
        <w:rPr>
          <w:rFonts w:hint="eastAsia"/>
          <w:b/>
          <w:bCs/>
          <w:highlight w:val="none"/>
        </w:rPr>
        <w:t>（2）PE100实壁管及配件技术要求</w:t>
      </w:r>
    </w:p>
    <w:p w14:paraId="34DDC2D5">
      <w:pPr>
        <w:pStyle w:val="10"/>
        <w:numPr>
          <w:ilvl w:val="1"/>
          <w:numId w:val="0"/>
        </w:numPr>
        <w:spacing w:after="0" w:line="360" w:lineRule="auto"/>
        <w:ind w:firstLine="480" w:firstLineChars="200"/>
        <w:rPr>
          <w:rFonts w:hint="eastAsia"/>
          <w:highlight w:val="none"/>
        </w:rPr>
      </w:pPr>
      <w:r>
        <w:rPr>
          <w:rFonts w:hint="eastAsia"/>
          <w:highlight w:val="none"/>
        </w:rPr>
        <w:t>①管材应符合现行国家标准《给水用聚乙烯(PE) 管道系统 第2部分：管材》GB/T13663.2-2018的规定, 管件应符合现行国家标准《给水用聚乙烯(PE) 管道系统 第3部分：管件》GB/T13663.3-2018的规定。</w:t>
      </w:r>
    </w:p>
    <w:p w14:paraId="2F084A5E">
      <w:pPr>
        <w:pStyle w:val="10"/>
        <w:numPr>
          <w:ilvl w:val="1"/>
          <w:numId w:val="0"/>
        </w:numPr>
        <w:spacing w:after="0" w:line="360" w:lineRule="auto"/>
        <w:ind w:firstLine="480" w:firstLineChars="200"/>
        <w:rPr>
          <w:rFonts w:hint="eastAsia"/>
          <w:highlight w:val="none"/>
        </w:rPr>
      </w:pPr>
      <w:r>
        <w:rPr>
          <w:rFonts w:hint="eastAsia"/>
          <w:highlight w:val="none"/>
        </w:rPr>
        <w:t>②本项目PE100实壁管道须满足《埋地塑料给水管道工程技术规程》（CJJ101-2016)的要求。</w:t>
      </w:r>
    </w:p>
    <w:p w14:paraId="6730F45C">
      <w:pPr>
        <w:pStyle w:val="10"/>
        <w:numPr>
          <w:ilvl w:val="1"/>
          <w:numId w:val="0"/>
        </w:numPr>
        <w:spacing w:after="0" w:line="360" w:lineRule="auto"/>
        <w:ind w:firstLine="480" w:firstLineChars="200"/>
        <w:rPr>
          <w:rFonts w:hint="eastAsia"/>
          <w:highlight w:val="none"/>
        </w:rPr>
      </w:pPr>
      <w:r>
        <w:rPr>
          <w:rFonts w:hint="eastAsia"/>
          <w:highlight w:val="none"/>
        </w:rPr>
        <w:t>③本项目PE100级实壁管道设计使用年限50年。</w:t>
      </w:r>
    </w:p>
    <w:p w14:paraId="17506734">
      <w:pPr>
        <w:pStyle w:val="10"/>
        <w:numPr>
          <w:ilvl w:val="1"/>
          <w:numId w:val="0"/>
        </w:numPr>
        <w:spacing w:after="0" w:line="360" w:lineRule="auto"/>
        <w:ind w:firstLine="480" w:firstLineChars="200"/>
        <w:rPr>
          <w:rFonts w:hint="eastAsia"/>
          <w:highlight w:val="none"/>
        </w:rPr>
      </w:pPr>
      <w:r>
        <w:rPr>
          <w:rFonts w:hint="eastAsia"/>
          <w:highlight w:val="none"/>
        </w:rPr>
        <w:t>④原材料技术要求：PE100实壁管材应使用PE100 级混配料,混配料应符合GB/T13663.1—2017的要求。要求具备长期热稳定性和长期耐压强度，极好的抗慢速应力开裂增长和抗快速开裂传播性能。</w:t>
      </w:r>
    </w:p>
    <w:p w14:paraId="041305C3">
      <w:pPr>
        <w:pStyle w:val="10"/>
        <w:numPr>
          <w:ilvl w:val="1"/>
          <w:numId w:val="0"/>
        </w:numPr>
        <w:spacing w:after="0" w:line="360" w:lineRule="auto"/>
        <w:ind w:firstLine="480" w:firstLineChars="200"/>
        <w:rPr>
          <w:rFonts w:hint="eastAsia"/>
          <w:highlight w:val="none"/>
        </w:rPr>
      </w:pPr>
      <w:r>
        <w:rPr>
          <w:rFonts w:hint="eastAsia"/>
          <w:highlight w:val="none"/>
        </w:rPr>
        <w:t>⑤管材外观要求：管材内外表面应清洁、光滑,不应有气泡、明显的划伤、凹陷、杂质、颜色不均等缺陷。管材两端应切割平整,并与管材轴线垂直。</w:t>
      </w:r>
    </w:p>
    <w:p w14:paraId="21FE2A35">
      <w:pPr>
        <w:pStyle w:val="10"/>
        <w:numPr>
          <w:ilvl w:val="1"/>
          <w:numId w:val="0"/>
        </w:numPr>
        <w:spacing w:after="0" w:line="360" w:lineRule="auto"/>
        <w:ind w:firstLine="480" w:firstLineChars="200"/>
        <w:rPr>
          <w:rFonts w:hint="eastAsia"/>
          <w:highlight w:val="none"/>
        </w:rPr>
      </w:pPr>
      <w:r>
        <w:rPr>
          <w:rFonts w:hint="eastAsia"/>
          <w:highlight w:val="none"/>
        </w:rPr>
        <w:t>⑥接口要求：管道接口均采用热熔连接工艺施工，专业设备进行操作以保证施工质量。</w:t>
      </w:r>
    </w:p>
    <w:p w14:paraId="1144022A">
      <w:pPr>
        <w:pStyle w:val="10"/>
        <w:numPr>
          <w:ilvl w:val="1"/>
          <w:numId w:val="0"/>
        </w:numPr>
        <w:spacing w:after="0" w:line="360" w:lineRule="auto"/>
        <w:ind w:firstLine="480" w:firstLineChars="200"/>
        <w:rPr>
          <w:rFonts w:hint="eastAsia"/>
          <w:highlight w:val="none"/>
        </w:rPr>
      </w:pPr>
      <w:r>
        <w:rPr>
          <w:rFonts w:hint="eastAsia"/>
          <w:highlight w:val="none"/>
        </w:rPr>
        <w:t>⑦公称压力详见招标人提供的采购清单。</w:t>
      </w:r>
    </w:p>
    <w:p w14:paraId="14646DE4">
      <w:pPr>
        <w:pStyle w:val="10"/>
        <w:numPr>
          <w:ilvl w:val="1"/>
          <w:numId w:val="0"/>
        </w:numPr>
        <w:spacing w:after="0" w:line="360" w:lineRule="auto"/>
        <w:ind w:firstLine="482" w:firstLineChars="200"/>
        <w:rPr>
          <w:rFonts w:hint="eastAsia"/>
          <w:b/>
          <w:bCs/>
          <w:highlight w:val="none"/>
        </w:rPr>
      </w:pPr>
      <w:r>
        <w:rPr>
          <w:rFonts w:hint="eastAsia"/>
          <w:b/>
          <w:bCs/>
          <w:highlight w:val="none"/>
        </w:rPr>
        <w:t>（3）UPVC排水管及配件技术要求</w:t>
      </w:r>
    </w:p>
    <w:p w14:paraId="774AD054">
      <w:pPr>
        <w:pStyle w:val="10"/>
        <w:numPr>
          <w:ilvl w:val="1"/>
          <w:numId w:val="0"/>
        </w:numPr>
        <w:spacing w:after="0" w:line="360" w:lineRule="auto"/>
        <w:ind w:firstLine="480" w:firstLineChars="200"/>
        <w:rPr>
          <w:rFonts w:hint="eastAsia"/>
          <w:highlight w:val="none"/>
        </w:rPr>
      </w:pPr>
      <w:r>
        <w:rPr>
          <w:rFonts w:hint="eastAsia"/>
          <w:highlight w:val="none"/>
        </w:rPr>
        <w:t>①管材应符合现行国家标准《建筑排水用硬聚氯乙烯（PVC-U）管材》GB/T5836.1-2018的规定，管件应符合现行国家标准《建筑排水用硬聚氯乙烯（PVC-U）管材》GB/T5836.2-2018的规定。</w:t>
      </w:r>
    </w:p>
    <w:p w14:paraId="378F47AD">
      <w:pPr>
        <w:pStyle w:val="10"/>
        <w:numPr>
          <w:ilvl w:val="1"/>
          <w:numId w:val="0"/>
        </w:numPr>
        <w:spacing w:after="0" w:line="360" w:lineRule="auto"/>
        <w:ind w:firstLine="480" w:firstLineChars="200"/>
        <w:rPr>
          <w:rFonts w:hint="eastAsia"/>
          <w:highlight w:val="none"/>
        </w:rPr>
      </w:pPr>
      <w:r>
        <w:rPr>
          <w:rFonts w:hint="eastAsia"/>
          <w:highlight w:val="none"/>
        </w:rPr>
        <w:t>②本项目UPVC排水管道须满足《埋地塑料排水管道工程技术规程》（CJJ143-2010)的要求。</w:t>
      </w:r>
    </w:p>
    <w:p w14:paraId="7C2804F1">
      <w:pPr>
        <w:pStyle w:val="10"/>
        <w:numPr>
          <w:ilvl w:val="1"/>
          <w:numId w:val="0"/>
        </w:numPr>
        <w:spacing w:after="0" w:line="360" w:lineRule="auto"/>
        <w:ind w:firstLine="480" w:firstLineChars="200"/>
        <w:rPr>
          <w:rFonts w:hint="eastAsia"/>
          <w:highlight w:val="none"/>
        </w:rPr>
      </w:pPr>
      <w:r>
        <w:rPr>
          <w:rFonts w:hint="eastAsia"/>
          <w:highlight w:val="none"/>
        </w:rPr>
        <w:t>③本项目管材的施工工艺为开挖埋管。</w:t>
      </w:r>
    </w:p>
    <w:p w14:paraId="14602634">
      <w:pPr>
        <w:pStyle w:val="10"/>
        <w:numPr>
          <w:ilvl w:val="1"/>
          <w:numId w:val="0"/>
        </w:numPr>
        <w:spacing w:after="0" w:line="360" w:lineRule="auto"/>
        <w:ind w:firstLine="480" w:firstLineChars="200"/>
        <w:rPr>
          <w:rFonts w:hint="eastAsia"/>
          <w:highlight w:val="none"/>
        </w:rPr>
      </w:pPr>
      <w:r>
        <w:rPr>
          <w:rFonts w:hint="eastAsia"/>
          <w:highlight w:val="none"/>
        </w:rPr>
        <w:t xml:space="preserve">④生产管材的材料应为硬聚氯乙烯(PVC-U)混配料。混配料应以聚氯乙烯(PVC)树脂为主，加入必要的助剂，助剂应分散均匀。PVC树脂应符合GB/T 5761-2006的要求,且K值应不小于64。连接用胶粘剂应符合QB/T2568-2002的要求。 </w:t>
      </w:r>
    </w:p>
    <w:p w14:paraId="0E6DF550">
      <w:pPr>
        <w:jc w:val="center"/>
        <w:rPr>
          <w:b/>
          <w:bCs/>
          <w:highlight w:val="none"/>
        </w:rPr>
      </w:pPr>
      <w:r>
        <w:rPr>
          <w:rFonts w:hint="eastAsia"/>
          <w:b/>
          <w:bCs/>
          <w:highlight w:val="none"/>
        </w:rPr>
        <w:t>材料清单表</w:t>
      </w:r>
    </w:p>
    <w:tbl>
      <w:tblPr>
        <w:tblStyle w:val="28"/>
        <w:tblW w:w="84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578"/>
        <w:gridCol w:w="2405"/>
        <w:gridCol w:w="706"/>
        <w:gridCol w:w="884"/>
        <w:gridCol w:w="1273"/>
      </w:tblGrid>
      <w:tr w14:paraId="756BCE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noWrap w:val="0"/>
            <w:vAlign w:val="center"/>
          </w:tcPr>
          <w:p w14:paraId="6C6CB925">
            <w:pPr>
              <w:rPr>
                <w:b/>
                <w:bCs/>
                <w:szCs w:val="21"/>
                <w:highlight w:val="none"/>
              </w:rPr>
            </w:pPr>
            <w:r>
              <w:rPr>
                <w:b/>
                <w:bCs/>
                <w:szCs w:val="21"/>
                <w:highlight w:val="none"/>
              </w:rPr>
              <w:t>序号</w:t>
            </w:r>
          </w:p>
        </w:tc>
        <w:tc>
          <w:tcPr>
            <w:tcW w:w="2578" w:type="dxa"/>
            <w:noWrap w:val="0"/>
            <w:vAlign w:val="center"/>
          </w:tcPr>
          <w:p w14:paraId="7D4684B4">
            <w:pPr>
              <w:rPr>
                <w:b/>
                <w:bCs/>
                <w:szCs w:val="21"/>
                <w:highlight w:val="none"/>
              </w:rPr>
            </w:pPr>
            <w:r>
              <w:rPr>
                <w:b/>
                <w:bCs/>
                <w:szCs w:val="21"/>
                <w:highlight w:val="none"/>
              </w:rPr>
              <w:t>名称</w:t>
            </w:r>
          </w:p>
        </w:tc>
        <w:tc>
          <w:tcPr>
            <w:tcW w:w="2405" w:type="dxa"/>
            <w:noWrap w:val="0"/>
            <w:vAlign w:val="center"/>
          </w:tcPr>
          <w:p w14:paraId="3E6DB53B">
            <w:pPr>
              <w:rPr>
                <w:b/>
                <w:bCs/>
                <w:szCs w:val="21"/>
                <w:highlight w:val="none"/>
              </w:rPr>
            </w:pPr>
            <w:r>
              <w:rPr>
                <w:b/>
                <w:bCs/>
                <w:szCs w:val="21"/>
                <w:highlight w:val="none"/>
              </w:rPr>
              <w:t>规格型号</w:t>
            </w:r>
          </w:p>
        </w:tc>
        <w:tc>
          <w:tcPr>
            <w:tcW w:w="706" w:type="dxa"/>
            <w:noWrap w:val="0"/>
            <w:vAlign w:val="center"/>
          </w:tcPr>
          <w:p w14:paraId="4A9F8514">
            <w:pPr>
              <w:rPr>
                <w:b/>
                <w:bCs/>
                <w:szCs w:val="21"/>
                <w:highlight w:val="none"/>
              </w:rPr>
            </w:pPr>
            <w:r>
              <w:rPr>
                <w:b/>
                <w:bCs/>
                <w:szCs w:val="21"/>
                <w:highlight w:val="none"/>
              </w:rPr>
              <w:t>单位</w:t>
            </w:r>
          </w:p>
        </w:tc>
        <w:tc>
          <w:tcPr>
            <w:tcW w:w="739" w:type="dxa"/>
            <w:noWrap w:val="0"/>
            <w:vAlign w:val="center"/>
          </w:tcPr>
          <w:p w14:paraId="7F5477E2">
            <w:pPr>
              <w:rPr>
                <w:b/>
                <w:bCs/>
                <w:szCs w:val="21"/>
                <w:highlight w:val="none"/>
              </w:rPr>
            </w:pPr>
            <w:r>
              <w:rPr>
                <w:b/>
                <w:bCs/>
                <w:szCs w:val="21"/>
                <w:highlight w:val="none"/>
              </w:rPr>
              <w:t>数量</w:t>
            </w:r>
          </w:p>
        </w:tc>
        <w:tc>
          <w:tcPr>
            <w:tcW w:w="1273" w:type="dxa"/>
            <w:noWrap w:val="0"/>
            <w:vAlign w:val="center"/>
          </w:tcPr>
          <w:p w14:paraId="3A575BA6">
            <w:pPr>
              <w:rPr>
                <w:b/>
                <w:bCs/>
                <w:szCs w:val="21"/>
                <w:highlight w:val="none"/>
              </w:rPr>
            </w:pPr>
            <w:r>
              <w:rPr>
                <w:b/>
                <w:bCs/>
                <w:szCs w:val="21"/>
                <w:highlight w:val="none"/>
              </w:rPr>
              <w:t>备注</w:t>
            </w:r>
          </w:p>
        </w:tc>
      </w:tr>
      <w:tr w14:paraId="26EAED6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noWrap w:val="0"/>
            <w:vAlign w:val="center"/>
          </w:tcPr>
          <w:p w14:paraId="3928A1E3">
            <w:pPr>
              <w:jc w:val="center"/>
              <w:rPr>
                <w:szCs w:val="21"/>
                <w:highlight w:val="none"/>
              </w:rPr>
            </w:pPr>
            <w:r>
              <w:rPr>
                <w:szCs w:val="21"/>
                <w:highlight w:val="none"/>
              </w:rPr>
              <w:t>1</w:t>
            </w:r>
          </w:p>
        </w:tc>
        <w:tc>
          <w:tcPr>
            <w:tcW w:w="2578" w:type="dxa"/>
            <w:noWrap w:val="0"/>
            <w:vAlign w:val="center"/>
          </w:tcPr>
          <w:p w14:paraId="137CE032">
            <w:pPr>
              <w:rPr>
                <w:szCs w:val="21"/>
                <w:highlight w:val="none"/>
              </w:rPr>
            </w:pPr>
            <w:r>
              <w:rPr>
                <w:szCs w:val="21"/>
                <w:highlight w:val="none"/>
              </w:rPr>
              <w:t>承插式聚乙烯实壁排水管</w:t>
            </w:r>
          </w:p>
        </w:tc>
        <w:tc>
          <w:tcPr>
            <w:tcW w:w="2405" w:type="dxa"/>
            <w:noWrap w:val="0"/>
            <w:vAlign w:val="center"/>
          </w:tcPr>
          <w:p w14:paraId="0F246A54">
            <w:pPr>
              <w:rPr>
                <w:szCs w:val="21"/>
                <w:highlight w:val="none"/>
              </w:rPr>
            </w:pPr>
            <w:r>
              <w:rPr>
                <w:szCs w:val="21"/>
                <w:highlight w:val="none"/>
              </w:rPr>
              <w:t>De315，环刚度SN8</w:t>
            </w:r>
          </w:p>
        </w:tc>
        <w:tc>
          <w:tcPr>
            <w:tcW w:w="706" w:type="dxa"/>
            <w:noWrap w:val="0"/>
            <w:vAlign w:val="center"/>
          </w:tcPr>
          <w:p w14:paraId="142FB2E9">
            <w:pPr>
              <w:rPr>
                <w:szCs w:val="21"/>
                <w:highlight w:val="none"/>
              </w:rPr>
            </w:pPr>
            <w:r>
              <w:rPr>
                <w:szCs w:val="21"/>
                <w:highlight w:val="none"/>
              </w:rPr>
              <w:t>m</w:t>
            </w:r>
          </w:p>
        </w:tc>
        <w:tc>
          <w:tcPr>
            <w:tcW w:w="739" w:type="dxa"/>
            <w:noWrap w:val="0"/>
            <w:vAlign w:val="center"/>
          </w:tcPr>
          <w:p w14:paraId="1A92A02E">
            <w:pPr>
              <w:rPr>
                <w:rFonts w:hint="default" w:eastAsia="宋体"/>
                <w:szCs w:val="21"/>
                <w:highlight w:val="none"/>
                <w:lang w:val="en-US" w:eastAsia="zh-CN"/>
              </w:rPr>
            </w:pPr>
            <w:r>
              <w:rPr>
                <w:szCs w:val="21"/>
                <w:highlight w:val="none"/>
              </w:rPr>
              <w:t>221</w:t>
            </w:r>
            <w:r>
              <w:rPr>
                <w:rFonts w:hint="eastAsia" w:eastAsia="宋体"/>
                <w:szCs w:val="21"/>
                <w:highlight w:val="none"/>
                <w:lang w:val="en-US" w:eastAsia="zh-CN"/>
              </w:rPr>
              <w:t>47</w:t>
            </w:r>
          </w:p>
        </w:tc>
        <w:tc>
          <w:tcPr>
            <w:tcW w:w="1273" w:type="dxa"/>
            <w:noWrap w:val="0"/>
            <w:vAlign w:val="center"/>
          </w:tcPr>
          <w:p w14:paraId="0C13FF3B">
            <w:pPr>
              <w:rPr>
                <w:szCs w:val="21"/>
                <w:highlight w:val="none"/>
              </w:rPr>
            </w:pPr>
            <w:r>
              <w:rPr>
                <w:rFonts w:hint="eastAsia"/>
                <w:szCs w:val="21"/>
                <w:highlight w:val="none"/>
              </w:rPr>
              <w:t>含配件</w:t>
            </w:r>
          </w:p>
        </w:tc>
      </w:tr>
      <w:tr w14:paraId="61C8EB4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8" w:type="dxa"/>
            <w:noWrap w:val="0"/>
            <w:vAlign w:val="center"/>
          </w:tcPr>
          <w:p w14:paraId="2195E32B">
            <w:pPr>
              <w:jc w:val="center"/>
              <w:rPr>
                <w:szCs w:val="21"/>
                <w:highlight w:val="none"/>
              </w:rPr>
            </w:pPr>
            <w:r>
              <w:rPr>
                <w:szCs w:val="21"/>
                <w:highlight w:val="none"/>
              </w:rPr>
              <w:t>2</w:t>
            </w:r>
          </w:p>
        </w:tc>
        <w:tc>
          <w:tcPr>
            <w:tcW w:w="2578" w:type="dxa"/>
            <w:noWrap w:val="0"/>
            <w:vAlign w:val="center"/>
          </w:tcPr>
          <w:p w14:paraId="4EC5A727">
            <w:pPr>
              <w:rPr>
                <w:szCs w:val="21"/>
                <w:highlight w:val="none"/>
              </w:rPr>
            </w:pPr>
            <w:r>
              <w:rPr>
                <w:szCs w:val="21"/>
                <w:highlight w:val="none"/>
              </w:rPr>
              <w:t>PE100实壁管</w:t>
            </w:r>
          </w:p>
        </w:tc>
        <w:tc>
          <w:tcPr>
            <w:tcW w:w="2405" w:type="dxa"/>
            <w:noWrap w:val="0"/>
            <w:vAlign w:val="center"/>
          </w:tcPr>
          <w:p w14:paraId="5071B8BC">
            <w:pPr>
              <w:rPr>
                <w:rFonts w:hint="default" w:eastAsia="宋体"/>
                <w:szCs w:val="21"/>
                <w:highlight w:val="none"/>
                <w:lang w:val="en-US" w:eastAsia="zh-CN"/>
              </w:rPr>
            </w:pPr>
            <w:r>
              <w:rPr>
                <w:rFonts w:hint="eastAsia" w:eastAsia="宋体"/>
                <w:szCs w:val="21"/>
                <w:highlight w:val="none"/>
                <w:lang w:val="en-US" w:eastAsia="zh-CN"/>
              </w:rPr>
              <w:t>De315,1.0MPa</w:t>
            </w:r>
          </w:p>
        </w:tc>
        <w:tc>
          <w:tcPr>
            <w:tcW w:w="706" w:type="dxa"/>
            <w:noWrap w:val="0"/>
            <w:vAlign w:val="center"/>
          </w:tcPr>
          <w:p w14:paraId="4EA89899">
            <w:pPr>
              <w:rPr>
                <w:rFonts w:hint="eastAsia" w:eastAsia="宋体"/>
                <w:szCs w:val="21"/>
                <w:highlight w:val="none"/>
                <w:lang w:val="en-US" w:eastAsia="zh-CN"/>
              </w:rPr>
            </w:pPr>
            <w:r>
              <w:rPr>
                <w:rFonts w:hint="eastAsia" w:eastAsia="宋体"/>
                <w:szCs w:val="21"/>
                <w:highlight w:val="none"/>
                <w:lang w:val="en-US" w:eastAsia="zh-CN"/>
              </w:rPr>
              <w:t>M</w:t>
            </w:r>
          </w:p>
        </w:tc>
        <w:tc>
          <w:tcPr>
            <w:tcW w:w="739" w:type="dxa"/>
            <w:noWrap w:val="0"/>
            <w:vAlign w:val="center"/>
          </w:tcPr>
          <w:p w14:paraId="329938D0">
            <w:pPr>
              <w:rPr>
                <w:rFonts w:hint="default" w:eastAsia="宋体"/>
                <w:szCs w:val="21"/>
                <w:highlight w:val="none"/>
                <w:lang w:val="en-US" w:eastAsia="zh-CN"/>
              </w:rPr>
            </w:pPr>
            <w:r>
              <w:rPr>
                <w:rFonts w:hint="eastAsia" w:eastAsia="宋体"/>
                <w:szCs w:val="21"/>
                <w:highlight w:val="none"/>
                <w:lang w:val="en-US" w:eastAsia="zh-CN"/>
              </w:rPr>
              <w:t>88</w:t>
            </w:r>
          </w:p>
        </w:tc>
        <w:tc>
          <w:tcPr>
            <w:tcW w:w="1273" w:type="dxa"/>
            <w:noWrap w:val="0"/>
            <w:vAlign w:val="center"/>
          </w:tcPr>
          <w:p w14:paraId="64C77930">
            <w:pPr>
              <w:rPr>
                <w:szCs w:val="21"/>
                <w:highlight w:val="none"/>
              </w:rPr>
            </w:pPr>
          </w:p>
        </w:tc>
      </w:tr>
      <w:tr w14:paraId="146F543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8" w:type="dxa"/>
            <w:noWrap w:val="0"/>
            <w:vAlign w:val="center"/>
          </w:tcPr>
          <w:p w14:paraId="41C2CD3A">
            <w:pPr>
              <w:jc w:val="center"/>
              <w:rPr>
                <w:szCs w:val="21"/>
                <w:highlight w:val="none"/>
              </w:rPr>
            </w:pPr>
            <w:r>
              <w:rPr>
                <w:rFonts w:hint="eastAsia"/>
                <w:szCs w:val="21"/>
                <w:highlight w:val="none"/>
              </w:rPr>
              <w:t>3</w:t>
            </w:r>
          </w:p>
        </w:tc>
        <w:tc>
          <w:tcPr>
            <w:tcW w:w="2578" w:type="dxa"/>
            <w:noWrap w:val="0"/>
            <w:vAlign w:val="center"/>
          </w:tcPr>
          <w:p w14:paraId="1C283A14">
            <w:pPr>
              <w:rPr>
                <w:szCs w:val="21"/>
                <w:highlight w:val="none"/>
              </w:rPr>
            </w:pPr>
            <w:r>
              <w:rPr>
                <w:szCs w:val="21"/>
                <w:highlight w:val="none"/>
              </w:rPr>
              <w:t>PE100实壁管</w:t>
            </w:r>
          </w:p>
        </w:tc>
        <w:tc>
          <w:tcPr>
            <w:tcW w:w="2405" w:type="dxa"/>
            <w:noWrap w:val="0"/>
            <w:vAlign w:val="center"/>
          </w:tcPr>
          <w:p w14:paraId="19CA3E07">
            <w:pPr>
              <w:rPr>
                <w:szCs w:val="21"/>
                <w:highlight w:val="none"/>
              </w:rPr>
            </w:pPr>
            <w:r>
              <w:rPr>
                <w:rFonts w:hint="eastAsia"/>
                <w:szCs w:val="21"/>
                <w:highlight w:val="none"/>
              </w:rPr>
              <w:t>De90，1.0MPa</w:t>
            </w:r>
          </w:p>
        </w:tc>
        <w:tc>
          <w:tcPr>
            <w:tcW w:w="706" w:type="dxa"/>
            <w:noWrap w:val="0"/>
            <w:vAlign w:val="center"/>
          </w:tcPr>
          <w:p w14:paraId="65B4DA2E">
            <w:pPr>
              <w:rPr>
                <w:szCs w:val="21"/>
                <w:highlight w:val="none"/>
              </w:rPr>
            </w:pPr>
            <w:r>
              <w:rPr>
                <w:rFonts w:hint="eastAsia"/>
                <w:szCs w:val="21"/>
                <w:highlight w:val="none"/>
              </w:rPr>
              <w:t>m</w:t>
            </w:r>
          </w:p>
        </w:tc>
        <w:tc>
          <w:tcPr>
            <w:tcW w:w="739" w:type="dxa"/>
            <w:noWrap w:val="0"/>
            <w:vAlign w:val="center"/>
          </w:tcPr>
          <w:p w14:paraId="4BA6E262">
            <w:pPr>
              <w:rPr>
                <w:rFonts w:hint="default" w:eastAsia="宋体"/>
                <w:szCs w:val="21"/>
                <w:highlight w:val="none"/>
                <w:lang w:val="en-US" w:eastAsia="zh-CN"/>
              </w:rPr>
            </w:pPr>
            <w:r>
              <w:rPr>
                <w:rFonts w:hint="eastAsia" w:eastAsia="宋体"/>
                <w:szCs w:val="21"/>
                <w:highlight w:val="none"/>
                <w:lang w:val="en-US" w:eastAsia="zh-CN"/>
              </w:rPr>
              <w:t>903</w:t>
            </w:r>
          </w:p>
        </w:tc>
        <w:tc>
          <w:tcPr>
            <w:tcW w:w="1273" w:type="dxa"/>
            <w:noWrap w:val="0"/>
            <w:vAlign w:val="center"/>
          </w:tcPr>
          <w:p w14:paraId="03F237B3">
            <w:pPr>
              <w:rPr>
                <w:szCs w:val="21"/>
                <w:highlight w:val="none"/>
              </w:rPr>
            </w:pPr>
          </w:p>
        </w:tc>
      </w:tr>
      <w:tr w14:paraId="6BC4DF9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8" w:type="dxa"/>
            <w:noWrap w:val="0"/>
            <w:vAlign w:val="center"/>
          </w:tcPr>
          <w:p w14:paraId="1F2076CC">
            <w:pPr>
              <w:jc w:val="center"/>
              <w:rPr>
                <w:szCs w:val="21"/>
                <w:highlight w:val="none"/>
              </w:rPr>
            </w:pPr>
            <w:r>
              <w:rPr>
                <w:rFonts w:hint="eastAsia"/>
                <w:szCs w:val="21"/>
                <w:highlight w:val="none"/>
              </w:rPr>
              <w:t>4</w:t>
            </w:r>
          </w:p>
        </w:tc>
        <w:tc>
          <w:tcPr>
            <w:tcW w:w="2578" w:type="dxa"/>
            <w:noWrap w:val="0"/>
            <w:vAlign w:val="center"/>
          </w:tcPr>
          <w:p w14:paraId="602AA537">
            <w:pPr>
              <w:rPr>
                <w:szCs w:val="21"/>
                <w:highlight w:val="none"/>
              </w:rPr>
            </w:pPr>
            <w:r>
              <w:rPr>
                <w:szCs w:val="21"/>
                <w:highlight w:val="none"/>
              </w:rPr>
              <w:t>PE100实壁管</w:t>
            </w:r>
          </w:p>
        </w:tc>
        <w:tc>
          <w:tcPr>
            <w:tcW w:w="2405" w:type="dxa"/>
            <w:noWrap w:val="0"/>
            <w:vAlign w:val="center"/>
          </w:tcPr>
          <w:p w14:paraId="189CA5C8">
            <w:pPr>
              <w:rPr>
                <w:szCs w:val="21"/>
                <w:highlight w:val="none"/>
              </w:rPr>
            </w:pPr>
            <w:r>
              <w:rPr>
                <w:rFonts w:hint="eastAsia"/>
                <w:szCs w:val="21"/>
                <w:highlight w:val="none"/>
              </w:rPr>
              <w:t>De75，1.0MPa</w:t>
            </w:r>
          </w:p>
        </w:tc>
        <w:tc>
          <w:tcPr>
            <w:tcW w:w="706" w:type="dxa"/>
            <w:noWrap w:val="0"/>
            <w:vAlign w:val="center"/>
          </w:tcPr>
          <w:p w14:paraId="1D41DC51">
            <w:pPr>
              <w:rPr>
                <w:szCs w:val="21"/>
                <w:highlight w:val="none"/>
              </w:rPr>
            </w:pPr>
            <w:r>
              <w:rPr>
                <w:rFonts w:hint="eastAsia"/>
                <w:szCs w:val="21"/>
                <w:highlight w:val="none"/>
              </w:rPr>
              <w:t>m</w:t>
            </w:r>
          </w:p>
        </w:tc>
        <w:tc>
          <w:tcPr>
            <w:tcW w:w="739" w:type="dxa"/>
            <w:noWrap w:val="0"/>
            <w:vAlign w:val="center"/>
          </w:tcPr>
          <w:p w14:paraId="21471030">
            <w:pPr>
              <w:rPr>
                <w:rFonts w:hint="default" w:eastAsia="宋体"/>
                <w:szCs w:val="21"/>
                <w:highlight w:val="none"/>
                <w:lang w:val="en-US" w:eastAsia="zh-CN"/>
              </w:rPr>
            </w:pPr>
            <w:r>
              <w:rPr>
                <w:rFonts w:hint="eastAsia" w:eastAsia="宋体"/>
                <w:szCs w:val="21"/>
                <w:highlight w:val="none"/>
                <w:lang w:val="en-US" w:eastAsia="zh-CN"/>
              </w:rPr>
              <w:t>356</w:t>
            </w:r>
          </w:p>
        </w:tc>
        <w:tc>
          <w:tcPr>
            <w:tcW w:w="1273" w:type="dxa"/>
            <w:noWrap w:val="0"/>
            <w:vAlign w:val="center"/>
          </w:tcPr>
          <w:p w14:paraId="76421BC2">
            <w:pPr>
              <w:rPr>
                <w:szCs w:val="21"/>
                <w:highlight w:val="none"/>
              </w:rPr>
            </w:pPr>
          </w:p>
        </w:tc>
      </w:tr>
      <w:tr w14:paraId="603FBBD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8" w:type="dxa"/>
            <w:noWrap w:val="0"/>
            <w:vAlign w:val="center"/>
          </w:tcPr>
          <w:p w14:paraId="73F19CF4">
            <w:pPr>
              <w:jc w:val="center"/>
              <w:rPr>
                <w:szCs w:val="21"/>
                <w:highlight w:val="none"/>
              </w:rPr>
            </w:pPr>
            <w:r>
              <w:rPr>
                <w:rFonts w:hint="eastAsia"/>
                <w:szCs w:val="21"/>
                <w:highlight w:val="none"/>
              </w:rPr>
              <w:t>5</w:t>
            </w:r>
          </w:p>
        </w:tc>
        <w:tc>
          <w:tcPr>
            <w:tcW w:w="2578" w:type="dxa"/>
            <w:noWrap w:val="0"/>
            <w:vAlign w:val="center"/>
          </w:tcPr>
          <w:p w14:paraId="2D80CB5C">
            <w:pPr>
              <w:rPr>
                <w:szCs w:val="21"/>
                <w:highlight w:val="none"/>
              </w:rPr>
            </w:pPr>
            <w:r>
              <w:rPr>
                <w:rFonts w:hint="eastAsia"/>
                <w:szCs w:val="21"/>
                <w:highlight w:val="none"/>
              </w:rPr>
              <w:t>UPVC排水管</w:t>
            </w:r>
          </w:p>
        </w:tc>
        <w:tc>
          <w:tcPr>
            <w:tcW w:w="2405" w:type="dxa"/>
            <w:noWrap w:val="0"/>
            <w:vAlign w:val="center"/>
          </w:tcPr>
          <w:p w14:paraId="0C25445C">
            <w:pPr>
              <w:rPr>
                <w:szCs w:val="21"/>
                <w:highlight w:val="none"/>
              </w:rPr>
            </w:pPr>
            <w:r>
              <w:rPr>
                <w:rFonts w:hint="eastAsia"/>
                <w:szCs w:val="21"/>
                <w:highlight w:val="none"/>
              </w:rPr>
              <w:t>De110</w:t>
            </w:r>
          </w:p>
        </w:tc>
        <w:tc>
          <w:tcPr>
            <w:tcW w:w="706" w:type="dxa"/>
            <w:noWrap w:val="0"/>
            <w:vAlign w:val="center"/>
          </w:tcPr>
          <w:p w14:paraId="392FE41E">
            <w:pPr>
              <w:rPr>
                <w:szCs w:val="21"/>
                <w:highlight w:val="none"/>
              </w:rPr>
            </w:pPr>
            <w:r>
              <w:rPr>
                <w:rFonts w:hint="eastAsia"/>
                <w:szCs w:val="21"/>
                <w:highlight w:val="none"/>
              </w:rPr>
              <w:t>m</w:t>
            </w:r>
          </w:p>
        </w:tc>
        <w:tc>
          <w:tcPr>
            <w:tcW w:w="739" w:type="dxa"/>
            <w:noWrap w:val="0"/>
            <w:vAlign w:val="center"/>
          </w:tcPr>
          <w:p w14:paraId="62C42A20">
            <w:pPr>
              <w:rPr>
                <w:szCs w:val="21"/>
                <w:highlight w:val="none"/>
              </w:rPr>
            </w:pPr>
            <w:r>
              <w:rPr>
                <w:rFonts w:hint="eastAsia"/>
                <w:szCs w:val="21"/>
                <w:highlight w:val="none"/>
              </w:rPr>
              <w:t>5475</w:t>
            </w:r>
          </w:p>
        </w:tc>
        <w:tc>
          <w:tcPr>
            <w:tcW w:w="1273" w:type="dxa"/>
            <w:noWrap w:val="0"/>
            <w:vAlign w:val="center"/>
          </w:tcPr>
          <w:p w14:paraId="05FB87F8">
            <w:pPr>
              <w:rPr>
                <w:szCs w:val="21"/>
                <w:highlight w:val="none"/>
              </w:rPr>
            </w:pPr>
            <w:r>
              <w:rPr>
                <w:rFonts w:hint="eastAsia"/>
                <w:szCs w:val="21"/>
                <w:highlight w:val="none"/>
              </w:rPr>
              <w:t>含配件</w:t>
            </w:r>
          </w:p>
        </w:tc>
      </w:tr>
      <w:tr w14:paraId="6DBE660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8" w:type="dxa"/>
            <w:noWrap w:val="0"/>
            <w:vAlign w:val="center"/>
          </w:tcPr>
          <w:p w14:paraId="62046FED">
            <w:pPr>
              <w:jc w:val="center"/>
              <w:rPr>
                <w:szCs w:val="21"/>
                <w:highlight w:val="none"/>
              </w:rPr>
            </w:pPr>
            <w:r>
              <w:rPr>
                <w:rFonts w:hint="eastAsia"/>
                <w:szCs w:val="21"/>
                <w:highlight w:val="none"/>
              </w:rPr>
              <w:t>6</w:t>
            </w:r>
          </w:p>
        </w:tc>
        <w:tc>
          <w:tcPr>
            <w:tcW w:w="2578" w:type="dxa"/>
            <w:noWrap w:val="0"/>
            <w:vAlign w:val="center"/>
          </w:tcPr>
          <w:p w14:paraId="707A12F0">
            <w:pPr>
              <w:rPr>
                <w:szCs w:val="21"/>
                <w:highlight w:val="none"/>
              </w:rPr>
            </w:pPr>
            <w:r>
              <w:rPr>
                <w:rFonts w:hint="eastAsia"/>
                <w:szCs w:val="21"/>
                <w:highlight w:val="none"/>
              </w:rPr>
              <w:t>UPVC排水管</w:t>
            </w:r>
          </w:p>
        </w:tc>
        <w:tc>
          <w:tcPr>
            <w:tcW w:w="2405" w:type="dxa"/>
            <w:noWrap w:val="0"/>
            <w:vAlign w:val="center"/>
          </w:tcPr>
          <w:p w14:paraId="67F17FE2">
            <w:pPr>
              <w:rPr>
                <w:szCs w:val="21"/>
                <w:highlight w:val="none"/>
              </w:rPr>
            </w:pPr>
            <w:r>
              <w:rPr>
                <w:rFonts w:hint="eastAsia"/>
                <w:szCs w:val="21"/>
                <w:highlight w:val="none"/>
              </w:rPr>
              <w:t>De75</w:t>
            </w:r>
          </w:p>
        </w:tc>
        <w:tc>
          <w:tcPr>
            <w:tcW w:w="706" w:type="dxa"/>
            <w:noWrap w:val="0"/>
            <w:vAlign w:val="center"/>
          </w:tcPr>
          <w:p w14:paraId="342A2F72">
            <w:pPr>
              <w:rPr>
                <w:szCs w:val="21"/>
                <w:highlight w:val="none"/>
              </w:rPr>
            </w:pPr>
            <w:r>
              <w:rPr>
                <w:rFonts w:hint="eastAsia"/>
                <w:szCs w:val="21"/>
                <w:highlight w:val="none"/>
              </w:rPr>
              <w:t>m</w:t>
            </w:r>
          </w:p>
        </w:tc>
        <w:tc>
          <w:tcPr>
            <w:tcW w:w="739" w:type="dxa"/>
            <w:noWrap w:val="0"/>
            <w:vAlign w:val="center"/>
          </w:tcPr>
          <w:p w14:paraId="79C4D475">
            <w:pPr>
              <w:rPr>
                <w:szCs w:val="21"/>
                <w:highlight w:val="none"/>
              </w:rPr>
            </w:pPr>
            <w:r>
              <w:rPr>
                <w:rFonts w:hint="eastAsia"/>
                <w:szCs w:val="21"/>
                <w:highlight w:val="none"/>
              </w:rPr>
              <w:t>5475</w:t>
            </w:r>
          </w:p>
        </w:tc>
        <w:tc>
          <w:tcPr>
            <w:tcW w:w="1273" w:type="dxa"/>
            <w:noWrap w:val="0"/>
            <w:vAlign w:val="center"/>
          </w:tcPr>
          <w:p w14:paraId="67DF0772">
            <w:pPr>
              <w:rPr>
                <w:szCs w:val="21"/>
                <w:highlight w:val="none"/>
              </w:rPr>
            </w:pPr>
            <w:r>
              <w:rPr>
                <w:rFonts w:hint="eastAsia"/>
                <w:szCs w:val="21"/>
                <w:highlight w:val="none"/>
              </w:rPr>
              <w:t>含配件</w:t>
            </w:r>
          </w:p>
        </w:tc>
      </w:tr>
      <w:tr w14:paraId="59FBBE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8" w:type="dxa"/>
            <w:noWrap w:val="0"/>
            <w:vAlign w:val="center"/>
          </w:tcPr>
          <w:p w14:paraId="61B5B482">
            <w:pPr>
              <w:jc w:val="center"/>
              <w:rPr>
                <w:szCs w:val="21"/>
                <w:highlight w:val="none"/>
              </w:rPr>
            </w:pPr>
            <w:r>
              <w:rPr>
                <w:rFonts w:hint="eastAsia"/>
                <w:szCs w:val="21"/>
                <w:highlight w:val="none"/>
              </w:rPr>
              <w:t>7</w:t>
            </w:r>
          </w:p>
        </w:tc>
        <w:tc>
          <w:tcPr>
            <w:tcW w:w="2578" w:type="dxa"/>
            <w:noWrap w:val="0"/>
            <w:vAlign w:val="center"/>
          </w:tcPr>
          <w:p w14:paraId="0E8033BF">
            <w:pPr>
              <w:rPr>
                <w:szCs w:val="21"/>
                <w:highlight w:val="none"/>
              </w:rPr>
            </w:pPr>
            <w:r>
              <w:rPr>
                <w:rFonts w:hint="eastAsia"/>
                <w:szCs w:val="21"/>
                <w:highlight w:val="none"/>
              </w:rPr>
              <w:t>90°弯头</w:t>
            </w:r>
          </w:p>
        </w:tc>
        <w:tc>
          <w:tcPr>
            <w:tcW w:w="2405" w:type="dxa"/>
            <w:noWrap w:val="0"/>
            <w:vAlign w:val="center"/>
          </w:tcPr>
          <w:p w14:paraId="37C68AA2">
            <w:pPr>
              <w:rPr>
                <w:szCs w:val="21"/>
                <w:highlight w:val="none"/>
              </w:rPr>
            </w:pPr>
            <w:r>
              <w:rPr>
                <w:rFonts w:hint="eastAsia"/>
                <w:szCs w:val="21"/>
                <w:highlight w:val="none"/>
              </w:rPr>
              <w:t>PE，De90，1.0MPa</w:t>
            </w:r>
          </w:p>
        </w:tc>
        <w:tc>
          <w:tcPr>
            <w:tcW w:w="706" w:type="dxa"/>
            <w:noWrap w:val="0"/>
            <w:vAlign w:val="center"/>
          </w:tcPr>
          <w:p w14:paraId="5DED6B4A">
            <w:pPr>
              <w:rPr>
                <w:szCs w:val="21"/>
                <w:highlight w:val="none"/>
              </w:rPr>
            </w:pPr>
            <w:r>
              <w:rPr>
                <w:rFonts w:hint="eastAsia"/>
                <w:szCs w:val="21"/>
                <w:highlight w:val="none"/>
              </w:rPr>
              <w:t>个</w:t>
            </w:r>
          </w:p>
        </w:tc>
        <w:tc>
          <w:tcPr>
            <w:tcW w:w="739" w:type="dxa"/>
            <w:noWrap w:val="0"/>
            <w:vAlign w:val="center"/>
          </w:tcPr>
          <w:p w14:paraId="7443FEF3">
            <w:pPr>
              <w:jc w:val="center"/>
              <w:rPr>
                <w:szCs w:val="21"/>
                <w:highlight w:val="none"/>
              </w:rPr>
            </w:pPr>
            <w:r>
              <w:rPr>
                <w:rFonts w:hint="eastAsia"/>
                <w:szCs w:val="21"/>
                <w:highlight w:val="none"/>
              </w:rPr>
              <w:t>6</w:t>
            </w:r>
          </w:p>
        </w:tc>
        <w:tc>
          <w:tcPr>
            <w:tcW w:w="1273" w:type="dxa"/>
            <w:noWrap w:val="0"/>
            <w:vAlign w:val="center"/>
          </w:tcPr>
          <w:p w14:paraId="0734CB2E">
            <w:pPr>
              <w:rPr>
                <w:szCs w:val="21"/>
                <w:highlight w:val="none"/>
              </w:rPr>
            </w:pPr>
          </w:p>
        </w:tc>
      </w:tr>
      <w:tr w14:paraId="4386C6C5">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4F6F3D93">
            <w:pPr>
              <w:jc w:val="center"/>
              <w:rPr>
                <w:szCs w:val="21"/>
                <w:highlight w:val="none"/>
              </w:rPr>
            </w:pPr>
            <w:r>
              <w:rPr>
                <w:rFonts w:hint="eastAsia"/>
                <w:szCs w:val="21"/>
                <w:highlight w:val="none"/>
              </w:rPr>
              <w:t>8</w:t>
            </w:r>
          </w:p>
        </w:tc>
        <w:tc>
          <w:tcPr>
            <w:tcW w:w="2578" w:type="dxa"/>
            <w:noWrap w:val="0"/>
            <w:vAlign w:val="center"/>
          </w:tcPr>
          <w:p w14:paraId="7A68281B">
            <w:pPr>
              <w:rPr>
                <w:szCs w:val="21"/>
                <w:highlight w:val="none"/>
              </w:rPr>
            </w:pPr>
            <w:r>
              <w:rPr>
                <w:rFonts w:hint="eastAsia"/>
                <w:szCs w:val="21"/>
                <w:highlight w:val="none"/>
              </w:rPr>
              <w:t>90°弯头</w:t>
            </w:r>
          </w:p>
        </w:tc>
        <w:tc>
          <w:tcPr>
            <w:tcW w:w="2405" w:type="dxa"/>
            <w:noWrap w:val="0"/>
            <w:vAlign w:val="center"/>
          </w:tcPr>
          <w:p w14:paraId="2811C63F">
            <w:pPr>
              <w:rPr>
                <w:szCs w:val="21"/>
                <w:highlight w:val="none"/>
              </w:rPr>
            </w:pPr>
            <w:r>
              <w:rPr>
                <w:rFonts w:hint="eastAsia"/>
                <w:szCs w:val="21"/>
                <w:highlight w:val="none"/>
              </w:rPr>
              <w:t>PE，De75，1.0MPa</w:t>
            </w:r>
          </w:p>
        </w:tc>
        <w:tc>
          <w:tcPr>
            <w:tcW w:w="706" w:type="dxa"/>
            <w:noWrap w:val="0"/>
            <w:vAlign w:val="center"/>
          </w:tcPr>
          <w:p w14:paraId="574AAA0C">
            <w:pPr>
              <w:rPr>
                <w:szCs w:val="21"/>
                <w:highlight w:val="none"/>
              </w:rPr>
            </w:pPr>
            <w:r>
              <w:rPr>
                <w:rFonts w:hint="eastAsia"/>
                <w:szCs w:val="21"/>
                <w:highlight w:val="none"/>
              </w:rPr>
              <w:t>个</w:t>
            </w:r>
          </w:p>
        </w:tc>
        <w:tc>
          <w:tcPr>
            <w:tcW w:w="739" w:type="dxa"/>
            <w:noWrap w:val="0"/>
            <w:vAlign w:val="center"/>
          </w:tcPr>
          <w:p w14:paraId="6523268D">
            <w:pPr>
              <w:jc w:val="center"/>
              <w:rPr>
                <w:szCs w:val="21"/>
                <w:highlight w:val="none"/>
              </w:rPr>
            </w:pPr>
            <w:r>
              <w:rPr>
                <w:rFonts w:hint="eastAsia"/>
                <w:szCs w:val="21"/>
                <w:highlight w:val="none"/>
              </w:rPr>
              <w:t>6</w:t>
            </w:r>
          </w:p>
        </w:tc>
        <w:tc>
          <w:tcPr>
            <w:tcW w:w="1273" w:type="dxa"/>
            <w:noWrap w:val="0"/>
            <w:vAlign w:val="center"/>
          </w:tcPr>
          <w:p w14:paraId="0BF8CD20">
            <w:pPr>
              <w:rPr>
                <w:szCs w:val="21"/>
                <w:highlight w:val="none"/>
              </w:rPr>
            </w:pPr>
          </w:p>
        </w:tc>
      </w:tr>
      <w:tr w14:paraId="4CCDCE8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6F101A84">
            <w:pPr>
              <w:jc w:val="center"/>
              <w:rPr>
                <w:szCs w:val="21"/>
                <w:highlight w:val="none"/>
              </w:rPr>
            </w:pPr>
            <w:r>
              <w:rPr>
                <w:rFonts w:hint="eastAsia"/>
                <w:szCs w:val="21"/>
                <w:highlight w:val="none"/>
              </w:rPr>
              <w:t>9</w:t>
            </w:r>
          </w:p>
        </w:tc>
        <w:tc>
          <w:tcPr>
            <w:tcW w:w="2578" w:type="dxa"/>
            <w:noWrap w:val="0"/>
            <w:vAlign w:val="center"/>
          </w:tcPr>
          <w:p w14:paraId="3D94E525">
            <w:pPr>
              <w:rPr>
                <w:szCs w:val="21"/>
                <w:highlight w:val="none"/>
              </w:rPr>
            </w:pPr>
            <w:r>
              <w:rPr>
                <w:rFonts w:hint="eastAsia"/>
                <w:szCs w:val="21"/>
                <w:highlight w:val="none"/>
              </w:rPr>
              <w:t>等径三通</w:t>
            </w:r>
          </w:p>
        </w:tc>
        <w:tc>
          <w:tcPr>
            <w:tcW w:w="2405" w:type="dxa"/>
            <w:noWrap w:val="0"/>
            <w:vAlign w:val="center"/>
          </w:tcPr>
          <w:p w14:paraId="119C6F17">
            <w:pPr>
              <w:rPr>
                <w:szCs w:val="21"/>
                <w:highlight w:val="none"/>
              </w:rPr>
            </w:pPr>
            <w:r>
              <w:rPr>
                <w:rFonts w:hint="eastAsia"/>
                <w:szCs w:val="21"/>
                <w:highlight w:val="none"/>
              </w:rPr>
              <w:t>PE，De90，1.0MPa</w:t>
            </w:r>
          </w:p>
        </w:tc>
        <w:tc>
          <w:tcPr>
            <w:tcW w:w="706" w:type="dxa"/>
            <w:noWrap w:val="0"/>
            <w:vAlign w:val="center"/>
          </w:tcPr>
          <w:p w14:paraId="7A93FA2F">
            <w:pPr>
              <w:rPr>
                <w:szCs w:val="21"/>
                <w:highlight w:val="none"/>
              </w:rPr>
            </w:pPr>
            <w:r>
              <w:rPr>
                <w:rFonts w:hint="eastAsia"/>
                <w:szCs w:val="21"/>
                <w:highlight w:val="none"/>
              </w:rPr>
              <w:t>个</w:t>
            </w:r>
          </w:p>
        </w:tc>
        <w:tc>
          <w:tcPr>
            <w:tcW w:w="739" w:type="dxa"/>
            <w:noWrap w:val="0"/>
            <w:vAlign w:val="center"/>
          </w:tcPr>
          <w:p w14:paraId="06CE2563">
            <w:pPr>
              <w:jc w:val="center"/>
              <w:rPr>
                <w:szCs w:val="21"/>
                <w:highlight w:val="none"/>
              </w:rPr>
            </w:pPr>
            <w:r>
              <w:rPr>
                <w:rFonts w:hint="eastAsia"/>
                <w:szCs w:val="21"/>
                <w:highlight w:val="none"/>
              </w:rPr>
              <w:t>2</w:t>
            </w:r>
          </w:p>
        </w:tc>
        <w:tc>
          <w:tcPr>
            <w:tcW w:w="1273" w:type="dxa"/>
            <w:noWrap w:val="0"/>
            <w:vAlign w:val="center"/>
          </w:tcPr>
          <w:p w14:paraId="001E372A">
            <w:pPr>
              <w:rPr>
                <w:szCs w:val="21"/>
                <w:highlight w:val="none"/>
              </w:rPr>
            </w:pPr>
          </w:p>
        </w:tc>
      </w:tr>
      <w:tr w14:paraId="284BA47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19D66A44">
            <w:pPr>
              <w:jc w:val="center"/>
              <w:rPr>
                <w:szCs w:val="21"/>
                <w:highlight w:val="none"/>
              </w:rPr>
            </w:pPr>
            <w:r>
              <w:rPr>
                <w:rFonts w:hint="eastAsia"/>
                <w:szCs w:val="21"/>
                <w:highlight w:val="none"/>
              </w:rPr>
              <w:t>10</w:t>
            </w:r>
          </w:p>
        </w:tc>
        <w:tc>
          <w:tcPr>
            <w:tcW w:w="2578" w:type="dxa"/>
            <w:noWrap w:val="0"/>
            <w:vAlign w:val="center"/>
          </w:tcPr>
          <w:p w14:paraId="4C307B24">
            <w:pPr>
              <w:rPr>
                <w:szCs w:val="21"/>
                <w:highlight w:val="none"/>
              </w:rPr>
            </w:pPr>
            <w:r>
              <w:rPr>
                <w:rFonts w:hint="eastAsia"/>
                <w:szCs w:val="21"/>
                <w:highlight w:val="none"/>
              </w:rPr>
              <w:t>等径三通</w:t>
            </w:r>
          </w:p>
        </w:tc>
        <w:tc>
          <w:tcPr>
            <w:tcW w:w="2405" w:type="dxa"/>
            <w:noWrap w:val="0"/>
            <w:vAlign w:val="center"/>
          </w:tcPr>
          <w:p w14:paraId="33261CAE">
            <w:pPr>
              <w:rPr>
                <w:szCs w:val="21"/>
                <w:highlight w:val="none"/>
              </w:rPr>
            </w:pPr>
            <w:r>
              <w:rPr>
                <w:rFonts w:hint="eastAsia"/>
                <w:szCs w:val="21"/>
                <w:highlight w:val="none"/>
              </w:rPr>
              <w:t>PE，De75，1.0MPa</w:t>
            </w:r>
          </w:p>
        </w:tc>
        <w:tc>
          <w:tcPr>
            <w:tcW w:w="706" w:type="dxa"/>
            <w:noWrap w:val="0"/>
            <w:vAlign w:val="center"/>
          </w:tcPr>
          <w:p w14:paraId="07CAEB7D">
            <w:pPr>
              <w:rPr>
                <w:szCs w:val="21"/>
                <w:highlight w:val="none"/>
              </w:rPr>
            </w:pPr>
            <w:r>
              <w:rPr>
                <w:rFonts w:hint="eastAsia"/>
                <w:szCs w:val="21"/>
                <w:highlight w:val="none"/>
              </w:rPr>
              <w:t>个</w:t>
            </w:r>
          </w:p>
        </w:tc>
        <w:tc>
          <w:tcPr>
            <w:tcW w:w="739" w:type="dxa"/>
            <w:noWrap w:val="0"/>
            <w:vAlign w:val="center"/>
          </w:tcPr>
          <w:p w14:paraId="2B9ECE37">
            <w:pPr>
              <w:jc w:val="center"/>
              <w:rPr>
                <w:szCs w:val="21"/>
                <w:highlight w:val="none"/>
              </w:rPr>
            </w:pPr>
            <w:r>
              <w:rPr>
                <w:rFonts w:hint="eastAsia"/>
                <w:szCs w:val="21"/>
                <w:highlight w:val="none"/>
              </w:rPr>
              <w:t>2</w:t>
            </w:r>
          </w:p>
        </w:tc>
        <w:tc>
          <w:tcPr>
            <w:tcW w:w="1273" w:type="dxa"/>
            <w:noWrap w:val="0"/>
            <w:vAlign w:val="center"/>
          </w:tcPr>
          <w:p w14:paraId="5D8865CA">
            <w:pPr>
              <w:rPr>
                <w:szCs w:val="21"/>
                <w:highlight w:val="none"/>
              </w:rPr>
            </w:pPr>
          </w:p>
        </w:tc>
      </w:tr>
      <w:tr w14:paraId="59F7469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0888B5E2">
            <w:pPr>
              <w:jc w:val="center"/>
              <w:rPr>
                <w:szCs w:val="21"/>
                <w:highlight w:val="none"/>
              </w:rPr>
            </w:pPr>
            <w:r>
              <w:rPr>
                <w:rFonts w:hint="eastAsia"/>
                <w:szCs w:val="21"/>
                <w:highlight w:val="none"/>
              </w:rPr>
              <w:t>11</w:t>
            </w:r>
          </w:p>
        </w:tc>
        <w:tc>
          <w:tcPr>
            <w:tcW w:w="2578" w:type="dxa"/>
            <w:noWrap w:val="0"/>
            <w:vAlign w:val="center"/>
          </w:tcPr>
          <w:p w14:paraId="3DA120E0">
            <w:pPr>
              <w:rPr>
                <w:szCs w:val="21"/>
                <w:highlight w:val="none"/>
              </w:rPr>
            </w:pPr>
            <w:r>
              <w:rPr>
                <w:rFonts w:hint="eastAsia" w:eastAsia="宋体"/>
                <w:szCs w:val="21"/>
                <w:highlight w:val="none"/>
                <w:lang w:eastAsia="zh-CN"/>
              </w:rPr>
              <w:t>软</w:t>
            </w:r>
            <w:r>
              <w:rPr>
                <w:rFonts w:hint="eastAsia"/>
                <w:szCs w:val="21"/>
                <w:highlight w:val="none"/>
              </w:rPr>
              <w:t>接头</w:t>
            </w:r>
          </w:p>
        </w:tc>
        <w:tc>
          <w:tcPr>
            <w:tcW w:w="2405" w:type="dxa"/>
            <w:noWrap w:val="0"/>
            <w:vAlign w:val="center"/>
          </w:tcPr>
          <w:p w14:paraId="17540960">
            <w:pPr>
              <w:rPr>
                <w:szCs w:val="21"/>
                <w:highlight w:val="none"/>
              </w:rPr>
            </w:pPr>
            <w:r>
              <w:rPr>
                <w:rFonts w:hint="eastAsia"/>
                <w:szCs w:val="21"/>
                <w:highlight w:val="none"/>
              </w:rPr>
              <w:t>PE，De315</w:t>
            </w:r>
          </w:p>
        </w:tc>
        <w:tc>
          <w:tcPr>
            <w:tcW w:w="706" w:type="dxa"/>
            <w:noWrap w:val="0"/>
            <w:vAlign w:val="center"/>
          </w:tcPr>
          <w:p w14:paraId="5153BC90">
            <w:pPr>
              <w:rPr>
                <w:szCs w:val="21"/>
                <w:highlight w:val="none"/>
              </w:rPr>
            </w:pPr>
            <w:r>
              <w:rPr>
                <w:rFonts w:hint="eastAsia"/>
                <w:szCs w:val="21"/>
                <w:highlight w:val="none"/>
              </w:rPr>
              <w:t>个</w:t>
            </w:r>
          </w:p>
        </w:tc>
        <w:tc>
          <w:tcPr>
            <w:tcW w:w="739" w:type="dxa"/>
            <w:noWrap w:val="0"/>
            <w:vAlign w:val="center"/>
          </w:tcPr>
          <w:p w14:paraId="0E84C76F">
            <w:pPr>
              <w:jc w:val="center"/>
              <w:rPr>
                <w:szCs w:val="21"/>
                <w:highlight w:val="none"/>
              </w:rPr>
            </w:pPr>
            <w:r>
              <w:rPr>
                <w:rFonts w:hint="eastAsia"/>
                <w:szCs w:val="21"/>
                <w:highlight w:val="none"/>
              </w:rPr>
              <w:t>6</w:t>
            </w:r>
          </w:p>
        </w:tc>
        <w:tc>
          <w:tcPr>
            <w:tcW w:w="1273" w:type="dxa"/>
            <w:noWrap w:val="0"/>
            <w:vAlign w:val="center"/>
          </w:tcPr>
          <w:p w14:paraId="558BF4ED">
            <w:pPr>
              <w:rPr>
                <w:szCs w:val="21"/>
                <w:highlight w:val="none"/>
              </w:rPr>
            </w:pPr>
          </w:p>
        </w:tc>
      </w:tr>
      <w:tr w14:paraId="047F991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218CA815">
            <w:pPr>
              <w:jc w:val="center"/>
              <w:rPr>
                <w:szCs w:val="21"/>
                <w:highlight w:val="none"/>
              </w:rPr>
            </w:pPr>
            <w:r>
              <w:rPr>
                <w:rFonts w:hint="eastAsia"/>
                <w:szCs w:val="21"/>
                <w:highlight w:val="none"/>
              </w:rPr>
              <w:t>12</w:t>
            </w:r>
          </w:p>
        </w:tc>
        <w:tc>
          <w:tcPr>
            <w:tcW w:w="2578" w:type="dxa"/>
            <w:noWrap w:val="0"/>
            <w:vAlign w:val="center"/>
          </w:tcPr>
          <w:p w14:paraId="7D22FE08">
            <w:pPr>
              <w:rPr>
                <w:szCs w:val="21"/>
                <w:highlight w:val="none"/>
              </w:rPr>
            </w:pPr>
            <w:r>
              <w:rPr>
                <w:rFonts w:hint="eastAsia" w:eastAsia="宋体"/>
                <w:szCs w:val="21"/>
                <w:highlight w:val="none"/>
                <w:lang w:eastAsia="zh-CN"/>
              </w:rPr>
              <w:t>软</w:t>
            </w:r>
            <w:r>
              <w:rPr>
                <w:rFonts w:hint="eastAsia"/>
                <w:szCs w:val="21"/>
                <w:highlight w:val="none"/>
              </w:rPr>
              <w:t>接头</w:t>
            </w:r>
          </w:p>
        </w:tc>
        <w:tc>
          <w:tcPr>
            <w:tcW w:w="2405" w:type="dxa"/>
            <w:noWrap w:val="0"/>
            <w:vAlign w:val="center"/>
          </w:tcPr>
          <w:p w14:paraId="05985D3E">
            <w:pPr>
              <w:rPr>
                <w:szCs w:val="21"/>
                <w:highlight w:val="none"/>
              </w:rPr>
            </w:pPr>
            <w:r>
              <w:rPr>
                <w:rFonts w:hint="eastAsia"/>
                <w:szCs w:val="21"/>
                <w:highlight w:val="none"/>
              </w:rPr>
              <w:t>PE，De90</w:t>
            </w:r>
          </w:p>
        </w:tc>
        <w:tc>
          <w:tcPr>
            <w:tcW w:w="706" w:type="dxa"/>
            <w:noWrap w:val="0"/>
            <w:vAlign w:val="center"/>
          </w:tcPr>
          <w:p w14:paraId="56A44E71">
            <w:pPr>
              <w:rPr>
                <w:szCs w:val="21"/>
                <w:highlight w:val="none"/>
              </w:rPr>
            </w:pPr>
            <w:r>
              <w:rPr>
                <w:rFonts w:hint="eastAsia"/>
                <w:szCs w:val="21"/>
                <w:highlight w:val="none"/>
              </w:rPr>
              <w:t>个</w:t>
            </w:r>
          </w:p>
        </w:tc>
        <w:tc>
          <w:tcPr>
            <w:tcW w:w="739" w:type="dxa"/>
            <w:noWrap w:val="0"/>
            <w:vAlign w:val="center"/>
          </w:tcPr>
          <w:p w14:paraId="79032699">
            <w:pPr>
              <w:jc w:val="center"/>
              <w:rPr>
                <w:szCs w:val="21"/>
                <w:highlight w:val="none"/>
              </w:rPr>
            </w:pPr>
            <w:r>
              <w:rPr>
                <w:rFonts w:hint="eastAsia"/>
                <w:szCs w:val="21"/>
                <w:highlight w:val="none"/>
              </w:rPr>
              <w:t>3</w:t>
            </w:r>
          </w:p>
        </w:tc>
        <w:tc>
          <w:tcPr>
            <w:tcW w:w="1273" w:type="dxa"/>
            <w:noWrap w:val="0"/>
            <w:vAlign w:val="center"/>
          </w:tcPr>
          <w:p w14:paraId="5501D941">
            <w:pPr>
              <w:rPr>
                <w:szCs w:val="21"/>
                <w:highlight w:val="none"/>
              </w:rPr>
            </w:pPr>
          </w:p>
        </w:tc>
      </w:tr>
      <w:tr w14:paraId="16D17B4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1CA77F64">
            <w:pPr>
              <w:jc w:val="center"/>
              <w:rPr>
                <w:szCs w:val="21"/>
                <w:highlight w:val="none"/>
              </w:rPr>
            </w:pPr>
            <w:r>
              <w:rPr>
                <w:rFonts w:hint="eastAsia"/>
                <w:szCs w:val="21"/>
                <w:highlight w:val="none"/>
              </w:rPr>
              <w:t>13</w:t>
            </w:r>
          </w:p>
        </w:tc>
        <w:tc>
          <w:tcPr>
            <w:tcW w:w="2578" w:type="dxa"/>
            <w:noWrap w:val="0"/>
            <w:vAlign w:val="center"/>
          </w:tcPr>
          <w:p w14:paraId="27B79140">
            <w:pPr>
              <w:rPr>
                <w:szCs w:val="21"/>
                <w:highlight w:val="none"/>
              </w:rPr>
            </w:pPr>
            <w:r>
              <w:rPr>
                <w:rFonts w:hint="eastAsia" w:eastAsia="宋体"/>
                <w:szCs w:val="21"/>
                <w:highlight w:val="none"/>
                <w:lang w:eastAsia="zh-CN"/>
              </w:rPr>
              <w:t>软</w:t>
            </w:r>
            <w:r>
              <w:rPr>
                <w:rFonts w:hint="eastAsia"/>
                <w:szCs w:val="21"/>
                <w:highlight w:val="none"/>
              </w:rPr>
              <w:t>接头</w:t>
            </w:r>
          </w:p>
        </w:tc>
        <w:tc>
          <w:tcPr>
            <w:tcW w:w="2405" w:type="dxa"/>
            <w:noWrap w:val="0"/>
            <w:vAlign w:val="center"/>
          </w:tcPr>
          <w:p w14:paraId="4A9B0999">
            <w:pPr>
              <w:rPr>
                <w:szCs w:val="21"/>
                <w:highlight w:val="none"/>
              </w:rPr>
            </w:pPr>
            <w:r>
              <w:rPr>
                <w:rFonts w:hint="eastAsia"/>
                <w:szCs w:val="21"/>
                <w:highlight w:val="none"/>
              </w:rPr>
              <w:t>PE，De75</w:t>
            </w:r>
          </w:p>
        </w:tc>
        <w:tc>
          <w:tcPr>
            <w:tcW w:w="706" w:type="dxa"/>
            <w:noWrap w:val="0"/>
            <w:vAlign w:val="center"/>
          </w:tcPr>
          <w:p w14:paraId="49CAC45E">
            <w:pPr>
              <w:rPr>
                <w:szCs w:val="21"/>
                <w:highlight w:val="none"/>
              </w:rPr>
            </w:pPr>
            <w:r>
              <w:rPr>
                <w:rFonts w:hint="eastAsia"/>
                <w:szCs w:val="21"/>
                <w:highlight w:val="none"/>
              </w:rPr>
              <w:t>个</w:t>
            </w:r>
          </w:p>
        </w:tc>
        <w:tc>
          <w:tcPr>
            <w:tcW w:w="739" w:type="dxa"/>
            <w:noWrap w:val="0"/>
            <w:vAlign w:val="center"/>
          </w:tcPr>
          <w:p w14:paraId="3BFA1B8C">
            <w:pPr>
              <w:jc w:val="center"/>
              <w:rPr>
                <w:szCs w:val="21"/>
                <w:highlight w:val="none"/>
              </w:rPr>
            </w:pPr>
            <w:r>
              <w:rPr>
                <w:rFonts w:hint="eastAsia"/>
                <w:szCs w:val="21"/>
                <w:highlight w:val="none"/>
              </w:rPr>
              <w:t>3</w:t>
            </w:r>
          </w:p>
        </w:tc>
        <w:tc>
          <w:tcPr>
            <w:tcW w:w="1273" w:type="dxa"/>
            <w:noWrap w:val="0"/>
            <w:vAlign w:val="center"/>
          </w:tcPr>
          <w:p w14:paraId="326C3053">
            <w:pPr>
              <w:rPr>
                <w:szCs w:val="21"/>
                <w:highlight w:val="none"/>
              </w:rPr>
            </w:pPr>
          </w:p>
        </w:tc>
      </w:tr>
      <w:tr w14:paraId="05F389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00F152D8">
            <w:pPr>
              <w:jc w:val="center"/>
              <w:rPr>
                <w:szCs w:val="21"/>
                <w:highlight w:val="none"/>
              </w:rPr>
            </w:pPr>
            <w:r>
              <w:rPr>
                <w:rFonts w:hint="eastAsia"/>
                <w:szCs w:val="21"/>
                <w:highlight w:val="none"/>
              </w:rPr>
              <w:t>14</w:t>
            </w:r>
          </w:p>
        </w:tc>
        <w:tc>
          <w:tcPr>
            <w:tcW w:w="2578" w:type="dxa"/>
            <w:noWrap w:val="0"/>
            <w:vAlign w:val="center"/>
          </w:tcPr>
          <w:p w14:paraId="0C56693E">
            <w:pPr>
              <w:rPr>
                <w:szCs w:val="21"/>
                <w:highlight w:val="none"/>
              </w:rPr>
            </w:pPr>
            <w:r>
              <w:rPr>
                <w:rFonts w:hint="eastAsia"/>
                <w:szCs w:val="21"/>
                <w:highlight w:val="none"/>
              </w:rPr>
              <w:t>法兰</w:t>
            </w:r>
          </w:p>
        </w:tc>
        <w:tc>
          <w:tcPr>
            <w:tcW w:w="2405" w:type="dxa"/>
            <w:noWrap w:val="0"/>
            <w:vAlign w:val="center"/>
          </w:tcPr>
          <w:p w14:paraId="66D4D9FD">
            <w:pPr>
              <w:rPr>
                <w:szCs w:val="21"/>
                <w:highlight w:val="none"/>
              </w:rPr>
            </w:pPr>
            <w:r>
              <w:rPr>
                <w:rFonts w:hint="eastAsia"/>
                <w:szCs w:val="21"/>
                <w:highlight w:val="none"/>
              </w:rPr>
              <w:t>PE，De315，1.0MPa</w:t>
            </w:r>
          </w:p>
        </w:tc>
        <w:tc>
          <w:tcPr>
            <w:tcW w:w="706" w:type="dxa"/>
            <w:noWrap w:val="0"/>
            <w:vAlign w:val="center"/>
          </w:tcPr>
          <w:p w14:paraId="7CFE83C9">
            <w:pPr>
              <w:rPr>
                <w:szCs w:val="21"/>
                <w:highlight w:val="none"/>
              </w:rPr>
            </w:pPr>
            <w:r>
              <w:rPr>
                <w:rFonts w:hint="eastAsia"/>
                <w:szCs w:val="21"/>
                <w:highlight w:val="none"/>
              </w:rPr>
              <w:t>片</w:t>
            </w:r>
          </w:p>
        </w:tc>
        <w:tc>
          <w:tcPr>
            <w:tcW w:w="739" w:type="dxa"/>
            <w:noWrap w:val="0"/>
            <w:vAlign w:val="center"/>
          </w:tcPr>
          <w:p w14:paraId="7035F7E3">
            <w:pPr>
              <w:jc w:val="center"/>
              <w:rPr>
                <w:szCs w:val="21"/>
                <w:highlight w:val="none"/>
              </w:rPr>
            </w:pPr>
            <w:r>
              <w:rPr>
                <w:rFonts w:hint="eastAsia"/>
                <w:szCs w:val="21"/>
                <w:highlight w:val="none"/>
              </w:rPr>
              <w:t>12</w:t>
            </w:r>
          </w:p>
        </w:tc>
        <w:tc>
          <w:tcPr>
            <w:tcW w:w="1273" w:type="dxa"/>
            <w:noWrap w:val="0"/>
            <w:vAlign w:val="center"/>
          </w:tcPr>
          <w:p w14:paraId="6CC5C646">
            <w:pPr>
              <w:rPr>
                <w:szCs w:val="21"/>
                <w:highlight w:val="none"/>
              </w:rPr>
            </w:pPr>
          </w:p>
        </w:tc>
      </w:tr>
      <w:tr w14:paraId="44C981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312BAAF2">
            <w:pPr>
              <w:jc w:val="center"/>
              <w:rPr>
                <w:szCs w:val="21"/>
                <w:highlight w:val="none"/>
              </w:rPr>
            </w:pPr>
            <w:r>
              <w:rPr>
                <w:rFonts w:hint="eastAsia"/>
                <w:szCs w:val="21"/>
                <w:highlight w:val="none"/>
              </w:rPr>
              <w:t>15</w:t>
            </w:r>
          </w:p>
        </w:tc>
        <w:tc>
          <w:tcPr>
            <w:tcW w:w="2578" w:type="dxa"/>
            <w:noWrap w:val="0"/>
            <w:vAlign w:val="center"/>
          </w:tcPr>
          <w:p w14:paraId="2F600725">
            <w:pPr>
              <w:rPr>
                <w:szCs w:val="21"/>
                <w:highlight w:val="none"/>
              </w:rPr>
            </w:pPr>
            <w:r>
              <w:rPr>
                <w:rFonts w:hint="eastAsia"/>
                <w:szCs w:val="21"/>
                <w:highlight w:val="none"/>
              </w:rPr>
              <w:t>法兰</w:t>
            </w:r>
          </w:p>
        </w:tc>
        <w:tc>
          <w:tcPr>
            <w:tcW w:w="2405" w:type="dxa"/>
            <w:noWrap w:val="0"/>
            <w:vAlign w:val="center"/>
          </w:tcPr>
          <w:p w14:paraId="371CD79D">
            <w:pPr>
              <w:rPr>
                <w:szCs w:val="21"/>
                <w:highlight w:val="none"/>
              </w:rPr>
            </w:pPr>
            <w:r>
              <w:rPr>
                <w:rFonts w:hint="eastAsia"/>
                <w:szCs w:val="21"/>
                <w:highlight w:val="none"/>
              </w:rPr>
              <w:t>PE，De90，1.0MPa</w:t>
            </w:r>
          </w:p>
        </w:tc>
        <w:tc>
          <w:tcPr>
            <w:tcW w:w="706" w:type="dxa"/>
            <w:noWrap w:val="0"/>
            <w:vAlign w:val="center"/>
          </w:tcPr>
          <w:p w14:paraId="31C146CC">
            <w:pPr>
              <w:rPr>
                <w:szCs w:val="21"/>
                <w:highlight w:val="none"/>
              </w:rPr>
            </w:pPr>
            <w:r>
              <w:rPr>
                <w:rFonts w:hint="eastAsia"/>
                <w:szCs w:val="21"/>
                <w:highlight w:val="none"/>
              </w:rPr>
              <w:t>片</w:t>
            </w:r>
          </w:p>
        </w:tc>
        <w:tc>
          <w:tcPr>
            <w:tcW w:w="739" w:type="dxa"/>
            <w:noWrap w:val="0"/>
            <w:vAlign w:val="center"/>
          </w:tcPr>
          <w:p w14:paraId="1C2E64A1">
            <w:pPr>
              <w:jc w:val="center"/>
              <w:rPr>
                <w:szCs w:val="21"/>
                <w:highlight w:val="none"/>
              </w:rPr>
            </w:pPr>
            <w:r>
              <w:rPr>
                <w:rFonts w:hint="eastAsia"/>
                <w:szCs w:val="21"/>
                <w:highlight w:val="none"/>
              </w:rPr>
              <w:t>18</w:t>
            </w:r>
          </w:p>
        </w:tc>
        <w:tc>
          <w:tcPr>
            <w:tcW w:w="1273" w:type="dxa"/>
            <w:noWrap w:val="0"/>
            <w:vAlign w:val="center"/>
          </w:tcPr>
          <w:p w14:paraId="4B5743FF">
            <w:pPr>
              <w:rPr>
                <w:szCs w:val="21"/>
                <w:highlight w:val="none"/>
              </w:rPr>
            </w:pPr>
          </w:p>
        </w:tc>
      </w:tr>
      <w:tr w14:paraId="243DF2B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noWrap w:val="0"/>
            <w:vAlign w:val="center"/>
          </w:tcPr>
          <w:p w14:paraId="7ED7C8BA">
            <w:pPr>
              <w:jc w:val="center"/>
              <w:rPr>
                <w:rFonts w:hint="eastAsia" w:eastAsia="宋体"/>
                <w:szCs w:val="21"/>
                <w:highlight w:val="none"/>
                <w:lang w:eastAsia="zh-CN"/>
              </w:rPr>
            </w:pPr>
            <w:r>
              <w:rPr>
                <w:rFonts w:hint="eastAsia"/>
                <w:szCs w:val="21"/>
                <w:highlight w:val="none"/>
              </w:rPr>
              <w:t>1</w:t>
            </w:r>
            <w:r>
              <w:rPr>
                <w:rFonts w:hint="eastAsia" w:eastAsia="宋体"/>
                <w:szCs w:val="21"/>
                <w:highlight w:val="none"/>
                <w:lang w:val="en-US" w:eastAsia="zh-CN"/>
              </w:rPr>
              <w:t>6</w:t>
            </w:r>
          </w:p>
        </w:tc>
        <w:tc>
          <w:tcPr>
            <w:tcW w:w="2578" w:type="dxa"/>
            <w:noWrap w:val="0"/>
            <w:vAlign w:val="center"/>
          </w:tcPr>
          <w:p w14:paraId="1F68098E">
            <w:pPr>
              <w:rPr>
                <w:szCs w:val="21"/>
                <w:highlight w:val="none"/>
              </w:rPr>
            </w:pPr>
            <w:r>
              <w:rPr>
                <w:rFonts w:hint="eastAsia"/>
                <w:szCs w:val="21"/>
                <w:highlight w:val="none"/>
              </w:rPr>
              <w:t>法兰</w:t>
            </w:r>
          </w:p>
        </w:tc>
        <w:tc>
          <w:tcPr>
            <w:tcW w:w="2405" w:type="dxa"/>
            <w:noWrap w:val="0"/>
            <w:vAlign w:val="center"/>
          </w:tcPr>
          <w:p w14:paraId="085C829C">
            <w:pPr>
              <w:rPr>
                <w:szCs w:val="21"/>
                <w:highlight w:val="none"/>
              </w:rPr>
            </w:pPr>
            <w:r>
              <w:rPr>
                <w:rFonts w:hint="eastAsia"/>
                <w:szCs w:val="21"/>
                <w:highlight w:val="none"/>
              </w:rPr>
              <w:t>PE，De75，1.0MPa</w:t>
            </w:r>
          </w:p>
        </w:tc>
        <w:tc>
          <w:tcPr>
            <w:tcW w:w="706" w:type="dxa"/>
            <w:noWrap w:val="0"/>
            <w:vAlign w:val="center"/>
          </w:tcPr>
          <w:p w14:paraId="3B535175">
            <w:pPr>
              <w:rPr>
                <w:szCs w:val="21"/>
                <w:highlight w:val="none"/>
              </w:rPr>
            </w:pPr>
            <w:r>
              <w:rPr>
                <w:rFonts w:hint="eastAsia"/>
                <w:szCs w:val="21"/>
                <w:highlight w:val="none"/>
              </w:rPr>
              <w:t>片</w:t>
            </w:r>
          </w:p>
        </w:tc>
        <w:tc>
          <w:tcPr>
            <w:tcW w:w="739" w:type="dxa"/>
            <w:noWrap w:val="0"/>
            <w:vAlign w:val="center"/>
          </w:tcPr>
          <w:p w14:paraId="4719024B">
            <w:pPr>
              <w:jc w:val="center"/>
              <w:rPr>
                <w:szCs w:val="21"/>
                <w:highlight w:val="none"/>
              </w:rPr>
            </w:pPr>
            <w:r>
              <w:rPr>
                <w:rFonts w:hint="eastAsia"/>
                <w:szCs w:val="21"/>
                <w:highlight w:val="none"/>
              </w:rPr>
              <w:t>18</w:t>
            </w:r>
          </w:p>
        </w:tc>
        <w:tc>
          <w:tcPr>
            <w:tcW w:w="1273" w:type="dxa"/>
            <w:noWrap w:val="0"/>
            <w:vAlign w:val="center"/>
          </w:tcPr>
          <w:p w14:paraId="11C9EEF3">
            <w:pPr>
              <w:rPr>
                <w:szCs w:val="21"/>
                <w:highlight w:val="none"/>
              </w:rPr>
            </w:pPr>
          </w:p>
        </w:tc>
      </w:tr>
    </w:tbl>
    <w:p w14:paraId="71482FD6">
      <w:pPr>
        <w:rPr>
          <w:highlight w:val="none"/>
        </w:rPr>
      </w:pPr>
    </w:p>
    <w:bookmarkEnd w:id="86"/>
    <w:bookmarkEnd w:id="93"/>
    <w:bookmarkEnd w:id="94"/>
    <w:p w14:paraId="64EEF2E2">
      <w:pPr>
        <w:spacing w:line="400" w:lineRule="exact"/>
        <w:ind w:firstLine="480" w:firstLineChars="200"/>
        <w:rPr>
          <w:rFonts w:hint="eastAsia" w:ascii="宋体" w:hAnsi="宋体" w:eastAsia="宋体" w:cs="宋体"/>
          <w:b/>
          <w:highlight w:val="none"/>
        </w:rPr>
      </w:pPr>
      <w:r>
        <w:rPr>
          <w:rFonts w:hint="eastAsia" w:ascii="宋体" w:hAnsi="宋体" w:eastAsia="宋体" w:cs="宋体"/>
          <w:highlight w:val="none"/>
        </w:rPr>
        <w:t>注：1）</w:t>
      </w:r>
      <w:r>
        <w:rPr>
          <w:rFonts w:hint="eastAsia" w:ascii="宋体" w:hAnsi="宋体" w:eastAsia="宋体" w:cs="宋体"/>
          <w:b/>
          <w:highlight w:val="none"/>
        </w:rPr>
        <w:t>结算单价按招标人提供的采购清单中所有品目的审核单价统一下浮，结算单价下浮率=（1-投标报价/预算审核价）*100%（百分号前保留两位小数）。</w:t>
      </w:r>
    </w:p>
    <w:p w14:paraId="743B76B1">
      <w:pPr>
        <w:spacing w:line="400" w:lineRule="exact"/>
        <w:rPr>
          <w:rFonts w:hint="eastAsia" w:ascii="宋体" w:hAnsi="宋体" w:eastAsia="宋体" w:cs="宋体"/>
          <w:b/>
          <w:highlight w:val="none"/>
        </w:rPr>
      </w:pPr>
      <w:r>
        <w:rPr>
          <w:rFonts w:hint="eastAsia" w:ascii="宋体" w:hAnsi="宋体" w:eastAsia="宋体" w:cs="宋体"/>
          <w:b/>
          <w:highlight w:val="none"/>
        </w:rPr>
        <w:t>2）以上参考数量仅供投标时使用，结算工程量以</w:t>
      </w:r>
      <w:r>
        <w:rPr>
          <w:rFonts w:hint="eastAsia" w:ascii="宋体" w:hAnsi="宋体" w:eastAsia="宋体" w:cs="宋体"/>
          <w:b/>
          <w:highlight w:val="none"/>
          <w:lang w:eastAsia="zh-CN"/>
        </w:rPr>
        <w:t>第三方</w:t>
      </w:r>
      <w:r>
        <w:rPr>
          <w:rFonts w:hint="eastAsia" w:ascii="宋体" w:hAnsi="宋体" w:eastAsia="宋体" w:cs="宋体"/>
          <w:b/>
          <w:highlight w:val="none"/>
        </w:rPr>
        <w:t>审核中心审定的实际施工使用数量为准，所标注的管材及管件规格都为成品规格。</w:t>
      </w:r>
    </w:p>
    <w:p w14:paraId="30DA30A7">
      <w:pPr>
        <w:pStyle w:val="4"/>
        <w:numPr>
          <w:ilvl w:val="0"/>
          <w:numId w:val="31"/>
        </w:numPr>
        <w:tabs>
          <w:tab w:val="left" w:pos="287"/>
        </w:tabs>
        <w:spacing w:before="360" w:after="0" w:line="360" w:lineRule="exact"/>
        <w:jc w:val="center"/>
        <w:rPr>
          <w:rFonts w:hint="eastAsia" w:ascii="Times New Roman" w:hAnsi="Times New Roman" w:eastAsia="宋体" w:cs="Times New Roman"/>
          <w:b/>
          <w:bCs/>
          <w:highlight w:val="none"/>
          <w:lang w:eastAsia="zh-CN"/>
        </w:rPr>
      </w:pPr>
      <w:bookmarkStart w:id="95" w:name="_Toc6712"/>
      <w:r>
        <w:rPr>
          <w:rFonts w:hint="eastAsia" w:ascii="Times New Roman" w:hAnsi="Times New Roman" w:eastAsia="宋体" w:cs="Times New Roman"/>
          <w:b/>
          <w:bCs/>
          <w:highlight w:val="none"/>
          <w:lang w:eastAsia="zh-CN"/>
        </w:rPr>
        <w:t>样品需求</w:t>
      </w:r>
      <w:bookmarkEnd w:id="95"/>
    </w:p>
    <w:p w14:paraId="126C5B8E">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rPr>
      </w:pPr>
      <w:r>
        <w:rPr>
          <w:rFonts w:hint="eastAsia" w:ascii="宋体" w:hAnsi="宋体" w:eastAsia="宋体" w:cs="宋体"/>
          <w:sz w:val="21"/>
          <w:szCs w:val="21"/>
          <w:lang w:eastAsia="zh-CN"/>
        </w:rPr>
        <w:t>样品采购清单：</w:t>
      </w:r>
    </w:p>
    <w:tbl>
      <w:tblPr>
        <w:tblStyle w:val="35"/>
        <w:tblW w:w="996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3322"/>
        <w:gridCol w:w="1686"/>
        <w:gridCol w:w="4959"/>
      </w:tblGrid>
      <w:tr w14:paraId="6B86D33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322" w:type="dxa"/>
            <w:tcBorders>
              <w:top w:val="single" w:color="auto" w:sz="4" w:space="0"/>
              <w:left w:val="single" w:color="auto" w:sz="4" w:space="0"/>
              <w:bottom w:val="single" w:color="auto" w:sz="4" w:space="0"/>
              <w:right w:val="single" w:color="auto" w:sz="4" w:space="0"/>
            </w:tcBorders>
            <w:noWrap w:val="0"/>
            <w:vAlign w:val="center"/>
          </w:tcPr>
          <w:p w14:paraId="142C39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en-US"/>
              </w:rPr>
            </w:pPr>
            <w:r>
              <w:rPr>
                <w:rFonts w:hint="eastAsia" w:ascii="宋体" w:hAnsi="宋体" w:eastAsia="宋体" w:cs="宋体"/>
                <w:sz w:val="21"/>
                <w:szCs w:val="21"/>
              </w:rPr>
              <w:t>产品名称</w:t>
            </w:r>
          </w:p>
        </w:tc>
        <w:tc>
          <w:tcPr>
            <w:tcW w:w="1686" w:type="dxa"/>
            <w:tcBorders>
              <w:left w:val="single" w:color="auto" w:sz="4" w:space="0"/>
            </w:tcBorders>
            <w:noWrap w:val="0"/>
            <w:vAlign w:val="center"/>
          </w:tcPr>
          <w:p w14:paraId="1D9A913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en-US"/>
              </w:rPr>
            </w:pPr>
            <w:r>
              <w:rPr>
                <w:rFonts w:hint="eastAsia" w:ascii="宋体" w:hAnsi="宋体" w:eastAsia="宋体" w:cs="宋体"/>
                <w:sz w:val="21"/>
                <w:szCs w:val="21"/>
              </w:rPr>
              <w:t>规格</w:t>
            </w:r>
          </w:p>
        </w:tc>
        <w:tc>
          <w:tcPr>
            <w:tcW w:w="4959" w:type="dxa"/>
            <w:noWrap w:val="0"/>
            <w:vAlign w:val="center"/>
          </w:tcPr>
          <w:p w14:paraId="06F0AD6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en-US"/>
              </w:rPr>
            </w:pPr>
            <w:r>
              <w:rPr>
                <w:rFonts w:hint="eastAsia" w:ascii="宋体" w:hAnsi="宋体" w:eastAsia="宋体" w:cs="宋体"/>
                <w:sz w:val="21"/>
                <w:szCs w:val="21"/>
              </w:rPr>
              <w:t>备注</w:t>
            </w:r>
          </w:p>
        </w:tc>
      </w:tr>
      <w:tr w14:paraId="252E68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5" w:hRule="atLeast"/>
        </w:trPr>
        <w:tc>
          <w:tcPr>
            <w:tcW w:w="3322" w:type="dxa"/>
            <w:tcBorders>
              <w:top w:val="single" w:color="auto" w:sz="4" w:space="0"/>
              <w:left w:val="single" w:color="auto" w:sz="4" w:space="0"/>
              <w:bottom w:val="single" w:color="auto" w:sz="4" w:space="0"/>
              <w:right w:val="single" w:color="auto" w:sz="4" w:space="0"/>
            </w:tcBorders>
            <w:noWrap w:val="0"/>
            <w:vAlign w:val="center"/>
          </w:tcPr>
          <w:p w14:paraId="0B63FB4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承插式聚乙烯实壁排水管</w:t>
            </w:r>
          </w:p>
        </w:tc>
        <w:tc>
          <w:tcPr>
            <w:tcW w:w="1686" w:type="dxa"/>
            <w:tcBorders>
              <w:left w:val="single" w:color="auto" w:sz="4" w:space="0"/>
            </w:tcBorders>
            <w:noWrap w:val="0"/>
            <w:vAlign w:val="center"/>
          </w:tcPr>
          <w:p w14:paraId="75379178">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De315 SN8</w:t>
            </w:r>
          </w:p>
        </w:tc>
        <w:tc>
          <w:tcPr>
            <w:tcW w:w="4959" w:type="dxa"/>
            <w:noWrap w:val="0"/>
            <w:vAlign w:val="center"/>
          </w:tcPr>
          <w:p w14:paraId="7EF646C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0" w:firstLineChars="0"/>
              <w:jc w:val="left"/>
              <w:textAlignment w:val="auto"/>
              <w:rPr>
                <w:rFonts w:hint="eastAsia" w:ascii="宋体" w:hAnsi="宋体" w:eastAsia="宋体" w:cs="宋体"/>
                <w:sz w:val="21"/>
                <w:szCs w:val="21"/>
                <w:lang w:val="en-US" w:eastAsia="zh-CN"/>
              </w:rPr>
            </w:pPr>
            <w:r>
              <w:rPr>
                <w:rFonts w:hint="eastAsia" w:ascii="宋体" w:hAnsi="宋体" w:eastAsia="宋体" w:cs="宋体"/>
                <w:sz w:val="21"/>
                <w:szCs w:val="21"/>
              </w:rPr>
              <w:t>管材长度：50cm</w:t>
            </w:r>
            <w:r>
              <w:rPr>
                <w:rFonts w:hint="eastAsia" w:ascii="宋体" w:hAnsi="宋体" w:eastAsia="宋体" w:cs="宋体"/>
                <w:sz w:val="21"/>
                <w:szCs w:val="21"/>
                <w:lang w:val="en-US" w:eastAsia="zh-CN"/>
              </w:rPr>
              <w:t>,需包含承口端及丁腈橡胶密封圈（承口要求一次注塑成型且有制造公司名称的永久性标记，但递交时需要进行遮挡。）</w:t>
            </w:r>
          </w:p>
        </w:tc>
      </w:tr>
    </w:tbl>
    <w:p w14:paraId="05A07A2C">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投标方需对照采购方提供的尺寸要求要求制作。</w:t>
      </w:r>
    </w:p>
    <w:p w14:paraId="7437D7B0">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采购方对中标供应商的产品进行封存， 作为验收的依据之一。未中标的投标单位样品自行打包运回，投标人自行考虑相关费用。</w:t>
      </w:r>
    </w:p>
    <w:p w14:paraId="4F12B1DE">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所有样品（包括整体样品） 均不得出现或映射投标人、制造商名称、logo、条形码、</w:t>
      </w:r>
    </w:p>
    <w:p w14:paraId="056B25F7">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firstLine="420" w:firstLineChars="200"/>
        <w:textAlignment w:val="auto"/>
        <w:rPr>
          <w:rFonts w:hint="eastAsia" w:ascii="宋体" w:hAnsi="宋体" w:eastAsia="宋体" w:cs="宋体"/>
          <w:sz w:val="21"/>
          <w:szCs w:val="21"/>
          <w:lang w:eastAsia="zh-CN"/>
        </w:rPr>
      </w:pPr>
      <w:r>
        <w:rPr>
          <w:rFonts w:hint="eastAsia" w:ascii="宋体" w:hAnsi="宋体" w:eastAsia="宋体" w:cs="宋体"/>
          <w:sz w:val="21"/>
          <w:szCs w:val="21"/>
          <w:lang w:eastAsia="zh-CN"/>
        </w:rPr>
        <w:t>二维码等，不能去除的应进行遮挡。如出现则投标人所有样品评分均为零分，由投标人自行检查确认。</w:t>
      </w:r>
    </w:p>
    <w:p w14:paraId="75CD887F">
      <w:pPr>
        <w:keepNext w:val="0"/>
        <w:keepLines w:val="0"/>
        <w:pageBreakBefore w:val="0"/>
        <w:widowControl w:val="0"/>
        <w:numPr>
          <w:ilvl w:val="0"/>
          <w:numId w:val="32"/>
        </w:numPr>
        <w:kinsoku/>
        <w:wordWrap/>
        <w:overflowPunct/>
        <w:topLinePunct w:val="0"/>
        <w:autoSpaceDE/>
        <w:autoSpaceDN/>
        <w:bidi w:val="0"/>
        <w:adjustRightInd/>
        <w:snapToGrid/>
        <w:spacing w:line="360" w:lineRule="auto"/>
        <w:ind w:left="0" w:firstLine="420" w:firstLineChars="200"/>
        <w:jc w:val="center"/>
        <w:textAlignment w:val="auto"/>
        <w:rPr>
          <w:rFonts w:hint="eastAsia"/>
          <w:sz w:val="21"/>
          <w:highlight w:val="none"/>
        </w:rPr>
      </w:pPr>
      <w:r>
        <w:rPr>
          <w:rFonts w:hint="eastAsia" w:ascii="宋体" w:hAnsi="宋体" w:eastAsia="宋体" w:cs="宋体"/>
          <w:sz w:val="21"/>
          <w:szCs w:val="21"/>
          <w:lang w:eastAsia="zh-CN"/>
        </w:rPr>
        <w:t>实物样品应在投标文件递交截止时间前递交至三门县公共资源交易中心， 并安装摆放整齐，</w:t>
      </w:r>
    </w:p>
    <w:p w14:paraId="1C6F1B26">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sz w:val="21"/>
          <w:highlight w:val="none"/>
        </w:rPr>
      </w:pPr>
      <w:r>
        <w:rPr>
          <w:rFonts w:hint="eastAsia" w:ascii="宋体" w:hAnsi="宋体" w:eastAsia="宋体" w:cs="宋体"/>
          <w:sz w:val="21"/>
          <w:szCs w:val="21"/>
          <w:lang w:eastAsia="zh-CN"/>
        </w:rPr>
        <w:t>建议各投标单位提前做好路线规划及时间安排。</w:t>
      </w:r>
    </w:p>
    <w:p w14:paraId="08E2B4DA"/>
    <w:p w14:paraId="7B2E9321"/>
    <w:p w14:paraId="44CF5897"/>
    <w:p w14:paraId="61867F95">
      <w:pPr>
        <w:pStyle w:val="27"/>
        <w:tabs>
          <w:tab w:val="left" w:pos="720"/>
          <w:tab w:val="left" w:pos="1260"/>
          <w:tab w:val="left" w:pos="2160"/>
          <w:tab w:val="left" w:pos="2880"/>
          <w:tab w:val="left" w:pos="3600"/>
          <w:tab w:val="left" w:pos="4320"/>
          <w:tab w:val="left" w:pos="5040"/>
          <w:tab w:val="left" w:pos="5760"/>
        </w:tabs>
        <w:spacing w:line="360" w:lineRule="auto"/>
        <w:ind w:left="0" w:leftChars="0" w:firstLine="480" w:firstLineChars="200"/>
      </w:pPr>
    </w:p>
    <w:p w14:paraId="4745C02D">
      <w:pPr>
        <w:rPr>
          <w:rFonts w:ascii="黑体" w:hAnsi="黑体" w:eastAsia="黑体" w:cs="黑体"/>
          <w:spacing w:val="16"/>
          <w:sz w:val="31"/>
          <w:szCs w:val="31"/>
        </w:rPr>
      </w:pPr>
      <w:bookmarkStart w:id="96" w:name="_Toc6018"/>
      <w:bookmarkStart w:id="97" w:name="_Toc5217"/>
      <w:r>
        <w:rPr>
          <w:rFonts w:ascii="黑体" w:hAnsi="黑体" w:eastAsia="黑体" w:cs="黑体"/>
          <w:spacing w:val="16"/>
          <w:sz w:val="31"/>
          <w:szCs w:val="31"/>
        </w:rPr>
        <w:br w:type="page"/>
      </w:r>
    </w:p>
    <w:bookmarkEnd w:id="96"/>
    <w:bookmarkEnd w:id="97"/>
    <w:p w14:paraId="6B4F60AE">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jc w:val="center"/>
        <w:textAlignment w:val="auto"/>
        <w:rPr>
          <w:rFonts w:hint="eastAsia"/>
          <w:sz w:val="21"/>
          <w:highlight w:val="none"/>
        </w:rPr>
      </w:pPr>
      <w:bookmarkStart w:id="98" w:name="_Toc6017"/>
      <w:r>
        <w:rPr>
          <w:rFonts w:hint="eastAsia" w:ascii="Times New Roman" w:hAnsi="Times New Roman" w:eastAsia="宋体" w:cs="Times New Roman"/>
          <w:b/>
          <w:bCs/>
          <w:kern w:val="44"/>
          <w:sz w:val="44"/>
          <w:szCs w:val="44"/>
          <w:highlight w:val="none"/>
          <w:lang w:val="en-US" w:eastAsia="zh-CN" w:bidi="ar-SA"/>
        </w:rPr>
        <w:t>第五章 合同主要协议条款</w:t>
      </w:r>
    </w:p>
    <w:p w14:paraId="174B452A">
      <w:pPr>
        <w:pStyle w:val="3"/>
        <w:keepNext w:val="0"/>
        <w:keepLines w:val="0"/>
        <w:numPr>
          <w:ilvl w:val="0"/>
          <w:numId w:val="33"/>
        </w:numPr>
        <w:spacing w:before="0" w:after="0" w:line="360" w:lineRule="auto"/>
        <w:ind w:left="0" w:firstLine="0"/>
        <w:jc w:val="center"/>
        <w:rPr>
          <w:rFonts w:hint="eastAsia" w:ascii="黑体"/>
          <w:highlight w:val="none"/>
        </w:rPr>
      </w:pPr>
      <w:bookmarkStart w:id="99" w:name="_Toc447182064"/>
      <w:bookmarkStart w:id="100" w:name="_Toc23666"/>
      <w:bookmarkStart w:id="101" w:name="_Toc28998"/>
      <w:bookmarkStart w:id="102" w:name="_Toc72546592"/>
      <w:bookmarkStart w:id="103" w:name="_Toc85959617"/>
      <w:r>
        <w:rPr>
          <w:rFonts w:hint="eastAsia" w:ascii="黑体"/>
          <w:highlight w:val="none"/>
        </w:rPr>
        <w:t>合同一般条款</w:t>
      </w:r>
      <w:bookmarkEnd w:id="99"/>
      <w:bookmarkEnd w:id="100"/>
      <w:bookmarkEnd w:id="101"/>
      <w:bookmarkEnd w:id="102"/>
      <w:bookmarkEnd w:id="103"/>
    </w:p>
    <w:p w14:paraId="7E5F86CD">
      <w:pPr>
        <w:spacing w:line="360" w:lineRule="auto"/>
        <w:ind w:firstLine="482" w:firstLineChars="200"/>
        <w:rPr>
          <w:rFonts w:hint="eastAsia" w:ascii="黑体" w:hAnsi="宋体" w:eastAsia="黑体"/>
          <w:b/>
          <w:bCs/>
          <w:highlight w:val="none"/>
        </w:rPr>
      </w:pPr>
      <w:r>
        <w:rPr>
          <w:rFonts w:hint="eastAsia" w:ascii="黑体" w:hAnsi="宋体" w:eastAsia="黑体"/>
          <w:b/>
          <w:bCs/>
          <w:highlight w:val="none"/>
        </w:rPr>
        <w:t>合同主要协议条款将由三门县环境有限公司(以下简称买方)、中标人（以下简称卖方）二方根据投标文件签订。</w:t>
      </w:r>
    </w:p>
    <w:p w14:paraId="5A181A44">
      <w:pPr>
        <w:spacing w:line="360" w:lineRule="auto"/>
        <w:ind w:firstLine="482" w:firstLineChars="200"/>
        <w:rPr>
          <w:rFonts w:hint="eastAsia" w:ascii="黑体" w:hAnsi="宋体" w:eastAsia="黑体"/>
          <w:b/>
          <w:bCs/>
          <w:highlight w:val="none"/>
        </w:rPr>
      </w:pPr>
      <w:r>
        <w:rPr>
          <w:rFonts w:hint="eastAsia" w:ascii="黑体" w:hAnsi="宋体" w:eastAsia="黑体"/>
          <w:b/>
          <w:bCs/>
          <w:highlight w:val="none"/>
        </w:rPr>
        <w:t>买方：三门县环境有限公司</w:t>
      </w:r>
    </w:p>
    <w:p w14:paraId="584DCEE7">
      <w:pPr>
        <w:spacing w:line="360" w:lineRule="auto"/>
        <w:ind w:firstLine="482" w:firstLineChars="200"/>
        <w:rPr>
          <w:rFonts w:hint="eastAsia" w:ascii="宋体" w:hAnsi="宋体" w:eastAsia="黑体"/>
          <w:highlight w:val="none"/>
        </w:rPr>
      </w:pPr>
      <w:r>
        <w:rPr>
          <w:rFonts w:hint="eastAsia" w:ascii="黑体" w:hAnsi="宋体" w:eastAsia="黑体"/>
          <w:b/>
          <w:bCs/>
          <w:highlight w:val="none"/>
        </w:rPr>
        <w:t>卖方：</w:t>
      </w:r>
    </w:p>
    <w:p w14:paraId="2136E2EA">
      <w:pPr>
        <w:spacing w:line="360" w:lineRule="auto"/>
        <w:rPr>
          <w:rFonts w:hint="eastAsia" w:ascii="宋体" w:hAnsi="宋体"/>
          <w:highlight w:val="none"/>
        </w:rPr>
      </w:pPr>
      <w:r>
        <w:rPr>
          <w:rFonts w:hint="eastAsia" w:ascii="黑体" w:hAnsi="宋体" w:eastAsia="黑体"/>
          <w:b/>
          <w:bCs/>
          <w:highlight w:val="none"/>
        </w:rPr>
        <w:t>1、合同产品的名称、技术规范与中标通知书、招标文件相一致。</w:t>
      </w:r>
      <w:r>
        <w:rPr>
          <w:rFonts w:hint="eastAsia" w:ascii="黑体" w:hAnsi="宋体" w:eastAsia="黑体"/>
          <w:b/>
          <w:bCs/>
          <w:highlight w:val="none"/>
        </w:rPr>
        <w:cr/>
      </w:r>
      <w:r>
        <w:rPr>
          <w:rFonts w:hint="eastAsia" w:ascii="黑体" w:hAnsi="宋体" w:eastAsia="黑体"/>
          <w:b/>
          <w:bCs/>
          <w:highlight w:val="none"/>
        </w:rPr>
        <w:t>2.产品的质量、技术标准</w:t>
      </w:r>
      <w:r>
        <w:rPr>
          <w:rFonts w:hint="eastAsia" w:ascii="宋体" w:hAnsi="宋体"/>
          <w:highlight w:val="none"/>
        </w:rPr>
        <w:cr/>
      </w:r>
      <w:r>
        <w:rPr>
          <w:rFonts w:hint="eastAsia" w:ascii="宋体" w:hAnsi="宋体"/>
          <w:highlight w:val="none"/>
        </w:rPr>
        <w:t xml:space="preserve">    </w:t>
      </w:r>
      <w:r>
        <w:rPr>
          <w:rFonts w:ascii="宋体" w:hAnsi="宋体"/>
          <w:highlight w:val="none"/>
        </w:rPr>
        <w:t xml:space="preserve"> </w:t>
      </w:r>
      <w:r>
        <w:rPr>
          <w:rFonts w:hint="eastAsia" w:ascii="宋体" w:hAnsi="宋体"/>
          <w:highlight w:val="none"/>
        </w:rPr>
        <w:t>合同产品的质量、技术标准如在招投标文件中无相应说明，则按中华人民共和国有关部门颁布的最新的国家或专业（部）标准执行。没有国家或专业（部）标准的，按企业标准执行。</w:t>
      </w:r>
    </w:p>
    <w:p w14:paraId="6D8C295E">
      <w:pPr>
        <w:spacing w:line="360" w:lineRule="auto"/>
        <w:rPr>
          <w:rFonts w:hint="eastAsia" w:ascii="宋体" w:hAnsi="宋体"/>
          <w:highlight w:val="none"/>
        </w:rPr>
      </w:pPr>
      <w:r>
        <w:rPr>
          <w:rFonts w:hint="eastAsia" w:ascii="黑体" w:hAnsi="宋体" w:eastAsia="黑体"/>
          <w:b/>
          <w:bCs/>
          <w:highlight w:val="none"/>
        </w:rPr>
        <w:t>3.专利权</w:t>
      </w:r>
      <w:r>
        <w:rPr>
          <w:rFonts w:hint="eastAsia" w:ascii="宋体" w:hAnsi="宋体"/>
          <w:highlight w:val="none"/>
        </w:rPr>
        <w:cr/>
      </w:r>
      <w:r>
        <w:rPr>
          <w:rFonts w:hint="eastAsia" w:ascii="宋体" w:hAnsi="宋体"/>
          <w:highlight w:val="none"/>
        </w:rPr>
        <w:t xml:space="preserve">    卖方对一切可能的侵权指控负责。</w:t>
      </w:r>
      <w:r>
        <w:rPr>
          <w:rFonts w:hint="eastAsia" w:ascii="宋体" w:hAnsi="宋体"/>
          <w:highlight w:val="none"/>
        </w:rPr>
        <w:cr/>
      </w:r>
      <w:r>
        <w:rPr>
          <w:rFonts w:hint="eastAsia" w:ascii="黑体" w:hAnsi="宋体" w:eastAsia="黑体"/>
          <w:b/>
          <w:bCs/>
          <w:highlight w:val="none"/>
        </w:rPr>
        <w:t>4.产品包装</w:t>
      </w:r>
    </w:p>
    <w:p w14:paraId="770F5614">
      <w:pPr>
        <w:spacing w:line="360" w:lineRule="auto"/>
        <w:ind w:firstLine="480" w:firstLineChars="200"/>
        <w:rPr>
          <w:rFonts w:hint="eastAsia" w:ascii="宋体" w:hAnsi="宋体"/>
          <w:highlight w:val="none"/>
        </w:rPr>
      </w:pPr>
      <w:r>
        <w:rPr>
          <w:rFonts w:hint="eastAsia" w:ascii="宋体" w:hAnsi="宋体"/>
          <w:highlight w:val="none"/>
        </w:rPr>
        <w:t>4.1为了保证产品在长途运输和装车过程中的安全，产品包装应符合国家或专业（部）标准规定。保证包装坚固、易于运输，由于包装不善导致产品失缺或损坏等，由卖方承担一切责任。</w:t>
      </w:r>
    </w:p>
    <w:p w14:paraId="1850EB51">
      <w:pPr>
        <w:spacing w:line="360" w:lineRule="auto"/>
        <w:ind w:firstLine="480" w:firstLineChars="200"/>
        <w:rPr>
          <w:rFonts w:hint="eastAsia" w:ascii="黑体" w:hAnsi="宋体" w:eastAsia="黑体"/>
          <w:b/>
          <w:bCs/>
          <w:highlight w:val="none"/>
          <w:u w:val="single"/>
        </w:rPr>
      </w:pPr>
      <w:r>
        <w:rPr>
          <w:rFonts w:hint="eastAsia" w:ascii="宋体" w:hAnsi="宋体"/>
          <w:highlight w:val="none"/>
        </w:rPr>
        <w:t>4.2每一包装内必须附有包装清单。</w:t>
      </w:r>
    </w:p>
    <w:p w14:paraId="3222FD73">
      <w:pPr>
        <w:spacing w:line="360" w:lineRule="auto"/>
        <w:rPr>
          <w:rFonts w:hint="eastAsia" w:ascii="宋体" w:hAnsi="宋体"/>
          <w:highlight w:val="none"/>
        </w:rPr>
      </w:pPr>
      <w:r>
        <w:rPr>
          <w:rFonts w:hint="eastAsia" w:ascii="黑体" w:hAnsi="宋体" w:eastAsia="黑体"/>
          <w:b/>
          <w:bCs/>
          <w:highlight w:val="none"/>
        </w:rPr>
        <w:t>5.唛头</w:t>
      </w:r>
    </w:p>
    <w:p w14:paraId="5F17AC7E">
      <w:pPr>
        <w:spacing w:line="360" w:lineRule="auto"/>
        <w:ind w:firstLine="480" w:firstLineChars="200"/>
        <w:rPr>
          <w:rFonts w:hint="eastAsia" w:ascii="宋体" w:hAnsi="宋体"/>
          <w:highlight w:val="none"/>
        </w:rPr>
      </w:pPr>
      <w:r>
        <w:rPr>
          <w:rFonts w:hint="eastAsia" w:ascii="宋体" w:hAnsi="宋体"/>
          <w:highlight w:val="none"/>
        </w:rPr>
        <w:t>5.1卖方应在每件包装上，明显地标注下列标记：</w:t>
      </w:r>
    </w:p>
    <w:p w14:paraId="6DD7B07B">
      <w:pPr>
        <w:spacing w:line="360" w:lineRule="auto"/>
        <w:rPr>
          <w:rFonts w:hint="eastAsia" w:ascii="宋体" w:hAnsi="宋体"/>
          <w:highlight w:val="none"/>
          <w:u w:val="single"/>
        </w:rPr>
      </w:pPr>
      <w:r>
        <w:rPr>
          <w:rFonts w:hint="eastAsia" w:ascii="宋体" w:hAnsi="宋体"/>
          <w:highlight w:val="none"/>
        </w:rPr>
        <w:t>1) 收货人；</w:t>
      </w:r>
    </w:p>
    <w:p w14:paraId="58971341">
      <w:pPr>
        <w:spacing w:line="360" w:lineRule="auto"/>
        <w:rPr>
          <w:rFonts w:hint="eastAsia" w:ascii="宋体" w:hAnsi="宋体"/>
          <w:highlight w:val="none"/>
        </w:rPr>
      </w:pPr>
      <w:r>
        <w:rPr>
          <w:rFonts w:hint="eastAsia" w:ascii="宋体" w:hAnsi="宋体"/>
          <w:highlight w:val="none"/>
        </w:rPr>
        <w:t>2) 产品名称；</w:t>
      </w:r>
    </w:p>
    <w:p w14:paraId="7EE8BA4F">
      <w:pPr>
        <w:spacing w:line="360" w:lineRule="auto"/>
        <w:rPr>
          <w:rFonts w:hint="eastAsia" w:ascii="宋体" w:hAnsi="宋体"/>
          <w:highlight w:val="none"/>
        </w:rPr>
      </w:pPr>
      <w:r>
        <w:rPr>
          <w:rFonts w:hint="eastAsia" w:ascii="宋体" w:hAnsi="宋体"/>
          <w:highlight w:val="none"/>
        </w:rPr>
        <w:t>3) 合同号；</w:t>
      </w:r>
    </w:p>
    <w:p w14:paraId="4A8D1FBD">
      <w:pPr>
        <w:spacing w:line="360" w:lineRule="auto"/>
        <w:rPr>
          <w:rFonts w:ascii="宋体" w:hAnsi="宋体"/>
          <w:highlight w:val="none"/>
        </w:rPr>
      </w:pPr>
      <w:r>
        <w:rPr>
          <w:rFonts w:hint="eastAsia" w:ascii="宋体" w:hAnsi="宋体"/>
          <w:highlight w:val="none"/>
        </w:rPr>
        <w:t>4) 到达站或到货地点；</w:t>
      </w:r>
    </w:p>
    <w:p w14:paraId="24E71106">
      <w:pPr>
        <w:spacing w:line="360" w:lineRule="auto"/>
        <w:rPr>
          <w:rFonts w:hint="eastAsia" w:ascii="宋体" w:hAnsi="宋体"/>
          <w:highlight w:val="none"/>
        </w:rPr>
      </w:pPr>
      <w:r>
        <w:rPr>
          <w:rFonts w:hint="eastAsia" w:ascii="宋体" w:hAnsi="宋体"/>
          <w:highlight w:val="none"/>
        </w:rPr>
        <w:t>5) 外形尺寸（长×宽×高），以厘米计；</w:t>
      </w:r>
    </w:p>
    <w:p w14:paraId="35A08E15">
      <w:pPr>
        <w:spacing w:line="360" w:lineRule="auto"/>
        <w:rPr>
          <w:rFonts w:hint="eastAsia" w:ascii="宋体" w:hAnsi="宋体"/>
          <w:highlight w:val="none"/>
        </w:rPr>
      </w:pPr>
      <w:r>
        <w:rPr>
          <w:rFonts w:hint="eastAsia" w:ascii="宋体" w:hAnsi="宋体"/>
          <w:highlight w:val="none"/>
        </w:rPr>
        <w:t>6) 毛重、净重（公斤）。</w:t>
      </w:r>
    </w:p>
    <w:p w14:paraId="3EC6945E">
      <w:pPr>
        <w:spacing w:line="360" w:lineRule="auto"/>
        <w:ind w:firstLine="480" w:firstLineChars="200"/>
        <w:rPr>
          <w:rFonts w:hint="eastAsia" w:ascii="宋体" w:hAnsi="宋体"/>
          <w:highlight w:val="none"/>
        </w:rPr>
      </w:pPr>
      <w:r>
        <w:rPr>
          <w:rFonts w:hint="eastAsia" w:ascii="宋体" w:hAnsi="宋体"/>
          <w:highlight w:val="none"/>
        </w:rPr>
        <w:t>5.2卖方应根据产品特点， 在包装上标明“小心轻放”、“请勿倒置”、“防潮”等字样和吊装标记。</w:t>
      </w:r>
    </w:p>
    <w:p w14:paraId="34B3D268">
      <w:pPr>
        <w:spacing w:line="360" w:lineRule="auto"/>
        <w:rPr>
          <w:rFonts w:hint="eastAsia" w:ascii="宋体" w:hAnsi="宋体"/>
          <w:highlight w:val="none"/>
        </w:rPr>
      </w:pPr>
      <w:r>
        <w:rPr>
          <w:rFonts w:hint="eastAsia" w:ascii="黑体" w:hAnsi="宋体" w:eastAsia="黑体"/>
          <w:b/>
          <w:bCs/>
          <w:highlight w:val="none"/>
        </w:rPr>
        <w:t>6.质量保证</w:t>
      </w:r>
    </w:p>
    <w:p w14:paraId="3810E8B3">
      <w:pPr>
        <w:spacing w:line="360" w:lineRule="auto"/>
        <w:ind w:firstLine="480" w:firstLineChars="200"/>
        <w:rPr>
          <w:rFonts w:hint="eastAsia" w:ascii="宋体" w:hAnsi="宋体"/>
          <w:highlight w:val="none"/>
        </w:rPr>
      </w:pPr>
      <w:r>
        <w:rPr>
          <w:rFonts w:hint="eastAsia" w:ascii="宋体" w:hAnsi="宋体"/>
          <w:highlight w:val="none"/>
        </w:rPr>
        <w:t>6.1卖方保证所提供的所有产品是全新的。</w:t>
      </w:r>
    </w:p>
    <w:p w14:paraId="0CD67A78">
      <w:pPr>
        <w:spacing w:line="360" w:lineRule="auto"/>
        <w:ind w:firstLine="480" w:firstLineChars="200"/>
        <w:rPr>
          <w:rFonts w:hint="eastAsia" w:ascii="宋体" w:hAnsi="宋体"/>
          <w:highlight w:val="none"/>
        </w:rPr>
      </w:pPr>
      <w:r>
        <w:rPr>
          <w:rFonts w:hint="eastAsia" w:ascii="宋体" w:hAnsi="宋体"/>
          <w:highlight w:val="none"/>
        </w:rPr>
        <w:t>6.2卖方保证采用先进的技术、优质的材料、一流的工艺、严格的质量管理为买方提供完全符合合同规定的质量、性能要求的产品。</w:t>
      </w:r>
    </w:p>
    <w:p w14:paraId="6D5E9FB5">
      <w:pPr>
        <w:spacing w:line="360" w:lineRule="auto"/>
        <w:ind w:firstLine="480" w:firstLineChars="200"/>
        <w:rPr>
          <w:rFonts w:hint="eastAsia" w:ascii="宋体" w:hAnsi="宋体"/>
          <w:highlight w:val="none"/>
        </w:rPr>
      </w:pPr>
      <w:r>
        <w:rPr>
          <w:rFonts w:hint="eastAsia" w:ascii="宋体" w:hAnsi="宋体"/>
          <w:highlight w:val="none"/>
        </w:rPr>
        <w:t>6.3卖方保证按ISO9000系列标准或相应的质量管理和质量保证体系，对所供产品的制造、检验、包装、运输、装车等各个环节进行严格的质量管理和质量控制。</w:t>
      </w:r>
    </w:p>
    <w:p w14:paraId="23378EE7">
      <w:pPr>
        <w:spacing w:line="360" w:lineRule="auto"/>
        <w:ind w:firstLine="480" w:firstLineChars="200"/>
        <w:rPr>
          <w:rFonts w:hint="eastAsia" w:ascii="宋体" w:hAnsi="宋体"/>
          <w:highlight w:val="none"/>
        </w:rPr>
      </w:pPr>
      <w:r>
        <w:rPr>
          <w:rFonts w:hint="eastAsia" w:ascii="宋体" w:hAnsi="宋体"/>
          <w:highlight w:val="none"/>
        </w:rPr>
        <w:t>6.4卖方保证所提供的产品在正确施工、正常使用和维护保养的情况下，具有使买方满意的使用性能和使用寿命。</w:t>
      </w:r>
    </w:p>
    <w:p w14:paraId="58C61E2B">
      <w:pPr>
        <w:spacing w:line="360" w:lineRule="auto"/>
        <w:rPr>
          <w:rFonts w:hint="eastAsia" w:ascii="黑体" w:hAnsi="宋体" w:eastAsia="黑体"/>
          <w:b/>
          <w:bCs/>
          <w:highlight w:val="none"/>
        </w:rPr>
      </w:pPr>
      <w:r>
        <w:rPr>
          <w:rFonts w:hint="eastAsia" w:ascii="黑体" w:hAnsi="宋体" w:eastAsia="黑体"/>
          <w:b/>
          <w:bCs/>
          <w:highlight w:val="none"/>
        </w:rPr>
        <w:t>7.质量保证期</w:t>
      </w:r>
    </w:p>
    <w:p w14:paraId="0BA55484">
      <w:pPr>
        <w:spacing w:line="360" w:lineRule="auto"/>
        <w:ind w:firstLine="480" w:firstLineChars="200"/>
        <w:rPr>
          <w:rFonts w:hint="eastAsia" w:ascii="宋体" w:hAnsi="宋体"/>
          <w:szCs w:val="21"/>
          <w:highlight w:val="none"/>
        </w:rPr>
      </w:pPr>
      <w:r>
        <w:rPr>
          <w:rFonts w:hint="eastAsia" w:ascii="宋体" w:hAnsi="宋体"/>
          <w:szCs w:val="21"/>
          <w:highlight w:val="none"/>
        </w:rPr>
        <w:t>7.1</w:t>
      </w:r>
      <w:r>
        <w:rPr>
          <w:rFonts w:hint="eastAsia" w:ascii="宋体" w:hAnsi="宋体" w:cs="宋体"/>
          <w:b/>
          <w:kern w:val="0"/>
          <w:szCs w:val="21"/>
          <w:highlight w:val="none"/>
        </w:rPr>
        <w:t>中标人提供所有工程竣工验收合格之日起二年的保质期。</w:t>
      </w:r>
    </w:p>
    <w:p w14:paraId="4F23992C">
      <w:pPr>
        <w:spacing w:line="360" w:lineRule="auto"/>
        <w:rPr>
          <w:rFonts w:hint="eastAsia" w:ascii="宋体" w:hAnsi="宋体"/>
          <w:highlight w:val="none"/>
        </w:rPr>
      </w:pPr>
      <w:r>
        <w:rPr>
          <w:rFonts w:hint="eastAsia" w:ascii="黑体" w:hAnsi="宋体" w:eastAsia="黑体"/>
          <w:b/>
          <w:bCs/>
          <w:highlight w:val="none"/>
        </w:rPr>
        <w:t>8.合同转让和分包</w:t>
      </w:r>
    </w:p>
    <w:p w14:paraId="0AEBE6BA">
      <w:pPr>
        <w:spacing w:line="360" w:lineRule="auto"/>
        <w:ind w:firstLine="480" w:firstLineChars="200"/>
        <w:rPr>
          <w:rFonts w:hint="eastAsia" w:ascii="宋体" w:hAnsi="宋体"/>
          <w:highlight w:val="none"/>
        </w:rPr>
      </w:pPr>
      <w:r>
        <w:rPr>
          <w:rFonts w:hint="eastAsia" w:ascii="宋体" w:hAnsi="宋体"/>
          <w:highlight w:val="none"/>
        </w:rPr>
        <w:t>8.1未经买方书面同意，卖方不得将合同产品的制造工作转包给第三方。</w:t>
      </w:r>
    </w:p>
    <w:p w14:paraId="2E935EE3">
      <w:pPr>
        <w:spacing w:line="360" w:lineRule="auto"/>
        <w:ind w:firstLine="480" w:firstLineChars="200"/>
        <w:rPr>
          <w:rFonts w:ascii="宋体" w:hAnsi="宋体"/>
          <w:highlight w:val="none"/>
        </w:rPr>
      </w:pPr>
      <w:r>
        <w:rPr>
          <w:rFonts w:hint="eastAsia" w:ascii="宋体" w:hAnsi="宋体"/>
          <w:highlight w:val="none"/>
        </w:rPr>
        <w:t>8.2虽然卖方在投标文件中对外购或外协的材料作了说明且得到买方认可，但卖方仍应对这些材料的质量负全部责任。</w:t>
      </w:r>
    </w:p>
    <w:p w14:paraId="7FE68E2C">
      <w:pPr>
        <w:spacing w:line="360" w:lineRule="auto"/>
        <w:rPr>
          <w:rFonts w:hint="eastAsia" w:ascii="宋体" w:hAnsi="宋体"/>
          <w:highlight w:val="none"/>
        </w:rPr>
      </w:pPr>
      <w:r>
        <w:rPr>
          <w:rFonts w:hint="eastAsia" w:ascii="黑体" w:hAnsi="宋体" w:eastAsia="黑体"/>
          <w:b/>
          <w:bCs/>
          <w:highlight w:val="none"/>
        </w:rPr>
        <w:t>9.合同修改</w:t>
      </w:r>
    </w:p>
    <w:p w14:paraId="10FCD2CC">
      <w:pPr>
        <w:spacing w:line="360" w:lineRule="auto"/>
        <w:ind w:firstLine="480" w:firstLineChars="200"/>
        <w:rPr>
          <w:rFonts w:hint="eastAsia" w:ascii="宋体" w:hAnsi="宋体"/>
          <w:highlight w:val="none"/>
        </w:rPr>
      </w:pPr>
      <w:r>
        <w:rPr>
          <w:rFonts w:hint="eastAsia" w:ascii="宋体" w:hAnsi="宋体"/>
          <w:highlight w:val="none"/>
        </w:rPr>
        <w:t>9.1买、卖双方的任何一方对合同内容提出修改，均应以书面形式通知对方，并达成由双方签署的合同修改书。</w:t>
      </w:r>
    </w:p>
    <w:p w14:paraId="07498B4A">
      <w:pPr>
        <w:spacing w:line="360" w:lineRule="auto"/>
        <w:ind w:firstLine="480" w:firstLineChars="200"/>
        <w:rPr>
          <w:rFonts w:hint="eastAsia" w:ascii="宋体" w:hAnsi="宋体"/>
          <w:highlight w:val="none"/>
        </w:rPr>
      </w:pPr>
      <w:r>
        <w:rPr>
          <w:rFonts w:hint="eastAsia" w:ascii="宋体" w:hAnsi="宋体"/>
          <w:highlight w:val="none"/>
        </w:rPr>
        <w:t>9.2除非买方对产品的规格和涉及价格因素的技术参数提出修改，卖方不得对合同价格提出修改要求。</w:t>
      </w:r>
    </w:p>
    <w:p w14:paraId="5AF2D1E2">
      <w:pPr>
        <w:spacing w:line="360" w:lineRule="auto"/>
        <w:rPr>
          <w:rFonts w:hint="eastAsia" w:ascii="宋体" w:hAnsi="宋体"/>
          <w:highlight w:val="none"/>
        </w:rPr>
      </w:pPr>
      <w:r>
        <w:rPr>
          <w:rFonts w:hint="eastAsia" w:ascii="黑体" w:hAnsi="宋体" w:eastAsia="黑体"/>
          <w:b/>
          <w:bCs/>
          <w:highlight w:val="none"/>
        </w:rPr>
        <w:t>10.违约责任</w:t>
      </w:r>
    </w:p>
    <w:p w14:paraId="7BC75638">
      <w:pPr>
        <w:spacing w:line="360" w:lineRule="auto"/>
        <w:ind w:firstLine="480" w:firstLineChars="200"/>
        <w:rPr>
          <w:rFonts w:hint="eastAsia" w:ascii="宋体" w:hAnsi="宋体"/>
          <w:highlight w:val="none"/>
        </w:rPr>
      </w:pPr>
      <w:r>
        <w:rPr>
          <w:rFonts w:hint="eastAsia" w:ascii="宋体" w:hAnsi="宋体"/>
          <w:highlight w:val="none"/>
        </w:rPr>
        <w:t>10.1产品质量责任</w:t>
      </w:r>
    </w:p>
    <w:p w14:paraId="291FE497">
      <w:pPr>
        <w:spacing w:line="360" w:lineRule="auto"/>
        <w:rPr>
          <w:rFonts w:hint="eastAsia" w:ascii="宋体" w:hAnsi="宋体"/>
          <w:highlight w:val="none"/>
        </w:rPr>
      </w:pPr>
      <w:r>
        <w:rPr>
          <w:rFonts w:ascii="宋体" w:hAnsi="宋体"/>
          <w:highlight w:val="none"/>
        </w:rPr>
        <w:t xml:space="preserve"> </w:t>
      </w:r>
      <w:r>
        <w:rPr>
          <w:rFonts w:hint="eastAsia" w:ascii="宋体" w:hAnsi="宋体"/>
          <w:highlight w:val="none"/>
        </w:rPr>
        <w:t>(1) 在产品质量保证期内，凡产品在开箱检验等过程中发现的产品质量问题，由卖方负责处理，实行包换、包退，直至产品符合质量要求。卖方承担调换、退货发生的一切费用和买方的直接经济损失。</w:t>
      </w:r>
    </w:p>
    <w:p w14:paraId="15666B7A">
      <w:pPr>
        <w:spacing w:line="360" w:lineRule="auto"/>
        <w:rPr>
          <w:rFonts w:hint="eastAsia" w:ascii="宋体" w:hAnsi="宋体"/>
          <w:highlight w:val="none"/>
        </w:rPr>
      </w:pPr>
      <w:r>
        <w:rPr>
          <w:rFonts w:ascii="宋体" w:hAnsi="宋体"/>
          <w:highlight w:val="none"/>
        </w:rPr>
        <w:t xml:space="preserve"> </w:t>
      </w:r>
      <w:r>
        <w:rPr>
          <w:rFonts w:hint="eastAsia" w:ascii="宋体" w:hAnsi="宋体"/>
          <w:highlight w:val="none"/>
        </w:rPr>
        <w:t>(</w:t>
      </w:r>
      <w:r>
        <w:rPr>
          <w:rFonts w:ascii="宋体" w:hAnsi="宋体"/>
          <w:highlight w:val="none"/>
        </w:rPr>
        <w:t>2)</w:t>
      </w:r>
      <w:r>
        <w:rPr>
          <w:rFonts w:hint="eastAsia" w:ascii="宋体" w:hAnsi="宋体"/>
          <w:highlight w:val="none"/>
        </w:rPr>
        <w:t xml:space="preserve"> 卖方在接到买方通知后，应立即派人赴现场处理产品质量问题。</w:t>
      </w:r>
      <w:r>
        <w:rPr>
          <w:rFonts w:ascii="宋体" w:hAnsi="宋体"/>
          <w:highlight w:val="none"/>
        </w:rPr>
        <w:t xml:space="preserve"> </w:t>
      </w:r>
    </w:p>
    <w:p w14:paraId="701D2C3F">
      <w:pPr>
        <w:spacing w:line="360" w:lineRule="auto"/>
        <w:ind w:firstLine="129" w:firstLineChars="54"/>
        <w:rPr>
          <w:rFonts w:ascii="宋体" w:hAnsi="宋体"/>
          <w:highlight w:val="none"/>
        </w:rPr>
      </w:pPr>
      <w:r>
        <w:rPr>
          <w:rFonts w:hint="eastAsia" w:ascii="宋体" w:hAnsi="宋体"/>
          <w:highlight w:val="none"/>
        </w:rPr>
        <w:t>(</w:t>
      </w:r>
      <w:r>
        <w:rPr>
          <w:rFonts w:ascii="宋体" w:hAnsi="宋体"/>
          <w:highlight w:val="none"/>
        </w:rPr>
        <w:t>3)</w:t>
      </w:r>
      <w:r>
        <w:rPr>
          <w:rFonts w:hint="eastAsia" w:ascii="宋体" w:hAnsi="宋体"/>
          <w:highlight w:val="none"/>
        </w:rPr>
        <w:t xml:space="preserve"> 由于买方保管不善或使用不当造成产品短缺或损坏，由买方负责。但卖方保证及时给予补齐或修复。 </w:t>
      </w:r>
    </w:p>
    <w:p w14:paraId="0B3C7FBC">
      <w:pPr>
        <w:spacing w:line="360" w:lineRule="auto"/>
        <w:ind w:firstLine="480" w:firstLineChars="200"/>
        <w:rPr>
          <w:rFonts w:hint="eastAsia" w:ascii="宋体" w:hAnsi="宋体"/>
          <w:highlight w:val="none"/>
        </w:rPr>
      </w:pPr>
      <w:r>
        <w:rPr>
          <w:rFonts w:hint="eastAsia" w:ascii="宋体" w:hAnsi="宋体"/>
          <w:highlight w:val="none"/>
        </w:rPr>
        <w:t>10.2违约赔偿</w:t>
      </w:r>
    </w:p>
    <w:p w14:paraId="4694564E">
      <w:pPr>
        <w:spacing w:line="360" w:lineRule="auto"/>
        <w:rPr>
          <w:rFonts w:hint="eastAsia" w:ascii="宋体" w:hAnsi="宋体"/>
          <w:highlight w:val="none"/>
        </w:rPr>
      </w:pPr>
      <w:r>
        <w:rPr>
          <w:rFonts w:hint="eastAsia" w:ascii="宋体" w:hAnsi="宋体"/>
          <w:highlight w:val="none"/>
        </w:rPr>
        <w:t xml:space="preserve">    除不可抗力外，如卖方发生不能按期交货或提供服务，买方发生中途退货等情况，应及时以书面形式通知对方。买、卖双方应本着友好的态度进行协商，妥善解决。</w:t>
      </w:r>
      <w:r>
        <w:rPr>
          <w:rFonts w:hint="eastAsia" w:ascii="宋体" w:hAnsi="宋体"/>
          <w:highlight w:val="none"/>
        </w:rPr>
        <w:cr/>
      </w:r>
      <w:r>
        <w:rPr>
          <w:rFonts w:hint="eastAsia" w:ascii="宋体" w:hAnsi="宋体"/>
          <w:highlight w:val="none"/>
        </w:rPr>
        <w:t xml:space="preserve">    如协商无效，按下列规定承担违约金。</w:t>
      </w:r>
    </w:p>
    <w:p w14:paraId="10535F44">
      <w:pPr>
        <w:spacing w:line="360" w:lineRule="auto"/>
        <w:rPr>
          <w:rFonts w:hint="eastAsia" w:ascii="宋体" w:hAnsi="宋体"/>
          <w:highlight w:val="none"/>
        </w:rPr>
      </w:pPr>
      <w:r>
        <w:rPr>
          <w:rFonts w:hint="eastAsia" w:ascii="宋体" w:hAnsi="宋体"/>
          <w:highlight w:val="none"/>
        </w:rPr>
        <w:t>(1) 逾期交货</w:t>
      </w:r>
    </w:p>
    <w:p w14:paraId="60DD5B22">
      <w:pPr>
        <w:spacing w:line="360" w:lineRule="auto"/>
        <w:rPr>
          <w:rFonts w:hint="eastAsia" w:ascii="宋体" w:hAnsi="宋体"/>
          <w:highlight w:val="none"/>
        </w:rPr>
      </w:pPr>
      <w:r>
        <w:rPr>
          <w:rFonts w:hint="eastAsia" w:ascii="宋体" w:hAnsi="宋体"/>
          <w:highlight w:val="none"/>
        </w:rPr>
        <w:t>  卖方逾期交货，每延迟一天违约金按逾期交货部分货款的10％计算。逾期交货的违约赔偿最高限度为合同价的5％，如违约金达到最高限额时卖方仍逾期交货，买方有权解除合同。   </w:t>
      </w:r>
    </w:p>
    <w:p w14:paraId="3A41368B">
      <w:pPr>
        <w:spacing w:line="360" w:lineRule="auto"/>
        <w:rPr>
          <w:rFonts w:hint="eastAsia" w:ascii="宋体" w:hAnsi="宋体"/>
          <w:highlight w:val="none"/>
        </w:rPr>
      </w:pPr>
      <w:r>
        <w:rPr>
          <w:rFonts w:hint="eastAsia" w:ascii="宋体" w:hAnsi="宋体"/>
          <w:highlight w:val="none"/>
        </w:rPr>
        <w:t>(2) 卖方不能交货</w:t>
      </w:r>
    </w:p>
    <w:p w14:paraId="6FE661AF">
      <w:pPr>
        <w:spacing w:line="360" w:lineRule="auto"/>
        <w:ind w:firstLine="360" w:firstLineChars="150"/>
        <w:rPr>
          <w:rFonts w:hint="eastAsia" w:ascii="宋体" w:hAnsi="宋体"/>
          <w:highlight w:val="none"/>
        </w:rPr>
      </w:pPr>
      <w:r>
        <w:rPr>
          <w:rFonts w:hint="eastAsia" w:ascii="宋体" w:hAnsi="宋体"/>
          <w:highlight w:val="none"/>
        </w:rPr>
        <w:t>卖方不能交货，应向买方偿付违约金，违约金按合同价的10％计算，买方有权解除合同。   </w:t>
      </w:r>
    </w:p>
    <w:p w14:paraId="7814DB5D">
      <w:pPr>
        <w:spacing w:line="360" w:lineRule="auto"/>
        <w:rPr>
          <w:rFonts w:hint="eastAsia" w:ascii="宋体" w:hAnsi="宋体"/>
          <w:highlight w:val="none"/>
        </w:rPr>
      </w:pPr>
      <w:r>
        <w:rPr>
          <w:rFonts w:hint="eastAsia" w:ascii="宋体" w:hAnsi="宋体"/>
          <w:highlight w:val="none"/>
        </w:rPr>
        <w:t>（3）买方中途退货</w:t>
      </w:r>
    </w:p>
    <w:p w14:paraId="22DE6996">
      <w:pPr>
        <w:spacing w:line="360" w:lineRule="auto"/>
        <w:rPr>
          <w:rFonts w:hint="eastAsia" w:ascii="宋体" w:hAnsi="宋体"/>
          <w:highlight w:val="none"/>
        </w:rPr>
      </w:pPr>
      <w:r>
        <w:rPr>
          <w:rFonts w:hint="eastAsia" w:ascii="宋体" w:hAnsi="宋体"/>
          <w:highlight w:val="none"/>
        </w:rPr>
        <w:t>  买方中途退货，应向卖方偿付违约金，违约金按中途退货部分货款的10％计算。买方中途退货指买方将卖方已经运到施工现场的货物，因买方原因退还给卖方。</w:t>
      </w:r>
    </w:p>
    <w:p w14:paraId="2F742E47">
      <w:pPr>
        <w:spacing w:line="360" w:lineRule="auto"/>
        <w:rPr>
          <w:rFonts w:hint="eastAsia" w:ascii="宋体" w:hAnsi="宋体"/>
          <w:highlight w:val="none"/>
        </w:rPr>
      </w:pPr>
      <w:r>
        <w:rPr>
          <w:rFonts w:hint="eastAsia" w:ascii="宋体" w:hAnsi="宋体"/>
          <w:highlight w:val="none"/>
        </w:rPr>
        <w:t>(4) 经买、卖双方协商同意延期交货和经双方友好协商同意退货且无需承担违约金。</w:t>
      </w:r>
    </w:p>
    <w:p w14:paraId="64F36CFA">
      <w:pPr>
        <w:spacing w:line="360" w:lineRule="auto"/>
        <w:rPr>
          <w:rFonts w:hint="eastAsia" w:ascii="宋体" w:hAnsi="宋体"/>
          <w:highlight w:val="none"/>
        </w:rPr>
      </w:pPr>
      <w:r>
        <w:rPr>
          <w:rFonts w:hint="eastAsia" w:ascii="黑体" w:hAnsi="宋体" w:eastAsia="黑体"/>
          <w:b/>
          <w:bCs/>
          <w:highlight w:val="none"/>
        </w:rPr>
        <w:t>11.履约保证金的承担</w:t>
      </w:r>
    </w:p>
    <w:p w14:paraId="2E018369">
      <w:pPr>
        <w:spacing w:line="360" w:lineRule="auto"/>
        <w:ind w:firstLine="480" w:firstLineChars="200"/>
        <w:rPr>
          <w:rFonts w:hint="eastAsia" w:ascii="宋体" w:hAnsi="宋体"/>
          <w:highlight w:val="none"/>
        </w:rPr>
      </w:pPr>
      <w:r>
        <w:rPr>
          <w:rFonts w:hint="eastAsia" w:ascii="宋体" w:hAnsi="宋体"/>
          <w:highlight w:val="none"/>
        </w:rPr>
        <w:t>11.1如卖方未能履行合同规定的任何义务，买方有权从履约保证金中得到补偿。</w:t>
      </w:r>
    </w:p>
    <w:p w14:paraId="1F016569">
      <w:pPr>
        <w:spacing w:line="360" w:lineRule="auto"/>
        <w:ind w:firstLine="480" w:firstLineChars="200"/>
        <w:rPr>
          <w:rFonts w:hint="eastAsia" w:ascii="宋体" w:hAnsi="宋体"/>
          <w:highlight w:val="none"/>
        </w:rPr>
      </w:pPr>
      <w:r>
        <w:rPr>
          <w:rFonts w:hint="eastAsia" w:ascii="宋体" w:hAnsi="宋体"/>
          <w:highlight w:val="none"/>
        </w:rPr>
        <w:t>11.2如果卖方毫无理由地拖延交货或拒绝履行合同规定的任何义务，履约保证金将被没收，并加收违约赔偿。</w:t>
      </w:r>
    </w:p>
    <w:p w14:paraId="538D488E">
      <w:pPr>
        <w:spacing w:line="360" w:lineRule="auto"/>
        <w:ind w:firstLine="480" w:firstLineChars="200"/>
        <w:rPr>
          <w:rFonts w:hint="eastAsia" w:ascii="宋体" w:hAnsi="宋体"/>
          <w:highlight w:val="none"/>
        </w:rPr>
      </w:pPr>
      <w:r>
        <w:rPr>
          <w:rFonts w:hint="eastAsia" w:ascii="宋体" w:hAnsi="宋体"/>
          <w:highlight w:val="none"/>
        </w:rPr>
        <w:t>11.3卖方提供的产品须和投标文件中所承诺的相符合（合同中另有约定除外）。</w:t>
      </w:r>
    </w:p>
    <w:p w14:paraId="231B6CE3">
      <w:pPr>
        <w:spacing w:line="360" w:lineRule="auto"/>
        <w:ind w:firstLine="480" w:firstLineChars="200"/>
        <w:rPr>
          <w:rFonts w:hint="eastAsia" w:ascii="宋体" w:hAnsi="宋体"/>
          <w:highlight w:val="none"/>
        </w:rPr>
      </w:pPr>
      <w:r>
        <w:rPr>
          <w:rFonts w:hint="eastAsia" w:ascii="宋体" w:hAnsi="宋体"/>
          <w:highlight w:val="none"/>
        </w:rPr>
        <w:t>12.合同解除</w:t>
      </w:r>
    </w:p>
    <w:p w14:paraId="3C5C2EC2">
      <w:pPr>
        <w:spacing w:line="360" w:lineRule="auto"/>
        <w:ind w:firstLine="480" w:firstLineChars="200"/>
        <w:rPr>
          <w:rFonts w:hint="eastAsia" w:ascii="宋体" w:hAnsi="宋体"/>
          <w:highlight w:val="none"/>
        </w:rPr>
      </w:pPr>
      <w:r>
        <w:rPr>
          <w:rFonts w:hint="eastAsia" w:ascii="宋体" w:hAnsi="宋体"/>
          <w:highlight w:val="none"/>
        </w:rPr>
        <w:t>12.1买方在卖方存在如下违约情况时，买方有权解除全部或部分合同。</w:t>
      </w:r>
    </w:p>
    <w:p w14:paraId="59A4F3CC">
      <w:pPr>
        <w:spacing w:line="360" w:lineRule="auto"/>
        <w:ind w:firstLine="480" w:firstLineChars="200"/>
        <w:rPr>
          <w:rFonts w:hint="eastAsia" w:ascii="宋体" w:hAnsi="宋体"/>
          <w:highlight w:val="none"/>
        </w:rPr>
      </w:pPr>
      <w:r>
        <w:rPr>
          <w:rFonts w:hint="eastAsia" w:ascii="宋体" w:hAnsi="宋体"/>
          <w:highlight w:val="none"/>
        </w:rPr>
        <w:t>(1) 卖方未能在合同规定期限或买方同意延长的期限内交付全部或部分产品。</w:t>
      </w:r>
    </w:p>
    <w:p w14:paraId="5FCB6ECB">
      <w:pPr>
        <w:spacing w:line="360" w:lineRule="auto"/>
        <w:ind w:firstLine="480" w:firstLineChars="200"/>
        <w:rPr>
          <w:rFonts w:hint="eastAsia" w:ascii="宋体" w:hAnsi="宋体"/>
          <w:highlight w:val="none"/>
        </w:rPr>
      </w:pPr>
      <w:r>
        <w:rPr>
          <w:rFonts w:hint="eastAsia" w:ascii="宋体" w:hAnsi="宋体"/>
          <w:highlight w:val="none"/>
        </w:rPr>
        <w:t>(2) 卖方未能履行合同规定的其他义务，造成合同目的无法实现。</w:t>
      </w:r>
    </w:p>
    <w:p w14:paraId="4A88C9BB">
      <w:pPr>
        <w:spacing w:line="360" w:lineRule="auto"/>
        <w:ind w:firstLine="480" w:firstLineChars="200"/>
        <w:rPr>
          <w:rFonts w:hint="eastAsia" w:ascii="宋体" w:hAnsi="宋体"/>
          <w:highlight w:val="none"/>
        </w:rPr>
      </w:pPr>
      <w:r>
        <w:rPr>
          <w:rFonts w:hint="eastAsia" w:ascii="宋体" w:hAnsi="宋体"/>
          <w:highlight w:val="none"/>
        </w:rPr>
        <w:t>(3) 在发生上述情况后，卖方收到买方的违约通知后30天内未能纠正其过失。</w:t>
      </w:r>
    </w:p>
    <w:p w14:paraId="1D347A02">
      <w:pPr>
        <w:spacing w:line="360" w:lineRule="auto"/>
        <w:ind w:firstLine="480" w:firstLineChars="200"/>
        <w:rPr>
          <w:rFonts w:hint="eastAsia" w:ascii="宋体" w:hAnsi="宋体"/>
          <w:highlight w:val="none"/>
        </w:rPr>
      </w:pPr>
      <w:r>
        <w:rPr>
          <w:rFonts w:hint="eastAsia" w:ascii="宋体" w:hAnsi="宋体"/>
          <w:highlight w:val="none"/>
        </w:rPr>
        <w:t>12.2卖方应继续履行未解除部分合同。</w:t>
      </w:r>
    </w:p>
    <w:p w14:paraId="1A406654">
      <w:pPr>
        <w:spacing w:line="360" w:lineRule="auto"/>
        <w:ind w:firstLine="480" w:firstLineChars="200"/>
        <w:rPr>
          <w:rFonts w:hint="eastAsia" w:ascii="宋体" w:hAnsi="宋体"/>
          <w:highlight w:val="none"/>
        </w:rPr>
      </w:pPr>
      <w:r>
        <w:rPr>
          <w:rFonts w:hint="eastAsia" w:ascii="宋体" w:hAnsi="宋体"/>
          <w:highlight w:val="none"/>
        </w:rPr>
        <w:t>12.3在全部或部分合同解除下，并不解除卖方按10.1条规定对已交货部分产品应负的产品质量责任。</w:t>
      </w:r>
    </w:p>
    <w:p w14:paraId="1C68C8BC">
      <w:pPr>
        <w:spacing w:line="360" w:lineRule="auto"/>
        <w:ind w:firstLine="480" w:firstLineChars="200"/>
        <w:rPr>
          <w:rFonts w:hint="eastAsia" w:ascii="宋体" w:hAnsi="宋体"/>
          <w:highlight w:val="none"/>
        </w:rPr>
      </w:pPr>
      <w:r>
        <w:rPr>
          <w:rFonts w:hint="eastAsia" w:ascii="宋体" w:hAnsi="宋体"/>
          <w:highlight w:val="none"/>
        </w:rPr>
        <w:t>13.纠纷处理</w:t>
      </w:r>
    </w:p>
    <w:p w14:paraId="4BCCD516">
      <w:pPr>
        <w:spacing w:line="360" w:lineRule="auto"/>
        <w:ind w:firstLine="480" w:firstLineChars="200"/>
        <w:rPr>
          <w:rFonts w:hint="eastAsia" w:ascii="宋体" w:hAnsi="宋体"/>
          <w:highlight w:val="none"/>
        </w:rPr>
      </w:pPr>
      <w:r>
        <w:rPr>
          <w:rFonts w:hint="eastAsia" w:ascii="宋体" w:hAnsi="宋体"/>
          <w:highlight w:val="none"/>
        </w:rPr>
        <w:t>凡有关履行本合同发生的争端，买、卖双方应通过友好协商，妥善解决。如通过协商仍不能解决时，可向三门县人民法院诉讼解决。</w:t>
      </w:r>
    </w:p>
    <w:p w14:paraId="74FDBD62">
      <w:pPr>
        <w:spacing w:line="360" w:lineRule="auto"/>
        <w:ind w:firstLine="480" w:firstLineChars="200"/>
        <w:rPr>
          <w:rFonts w:hint="eastAsia" w:ascii="宋体" w:hAnsi="宋体"/>
          <w:highlight w:val="none"/>
        </w:rPr>
      </w:pPr>
      <w:r>
        <w:rPr>
          <w:rFonts w:hint="eastAsia" w:ascii="宋体" w:hAnsi="宋体"/>
          <w:highlight w:val="none"/>
        </w:rPr>
        <w:t>14.合同生效及其他</w:t>
      </w:r>
    </w:p>
    <w:p w14:paraId="38C0272E">
      <w:pPr>
        <w:spacing w:line="360" w:lineRule="auto"/>
        <w:ind w:firstLine="480" w:firstLineChars="200"/>
        <w:rPr>
          <w:rFonts w:hint="eastAsia" w:ascii="宋体" w:hAnsi="宋体"/>
          <w:highlight w:val="none"/>
        </w:rPr>
      </w:pPr>
      <w:r>
        <w:rPr>
          <w:rFonts w:hint="eastAsia" w:ascii="宋体" w:hAnsi="宋体"/>
          <w:highlight w:val="none"/>
        </w:rPr>
        <w:t>14.1合同应在双方签字盖章后开始生效。</w:t>
      </w:r>
    </w:p>
    <w:p w14:paraId="487858AB">
      <w:pPr>
        <w:spacing w:line="360" w:lineRule="auto"/>
        <w:ind w:firstLine="480" w:firstLineChars="200"/>
        <w:rPr>
          <w:rFonts w:hint="eastAsia" w:ascii="宋体" w:hAnsi="宋体"/>
          <w:highlight w:val="none"/>
        </w:rPr>
      </w:pPr>
      <w:r>
        <w:rPr>
          <w:rFonts w:hint="eastAsia" w:ascii="宋体" w:hAnsi="宋体"/>
          <w:highlight w:val="none"/>
        </w:rPr>
        <w:t>14.2本合同八份，双方各执一半，同等生效</w:t>
      </w:r>
      <w:r>
        <w:rPr>
          <w:rFonts w:hint="eastAsia" w:ascii="黑体" w:hAnsi="宋体" w:eastAsia="黑体"/>
          <w:highlight w:val="none"/>
        </w:rPr>
        <w:t>。</w:t>
      </w:r>
    </w:p>
    <w:p w14:paraId="5A2AF178">
      <w:pPr>
        <w:pStyle w:val="3"/>
        <w:keepNext w:val="0"/>
        <w:keepLines w:val="0"/>
        <w:numPr>
          <w:ilvl w:val="0"/>
          <w:numId w:val="33"/>
        </w:numPr>
        <w:spacing w:before="0" w:after="0" w:line="360" w:lineRule="auto"/>
        <w:ind w:left="0" w:firstLine="0"/>
        <w:jc w:val="center"/>
        <w:rPr>
          <w:rFonts w:hint="eastAsia" w:ascii="黑体"/>
          <w:highlight w:val="none"/>
        </w:rPr>
      </w:pPr>
      <w:bookmarkStart w:id="104" w:name="_Toc85959618"/>
      <w:bookmarkStart w:id="105" w:name="_Toc8079"/>
      <w:bookmarkStart w:id="106" w:name="_Toc31196"/>
      <w:bookmarkStart w:id="107" w:name="_Toc447182065"/>
      <w:bookmarkStart w:id="108" w:name="_Toc72546593"/>
      <w:r>
        <w:rPr>
          <w:rFonts w:hint="eastAsia" w:ascii="黑体"/>
          <w:highlight w:val="none"/>
        </w:rPr>
        <w:t>合同特殊条款</w:t>
      </w:r>
      <w:bookmarkEnd w:id="104"/>
      <w:bookmarkEnd w:id="105"/>
      <w:bookmarkEnd w:id="106"/>
      <w:bookmarkEnd w:id="107"/>
      <w:bookmarkEnd w:id="108"/>
    </w:p>
    <w:p w14:paraId="712933FD">
      <w:pPr>
        <w:spacing w:line="360" w:lineRule="auto"/>
        <w:rPr>
          <w:rFonts w:hint="eastAsia" w:ascii="宋体" w:hAnsi="宋体"/>
          <w:highlight w:val="none"/>
        </w:rPr>
      </w:pPr>
      <w:r>
        <w:rPr>
          <w:rFonts w:hint="eastAsia" w:ascii="宋体" w:hAnsi="宋体"/>
          <w:highlight w:val="none"/>
        </w:rPr>
        <w:t xml:space="preserve">   本合同特殊条款是对合同一般条款的补充，两者之间如有抵触，以本特殊条款为准。</w:t>
      </w:r>
    </w:p>
    <w:p w14:paraId="47D3B331">
      <w:pPr>
        <w:spacing w:line="360" w:lineRule="auto"/>
        <w:ind w:left="422" w:hanging="482" w:hangingChars="200"/>
        <w:rPr>
          <w:rFonts w:hint="eastAsia" w:ascii="黑体" w:hAnsi="宋体" w:eastAsia="黑体"/>
          <w:b/>
          <w:bCs/>
          <w:highlight w:val="none"/>
        </w:rPr>
      </w:pPr>
      <w:r>
        <w:rPr>
          <w:rFonts w:hint="eastAsia" w:ascii="黑体" w:hAnsi="宋体" w:eastAsia="黑体"/>
          <w:b/>
          <w:bCs/>
          <w:highlight w:val="none"/>
        </w:rPr>
        <w:t>1.合同交货</w:t>
      </w:r>
    </w:p>
    <w:p w14:paraId="4C503661">
      <w:pPr>
        <w:spacing w:line="360" w:lineRule="auto"/>
        <w:ind w:firstLine="480" w:firstLineChars="200"/>
        <w:rPr>
          <w:rFonts w:hint="eastAsia" w:ascii="宋体" w:hAnsi="宋体"/>
          <w:highlight w:val="none"/>
        </w:rPr>
      </w:pPr>
      <w:r>
        <w:rPr>
          <w:rFonts w:hint="eastAsia" w:ascii="宋体" w:hAnsi="宋体"/>
          <w:highlight w:val="none"/>
        </w:rPr>
        <w:t>1）供货方式：分期分批供货。</w:t>
      </w:r>
    </w:p>
    <w:p w14:paraId="1D966F2D">
      <w:pPr>
        <w:spacing w:line="360" w:lineRule="auto"/>
        <w:ind w:firstLine="480" w:firstLineChars="200"/>
        <w:rPr>
          <w:rFonts w:hint="eastAsia" w:ascii="宋体" w:hAnsi="宋体"/>
          <w:highlight w:val="none"/>
        </w:rPr>
      </w:pPr>
      <w:r>
        <w:rPr>
          <w:rFonts w:hint="eastAsia" w:ascii="宋体" w:hAnsi="宋体"/>
          <w:highlight w:val="none"/>
        </w:rPr>
        <w:t>2）供货期：在招标人（或其委托人）发出供货通知书（或者提单）后，中标人按照中标承诺书中承诺的日历天内（</w:t>
      </w:r>
      <w:r>
        <w:rPr>
          <w:rFonts w:hint="eastAsia" w:ascii="宋体" w:hAnsi="宋体"/>
          <w:highlight w:val="none"/>
          <w:u w:val="single"/>
        </w:rPr>
        <w:t xml:space="preserve">    </w:t>
      </w:r>
      <w:r>
        <w:rPr>
          <w:rFonts w:hint="eastAsia" w:ascii="宋体" w:hAnsi="宋体"/>
          <w:highlight w:val="none"/>
        </w:rPr>
        <w:t>日历天内）完成供货。供货周期为中标通知书发出之日起至所有工程完工验收止。</w:t>
      </w:r>
    </w:p>
    <w:p w14:paraId="2382A7F1">
      <w:pPr>
        <w:widowControl/>
        <w:spacing w:line="360" w:lineRule="auto"/>
        <w:ind w:firstLine="480" w:firstLineChars="200"/>
        <w:jc w:val="left"/>
        <w:rPr>
          <w:rFonts w:hint="eastAsia" w:ascii="宋体" w:hAnsi="宋体"/>
          <w:highlight w:val="none"/>
        </w:rPr>
      </w:pPr>
      <w:r>
        <w:rPr>
          <w:rFonts w:hint="eastAsia" w:ascii="宋体" w:hAnsi="宋体"/>
          <w:highlight w:val="none"/>
        </w:rPr>
        <w:t>3）卖方</w:t>
      </w:r>
      <w:r>
        <w:rPr>
          <w:rFonts w:ascii="宋体" w:hAnsi="宋体"/>
          <w:highlight w:val="none"/>
        </w:rPr>
        <w:t>在接</w:t>
      </w:r>
      <w:r>
        <w:rPr>
          <w:rFonts w:hint="eastAsia" w:ascii="宋体" w:hAnsi="宋体"/>
          <w:highlight w:val="none"/>
        </w:rPr>
        <w:t>到供货点仓储建设通知书后，5个工作日内在标段范围内确定供应点并配备相应的技术指导人员，中标人可设一个或多个定点供应处，每个该定点供应处必须有一定比例的产品储备量，以满足施工需求，防止供应脱节。定点供应处在设立前必须经招标人同意，费用由中标人自理。中标人在接到</w:t>
      </w:r>
      <w:r>
        <w:rPr>
          <w:rFonts w:hint="eastAsia"/>
          <w:highlight w:val="none"/>
        </w:rPr>
        <w:t>招标人（或其委托人）发出供货通知书（或者提单）后</w:t>
      </w:r>
      <w:r>
        <w:rPr>
          <w:rFonts w:hint="eastAsia" w:ascii="宋体" w:hAnsi="宋体"/>
          <w:highlight w:val="none"/>
        </w:rPr>
        <w:t>按投标承诺的供货时间，将产品送至中标人在三门县范围内的施工现场。</w:t>
      </w:r>
    </w:p>
    <w:p w14:paraId="0E0D0E7F">
      <w:pPr>
        <w:widowControl/>
        <w:spacing w:line="360" w:lineRule="auto"/>
        <w:ind w:firstLine="480" w:firstLineChars="200"/>
        <w:jc w:val="left"/>
        <w:rPr>
          <w:rFonts w:hint="eastAsia"/>
          <w:highlight w:val="none"/>
        </w:rPr>
      </w:pPr>
      <w:r>
        <w:rPr>
          <w:rFonts w:hint="eastAsia"/>
          <w:highlight w:val="none"/>
        </w:rPr>
        <w:t>4）二次搬运：中标人将管材送至施工现场（含装卸），管材由施工单位、监理单位、中标人共同签认接收。</w:t>
      </w:r>
    </w:p>
    <w:p w14:paraId="7079EA33">
      <w:pPr>
        <w:spacing w:line="360" w:lineRule="auto"/>
        <w:ind w:firstLine="480" w:firstLineChars="200"/>
        <w:rPr>
          <w:rFonts w:hint="eastAsia" w:ascii="宋体" w:hAnsi="宋体"/>
          <w:highlight w:val="none"/>
        </w:rPr>
      </w:pPr>
      <w:r>
        <w:rPr>
          <w:rFonts w:hint="eastAsia" w:ascii="宋体" w:hAnsi="宋体"/>
          <w:highlight w:val="none"/>
        </w:rPr>
        <w:t>5）卖方应当积极配合买方工程进度要求，及时合理安排供货。工程施工结束后，对剩余产品在不影响使用功能的前提下应允许退货，并由卖方负责自行从施工现场运回，所有费用由卖方承担。</w:t>
      </w:r>
    </w:p>
    <w:p w14:paraId="1DA0E068">
      <w:pPr>
        <w:spacing w:line="360" w:lineRule="auto"/>
        <w:rPr>
          <w:rFonts w:hint="eastAsia" w:ascii="宋体" w:hAnsi="宋体"/>
          <w:b/>
          <w:bCs/>
          <w:highlight w:val="none"/>
        </w:rPr>
      </w:pPr>
      <w:r>
        <w:rPr>
          <w:rFonts w:hint="eastAsia" w:ascii="黑体" w:hAnsi="宋体" w:eastAsia="黑体"/>
          <w:b/>
          <w:bCs/>
          <w:highlight w:val="none"/>
        </w:rPr>
        <w:t>2.安装地点</w:t>
      </w:r>
    </w:p>
    <w:p w14:paraId="3D025C59">
      <w:pPr>
        <w:spacing w:line="480" w:lineRule="auto"/>
        <w:ind w:firstLine="480" w:firstLineChars="200"/>
        <w:rPr>
          <w:rFonts w:hint="eastAsia" w:ascii="宋体" w:hAnsi="宋体"/>
          <w:highlight w:val="none"/>
        </w:rPr>
      </w:pPr>
      <w:r>
        <w:rPr>
          <w:rFonts w:hint="eastAsia" w:ascii="宋体" w:hAnsi="宋体"/>
          <w:highlight w:val="none"/>
        </w:rPr>
        <w:t>三门县城镇污水管网建设工程工地（招标人指定位置）现场。（见附件 《管材供应工程一览表》  ）</w:t>
      </w:r>
    </w:p>
    <w:p w14:paraId="073D299B">
      <w:pPr>
        <w:spacing w:line="360" w:lineRule="auto"/>
        <w:rPr>
          <w:rFonts w:hint="eastAsia" w:ascii="宋体" w:hAnsi="宋体"/>
          <w:b/>
          <w:bCs/>
          <w:highlight w:val="none"/>
        </w:rPr>
      </w:pPr>
      <w:r>
        <w:rPr>
          <w:rFonts w:hint="eastAsia" w:ascii="黑体" w:hAnsi="宋体" w:eastAsia="黑体"/>
          <w:b/>
          <w:bCs/>
          <w:highlight w:val="none"/>
        </w:rPr>
        <w:t>3.接货通知</w:t>
      </w:r>
    </w:p>
    <w:p w14:paraId="39F84183">
      <w:pPr>
        <w:spacing w:line="360" w:lineRule="auto"/>
        <w:ind w:firstLine="420"/>
        <w:rPr>
          <w:rFonts w:hint="eastAsia" w:ascii="宋体" w:hAnsi="宋体"/>
          <w:highlight w:val="none"/>
        </w:rPr>
      </w:pPr>
      <w:r>
        <w:rPr>
          <w:rFonts w:hint="eastAsia" w:ascii="宋体" w:hAnsi="宋体"/>
          <w:highlight w:val="none"/>
        </w:rPr>
        <w:t>卖方需将产品的名称、规格、数量、包装件数、每件包装的尺码、毛重及对货物的卸车、贮存的特殊要求以传真的形式通知买方，以便接货。</w:t>
      </w:r>
    </w:p>
    <w:p w14:paraId="15022D48">
      <w:pPr>
        <w:spacing w:line="360" w:lineRule="auto"/>
        <w:rPr>
          <w:rFonts w:hint="eastAsia" w:ascii="黑体" w:hAnsi="宋体" w:eastAsia="黑体"/>
          <w:b/>
          <w:bCs/>
          <w:highlight w:val="none"/>
        </w:rPr>
      </w:pPr>
      <w:r>
        <w:rPr>
          <w:rFonts w:hint="eastAsia" w:ascii="黑体" w:hAnsi="宋体" w:eastAsia="黑体"/>
          <w:b/>
          <w:bCs/>
          <w:highlight w:val="none"/>
        </w:rPr>
        <w:t>4.产品的标志、防护、包装及运输</w:t>
      </w:r>
    </w:p>
    <w:p w14:paraId="5159CD45">
      <w:pPr>
        <w:spacing w:line="360" w:lineRule="auto"/>
        <w:ind w:firstLine="482" w:firstLineChars="200"/>
        <w:rPr>
          <w:rFonts w:hint="eastAsia" w:ascii="黑体" w:hAnsi="宋体" w:eastAsia="黑体"/>
          <w:b/>
          <w:bCs/>
          <w:highlight w:val="none"/>
        </w:rPr>
      </w:pPr>
      <w:r>
        <w:rPr>
          <w:rFonts w:hint="eastAsia" w:ascii="黑体" w:hAnsi="宋体" w:eastAsia="黑体"/>
          <w:b/>
          <w:bCs/>
          <w:highlight w:val="none"/>
        </w:rPr>
        <w:t>4.1标志</w:t>
      </w:r>
    </w:p>
    <w:p w14:paraId="29A4C62E">
      <w:pPr>
        <w:spacing w:line="360" w:lineRule="auto"/>
        <w:ind w:firstLine="480" w:firstLineChars="200"/>
        <w:rPr>
          <w:rFonts w:hint="eastAsia" w:ascii="黑体" w:hAnsi="宋体" w:eastAsia="黑体"/>
          <w:b/>
          <w:bCs/>
          <w:highlight w:val="none"/>
        </w:rPr>
      </w:pPr>
      <w:r>
        <w:rPr>
          <w:rFonts w:hint="eastAsia" w:ascii="宋体" w:hAnsi="宋体"/>
          <w:highlight w:val="none"/>
        </w:rPr>
        <w:t>产品出厂时在产品上必须带有能体现生产厂家的符合国标的永久性标志，等参数并附有质量检验部门的产品质量合格证。</w:t>
      </w:r>
    </w:p>
    <w:p w14:paraId="4C9B472F">
      <w:pPr>
        <w:spacing w:line="360" w:lineRule="auto"/>
        <w:ind w:firstLine="482" w:firstLineChars="200"/>
        <w:rPr>
          <w:rFonts w:hint="eastAsia" w:ascii="黑体" w:hAnsi="宋体" w:eastAsia="黑体"/>
          <w:highlight w:val="none"/>
        </w:rPr>
      </w:pPr>
      <w:r>
        <w:rPr>
          <w:rFonts w:hint="eastAsia" w:ascii="黑体" w:hAnsi="宋体" w:eastAsia="黑体"/>
          <w:b/>
          <w:bCs/>
          <w:highlight w:val="none"/>
        </w:rPr>
        <w:t>4.2</w:t>
      </w:r>
      <w:r>
        <w:rPr>
          <w:rFonts w:hint="eastAsia" w:ascii="宋体" w:hAnsi="宋体"/>
          <w:highlight w:val="none"/>
        </w:rPr>
        <w:t>产品应合理、有效包装，以使其有效防止各种损失。并按卖方承诺的且经买方认可的防护措施进行防护。</w:t>
      </w:r>
    </w:p>
    <w:p w14:paraId="7654C9B4">
      <w:pPr>
        <w:spacing w:line="360" w:lineRule="auto"/>
        <w:ind w:firstLine="482" w:firstLineChars="200"/>
        <w:rPr>
          <w:rFonts w:hint="eastAsia" w:ascii="黑体" w:hAnsi="宋体" w:eastAsia="黑体"/>
          <w:b/>
          <w:bCs/>
          <w:highlight w:val="none"/>
        </w:rPr>
      </w:pPr>
      <w:r>
        <w:rPr>
          <w:rFonts w:hint="eastAsia" w:ascii="黑体" w:hAnsi="宋体" w:eastAsia="黑体"/>
          <w:b/>
          <w:bCs/>
          <w:highlight w:val="none"/>
        </w:rPr>
        <w:t>4.3</w:t>
      </w:r>
      <w:r>
        <w:rPr>
          <w:rFonts w:hint="eastAsia" w:ascii="宋体" w:hAnsi="宋体"/>
          <w:bCs/>
          <w:highlight w:val="none"/>
        </w:rPr>
        <w:t>运输必须采用切实可靠的防护措施，运输时用木料、契块、扒钉等物品固定，并用钢丝绳紧固，同时在可能游动的地方加缓冲垫。口径400mm及以上管材运输与堆放其期间承口端应加内支撑。</w:t>
      </w:r>
    </w:p>
    <w:p w14:paraId="37F89026">
      <w:pPr>
        <w:spacing w:line="360" w:lineRule="auto"/>
        <w:rPr>
          <w:rFonts w:hint="eastAsia" w:ascii="黑体" w:hAnsi="宋体" w:eastAsia="黑体"/>
          <w:b/>
          <w:bCs/>
          <w:highlight w:val="none"/>
        </w:rPr>
      </w:pPr>
      <w:r>
        <w:rPr>
          <w:rFonts w:hint="eastAsia" w:ascii="黑体" w:hAnsi="宋体" w:eastAsia="黑体"/>
          <w:b/>
          <w:bCs/>
          <w:highlight w:val="none"/>
        </w:rPr>
        <w:t>5.产品的运输、装车及保险、风险交割</w:t>
      </w:r>
    </w:p>
    <w:p w14:paraId="60D0568D">
      <w:pPr>
        <w:spacing w:line="360" w:lineRule="auto"/>
        <w:ind w:firstLine="482" w:firstLineChars="200"/>
        <w:rPr>
          <w:rFonts w:hint="eastAsia" w:ascii="宋体" w:hAnsi="宋体"/>
          <w:bCs/>
          <w:highlight w:val="none"/>
        </w:rPr>
      </w:pPr>
      <w:r>
        <w:rPr>
          <w:rFonts w:hint="eastAsia" w:ascii="黑体" w:hAnsi="宋体" w:eastAsia="黑体"/>
          <w:b/>
          <w:bCs/>
          <w:highlight w:val="none"/>
        </w:rPr>
        <w:t>5.1</w:t>
      </w:r>
      <w:r>
        <w:rPr>
          <w:rFonts w:hint="eastAsia" w:ascii="宋体" w:hAnsi="宋体"/>
          <w:bCs/>
          <w:highlight w:val="none"/>
        </w:rPr>
        <w:t xml:space="preserve">卖方必须对产品运输、装车的安全负责。 </w:t>
      </w:r>
    </w:p>
    <w:p w14:paraId="3B95CD32">
      <w:pPr>
        <w:spacing w:line="360" w:lineRule="auto"/>
        <w:ind w:firstLine="482" w:firstLineChars="200"/>
        <w:rPr>
          <w:rFonts w:hint="eastAsia" w:ascii="宋体" w:hAnsi="宋体"/>
          <w:bCs/>
          <w:highlight w:val="none"/>
        </w:rPr>
      </w:pPr>
      <w:r>
        <w:rPr>
          <w:rFonts w:hint="eastAsia" w:ascii="黑体" w:hAnsi="宋体" w:eastAsia="黑体"/>
          <w:b/>
          <w:bCs/>
          <w:highlight w:val="none"/>
        </w:rPr>
        <w:t>5.3</w:t>
      </w:r>
      <w:r>
        <w:rPr>
          <w:rFonts w:hint="eastAsia" w:ascii="宋体" w:hAnsi="宋体"/>
          <w:bCs/>
          <w:highlight w:val="none"/>
        </w:rPr>
        <w:t>货物在装运前由卖方投保，一旦货物在装车、运输过程中发生损坏或短缺，由卖方负责索赔。</w:t>
      </w:r>
    </w:p>
    <w:p w14:paraId="04359D24">
      <w:pPr>
        <w:spacing w:line="360" w:lineRule="auto"/>
        <w:ind w:firstLine="482" w:firstLineChars="200"/>
        <w:rPr>
          <w:rFonts w:hint="eastAsia" w:ascii="宋体" w:hAnsi="宋体"/>
          <w:bCs/>
          <w:highlight w:val="none"/>
        </w:rPr>
      </w:pPr>
      <w:r>
        <w:rPr>
          <w:rFonts w:hint="eastAsia" w:ascii="黑体" w:hAnsi="宋体" w:eastAsia="黑体"/>
          <w:b/>
          <w:bCs/>
          <w:highlight w:val="none"/>
        </w:rPr>
        <w:t>5.4</w:t>
      </w:r>
      <w:r>
        <w:rPr>
          <w:rFonts w:hint="eastAsia" w:ascii="宋体" w:hAnsi="宋体"/>
          <w:bCs/>
          <w:highlight w:val="none"/>
        </w:rPr>
        <w:t>卖方保证在确认货物因装车、运输中发生损坏或短缺后，尽快给予调换、修复和补齐缺件，不管其造成的原因如何，也不能以办理索赔为由而拖延。</w:t>
      </w:r>
    </w:p>
    <w:p w14:paraId="7526EE9E">
      <w:pPr>
        <w:spacing w:line="360" w:lineRule="auto"/>
        <w:ind w:firstLine="482" w:firstLineChars="200"/>
        <w:rPr>
          <w:rFonts w:hint="eastAsia" w:ascii="宋体" w:hAnsi="宋体"/>
          <w:bCs/>
          <w:highlight w:val="none"/>
        </w:rPr>
      </w:pPr>
      <w:r>
        <w:rPr>
          <w:rFonts w:hint="eastAsia" w:ascii="黑体" w:hAnsi="宋体" w:eastAsia="黑体"/>
          <w:b/>
          <w:bCs/>
          <w:highlight w:val="none"/>
        </w:rPr>
        <w:t>5.5</w:t>
      </w:r>
      <w:r>
        <w:rPr>
          <w:rFonts w:hint="eastAsia" w:ascii="宋体" w:hAnsi="宋体"/>
          <w:bCs/>
          <w:highlight w:val="none"/>
        </w:rPr>
        <w:t>货物运到买方施工现场卸车到场地为交付，交付前风险卖方承担，交付以后风险买方承担。</w:t>
      </w:r>
    </w:p>
    <w:p w14:paraId="6E90CF64">
      <w:pPr>
        <w:spacing w:line="360" w:lineRule="auto"/>
        <w:rPr>
          <w:rFonts w:hint="eastAsia" w:ascii="黑体" w:eastAsia="黑体"/>
          <w:b/>
          <w:bCs/>
          <w:highlight w:val="none"/>
        </w:rPr>
      </w:pPr>
      <w:r>
        <w:rPr>
          <w:rFonts w:hint="eastAsia" w:ascii="黑体" w:hAnsi="宋体" w:eastAsia="黑体"/>
          <w:b/>
          <w:bCs/>
          <w:highlight w:val="none"/>
        </w:rPr>
        <w:t>6.付款方式</w:t>
      </w:r>
    </w:p>
    <w:p w14:paraId="51041482">
      <w:pPr>
        <w:spacing w:line="360" w:lineRule="auto"/>
        <w:ind w:firstLine="482" w:firstLineChars="200"/>
        <w:rPr>
          <w:rFonts w:hint="eastAsia" w:ascii="黑体" w:hAnsi="宋体" w:eastAsia="黑体"/>
          <w:b/>
          <w:bCs/>
          <w:highlight w:val="none"/>
        </w:rPr>
      </w:pPr>
      <w:r>
        <w:rPr>
          <w:rFonts w:hint="eastAsia" w:ascii="黑体" w:hAnsi="宋体" w:eastAsia="黑体"/>
          <w:b/>
          <w:bCs/>
          <w:highlight w:val="none"/>
        </w:rPr>
        <w:t>6.1货款支付方式</w:t>
      </w:r>
    </w:p>
    <w:p w14:paraId="72055C6B">
      <w:pPr>
        <w:spacing w:line="360" w:lineRule="auto"/>
        <w:ind w:firstLine="480" w:firstLineChars="200"/>
        <w:rPr>
          <w:rFonts w:hint="eastAsia" w:ascii="宋体" w:hAnsi="宋体"/>
          <w:bCs/>
          <w:highlight w:val="none"/>
        </w:rPr>
      </w:pPr>
      <w:r>
        <w:rPr>
          <w:rFonts w:hint="eastAsia" w:ascii="宋体" w:hAnsi="宋体"/>
          <w:bCs/>
          <w:highlight w:val="none"/>
        </w:rPr>
        <w:t>（1）签订合同后，卖方提供合同总价50%的保函（仅指银行保函、保险机构保证保险保单,保函有效期限初定一年，如一年内卖方货款未达到合同总价的 50%，则卖方负责将保函有效期限延长到卖方货款达到合同总价的50%止），买方支付合同总价的50%预付款；</w:t>
      </w:r>
    </w:p>
    <w:p w14:paraId="7B5EF93F">
      <w:pPr>
        <w:spacing w:line="360" w:lineRule="auto"/>
        <w:ind w:firstLine="480" w:firstLineChars="200"/>
        <w:rPr>
          <w:rFonts w:hint="eastAsia" w:ascii="宋体" w:hAnsi="宋体"/>
          <w:bCs/>
          <w:highlight w:val="none"/>
        </w:rPr>
      </w:pPr>
      <w:r>
        <w:rPr>
          <w:rFonts w:hint="eastAsia" w:ascii="宋体" w:hAnsi="宋体"/>
          <w:bCs/>
          <w:highlight w:val="none"/>
        </w:rPr>
        <w:t>（2）卖方供应货物未达到合同总价的50%之前，不再支付任何货款；</w:t>
      </w:r>
    </w:p>
    <w:p w14:paraId="7358E87A">
      <w:pPr>
        <w:spacing w:line="360" w:lineRule="auto"/>
        <w:ind w:firstLine="480" w:firstLineChars="200"/>
        <w:rPr>
          <w:rFonts w:hint="eastAsia" w:ascii="宋体" w:hAnsi="宋体"/>
          <w:bCs/>
          <w:highlight w:val="none"/>
        </w:rPr>
      </w:pPr>
      <w:r>
        <w:rPr>
          <w:rFonts w:hint="eastAsia" w:ascii="宋体" w:hAnsi="宋体"/>
          <w:bCs/>
          <w:highlight w:val="none"/>
        </w:rPr>
        <w:t>（3）卖方供应货物达到合同总价的50%之后，实施按月支付，次月21日支付上个月货款的80%；</w:t>
      </w:r>
    </w:p>
    <w:p w14:paraId="2273466E">
      <w:pPr>
        <w:spacing w:line="360" w:lineRule="auto"/>
        <w:ind w:firstLine="480" w:firstLineChars="200"/>
        <w:rPr>
          <w:rFonts w:hint="eastAsia" w:ascii="宋体" w:hAnsi="宋体"/>
          <w:bCs/>
          <w:highlight w:val="none"/>
        </w:rPr>
      </w:pPr>
      <w:r>
        <w:rPr>
          <w:rFonts w:hint="eastAsia" w:ascii="宋体" w:hAnsi="宋体"/>
          <w:bCs/>
          <w:highlight w:val="none"/>
        </w:rPr>
        <w:t>（4）所有施工现场验收合格支付实际结算价的100%。买方支付最后结算价款前，卖方向买方提供质量保证金保函（金额为实际结算价的1.5%）；</w:t>
      </w:r>
    </w:p>
    <w:p w14:paraId="73454FBB">
      <w:pPr>
        <w:spacing w:line="360" w:lineRule="auto"/>
        <w:ind w:firstLine="480" w:firstLineChars="200"/>
        <w:rPr>
          <w:rFonts w:hint="eastAsia" w:ascii="宋体" w:hAnsi="宋体"/>
          <w:bCs/>
          <w:highlight w:val="none"/>
        </w:rPr>
      </w:pPr>
      <w:r>
        <w:rPr>
          <w:rFonts w:hint="eastAsia" w:ascii="宋体" w:hAnsi="宋体"/>
          <w:bCs/>
          <w:highlight w:val="none"/>
        </w:rPr>
        <w:t>（5）质量保证金保函有效期限为所有工程竣工验收合格之日起两周年。</w:t>
      </w:r>
    </w:p>
    <w:p w14:paraId="0B314FFF">
      <w:pPr>
        <w:spacing w:line="360" w:lineRule="auto"/>
        <w:ind w:firstLine="480" w:firstLineChars="200"/>
        <w:rPr>
          <w:rFonts w:hint="eastAsia" w:ascii="宋体" w:hAnsi="宋体"/>
          <w:bCs/>
          <w:highlight w:val="none"/>
        </w:rPr>
      </w:pPr>
      <w:r>
        <w:rPr>
          <w:rFonts w:hint="eastAsia" w:ascii="宋体" w:hAnsi="宋体"/>
          <w:bCs/>
          <w:highlight w:val="none"/>
        </w:rPr>
        <w:t>6.2卖方收取每期货款时应向买方开具正式发票。</w:t>
      </w:r>
    </w:p>
    <w:p w14:paraId="51BDAAC1">
      <w:pPr>
        <w:spacing w:line="360" w:lineRule="auto"/>
        <w:rPr>
          <w:rFonts w:hint="eastAsia" w:ascii="黑体" w:hAnsi="宋体"/>
          <w:highlight w:val="none"/>
        </w:rPr>
      </w:pPr>
      <w:r>
        <w:rPr>
          <w:rFonts w:hint="eastAsia" w:ascii="黑体" w:hAnsi="宋体" w:eastAsia="黑体"/>
          <w:b/>
          <w:bCs/>
          <w:highlight w:val="none"/>
        </w:rPr>
        <w:t>7.工程结算</w:t>
      </w:r>
    </w:p>
    <w:p w14:paraId="09A01A57">
      <w:pPr>
        <w:pStyle w:val="10"/>
        <w:numPr>
          <w:ilvl w:val="1"/>
          <w:numId w:val="0"/>
        </w:numPr>
        <w:tabs>
          <w:tab w:val="left" w:pos="861"/>
          <w:tab w:val="clear" w:pos="574"/>
        </w:tabs>
        <w:spacing w:after="0" w:line="360" w:lineRule="auto"/>
        <w:ind w:firstLine="482" w:firstLineChars="200"/>
        <w:rPr>
          <w:rFonts w:hint="eastAsia" w:ascii="黑体" w:hAnsi="宋体" w:eastAsia="黑体"/>
          <w:b/>
          <w:highlight w:val="none"/>
        </w:rPr>
      </w:pPr>
      <w:r>
        <w:rPr>
          <w:rFonts w:hint="eastAsia" w:ascii="黑体" w:hAnsi="宋体" w:eastAsia="黑体"/>
          <w:b/>
          <w:highlight w:val="none"/>
        </w:rPr>
        <w:t>7.1</w:t>
      </w:r>
      <w:r>
        <w:rPr>
          <w:rFonts w:hint="eastAsia" w:ascii="黑体" w:hAnsi="宋体" w:eastAsia="黑体"/>
          <w:b/>
          <w:highlight w:val="none"/>
          <w:u w:val="single"/>
        </w:rPr>
        <w:t>结算货款以</w:t>
      </w:r>
      <w:r>
        <w:rPr>
          <w:rFonts w:hint="eastAsia" w:ascii="黑体" w:hAnsi="宋体" w:eastAsia="黑体"/>
          <w:b/>
          <w:highlight w:val="none"/>
          <w:u w:val="single"/>
          <w:lang w:eastAsia="zh-CN"/>
        </w:rPr>
        <w:t>第三方</w:t>
      </w:r>
      <w:r>
        <w:rPr>
          <w:rFonts w:hint="eastAsia" w:ascii="黑体" w:hAnsi="宋体" w:eastAsia="黑体"/>
          <w:b/>
          <w:highlight w:val="none"/>
          <w:u w:val="single"/>
        </w:rPr>
        <w:t>审核中心审定的为准。所标注的管材及管件规格都为成品规格</w:t>
      </w:r>
      <w:r>
        <w:rPr>
          <w:rFonts w:hint="eastAsia" w:ascii="黑体" w:hAnsi="宋体" w:eastAsia="黑体"/>
          <w:b/>
          <w:highlight w:val="none"/>
        </w:rPr>
        <w:t>。</w:t>
      </w:r>
    </w:p>
    <w:p w14:paraId="4C2483B5">
      <w:pPr>
        <w:spacing w:line="360" w:lineRule="auto"/>
        <w:ind w:firstLine="482" w:firstLineChars="200"/>
        <w:rPr>
          <w:rFonts w:hint="eastAsia" w:ascii="黑体" w:hAnsi="宋体" w:eastAsia="黑体"/>
          <w:b/>
          <w:highlight w:val="none"/>
          <w:u w:val="single"/>
        </w:rPr>
      </w:pPr>
      <w:r>
        <w:rPr>
          <w:rFonts w:hint="eastAsia" w:ascii="黑体" w:hAnsi="宋体" w:eastAsia="黑体"/>
          <w:b/>
          <w:highlight w:val="none"/>
        </w:rPr>
        <w:t>7.2</w:t>
      </w:r>
      <w:r>
        <w:rPr>
          <w:rFonts w:hint="eastAsia" w:ascii="黑体" w:hAnsi="宋体" w:eastAsia="黑体"/>
          <w:b/>
          <w:highlight w:val="none"/>
          <w:u w:val="single"/>
        </w:rPr>
        <w:t>结算单价计算方法：结算单价按买方提供的采购清单中所有品目的审核单价统一下浮，结算单价下浮率=（1-投标报价/预算审核价）*100%）（百分号前保留两位小数）。结算单价下浮率一次性包定，政策性价差不予调整。</w:t>
      </w:r>
    </w:p>
    <w:p w14:paraId="59825CE2">
      <w:pPr>
        <w:spacing w:line="360" w:lineRule="auto"/>
        <w:ind w:firstLine="482" w:firstLineChars="200"/>
        <w:rPr>
          <w:rFonts w:hint="eastAsia" w:ascii="黑体" w:hAnsi="宋体" w:eastAsia="黑体"/>
          <w:b/>
          <w:highlight w:val="none"/>
          <w:u w:val="single"/>
        </w:rPr>
      </w:pPr>
      <w:r>
        <w:rPr>
          <w:rFonts w:hint="eastAsia" w:ascii="黑体" w:hAnsi="宋体" w:eastAsia="黑体"/>
          <w:b/>
          <w:highlight w:val="none"/>
        </w:rPr>
        <w:t>7.3</w:t>
      </w:r>
      <w:r>
        <w:rPr>
          <w:rFonts w:hint="eastAsia" w:ascii="黑体" w:hAnsi="宋体" w:eastAsia="黑体"/>
          <w:b/>
          <w:highlight w:val="none"/>
          <w:u w:val="single"/>
        </w:rPr>
        <w:t>管材数量以</w:t>
      </w:r>
      <w:r>
        <w:rPr>
          <w:rFonts w:hint="eastAsia" w:ascii="黑体" w:hAnsi="宋体" w:eastAsia="黑体"/>
          <w:b/>
          <w:highlight w:val="none"/>
          <w:u w:val="single"/>
          <w:lang w:eastAsia="zh-CN"/>
        </w:rPr>
        <w:t>第三方</w:t>
      </w:r>
      <w:r>
        <w:rPr>
          <w:rFonts w:hint="eastAsia" w:ascii="黑体" w:hAnsi="宋体" w:eastAsia="黑体"/>
          <w:b/>
          <w:highlight w:val="none"/>
          <w:u w:val="single"/>
        </w:rPr>
        <w:t>审核中心审定的实际施工使用数量为准。</w:t>
      </w:r>
    </w:p>
    <w:p w14:paraId="641611FB">
      <w:pPr>
        <w:spacing w:line="360" w:lineRule="auto"/>
        <w:rPr>
          <w:rFonts w:hint="eastAsia" w:ascii="宋体" w:hAnsi="宋体"/>
          <w:highlight w:val="none"/>
        </w:rPr>
      </w:pPr>
      <w:r>
        <w:rPr>
          <w:rFonts w:hint="eastAsia" w:ascii="黑体" w:hAnsi="宋体" w:eastAsia="黑体"/>
          <w:b/>
          <w:bCs/>
          <w:highlight w:val="none"/>
        </w:rPr>
        <w:t>8.文件和技术资料的相互提供。</w:t>
      </w:r>
    </w:p>
    <w:p w14:paraId="4B3D7440">
      <w:pPr>
        <w:spacing w:line="360" w:lineRule="auto"/>
        <w:ind w:firstLine="480" w:firstLineChars="200"/>
        <w:rPr>
          <w:rFonts w:hint="eastAsia" w:ascii="宋体" w:hAnsi="宋体"/>
          <w:highlight w:val="none"/>
        </w:rPr>
      </w:pPr>
      <w:r>
        <w:rPr>
          <w:rFonts w:hint="eastAsia" w:ascii="宋体" w:hAnsi="宋体"/>
          <w:highlight w:val="none"/>
        </w:rPr>
        <w:t>提供资料清单及进度根据招标书的要求，在签定合同时明确。</w:t>
      </w:r>
    </w:p>
    <w:p w14:paraId="7D3219FE">
      <w:pPr>
        <w:spacing w:line="360" w:lineRule="auto"/>
        <w:rPr>
          <w:rFonts w:hint="eastAsia" w:ascii="宋体" w:hAnsi="宋体"/>
          <w:highlight w:val="none"/>
        </w:rPr>
      </w:pPr>
      <w:r>
        <w:rPr>
          <w:rFonts w:hint="eastAsia" w:ascii="黑体" w:hAnsi="宋体" w:eastAsia="黑体"/>
          <w:b/>
          <w:bCs/>
          <w:highlight w:val="none"/>
        </w:rPr>
        <w:t>9.质量、技术标准</w:t>
      </w:r>
    </w:p>
    <w:p w14:paraId="0BDBCAAC">
      <w:pPr>
        <w:spacing w:line="360" w:lineRule="auto"/>
        <w:rPr>
          <w:rFonts w:hint="eastAsia" w:ascii="宋体" w:hAnsi="宋体"/>
          <w:highlight w:val="none"/>
        </w:rPr>
      </w:pPr>
      <w:r>
        <w:rPr>
          <w:rFonts w:ascii="宋体" w:hAnsi="宋体"/>
          <w:highlight w:val="none"/>
        </w:rPr>
        <w:t xml:space="preserve">    </w:t>
      </w:r>
      <w:r>
        <w:rPr>
          <w:rFonts w:hint="eastAsia" w:ascii="宋体" w:hAnsi="宋体"/>
          <w:highlight w:val="none"/>
        </w:rPr>
        <w:t>符合招标文件和投标文件中的有关标准、规定及现行国家标准。</w:t>
      </w:r>
    </w:p>
    <w:p w14:paraId="6ACC3D53">
      <w:pPr>
        <w:spacing w:line="360" w:lineRule="auto"/>
        <w:rPr>
          <w:rFonts w:hint="eastAsia" w:ascii="宋体" w:hAnsi="宋体"/>
          <w:highlight w:val="none"/>
        </w:rPr>
      </w:pPr>
      <w:r>
        <w:rPr>
          <w:rFonts w:hint="eastAsia" w:ascii="黑体" w:hAnsi="宋体" w:eastAsia="黑体"/>
          <w:b/>
          <w:bCs/>
          <w:highlight w:val="none"/>
        </w:rPr>
        <w:t>10.产品检验</w:t>
      </w:r>
    </w:p>
    <w:p w14:paraId="6615E813">
      <w:pPr>
        <w:spacing w:line="360" w:lineRule="auto"/>
        <w:ind w:firstLine="480" w:firstLineChars="200"/>
        <w:rPr>
          <w:rFonts w:hint="eastAsia" w:ascii="宋体" w:hAnsi="宋体"/>
          <w:highlight w:val="none"/>
        </w:rPr>
      </w:pPr>
      <w:r>
        <w:rPr>
          <w:rFonts w:hint="eastAsia" w:ascii="宋体" w:hAnsi="宋体"/>
          <w:highlight w:val="none"/>
        </w:rPr>
        <w:t>10.1买方认为如有必要在产品制造过程中派人到生产厂进行监制，或在产品发货前派人赴生产厂进行预验收，卖方应予以积极配合，提供产品的技术数据、图纸和测试报告等，对监制或预验收工作提供方便。</w:t>
      </w:r>
    </w:p>
    <w:p w14:paraId="063B0A05">
      <w:pPr>
        <w:spacing w:line="360" w:lineRule="auto"/>
        <w:ind w:firstLine="480" w:firstLineChars="200"/>
        <w:rPr>
          <w:rFonts w:hint="eastAsia" w:ascii="黑体" w:hAnsi="宋体" w:eastAsia="黑体"/>
          <w:b/>
          <w:bCs/>
          <w:highlight w:val="none"/>
        </w:rPr>
      </w:pPr>
      <w:r>
        <w:rPr>
          <w:rFonts w:hint="eastAsia" w:ascii="宋体" w:hAnsi="宋体"/>
          <w:highlight w:val="none"/>
        </w:rPr>
        <w:t>10.2买方对送达的货物有权随时抽样送检，检测部门由买方自行确定送检。</w:t>
      </w:r>
    </w:p>
    <w:p w14:paraId="1D31B3B7">
      <w:pPr>
        <w:spacing w:line="360" w:lineRule="auto"/>
        <w:rPr>
          <w:rFonts w:hint="eastAsia" w:ascii="宋体" w:hAnsi="宋体"/>
          <w:highlight w:val="none"/>
        </w:rPr>
      </w:pPr>
      <w:r>
        <w:rPr>
          <w:rFonts w:hint="eastAsia" w:ascii="黑体" w:hAnsi="宋体" w:eastAsia="黑体"/>
          <w:b/>
          <w:bCs/>
          <w:highlight w:val="none"/>
        </w:rPr>
        <w:t>11.产品最终验收</w:t>
      </w:r>
    </w:p>
    <w:p w14:paraId="185173D8">
      <w:pPr>
        <w:spacing w:line="360" w:lineRule="auto"/>
        <w:ind w:firstLine="480" w:firstLineChars="200"/>
        <w:rPr>
          <w:rFonts w:hint="eastAsia" w:ascii="宋体" w:hAnsi="宋体"/>
          <w:highlight w:val="none"/>
        </w:rPr>
      </w:pPr>
      <w:r>
        <w:rPr>
          <w:rFonts w:hint="eastAsia" w:ascii="宋体" w:hAnsi="宋体"/>
          <w:highlight w:val="none"/>
        </w:rPr>
        <w:t>11.1施工结束后，并经有关部门检验合格后，买、卖双方共同签署验收合格证书。</w:t>
      </w:r>
    </w:p>
    <w:p w14:paraId="42B8483B">
      <w:pPr>
        <w:spacing w:line="360" w:lineRule="auto"/>
        <w:rPr>
          <w:rFonts w:hint="eastAsia" w:ascii="黑体" w:hAnsi="宋体" w:eastAsia="黑体"/>
          <w:b/>
          <w:bCs/>
          <w:highlight w:val="none"/>
        </w:rPr>
      </w:pPr>
      <w:r>
        <w:rPr>
          <w:rFonts w:hint="eastAsia" w:ascii="黑体" w:hAnsi="宋体" w:eastAsia="黑体"/>
          <w:b/>
          <w:bCs/>
          <w:highlight w:val="none"/>
        </w:rPr>
        <w:t>12.安装指导和售后服务要求</w:t>
      </w:r>
    </w:p>
    <w:p w14:paraId="05CD8B80">
      <w:pPr>
        <w:spacing w:line="360" w:lineRule="auto"/>
        <w:ind w:firstLine="480" w:firstLineChars="200"/>
        <w:rPr>
          <w:rFonts w:hint="eastAsia" w:ascii="宋体" w:hAnsi="宋体"/>
          <w:highlight w:val="none"/>
        </w:rPr>
      </w:pPr>
      <w:r>
        <w:rPr>
          <w:rFonts w:hint="eastAsia" w:ascii="宋体" w:hAnsi="宋体"/>
          <w:highlight w:val="none"/>
        </w:rPr>
        <w:t>12.1卖方根据现场情况和买方的要求派有经验的技术人员到现场负责安装指导，以确保安装质量。并符合现场施工要求。</w:t>
      </w:r>
    </w:p>
    <w:p w14:paraId="7361288D">
      <w:pPr>
        <w:spacing w:line="360" w:lineRule="auto"/>
        <w:ind w:firstLine="480" w:firstLineChars="200"/>
        <w:rPr>
          <w:rFonts w:hint="eastAsia" w:ascii="宋体" w:hAnsi="宋体"/>
          <w:highlight w:val="none"/>
        </w:rPr>
      </w:pPr>
      <w:r>
        <w:rPr>
          <w:rFonts w:hint="eastAsia" w:ascii="宋体" w:hAnsi="宋体"/>
          <w:highlight w:val="none"/>
        </w:rPr>
        <w:t>12.2在安装调试阶段，根据买方要求，卖方应及时派出现场服务人员处理有关质量问题。</w:t>
      </w:r>
    </w:p>
    <w:p w14:paraId="6E6D1C29">
      <w:pPr>
        <w:spacing w:line="360" w:lineRule="auto"/>
        <w:rPr>
          <w:rFonts w:hint="eastAsia" w:ascii="宋体" w:hAnsi="宋体"/>
          <w:highlight w:val="none"/>
        </w:rPr>
      </w:pPr>
      <w:r>
        <w:rPr>
          <w:rFonts w:hint="eastAsia" w:ascii="黑体" w:hAnsi="宋体" w:eastAsia="黑体"/>
          <w:b/>
          <w:bCs/>
          <w:highlight w:val="none"/>
        </w:rPr>
        <w:t>13.质量保证期</w:t>
      </w:r>
    </w:p>
    <w:p w14:paraId="21B49EF0">
      <w:pPr>
        <w:spacing w:line="360" w:lineRule="auto"/>
        <w:ind w:firstLine="480" w:firstLineChars="200"/>
        <w:rPr>
          <w:rFonts w:hint="eastAsia" w:ascii="宋体" w:hAnsi="宋体"/>
          <w:highlight w:val="none"/>
        </w:rPr>
      </w:pPr>
      <w:r>
        <w:rPr>
          <w:rFonts w:hint="eastAsia" w:ascii="宋体" w:hAnsi="宋体"/>
          <w:highlight w:val="none"/>
        </w:rPr>
        <w:t>13.1卖方必须对合同中规定的货物提供2年的质保期，时间从所有工程竣工验收合格之日起计算，质保期内卖方须免费修理和调换任何由于产品自身的质量问题造成的损坏。</w:t>
      </w:r>
    </w:p>
    <w:p w14:paraId="1EEE7F21">
      <w:pPr>
        <w:spacing w:line="360" w:lineRule="auto"/>
        <w:ind w:firstLine="480" w:firstLineChars="200"/>
        <w:rPr>
          <w:rFonts w:hint="eastAsia" w:ascii="宋体" w:hAnsi="宋体"/>
          <w:highlight w:val="none"/>
        </w:rPr>
      </w:pPr>
      <w:r>
        <w:rPr>
          <w:rFonts w:hint="eastAsia" w:ascii="宋体" w:hAnsi="宋体"/>
          <w:highlight w:val="none"/>
        </w:rPr>
        <w:t>13.2质保期内买方有故障申报，卖方维修人员需在接到维修电话6小时内响应，48小时内解决。若不能在48小时内解决的，必须提供同等性能、同等配置的货物替换，以确保用户的排水系统运行不中断。</w:t>
      </w:r>
    </w:p>
    <w:p w14:paraId="363EA430">
      <w:pPr>
        <w:spacing w:line="360" w:lineRule="auto"/>
        <w:rPr>
          <w:rFonts w:hint="eastAsia" w:ascii="宋体" w:hAnsi="宋体"/>
          <w:highlight w:val="none"/>
          <w:u w:val="single"/>
        </w:rPr>
      </w:pPr>
      <w:r>
        <w:rPr>
          <w:rFonts w:hint="eastAsia" w:ascii="黑体" w:eastAsia="黑体"/>
          <w:b/>
          <w:bCs/>
          <w:highlight w:val="none"/>
        </w:rPr>
        <w:t>14.罚责</w:t>
      </w:r>
    </w:p>
    <w:p w14:paraId="5C7B149F">
      <w:pPr>
        <w:spacing w:line="360" w:lineRule="auto"/>
        <w:ind w:firstLine="480" w:firstLineChars="200"/>
        <w:rPr>
          <w:rFonts w:hint="eastAsia" w:ascii="宋体" w:hAnsi="宋体"/>
          <w:highlight w:val="none"/>
        </w:rPr>
      </w:pPr>
      <w:r>
        <w:rPr>
          <w:rFonts w:hint="eastAsia" w:ascii="宋体" w:hAnsi="宋体"/>
          <w:highlight w:val="none"/>
          <w:lang w:val="zh-CN"/>
        </w:rPr>
        <w:t>1</w:t>
      </w:r>
      <w:r>
        <w:rPr>
          <w:rFonts w:hint="eastAsia" w:ascii="宋体" w:hAnsi="宋体"/>
          <w:highlight w:val="none"/>
        </w:rPr>
        <w:t>4</w:t>
      </w:r>
      <w:r>
        <w:rPr>
          <w:rFonts w:hint="eastAsia" w:ascii="宋体" w:hAnsi="宋体"/>
          <w:highlight w:val="none"/>
          <w:lang w:val="zh-CN"/>
        </w:rPr>
        <w:t>.1原材料一旦发现不符合投标承诺要求，按违约处理，买方将终止合同，同时对卖方处以3倍履约保证金的违约责任，并进行公示。</w:t>
      </w:r>
    </w:p>
    <w:p w14:paraId="247B133B">
      <w:pPr>
        <w:spacing w:line="360" w:lineRule="auto"/>
        <w:ind w:firstLine="480" w:firstLineChars="200"/>
        <w:rPr>
          <w:rFonts w:hint="eastAsia" w:ascii="宋体" w:hAnsi="宋体"/>
          <w:highlight w:val="none"/>
        </w:rPr>
      </w:pPr>
      <w:r>
        <w:rPr>
          <w:rFonts w:hint="eastAsia" w:ascii="宋体" w:hAnsi="宋体"/>
          <w:highlight w:val="none"/>
        </w:rPr>
        <w:t>14.2每批产品到点后卖方均需向买方提供产品的出厂证明及检验报告。到货后和供货过程中，买方将会自行对投标产品每种规格随机抽样检测，匿名送省级及以上质量监督检验机构按合同约定技术标准要求进行质量检测，以此作为判定合同货物质量是否合格的最终依据。如抽检合格，检验费由买方承担；如抽检不合格，卖方除支付检测费用外还另需支付违约金10万元/次，并承担工程一切损失费用（包括工程返工全部费用）。因卖方产品原因造成的工程验收不合格，卖方除支付检测费用外还另需支付违约金10万元/次，卖方将承担全部损失（包括施工方拆除、重建的全部费用）。投标产品一旦抽检不合格或不符合投标承诺要求，按违约处理，并按采购有关规定处理。</w:t>
      </w:r>
    </w:p>
    <w:p w14:paraId="3D657A33">
      <w:pPr>
        <w:spacing w:line="360" w:lineRule="auto"/>
        <w:ind w:firstLine="480" w:firstLineChars="200"/>
        <w:rPr>
          <w:rFonts w:hint="eastAsia" w:ascii="宋体" w:hAnsi="宋体"/>
          <w:highlight w:val="none"/>
        </w:rPr>
      </w:pPr>
      <w:r>
        <w:rPr>
          <w:rFonts w:hint="eastAsia" w:ascii="宋体" w:hAnsi="宋体"/>
          <w:highlight w:val="none"/>
        </w:rPr>
        <w:t>质量检测的内容包括外观尺寸测量、环刚度、冲击性能、环柔性、烘箱试验等。</w:t>
      </w:r>
    </w:p>
    <w:p w14:paraId="2B361CC1">
      <w:pPr>
        <w:spacing w:line="360" w:lineRule="auto"/>
        <w:ind w:firstLine="480" w:firstLineChars="200"/>
        <w:rPr>
          <w:rFonts w:hint="eastAsia" w:ascii="宋体" w:hAnsi="宋体"/>
          <w:highlight w:val="none"/>
        </w:rPr>
      </w:pPr>
      <w:r>
        <w:rPr>
          <w:rFonts w:hint="eastAsia" w:ascii="宋体" w:hAnsi="宋体"/>
          <w:highlight w:val="none"/>
        </w:rPr>
        <w:t>14.3卖方所交付的品种、型号、规格、数量不符合合同规定标准的，买方有权拒绝。卖方向买方偿付货款总额的百分之十的违约金。</w:t>
      </w:r>
    </w:p>
    <w:p w14:paraId="45C91B2E">
      <w:pPr>
        <w:spacing w:line="360" w:lineRule="auto"/>
        <w:ind w:firstLine="480" w:firstLineChars="200"/>
        <w:rPr>
          <w:rFonts w:hint="eastAsia" w:ascii="宋体" w:hAnsi="宋体"/>
          <w:highlight w:val="none"/>
        </w:rPr>
      </w:pPr>
      <w:r>
        <w:rPr>
          <w:rFonts w:hint="eastAsia" w:ascii="宋体" w:hAnsi="宋体"/>
          <w:highlight w:val="none"/>
        </w:rPr>
        <w:t>14.4买方逾期支付货款的，以未付货款为基数，按照全国银行间同业拆借中心公布的一年期市场贷款报价利率向卖方偿付逾期利息。</w:t>
      </w:r>
    </w:p>
    <w:p w14:paraId="2101111F">
      <w:pPr>
        <w:spacing w:line="360" w:lineRule="auto"/>
        <w:ind w:firstLine="480" w:firstLineChars="200"/>
        <w:rPr>
          <w:rFonts w:hint="eastAsia" w:ascii="宋体" w:hAnsi="宋体"/>
          <w:highlight w:val="none"/>
        </w:rPr>
      </w:pPr>
      <w:r>
        <w:rPr>
          <w:rFonts w:hint="eastAsia" w:ascii="宋体" w:hAnsi="宋体"/>
          <w:highlight w:val="none"/>
        </w:rPr>
        <w:t>14.5在质保期内发生质量问题，卖方需支付违约金10万元/次。质保期内卖方接到维修电话后未按投标时承诺的服务时间到位的, 每违约一次卖方应向买方支付1000元违约金。</w:t>
      </w:r>
    </w:p>
    <w:p w14:paraId="1B7489AA">
      <w:pPr>
        <w:spacing w:line="360" w:lineRule="auto"/>
        <w:ind w:firstLine="480" w:firstLineChars="200"/>
        <w:rPr>
          <w:rFonts w:hint="eastAsia" w:ascii="宋体" w:hAnsi="宋体"/>
          <w:highlight w:val="none"/>
        </w:rPr>
      </w:pPr>
      <w:r>
        <w:rPr>
          <w:rFonts w:hint="eastAsia" w:ascii="宋体" w:hAnsi="宋体"/>
          <w:highlight w:val="none"/>
        </w:rPr>
        <w:t>14.6买方对抽样检测结果不合格行为的处置权:</w:t>
      </w:r>
    </w:p>
    <w:p w14:paraId="248AA6DA">
      <w:pPr>
        <w:spacing w:line="360" w:lineRule="auto"/>
        <w:ind w:firstLine="240" w:firstLineChars="100"/>
        <w:rPr>
          <w:rFonts w:hint="eastAsia" w:ascii="宋体" w:hAnsi="宋体"/>
          <w:highlight w:val="none"/>
        </w:rPr>
      </w:pPr>
      <w:r>
        <w:rPr>
          <w:rFonts w:hint="eastAsia" w:ascii="宋体" w:hAnsi="宋体"/>
          <w:highlight w:val="none"/>
        </w:rPr>
        <w:t>(1)买方可以认为所有货物全部为不合格；</w:t>
      </w:r>
    </w:p>
    <w:p w14:paraId="2BDBE3FF">
      <w:pPr>
        <w:spacing w:line="360" w:lineRule="auto"/>
        <w:ind w:firstLine="240" w:firstLineChars="100"/>
        <w:rPr>
          <w:rFonts w:hint="eastAsia" w:ascii="宋体" w:hAnsi="宋体"/>
          <w:highlight w:val="none"/>
        </w:rPr>
      </w:pPr>
      <w:r>
        <w:rPr>
          <w:rFonts w:hint="eastAsia" w:ascii="宋体" w:hAnsi="宋体"/>
          <w:highlight w:val="none"/>
        </w:rPr>
        <w:t>(2)要求卖方承担买方的所有损失；</w:t>
      </w:r>
    </w:p>
    <w:p w14:paraId="331B4D9A">
      <w:pPr>
        <w:spacing w:line="360" w:lineRule="auto"/>
        <w:ind w:firstLine="240" w:firstLineChars="100"/>
        <w:rPr>
          <w:rFonts w:hint="eastAsia" w:ascii="宋体" w:hAnsi="宋体"/>
          <w:highlight w:val="none"/>
        </w:rPr>
      </w:pPr>
      <w:r>
        <w:rPr>
          <w:rFonts w:hint="eastAsia" w:ascii="宋体" w:hAnsi="宋体"/>
          <w:highlight w:val="none"/>
        </w:rPr>
        <w:t>(3)买方可以单方面解除合同,并没收全部保证金。</w:t>
      </w:r>
    </w:p>
    <w:p w14:paraId="5E5F7231">
      <w:pPr>
        <w:pStyle w:val="53"/>
        <w:spacing w:line="360" w:lineRule="auto"/>
        <w:rPr>
          <w:rFonts w:ascii="黑体" w:eastAsia="黑体"/>
          <w:b/>
          <w:bCs/>
          <w:sz w:val="21"/>
          <w:highlight w:val="none"/>
        </w:rPr>
      </w:pPr>
      <w:r>
        <w:rPr>
          <w:rFonts w:hint="eastAsia" w:ascii="黑体" w:eastAsia="黑体"/>
          <w:b/>
          <w:bCs/>
          <w:sz w:val="21"/>
          <w:highlight w:val="none"/>
        </w:rPr>
        <w:t>15.担保</w:t>
      </w:r>
    </w:p>
    <w:p w14:paraId="2B46A9E6">
      <w:pPr>
        <w:autoSpaceDE w:val="0"/>
        <w:autoSpaceDN w:val="0"/>
        <w:spacing w:line="360" w:lineRule="auto"/>
        <w:ind w:firstLine="480" w:firstLineChars="200"/>
        <w:rPr>
          <w:rFonts w:ascii="黑体" w:hAnsi="宋体" w:eastAsia="黑体"/>
          <w:b/>
          <w:bCs/>
          <w:highlight w:val="none"/>
          <w:u w:val="single"/>
        </w:rPr>
      </w:pPr>
      <w:r>
        <w:rPr>
          <w:rFonts w:hint="eastAsia" w:ascii="宋体" w:hAnsi="宋体"/>
          <w:highlight w:val="none"/>
        </w:rPr>
        <w:t>1）卖方向买方提供履约担保，担保方式为：</w:t>
      </w:r>
      <w:r>
        <w:rPr>
          <w:rFonts w:hint="eastAsia" w:ascii="宋体" w:hAnsi="宋体"/>
          <w:highlight w:val="none"/>
          <w:u w:val="single"/>
        </w:rPr>
        <w:t>卖方应按招标文件要求提供履约保证金。履约保证金在卖方完成全部标段工程管材及配件供应任务后，在最后一批货物交付后30天内退还（不计息）。</w:t>
      </w:r>
    </w:p>
    <w:p w14:paraId="0F6761E9">
      <w:pPr>
        <w:autoSpaceDE w:val="0"/>
        <w:autoSpaceDN w:val="0"/>
        <w:spacing w:line="360" w:lineRule="auto"/>
        <w:ind w:firstLine="480" w:firstLineChars="200"/>
        <w:rPr>
          <w:rFonts w:hint="eastAsia"/>
          <w:highlight w:val="none"/>
        </w:rPr>
      </w:pPr>
      <w:r>
        <w:rPr>
          <w:rFonts w:hint="eastAsia"/>
          <w:highlight w:val="none"/>
        </w:rPr>
        <w:t xml:space="preserve">         </w:t>
      </w:r>
      <w:r>
        <w:rPr>
          <w:highlight w:val="none"/>
        </w:rPr>
        <w:t xml:space="preserve">          </w:t>
      </w:r>
    </w:p>
    <w:p w14:paraId="61C6C089">
      <w:pPr>
        <w:pStyle w:val="3"/>
        <w:keepNext w:val="0"/>
        <w:keepLines w:val="0"/>
        <w:numPr>
          <w:ilvl w:val="0"/>
          <w:numId w:val="33"/>
        </w:numPr>
        <w:spacing w:before="0" w:after="0" w:line="360" w:lineRule="auto"/>
        <w:ind w:left="0" w:firstLine="0"/>
        <w:jc w:val="center"/>
        <w:rPr>
          <w:rFonts w:hint="eastAsia" w:ascii="黑体"/>
          <w:highlight w:val="none"/>
        </w:rPr>
      </w:pPr>
      <w:bookmarkStart w:id="109" w:name="_Toc85959619"/>
      <w:bookmarkStart w:id="110" w:name="_Toc72546594"/>
      <w:r>
        <w:rPr>
          <w:rFonts w:ascii="黑体"/>
          <w:highlight w:val="none"/>
        </w:rPr>
        <w:br w:type="page"/>
      </w:r>
      <w:bookmarkStart w:id="111" w:name="_Toc30699"/>
      <w:bookmarkStart w:id="112" w:name="_Toc10054"/>
      <w:bookmarkStart w:id="113" w:name="_Toc447182066"/>
      <w:r>
        <w:rPr>
          <w:rFonts w:hint="eastAsia" w:ascii="黑体"/>
          <w:highlight w:val="none"/>
        </w:rPr>
        <w:t>合同格式</w:t>
      </w:r>
      <w:bookmarkEnd w:id="109"/>
      <w:bookmarkEnd w:id="110"/>
      <w:bookmarkEnd w:id="111"/>
      <w:bookmarkEnd w:id="112"/>
      <w:bookmarkEnd w:id="113"/>
    </w:p>
    <w:p w14:paraId="79BACF0A">
      <w:pPr>
        <w:spacing w:after="120" w:afterLines="50"/>
        <w:jc w:val="center"/>
        <w:rPr>
          <w:rFonts w:hint="eastAsia" w:ascii="宋体" w:hAnsi="宋体" w:eastAsia="宋体"/>
          <w:b/>
          <w:bCs/>
          <w:sz w:val="32"/>
          <w:szCs w:val="32"/>
          <w:highlight w:val="none"/>
          <w:lang w:eastAsia="zh-CN"/>
        </w:rPr>
      </w:pPr>
      <w:r>
        <w:rPr>
          <w:rFonts w:hint="eastAsia" w:ascii="宋体" w:hAnsi="宋体"/>
          <w:highlight w:val="none"/>
        </w:rPr>
        <w:t xml:space="preserve">    </w:t>
      </w:r>
      <w:r>
        <w:rPr>
          <w:rFonts w:hint="eastAsia" w:ascii="宋体" w:hAnsi="宋体" w:eastAsia="宋体"/>
          <w:b/>
          <w:bCs/>
          <w:sz w:val="32"/>
          <w:szCs w:val="32"/>
          <w:highlight w:val="none"/>
          <w:lang w:eastAsia="zh-CN"/>
        </w:rPr>
        <w:t>三门县饮用水水源地保护及生态修复项目-农村生活污水处理工程-管材</w:t>
      </w:r>
    </w:p>
    <w:p w14:paraId="676F717A">
      <w:pPr>
        <w:spacing w:after="120" w:afterLines="50"/>
        <w:jc w:val="center"/>
        <w:rPr>
          <w:rFonts w:ascii="宋体" w:hAnsi="宋体"/>
          <w:b/>
          <w:bCs/>
          <w:sz w:val="30"/>
          <w:szCs w:val="30"/>
          <w:highlight w:val="none"/>
        </w:rPr>
      </w:pPr>
      <w:r>
        <w:rPr>
          <w:rFonts w:hint="eastAsia" w:ascii="宋体" w:hAnsi="宋体"/>
          <w:sz w:val="30"/>
          <w:szCs w:val="30"/>
          <w:highlight w:val="none"/>
        </w:rPr>
        <w:t>合同编号：</w:t>
      </w:r>
    </w:p>
    <w:p w14:paraId="6815E5FF">
      <w:pPr>
        <w:autoSpaceDE w:val="0"/>
        <w:autoSpaceDN w:val="0"/>
        <w:spacing w:line="360" w:lineRule="auto"/>
        <w:textAlignment w:val="bottom"/>
        <w:rPr>
          <w:rFonts w:ascii="宋体" w:hAnsi="宋体"/>
          <w:highlight w:val="none"/>
        </w:rPr>
      </w:pPr>
    </w:p>
    <w:p w14:paraId="5FEA68D9">
      <w:pPr>
        <w:autoSpaceDE w:val="0"/>
        <w:autoSpaceDN w:val="0"/>
        <w:spacing w:line="320" w:lineRule="exact"/>
        <w:textAlignment w:val="bottom"/>
        <w:rPr>
          <w:rFonts w:ascii="宋体" w:hAnsi="宋体"/>
          <w:highlight w:val="none"/>
        </w:rPr>
      </w:pPr>
    </w:p>
    <w:p w14:paraId="7CAC925C">
      <w:pPr>
        <w:autoSpaceDE w:val="0"/>
        <w:autoSpaceDN w:val="0"/>
        <w:spacing w:line="720" w:lineRule="auto"/>
        <w:jc w:val="center"/>
        <w:textAlignment w:val="bottom"/>
        <w:rPr>
          <w:rFonts w:ascii="宋体" w:hAnsi="宋体"/>
          <w:sz w:val="44"/>
          <w:szCs w:val="44"/>
          <w:highlight w:val="none"/>
        </w:rPr>
      </w:pPr>
      <w:r>
        <w:rPr>
          <w:rFonts w:hint="eastAsia" w:ascii="宋体" w:hAnsi="宋体"/>
          <w:sz w:val="44"/>
          <w:szCs w:val="44"/>
          <w:highlight w:val="none"/>
        </w:rPr>
        <w:t xml:space="preserve">合 </w:t>
      </w:r>
    </w:p>
    <w:p w14:paraId="2745C000">
      <w:pPr>
        <w:autoSpaceDE w:val="0"/>
        <w:autoSpaceDN w:val="0"/>
        <w:spacing w:line="720" w:lineRule="auto"/>
        <w:jc w:val="center"/>
        <w:textAlignment w:val="bottom"/>
        <w:rPr>
          <w:rFonts w:ascii="宋体" w:hAnsi="宋体"/>
          <w:sz w:val="44"/>
          <w:szCs w:val="44"/>
          <w:highlight w:val="none"/>
        </w:rPr>
      </w:pPr>
      <w:r>
        <w:rPr>
          <w:rFonts w:hint="eastAsia" w:ascii="宋体" w:hAnsi="宋体"/>
          <w:sz w:val="44"/>
          <w:szCs w:val="44"/>
          <w:highlight w:val="none"/>
        </w:rPr>
        <w:t>同</w:t>
      </w:r>
    </w:p>
    <w:p w14:paraId="27EF49B9">
      <w:pPr>
        <w:autoSpaceDE w:val="0"/>
        <w:autoSpaceDN w:val="0"/>
        <w:spacing w:line="720" w:lineRule="auto"/>
        <w:jc w:val="center"/>
        <w:textAlignment w:val="bottom"/>
        <w:rPr>
          <w:rFonts w:ascii="宋体" w:hAnsi="宋体"/>
          <w:sz w:val="44"/>
          <w:szCs w:val="44"/>
          <w:highlight w:val="none"/>
        </w:rPr>
      </w:pPr>
      <w:r>
        <w:rPr>
          <w:rFonts w:hint="eastAsia" w:ascii="宋体" w:hAnsi="宋体"/>
          <w:sz w:val="44"/>
          <w:szCs w:val="44"/>
          <w:highlight w:val="none"/>
        </w:rPr>
        <w:t>书</w:t>
      </w:r>
    </w:p>
    <w:p w14:paraId="2D06C23C">
      <w:pPr>
        <w:autoSpaceDE w:val="0"/>
        <w:autoSpaceDN w:val="0"/>
        <w:spacing w:line="360" w:lineRule="auto"/>
        <w:jc w:val="center"/>
        <w:textAlignment w:val="bottom"/>
        <w:rPr>
          <w:rFonts w:ascii="宋体" w:hAnsi="宋体"/>
          <w:sz w:val="32"/>
          <w:szCs w:val="32"/>
          <w:highlight w:val="none"/>
        </w:rPr>
      </w:pPr>
    </w:p>
    <w:p w14:paraId="2F428B2C">
      <w:pPr>
        <w:autoSpaceDE w:val="0"/>
        <w:autoSpaceDN w:val="0"/>
        <w:spacing w:line="360" w:lineRule="auto"/>
        <w:textAlignment w:val="bottom"/>
        <w:rPr>
          <w:rFonts w:hint="eastAsia" w:ascii="宋体" w:hAnsi="宋体"/>
          <w:sz w:val="32"/>
          <w:szCs w:val="32"/>
          <w:highlight w:val="none"/>
        </w:rPr>
      </w:pPr>
    </w:p>
    <w:p w14:paraId="3B80E2FE">
      <w:pPr>
        <w:autoSpaceDE w:val="0"/>
        <w:autoSpaceDN w:val="0"/>
        <w:spacing w:line="360" w:lineRule="auto"/>
        <w:jc w:val="center"/>
        <w:textAlignment w:val="bottom"/>
        <w:rPr>
          <w:rFonts w:ascii="宋体" w:hAnsi="宋体"/>
          <w:sz w:val="32"/>
          <w:szCs w:val="32"/>
          <w:highlight w:val="none"/>
        </w:rPr>
      </w:pPr>
    </w:p>
    <w:p w14:paraId="310A838F">
      <w:pPr>
        <w:autoSpaceDE w:val="0"/>
        <w:autoSpaceDN w:val="0"/>
        <w:spacing w:line="360" w:lineRule="auto"/>
        <w:textAlignment w:val="bottom"/>
        <w:rPr>
          <w:rFonts w:ascii="宋体" w:hAnsi="宋体"/>
          <w:highlight w:val="none"/>
        </w:rPr>
      </w:pPr>
    </w:p>
    <w:p w14:paraId="4EF61157">
      <w:pPr>
        <w:autoSpaceDE w:val="0"/>
        <w:autoSpaceDN w:val="0"/>
        <w:spacing w:line="360" w:lineRule="auto"/>
        <w:textAlignment w:val="bottom"/>
        <w:rPr>
          <w:rFonts w:ascii="宋体" w:hAnsi="宋体"/>
          <w:sz w:val="24"/>
          <w:highlight w:val="none"/>
        </w:rPr>
      </w:pPr>
      <w:r>
        <w:rPr>
          <w:rFonts w:ascii="宋体" w:hAnsi="宋体"/>
          <w:highlight w:val="none"/>
        </w:rPr>
        <mc:AlternateContent>
          <mc:Choice Requires="wps">
            <w:drawing>
              <wp:anchor distT="0" distB="0" distL="114300" distR="114300" simplePos="0" relativeHeight="251669504" behindDoc="0" locked="0" layoutInCell="1" allowOverlap="1">
                <wp:simplePos x="0" y="0"/>
                <wp:positionH relativeFrom="column">
                  <wp:posOffset>2063115</wp:posOffset>
                </wp:positionH>
                <wp:positionV relativeFrom="paragraph">
                  <wp:posOffset>74295</wp:posOffset>
                </wp:positionV>
                <wp:extent cx="1778000" cy="0"/>
                <wp:effectExtent l="0" t="4445" r="0" b="5080"/>
                <wp:wrapNone/>
                <wp:docPr id="3" name="直接连接符 3"/>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2.45pt;margin-top:5.85pt;height:0pt;width:140pt;z-index:251669504;mso-width-relative:page;mso-height-relative:page;" filled="f" stroked="t" coordsize="21600,21600" o:gfxdata="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yYzSP1QAAAAkBAAAPAAAAAAAAAAEAIAAAACIAAABkcnMvZG93bnJldi54bWxQ&#10;SwECFAAUAAAACACHTuJAxlnF1/oBAADyAwAADgAAAAAAAAABACAAAAAkAQAAZHJzL2Uyb0RvYy54&#10;bWxQSwUGAAAAAAYABgBZAQAAkAUAAAAA&#10;">
                <v:fill on="f" focussize="0,0"/>
                <v:stroke color="#000000" joinstyle="round"/>
                <v:imagedata o:title=""/>
                <o:lock v:ext="edit" aspectratio="f"/>
              </v:line>
            </w:pict>
          </mc:Fallback>
        </mc:AlternateContent>
      </w:r>
      <w:r>
        <w:rPr>
          <w:rFonts w:hint="eastAsia" w:ascii="宋体" w:hAnsi="宋体"/>
          <w:highlight w:val="none"/>
        </w:rPr>
        <w:tab/>
      </w:r>
      <w:r>
        <w:rPr>
          <w:rFonts w:hint="eastAsia" w:ascii="宋体" w:hAnsi="宋体"/>
          <w:sz w:val="24"/>
          <w:highlight w:val="none"/>
        </w:rPr>
        <w:tab/>
      </w:r>
      <w:r>
        <w:rPr>
          <w:rFonts w:hint="eastAsia" w:ascii="宋体" w:hAnsi="宋体"/>
          <w:sz w:val="24"/>
          <w:highlight w:val="none"/>
        </w:rPr>
        <w:t>买  方：</w:t>
      </w:r>
    </w:p>
    <w:p w14:paraId="1FD9ECF8">
      <w:pPr>
        <w:autoSpaceDE w:val="0"/>
        <w:autoSpaceDN w:val="0"/>
        <w:spacing w:line="360" w:lineRule="auto"/>
        <w:textAlignment w:val="bottom"/>
        <w:rPr>
          <w:rFonts w:ascii="宋体" w:hAnsi="宋体"/>
          <w:sz w:val="24"/>
          <w:highlight w:val="none"/>
        </w:rPr>
      </w:pPr>
      <w:r>
        <w:rPr>
          <w:rFonts w:ascii="宋体" w:hAnsi="宋体"/>
          <w:sz w:val="24"/>
          <w:highlight w:val="none"/>
        </w:rPr>
        <mc:AlternateContent>
          <mc:Choice Requires="wps">
            <w:drawing>
              <wp:anchor distT="0" distB="0" distL="114300" distR="114300" simplePos="0" relativeHeight="251670528" behindDoc="0" locked="0" layoutInCell="1" allowOverlap="1">
                <wp:simplePos x="0" y="0"/>
                <wp:positionH relativeFrom="column">
                  <wp:posOffset>2063115</wp:posOffset>
                </wp:positionH>
                <wp:positionV relativeFrom="paragraph">
                  <wp:posOffset>124460</wp:posOffset>
                </wp:positionV>
                <wp:extent cx="1778000" cy="0"/>
                <wp:effectExtent l="0" t="4445" r="0" b="5080"/>
                <wp:wrapNone/>
                <wp:docPr id="1" name="直接连接符 1"/>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2.45pt;margin-top:9.8pt;height:0pt;width:140pt;z-index:251670528;mso-width-relative:page;mso-height-relative:page;" filled="f" stroked="t" coordsize="21600,21600" o:gfxdata="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LNM24zVAAAACQEAAA8AAAAAAAAAAQAgAAAAIgAAAGRycy9kb3ducmV2LnhtbFBL&#10;AQIUABQAAAAIAIdO4kDZNpJJ+QEAAPIDAAAOAAAAAAAAAAEAIAAAACQBAABkcnMvZTJvRG9jLnht&#10;bFBLBQYAAAAABgAGAFkBAACPBQAAAAA=&#10;">
                <v:fill on="f" focussize="0,0"/>
                <v:stroke color="#000000" joinstyle="round"/>
                <v:imagedata o:title=""/>
                <o:lock v:ext="edit" aspectratio="f"/>
              </v:line>
            </w:pict>
          </mc:Fallback>
        </mc:AlternateContent>
      </w:r>
      <w:r>
        <w:rPr>
          <w:rFonts w:hint="eastAsia" w:ascii="宋体" w:hAnsi="宋体"/>
          <w:sz w:val="24"/>
          <w:highlight w:val="none"/>
        </w:rPr>
        <w:tab/>
      </w:r>
      <w:r>
        <w:rPr>
          <w:rFonts w:hint="eastAsia" w:ascii="宋体" w:hAnsi="宋体"/>
          <w:sz w:val="24"/>
          <w:highlight w:val="none"/>
        </w:rPr>
        <w:tab/>
      </w:r>
      <w:r>
        <w:rPr>
          <w:rFonts w:hint="eastAsia" w:ascii="宋体" w:hAnsi="宋体"/>
          <w:sz w:val="24"/>
          <w:highlight w:val="none"/>
        </w:rPr>
        <w:t>卖  方：</w:t>
      </w:r>
    </w:p>
    <w:p w14:paraId="5766601F">
      <w:pPr>
        <w:autoSpaceDE w:val="0"/>
        <w:autoSpaceDN w:val="0"/>
        <w:spacing w:line="360" w:lineRule="auto"/>
        <w:textAlignment w:val="bottom"/>
        <w:rPr>
          <w:highlight w:val="none"/>
        </w:rPr>
      </w:pPr>
      <w:r>
        <w:rPr>
          <w:sz w:val="24"/>
          <w:highlight w:val="none"/>
        </w:rPr>
        <mc:AlternateContent>
          <mc:Choice Requires="wps">
            <w:drawing>
              <wp:anchor distT="0" distB="0" distL="114300" distR="114300" simplePos="0" relativeHeight="251671552" behindDoc="0" locked="0" layoutInCell="1" allowOverlap="1">
                <wp:simplePos x="0" y="0"/>
                <wp:positionH relativeFrom="column">
                  <wp:posOffset>2063115</wp:posOffset>
                </wp:positionH>
                <wp:positionV relativeFrom="paragraph">
                  <wp:posOffset>174625</wp:posOffset>
                </wp:positionV>
                <wp:extent cx="1778000" cy="0"/>
                <wp:effectExtent l="0" t="4445" r="0" b="5080"/>
                <wp:wrapNone/>
                <wp:docPr id="4" name="直接连接符 4"/>
                <wp:cNvGraphicFramePr/>
                <a:graphic xmlns:a="http://schemas.openxmlformats.org/drawingml/2006/main">
                  <a:graphicData uri="http://schemas.microsoft.com/office/word/2010/wordprocessingShape">
                    <wps:wsp>
                      <wps:cNvCnPr/>
                      <wps:spPr>
                        <a:xfrm>
                          <a:off x="0" y="0"/>
                          <a:ext cx="1778000" cy="0"/>
                        </a:xfrm>
                        <a:prstGeom prst="line">
                          <a:avLst/>
                        </a:prstGeom>
                        <a:ln w="952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162.45pt;margin-top:13.75pt;height:0pt;width:140pt;z-index:251671552;mso-width-relative:page;mso-height-relative:page;" filled="f" stroked="t" coordsize="21600,21600" o:gfxdata="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5qwcM1QAAAAkBAAAPAAAAAAAAAAEAIAAAACIAAABkcnMvZG93bnJldi54bWxQ&#10;SwECFAAUAAAACACHTuJACdreDPoBAADyAwAADgAAAAAAAAABACAAAAAkAQAAZHJzL2Uyb0RvYy54&#10;bWxQSwUGAAAAAAYABgBZAQAAkAUAAAAA&#10;">
                <v:fill on="f" focussize="0,0"/>
                <v:stroke color="#000000" joinstyle="round"/>
                <v:imagedata o:title=""/>
                <o:lock v:ext="edit" aspectratio="f"/>
              </v:line>
            </w:pict>
          </mc:Fallback>
        </mc:AlternateContent>
      </w:r>
      <w:r>
        <w:rPr>
          <w:rFonts w:hint="eastAsia"/>
          <w:sz w:val="24"/>
          <w:highlight w:val="none"/>
        </w:rPr>
        <w:tab/>
      </w:r>
      <w:r>
        <w:rPr>
          <w:rFonts w:hint="eastAsia"/>
          <w:sz w:val="24"/>
          <w:highlight w:val="none"/>
        </w:rPr>
        <w:tab/>
      </w:r>
      <w:r>
        <w:rPr>
          <w:rFonts w:hint="eastAsia"/>
          <w:sz w:val="24"/>
          <w:highlight w:val="none"/>
        </w:rPr>
        <w:t>签署日期：</w:t>
      </w:r>
    </w:p>
    <w:p w14:paraId="14A708A5">
      <w:pPr>
        <w:pStyle w:val="15"/>
        <w:tabs>
          <w:tab w:val="left" w:pos="1560"/>
        </w:tabs>
        <w:spacing w:line="317" w:lineRule="auto"/>
        <w:rPr>
          <w:rFonts w:hAnsi="宋体"/>
          <w:sz w:val="32"/>
          <w:highlight w:val="none"/>
        </w:rPr>
      </w:pPr>
    </w:p>
    <w:p w14:paraId="5E3516AF">
      <w:pPr>
        <w:pStyle w:val="15"/>
        <w:tabs>
          <w:tab w:val="left" w:pos="1560"/>
        </w:tabs>
        <w:spacing w:line="317" w:lineRule="auto"/>
        <w:jc w:val="center"/>
        <w:rPr>
          <w:rFonts w:hAnsi="宋体"/>
          <w:sz w:val="32"/>
          <w:highlight w:val="none"/>
        </w:rPr>
      </w:pPr>
    </w:p>
    <w:p w14:paraId="09FCEAE3">
      <w:pPr>
        <w:pStyle w:val="15"/>
        <w:tabs>
          <w:tab w:val="left" w:pos="1560"/>
        </w:tabs>
        <w:spacing w:line="317" w:lineRule="auto"/>
        <w:jc w:val="center"/>
        <w:rPr>
          <w:rFonts w:hAnsi="宋体"/>
          <w:sz w:val="32"/>
          <w:highlight w:val="none"/>
        </w:rPr>
      </w:pPr>
    </w:p>
    <w:p w14:paraId="4D660CED">
      <w:pPr>
        <w:autoSpaceDE w:val="0"/>
        <w:autoSpaceDN w:val="0"/>
        <w:spacing w:line="360" w:lineRule="auto"/>
        <w:textAlignment w:val="bottom"/>
        <w:rPr>
          <w:rFonts w:hAnsi="宋体"/>
          <w:sz w:val="32"/>
          <w:highlight w:val="none"/>
        </w:rPr>
      </w:pPr>
    </w:p>
    <w:p w14:paraId="254BF34C">
      <w:pPr>
        <w:pStyle w:val="15"/>
        <w:tabs>
          <w:tab w:val="left" w:pos="1560"/>
        </w:tabs>
        <w:spacing w:line="317" w:lineRule="auto"/>
        <w:jc w:val="center"/>
        <w:rPr>
          <w:rFonts w:hint="eastAsia" w:hAnsi="宋体"/>
          <w:sz w:val="32"/>
          <w:highlight w:val="none"/>
        </w:rPr>
      </w:pPr>
      <w:r>
        <w:rPr>
          <w:rFonts w:hint="eastAsia" w:hAnsi="宋体"/>
          <w:sz w:val="32"/>
          <w:highlight w:val="none"/>
        </w:rPr>
        <w:br w:type="page"/>
      </w:r>
      <w:r>
        <w:rPr>
          <w:rFonts w:hint="eastAsia" w:hAnsi="宋体"/>
          <w:sz w:val="32"/>
          <w:highlight w:val="none"/>
        </w:rPr>
        <w:t>合 同 书</w:t>
      </w:r>
    </w:p>
    <w:p w14:paraId="20D1E787">
      <w:pPr>
        <w:pStyle w:val="15"/>
        <w:tabs>
          <w:tab w:val="left" w:pos="1560"/>
        </w:tabs>
        <w:spacing w:line="460" w:lineRule="exact"/>
        <w:jc w:val="left"/>
        <w:rPr>
          <w:rFonts w:hint="eastAsia" w:hAnsi="宋体"/>
          <w:szCs w:val="21"/>
          <w:highlight w:val="none"/>
          <w:u w:val="single"/>
        </w:rPr>
      </w:pPr>
      <w:r>
        <w:rPr>
          <w:rFonts w:hint="eastAsia" w:hAnsi="宋体"/>
          <w:szCs w:val="21"/>
          <w:highlight w:val="none"/>
        </w:rPr>
        <w:t>买方：</w:t>
      </w:r>
      <w:r>
        <w:rPr>
          <w:rFonts w:hint="eastAsia" w:hAnsi="宋体"/>
          <w:szCs w:val="21"/>
          <w:highlight w:val="none"/>
          <w:u w:val="single"/>
        </w:rPr>
        <w:t xml:space="preserve">                </w:t>
      </w:r>
    </w:p>
    <w:p w14:paraId="532F1536">
      <w:pPr>
        <w:pStyle w:val="15"/>
        <w:tabs>
          <w:tab w:val="left" w:pos="1560"/>
        </w:tabs>
        <w:spacing w:line="460" w:lineRule="exact"/>
        <w:jc w:val="left"/>
        <w:rPr>
          <w:rFonts w:hint="eastAsia" w:hAnsi="宋体"/>
          <w:sz w:val="32"/>
          <w:highlight w:val="none"/>
        </w:rPr>
      </w:pPr>
      <w:r>
        <w:rPr>
          <w:rFonts w:hint="eastAsia" w:hAnsi="宋体"/>
          <w:szCs w:val="21"/>
          <w:highlight w:val="none"/>
        </w:rPr>
        <w:t>卖方：</w:t>
      </w:r>
      <w:r>
        <w:rPr>
          <w:rFonts w:hint="eastAsia" w:hAnsi="宋体"/>
          <w:szCs w:val="21"/>
          <w:highlight w:val="none"/>
          <w:u w:val="single"/>
        </w:rPr>
        <w:t xml:space="preserve">                </w:t>
      </w:r>
    </w:p>
    <w:p w14:paraId="140B316D">
      <w:pPr>
        <w:pStyle w:val="15"/>
        <w:tabs>
          <w:tab w:val="left" w:pos="1651"/>
        </w:tabs>
        <w:spacing w:line="460" w:lineRule="exact"/>
        <w:ind w:firstLine="720" w:firstLineChars="300"/>
        <w:jc w:val="left"/>
        <w:rPr>
          <w:rFonts w:hint="eastAsia" w:hAnsi="宋体"/>
          <w:highlight w:val="none"/>
        </w:rPr>
      </w:pPr>
      <w:r>
        <w:rPr>
          <w:rFonts w:hint="eastAsia" w:hAnsi="宋体"/>
          <w:highlight w:val="none"/>
          <w:u w:val="single"/>
          <w:lang w:eastAsia="zh-CN"/>
        </w:rPr>
        <w:t>三门县饮用水水源地保护及生态修复项目-农村生活污水处理工程-管材</w:t>
      </w:r>
      <w:r>
        <w:rPr>
          <w:rFonts w:hint="eastAsia" w:hAnsi="宋体"/>
          <w:highlight w:val="none"/>
        </w:rPr>
        <w:t>以三招建备2024-015号招标文件在国内公开招标。</w:t>
      </w:r>
      <w:r>
        <w:rPr>
          <w:rFonts w:hint="eastAsia" w:hAnsi="宋体"/>
          <w:highlight w:val="none"/>
          <w:u w:val="single"/>
        </w:rPr>
        <w:t xml:space="preserve">                            </w:t>
      </w:r>
      <w:r>
        <w:rPr>
          <w:rFonts w:hint="eastAsia" w:hAnsi="宋体"/>
          <w:highlight w:val="none"/>
        </w:rPr>
        <w:t>为中标单位。买、卖双方同意按照下面的条款和条件，签署本合同。</w:t>
      </w:r>
    </w:p>
    <w:p w14:paraId="5C7D8BE9">
      <w:pPr>
        <w:spacing w:line="460" w:lineRule="exact"/>
        <w:rPr>
          <w:rFonts w:hint="eastAsia" w:ascii="宋体" w:hAnsi="宋体"/>
          <w:highlight w:val="none"/>
        </w:rPr>
      </w:pPr>
      <w:r>
        <w:rPr>
          <w:rFonts w:hint="eastAsia" w:ascii="宋体" w:hAnsi="宋体"/>
          <w:highlight w:val="none"/>
        </w:rPr>
        <w:t>1.合同文件</w:t>
      </w:r>
    </w:p>
    <w:p w14:paraId="2BD549DE">
      <w:pPr>
        <w:spacing w:line="460" w:lineRule="exact"/>
        <w:rPr>
          <w:rFonts w:hint="eastAsia" w:ascii="宋体" w:hAnsi="宋体"/>
          <w:highlight w:val="none"/>
        </w:rPr>
      </w:pPr>
      <w:r>
        <w:rPr>
          <w:rFonts w:hint="eastAsia" w:ascii="宋体" w:hAnsi="宋体"/>
          <w:highlight w:val="none"/>
        </w:rPr>
        <w:t xml:space="preserve">    下列文件构成本合同的组成部分：</w:t>
      </w:r>
    </w:p>
    <w:p w14:paraId="2259566B">
      <w:pPr>
        <w:spacing w:line="460" w:lineRule="exact"/>
        <w:rPr>
          <w:rFonts w:hint="eastAsia" w:ascii="宋体" w:hAnsi="宋体"/>
          <w:highlight w:val="none"/>
        </w:rPr>
      </w:pPr>
      <w:r>
        <w:rPr>
          <w:rFonts w:hint="eastAsia" w:ascii="宋体" w:hAnsi="宋体"/>
          <w:highlight w:val="none"/>
        </w:rPr>
        <w:t xml:space="preserve">    a.合同一般条款            （招标文件第五章第一节）</w:t>
      </w:r>
    </w:p>
    <w:p w14:paraId="7FA1B6BD">
      <w:pPr>
        <w:spacing w:line="460" w:lineRule="exact"/>
        <w:rPr>
          <w:rFonts w:hint="eastAsia" w:ascii="宋体" w:hAnsi="宋体"/>
          <w:highlight w:val="none"/>
        </w:rPr>
      </w:pPr>
      <w:r>
        <w:rPr>
          <w:rFonts w:hint="eastAsia" w:ascii="宋体" w:hAnsi="宋体"/>
          <w:highlight w:val="none"/>
        </w:rPr>
        <w:t xml:space="preserve">    b.合同特殊条款            （招标文件第五章第二节）</w:t>
      </w:r>
    </w:p>
    <w:p w14:paraId="76E389F9">
      <w:pPr>
        <w:spacing w:line="460" w:lineRule="exact"/>
        <w:rPr>
          <w:rFonts w:hint="eastAsia" w:ascii="宋体" w:hAnsi="宋体"/>
          <w:highlight w:val="none"/>
        </w:rPr>
      </w:pPr>
      <w:r>
        <w:rPr>
          <w:rFonts w:hint="eastAsia" w:ascii="宋体" w:hAnsi="宋体"/>
          <w:highlight w:val="none"/>
        </w:rPr>
        <w:t xml:space="preserve">    c.中标通知书</w:t>
      </w:r>
    </w:p>
    <w:p w14:paraId="01991462">
      <w:pPr>
        <w:spacing w:line="460" w:lineRule="exact"/>
        <w:rPr>
          <w:rFonts w:hint="eastAsia" w:ascii="宋体" w:hAnsi="宋体"/>
          <w:highlight w:val="none"/>
        </w:rPr>
      </w:pPr>
      <w:r>
        <w:rPr>
          <w:rFonts w:hint="eastAsia" w:ascii="宋体" w:hAnsi="宋体"/>
          <w:highlight w:val="none"/>
        </w:rPr>
        <w:t xml:space="preserve">    d.投标书                  （投标文件）</w:t>
      </w:r>
    </w:p>
    <w:p w14:paraId="7346D6E8">
      <w:pPr>
        <w:spacing w:line="460" w:lineRule="exact"/>
        <w:rPr>
          <w:rFonts w:hint="eastAsia" w:ascii="宋体" w:hAnsi="宋体"/>
          <w:highlight w:val="none"/>
        </w:rPr>
      </w:pPr>
      <w:r>
        <w:rPr>
          <w:rFonts w:hint="eastAsia" w:ascii="宋体" w:hAnsi="宋体"/>
          <w:highlight w:val="none"/>
        </w:rPr>
        <w:t xml:space="preserve">    e.投标设备数量、价格表    （投标文件）</w:t>
      </w:r>
    </w:p>
    <w:p w14:paraId="7EF8DDEA">
      <w:pPr>
        <w:spacing w:line="460" w:lineRule="exact"/>
        <w:rPr>
          <w:rFonts w:hint="eastAsia" w:ascii="宋体" w:hAnsi="宋体"/>
          <w:highlight w:val="none"/>
        </w:rPr>
      </w:pPr>
      <w:r>
        <w:rPr>
          <w:rFonts w:hint="eastAsia" w:ascii="宋体" w:hAnsi="宋体"/>
          <w:highlight w:val="none"/>
        </w:rPr>
        <w:t xml:space="preserve">    f.招标货物清单及技术规范  （招标文件）</w:t>
      </w:r>
    </w:p>
    <w:p w14:paraId="204C165B">
      <w:pPr>
        <w:spacing w:line="460" w:lineRule="exact"/>
        <w:ind w:firstLine="480" w:firstLineChars="200"/>
        <w:rPr>
          <w:rFonts w:hint="eastAsia" w:ascii="宋体" w:hAnsi="宋体"/>
          <w:highlight w:val="none"/>
        </w:rPr>
      </w:pPr>
      <w:r>
        <w:rPr>
          <w:rFonts w:hint="eastAsia" w:ascii="宋体" w:hAnsi="宋体"/>
          <w:highlight w:val="none"/>
        </w:rPr>
        <w:t>g.询标纪要或承诺</w:t>
      </w:r>
    </w:p>
    <w:p w14:paraId="6F1051BA">
      <w:pPr>
        <w:spacing w:line="460" w:lineRule="exact"/>
        <w:ind w:firstLine="480" w:firstLineChars="200"/>
        <w:rPr>
          <w:rFonts w:hint="eastAsia" w:ascii="宋体" w:hAnsi="宋体"/>
          <w:highlight w:val="none"/>
        </w:rPr>
      </w:pPr>
      <w:r>
        <w:rPr>
          <w:rFonts w:hint="eastAsia" w:ascii="宋体" w:hAnsi="宋体"/>
          <w:highlight w:val="none"/>
        </w:rPr>
        <w:t>h.合同补充条款或说明</w:t>
      </w:r>
    </w:p>
    <w:p w14:paraId="67C673F1">
      <w:pPr>
        <w:spacing w:line="460" w:lineRule="exact"/>
        <w:rPr>
          <w:rFonts w:hint="eastAsia" w:ascii="宋体" w:hAnsi="宋体"/>
          <w:highlight w:val="none"/>
        </w:rPr>
      </w:pPr>
      <w:r>
        <w:rPr>
          <w:rFonts w:hint="eastAsia" w:ascii="宋体" w:hAnsi="宋体"/>
          <w:highlight w:val="none"/>
        </w:rPr>
        <w:t>2.合同范围和条件</w:t>
      </w:r>
    </w:p>
    <w:p w14:paraId="2E9F955F">
      <w:pPr>
        <w:spacing w:line="460" w:lineRule="exact"/>
        <w:rPr>
          <w:rFonts w:hint="eastAsia" w:ascii="宋体" w:hAnsi="宋体"/>
          <w:highlight w:val="none"/>
        </w:rPr>
      </w:pPr>
      <w:r>
        <w:rPr>
          <w:rFonts w:hint="eastAsia" w:ascii="宋体" w:hAnsi="宋体"/>
          <w:highlight w:val="none"/>
        </w:rPr>
        <w:t xml:space="preserve">    本合同的范围和条件应与上述规定的合同文件内容一致。</w:t>
      </w:r>
    </w:p>
    <w:p w14:paraId="10817463">
      <w:pPr>
        <w:spacing w:line="460" w:lineRule="exact"/>
        <w:rPr>
          <w:rFonts w:hint="eastAsia" w:ascii="宋体" w:hAnsi="宋体"/>
          <w:highlight w:val="none"/>
        </w:rPr>
      </w:pPr>
      <w:r>
        <w:rPr>
          <w:rFonts w:hint="eastAsia" w:ascii="宋体" w:hAnsi="宋体"/>
          <w:highlight w:val="none"/>
        </w:rPr>
        <w:t>3.产品和数量</w:t>
      </w:r>
    </w:p>
    <w:p w14:paraId="47E30A9D">
      <w:pPr>
        <w:spacing w:line="460" w:lineRule="exact"/>
        <w:rPr>
          <w:rFonts w:hint="eastAsia" w:ascii="宋体" w:hAnsi="宋体"/>
          <w:highlight w:val="none"/>
        </w:rPr>
      </w:pPr>
      <w:r>
        <w:rPr>
          <w:rFonts w:hint="eastAsia" w:ascii="宋体" w:hAnsi="宋体"/>
          <w:highlight w:val="none"/>
        </w:rPr>
        <w:t xml:space="preserve">    本合同要求提供的产品和数量见中标通知书、投标文件。</w:t>
      </w:r>
    </w:p>
    <w:p w14:paraId="091E2F9C">
      <w:pPr>
        <w:spacing w:line="460" w:lineRule="exact"/>
        <w:rPr>
          <w:rFonts w:hint="eastAsia" w:ascii="宋体" w:hAnsi="宋体"/>
          <w:highlight w:val="none"/>
        </w:rPr>
      </w:pPr>
      <w:r>
        <w:rPr>
          <w:rFonts w:hint="eastAsia" w:ascii="宋体" w:hAnsi="宋体"/>
          <w:highlight w:val="none"/>
        </w:rPr>
        <w:t>4.合同金额</w:t>
      </w:r>
    </w:p>
    <w:p w14:paraId="52ABE371">
      <w:pPr>
        <w:spacing w:line="460" w:lineRule="exact"/>
        <w:rPr>
          <w:rFonts w:hint="eastAsia" w:ascii="宋体" w:hAnsi="宋体"/>
          <w:szCs w:val="21"/>
          <w:highlight w:val="none"/>
        </w:rPr>
        <w:sectPr>
          <w:footerReference r:id="rId15" w:type="default"/>
          <w:footnotePr>
            <w:numRestart w:val="eachPage"/>
          </w:footnotePr>
          <w:endnotePr>
            <w:numRestart w:val="eachSect"/>
          </w:endnotePr>
          <w:pgSz w:w="11907" w:h="16840"/>
          <w:pgMar w:top="1304" w:right="1247" w:bottom="1247" w:left="1304" w:header="851" w:footer="992" w:gutter="0"/>
          <w:pgNumType w:fmt="decimal"/>
          <w:cols w:space="720" w:num="1"/>
          <w:docGrid w:linePitch="435" w:charSpace="-6554"/>
        </w:sectPr>
      </w:pPr>
      <w:r>
        <w:rPr>
          <w:rFonts w:hint="eastAsia" w:ascii="宋体" w:hAnsi="宋体"/>
          <w:szCs w:val="21"/>
          <w:highlight w:val="none"/>
        </w:rPr>
        <w:t xml:space="preserve">    合同总价</w:t>
      </w:r>
      <w:r>
        <w:rPr>
          <w:rFonts w:hint="eastAsia" w:hAnsi="宋体"/>
          <w:snapToGrid w:val="0"/>
          <w:szCs w:val="21"/>
          <w:highlight w:val="none"/>
          <w:u w:val="single"/>
        </w:rPr>
        <w:t xml:space="preserve">  </w:t>
      </w:r>
      <w:r>
        <w:rPr>
          <w:rFonts w:hAnsi="宋体"/>
          <w:snapToGrid w:val="0"/>
          <w:szCs w:val="21"/>
          <w:highlight w:val="none"/>
          <w:u w:val="single"/>
        </w:rPr>
        <w:t xml:space="preserve">   </w:t>
      </w:r>
      <w:r>
        <w:rPr>
          <w:rFonts w:hint="eastAsia" w:hAnsi="宋体"/>
          <w:snapToGrid w:val="0"/>
          <w:szCs w:val="21"/>
          <w:highlight w:val="none"/>
          <w:u w:val="single"/>
        </w:rPr>
        <w:t xml:space="preserve">  元</w:t>
      </w:r>
      <w:r>
        <w:rPr>
          <w:rFonts w:hint="eastAsia" w:hAnsi="宋体"/>
          <w:snapToGrid w:val="0"/>
          <w:szCs w:val="21"/>
          <w:highlight w:val="none"/>
        </w:rPr>
        <w:t>，</w:t>
      </w:r>
      <w:r>
        <w:rPr>
          <w:rFonts w:hint="eastAsia"/>
          <w:highlight w:val="none"/>
        </w:rPr>
        <w:t>结算单价按招标人提供的采购清单中所有品目的审核单价统一下浮，结算单价</w:t>
      </w:r>
      <w:r>
        <w:rPr>
          <w:rFonts w:hint="eastAsia" w:ascii="宋体" w:hAnsi="宋体"/>
          <w:szCs w:val="21"/>
          <w:highlight w:val="none"/>
        </w:rPr>
        <w:t>下浮率为</w:t>
      </w:r>
      <w:r>
        <w:rPr>
          <w:rFonts w:hint="eastAsia" w:ascii="宋体" w:hAnsi="宋体"/>
          <w:szCs w:val="21"/>
          <w:highlight w:val="none"/>
          <w:u w:val="single"/>
        </w:rPr>
        <w:t xml:space="preserve">   %</w:t>
      </w:r>
      <w:r>
        <w:rPr>
          <w:rFonts w:hint="eastAsia" w:ascii="宋体" w:hAnsi="宋体"/>
          <w:szCs w:val="21"/>
          <w:highlight w:val="none"/>
        </w:rPr>
        <w:t>，结算单价下浮率=（1-投标报价/预算审核价）*100%）（百分号前保留两位小数），承包</w:t>
      </w:r>
      <w:r>
        <w:rPr>
          <w:rFonts w:hint="eastAsia" w:ascii="宋体" w:hAnsi="宋体" w:eastAsia="宋体"/>
          <w:szCs w:val="21"/>
          <w:highlight w:val="none"/>
          <w:lang w:eastAsia="zh-CN"/>
        </w:rPr>
        <w:t>三门县饮用水水源地保护及生态修复项目-农村生活污水处理工程-管材</w:t>
      </w:r>
      <w:r>
        <w:rPr>
          <w:rFonts w:hint="eastAsia" w:ascii="宋体" w:hAnsi="宋体"/>
          <w:szCs w:val="21"/>
          <w:highlight w:val="none"/>
        </w:rPr>
        <w:t>所需的高密度聚乙烯缠绕结构壁管材、PE100管材及配套连接管件供应，包括产品的设计制造、包装、运输（含装卸）、产品保护、货到就位、供货点仓储建设、仓储货物管理、二次运输至施工现场（含装卸）、技术服务、售后服务、质量保修及相关部门验收（含第三方验收）、因产品的质量问题造成的相关费用（含第三方检测费用、违约金、工程一切损失费用）、退货、保险、利润、税金、政策性文件规定及合同包含的所有风险、责任等所有费用，结算工程量以第三方审核中心审定的实际施工使用数量为准</w:t>
      </w:r>
      <w:r>
        <w:rPr>
          <w:rFonts w:hint="eastAsia" w:ascii="黑体" w:hAnsi="宋体" w:eastAsia="黑体"/>
          <w:b/>
          <w:szCs w:val="21"/>
          <w:highlight w:val="none"/>
        </w:rPr>
        <w:t>，所标注的管材及管件规格都为成品规格。</w:t>
      </w:r>
    </w:p>
    <w:tbl>
      <w:tblPr>
        <w:tblStyle w:val="28"/>
        <w:tblW w:w="841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68"/>
        <w:gridCol w:w="2578"/>
        <w:gridCol w:w="2405"/>
        <w:gridCol w:w="706"/>
        <w:gridCol w:w="884"/>
        <w:gridCol w:w="1273"/>
      </w:tblGrid>
      <w:tr w14:paraId="7BF9C31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noWrap w:val="0"/>
            <w:vAlign w:val="center"/>
          </w:tcPr>
          <w:p w14:paraId="46A209A2">
            <w:pPr>
              <w:rPr>
                <w:b/>
                <w:bCs/>
                <w:szCs w:val="21"/>
                <w:highlight w:val="none"/>
              </w:rPr>
            </w:pPr>
            <w:r>
              <w:rPr>
                <w:b/>
                <w:bCs/>
                <w:szCs w:val="21"/>
                <w:highlight w:val="none"/>
              </w:rPr>
              <w:t>序号</w:t>
            </w:r>
          </w:p>
        </w:tc>
        <w:tc>
          <w:tcPr>
            <w:tcW w:w="2578" w:type="dxa"/>
            <w:noWrap w:val="0"/>
            <w:vAlign w:val="center"/>
          </w:tcPr>
          <w:p w14:paraId="77049A8A">
            <w:pPr>
              <w:rPr>
                <w:b/>
                <w:bCs/>
                <w:szCs w:val="21"/>
                <w:highlight w:val="none"/>
              </w:rPr>
            </w:pPr>
            <w:r>
              <w:rPr>
                <w:b/>
                <w:bCs/>
                <w:szCs w:val="21"/>
                <w:highlight w:val="none"/>
              </w:rPr>
              <w:t>名称</w:t>
            </w:r>
          </w:p>
        </w:tc>
        <w:tc>
          <w:tcPr>
            <w:tcW w:w="2405" w:type="dxa"/>
            <w:noWrap w:val="0"/>
            <w:vAlign w:val="center"/>
          </w:tcPr>
          <w:p w14:paraId="364FA89E">
            <w:pPr>
              <w:rPr>
                <w:b/>
                <w:bCs/>
                <w:szCs w:val="21"/>
                <w:highlight w:val="none"/>
              </w:rPr>
            </w:pPr>
            <w:r>
              <w:rPr>
                <w:b/>
                <w:bCs/>
                <w:szCs w:val="21"/>
                <w:highlight w:val="none"/>
              </w:rPr>
              <w:t>规格型号</w:t>
            </w:r>
          </w:p>
        </w:tc>
        <w:tc>
          <w:tcPr>
            <w:tcW w:w="706" w:type="dxa"/>
            <w:noWrap w:val="0"/>
            <w:vAlign w:val="center"/>
          </w:tcPr>
          <w:p w14:paraId="7C911E46">
            <w:pPr>
              <w:rPr>
                <w:b/>
                <w:bCs/>
                <w:szCs w:val="21"/>
                <w:highlight w:val="none"/>
              </w:rPr>
            </w:pPr>
            <w:r>
              <w:rPr>
                <w:b/>
                <w:bCs/>
                <w:szCs w:val="21"/>
                <w:highlight w:val="none"/>
              </w:rPr>
              <w:t>单位</w:t>
            </w:r>
          </w:p>
        </w:tc>
        <w:tc>
          <w:tcPr>
            <w:tcW w:w="739" w:type="dxa"/>
            <w:noWrap w:val="0"/>
            <w:vAlign w:val="center"/>
          </w:tcPr>
          <w:p w14:paraId="283077FC">
            <w:pPr>
              <w:rPr>
                <w:b/>
                <w:bCs/>
                <w:szCs w:val="21"/>
                <w:highlight w:val="none"/>
              </w:rPr>
            </w:pPr>
            <w:r>
              <w:rPr>
                <w:b/>
                <w:bCs/>
                <w:szCs w:val="21"/>
                <w:highlight w:val="none"/>
              </w:rPr>
              <w:t>数量</w:t>
            </w:r>
          </w:p>
        </w:tc>
        <w:tc>
          <w:tcPr>
            <w:tcW w:w="1273" w:type="dxa"/>
            <w:noWrap w:val="0"/>
            <w:vAlign w:val="center"/>
          </w:tcPr>
          <w:p w14:paraId="30911321">
            <w:pPr>
              <w:rPr>
                <w:b/>
                <w:bCs/>
                <w:szCs w:val="21"/>
                <w:highlight w:val="none"/>
              </w:rPr>
            </w:pPr>
            <w:r>
              <w:rPr>
                <w:b/>
                <w:bCs/>
                <w:szCs w:val="21"/>
                <w:highlight w:val="none"/>
              </w:rPr>
              <w:t>备注</w:t>
            </w:r>
          </w:p>
        </w:tc>
      </w:tr>
      <w:tr w14:paraId="1D9B0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0" w:type="auto"/>
            <w:noWrap w:val="0"/>
            <w:vAlign w:val="center"/>
          </w:tcPr>
          <w:p w14:paraId="0725E52B">
            <w:pPr>
              <w:jc w:val="center"/>
              <w:rPr>
                <w:szCs w:val="21"/>
                <w:highlight w:val="none"/>
              </w:rPr>
            </w:pPr>
            <w:r>
              <w:rPr>
                <w:szCs w:val="21"/>
                <w:highlight w:val="none"/>
              </w:rPr>
              <w:t>1</w:t>
            </w:r>
          </w:p>
        </w:tc>
        <w:tc>
          <w:tcPr>
            <w:tcW w:w="2578" w:type="dxa"/>
            <w:noWrap w:val="0"/>
            <w:vAlign w:val="center"/>
          </w:tcPr>
          <w:p w14:paraId="642AAE74">
            <w:pPr>
              <w:rPr>
                <w:szCs w:val="21"/>
                <w:highlight w:val="none"/>
              </w:rPr>
            </w:pPr>
            <w:r>
              <w:rPr>
                <w:szCs w:val="21"/>
                <w:highlight w:val="none"/>
              </w:rPr>
              <w:t>承插式聚乙烯实壁排水管</w:t>
            </w:r>
          </w:p>
        </w:tc>
        <w:tc>
          <w:tcPr>
            <w:tcW w:w="2405" w:type="dxa"/>
            <w:noWrap w:val="0"/>
            <w:vAlign w:val="center"/>
          </w:tcPr>
          <w:p w14:paraId="6EFEBFA6">
            <w:pPr>
              <w:rPr>
                <w:szCs w:val="21"/>
                <w:highlight w:val="none"/>
              </w:rPr>
            </w:pPr>
            <w:r>
              <w:rPr>
                <w:szCs w:val="21"/>
                <w:highlight w:val="none"/>
              </w:rPr>
              <w:t>De315，环刚度SN8</w:t>
            </w:r>
          </w:p>
        </w:tc>
        <w:tc>
          <w:tcPr>
            <w:tcW w:w="706" w:type="dxa"/>
            <w:noWrap w:val="0"/>
            <w:vAlign w:val="center"/>
          </w:tcPr>
          <w:p w14:paraId="329D1AF4">
            <w:pPr>
              <w:rPr>
                <w:szCs w:val="21"/>
                <w:highlight w:val="none"/>
              </w:rPr>
            </w:pPr>
            <w:r>
              <w:rPr>
                <w:szCs w:val="21"/>
                <w:highlight w:val="none"/>
              </w:rPr>
              <w:t>m</w:t>
            </w:r>
          </w:p>
        </w:tc>
        <w:tc>
          <w:tcPr>
            <w:tcW w:w="739" w:type="dxa"/>
            <w:noWrap w:val="0"/>
            <w:vAlign w:val="center"/>
          </w:tcPr>
          <w:p w14:paraId="22FCB4B6">
            <w:pPr>
              <w:rPr>
                <w:rFonts w:hint="default" w:eastAsia="宋体"/>
                <w:szCs w:val="21"/>
                <w:highlight w:val="none"/>
                <w:lang w:val="en-US" w:eastAsia="zh-CN"/>
              </w:rPr>
            </w:pPr>
            <w:r>
              <w:rPr>
                <w:szCs w:val="21"/>
                <w:highlight w:val="none"/>
              </w:rPr>
              <w:t>221</w:t>
            </w:r>
            <w:r>
              <w:rPr>
                <w:rFonts w:hint="eastAsia" w:eastAsia="宋体"/>
                <w:szCs w:val="21"/>
                <w:highlight w:val="none"/>
                <w:lang w:val="en-US" w:eastAsia="zh-CN"/>
              </w:rPr>
              <w:t>47</w:t>
            </w:r>
          </w:p>
        </w:tc>
        <w:tc>
          <w:tcPr>
            <w:tcW w:w="1273" w:type="dxa"/>
            <w:noWrap w:val="0"/>
            <w:vAlign w:val="center"/>
          </w:tcPr>
          <w:p w14:paraId="19965B02">
            <w:pPr>
              <w:rPr>
                <w:szCs w:val="21"/>
                <w:highlight w:val="none"/>
              </w:rPr>
            </w:pPr>
            <w:r>
              <w:rPr>
                <w:rFonts w:hint="eastAsia"/>
                <w:szCs w:val="21"/>
                <w:highlight w:val="none"/>
              </w:rPr>
              <w:t>含配件</w:t>
            </w:r>
          </w:p>
        </w:tc>
      </w:tr>
      <w:tr w14:paraId="1AA8DF0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8" w:type="dxa"/>
            <w:noWrap w:val="0"/>
            <w:vAlign w:val="center"/>
          </w:tcPr>
          <w:p w14:paraId="55B385F7">
            <w:pPr>
              <w:jc w:val="center"/>
              <w:rPr>
                <w:szCs w:val="21"/>
                <w:highlight w:val="none"/>
              </w:rPr>
            </w:pPr>
            <w:r>
              <w:rPr>
                <w:szCs w:val="21"/>
                <w:highlight w:val="none"/>
              </w:rPr>
              <w:t>2</w:t>
            </w:r>
          </w:p>
        </w:tc>
        <w:tc>
          <w:tcPr>
            <w:tcW w:w="2578" w:type="dxa"/>
            <w:noWrap w:val="0"/>
            <w:vAlign w:val="center"/>
          </w:tcPr>
          <w:p w14:paraId="4DA23F56">
            <w:pPr>
              <w:rPr>
                <w:szCs w:val="21"/>
                <w:highlight w:val="none"/>
              </w:rPr>
            </w:pPr>
            <w:r>
              <w:rPr>
                <w:szCs w:val="21"/>
                <w:highlight w:val="none"/>
              </w:rPr>
              <w:t>PE100实壁管</w:t>
            </w:r>
          </w:p>
        </w:tc>
        <w:tc>
          <w:tcPr>
            <w:tcW w:w="2405" w:type="dxa"/>
            <w:noWrap w:val="0"/>
            <w:vAlign w:val="center"/>
          </w:tcPr>
          <w:p w14:paraId="0A39579D">
            <w:pPr>
              <w:rPr>
                <w:rFonts w:hint="default" w:eastAsia="宋体"/>
                <w:szCs w:val="21"/>
                <w:highlight w:val="none"/>
                <w:lang w:val="en-US" w:eastAsia="zh-CN"/>
              </w:rPr>
            </w:pPr>
            <w:r>
              <w:rPr>
                <w:rFonts w:hint="eastAsia" w:eastAsia="宋体"/>
                <w:szCs w:val="21"/>
                <w:highlight w:val="none"/>
                <w:lang w:val="en-US" w:eastAsia="zh-CN"/>
              </w:rPr>
              <w:t>De315,1.0MPa</w:t>
            </w:r>
          </w:p>
        </w:tc>
        <w:tc>
          <w:tcPr>
            <w:tcW w:w="706" w:type="dxa"/>
            <w:noWrap w:val="0"/>
            <w:vAlign w:val="center"/>
          </w:tcPr>
          <w:p w14:paraId="094C1286">
            <w:pPr>
              <w:rPr>
                <w:rFonts w:hint="eastAsia" w:eastAsia="宋体"/>
                <w:szCs w:val="21"/>
                <w:highlight w:val="none"/>
                <w:lang w:val="en-US" w:eastAsia="zh-CN"/>
              </w:rPr>
            </w:pPr>
            <w:r>
              <w:rPr>
                <w:rFonts w:hint="eastAsia" w:eastAsia="宋体"/>
                <w:szCs w:val="21"/>
                <w:highlight w:val="none"/>
                <w:lang w:val="en-US" w:eastAsia="zh-CN"/>
              </w:rPr>
              <w:t>M</w:t>
            </w:r>
          </w:p>
        </w:tc>
        <w:tc>
          <w:tcPr>
            <w:tcW w:w="739" w:type="dxa"/>
            <w:noWrap w:val="0"/>
            <w:vAlign w:val="center"/>
          </w:tcPr>
          <w:p w14:paraId="1BA7EE8F">
            <w:pPr>
              <w:rPr>
                <w:rFonts w:hint="default" w:eastAsia="宋体"/>
                <w:szCs w:val="21"/>
                <w:highlight w:val="none"/>
                <w:lang w:val="en-US" w:eastAsia="zh-CN"/>
              </w:rPr>
            </w:pPr>
            <w:r>
              <w:rPr>
                <w:rFonts w:hint="eastAsia" w:eastAsia="宋体"/>
                <w:szCs w:val="21"/>
                <w:highlight w:val="none"/>
                <w:lang w:val="en-US" w:eastAsia="zh-CN"/>
              </w:rPr>
              <w:t>88</w:t>
            </w:r>
          </w:p>
        </w:tc>
        <w:tc>
          <w:tcPr>
            <w:tcW w:w="1273" w:type="dxa"/>
            <w:noWrap w:val="0"/>
            <w:vAlign w:val="center"/>
          </w:tcPr>
          <w:p w14:paraId="3C0346E2">
            <w:pPr>
              <w:rPr>
                <w:szCs w:val="21"/>
                <w:highlight w:val="none"/>
              </w:rPr>
            </w:pPr>
          </w:p>
        </w:tc>
      </w:tr>
      <w:tr w14:paraId="10EC4433">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9" w:hRule="atLeast"/>
          <w:jc w:val="center"/>
        </w:trPr>
        <w:tc>
          <w:tcPr>
            <w:tcW w:w="568" w:type="dxa"/>
            <w:noWrap w:val="0"/>
            <w:vAlign w:val="center"/>
          </w:tcPr>
          <w:p w14:paraId="7567FF0B">
            <w:pPr>
              <w:jc w:val="center"/>
              <w:rPr>
                <w:szCs w:val="21"/>
                <w:highlight w:val="none"/>
              </w:rPr>
            </w:pPr>
            <w:r>
              <w:rPr>
                <w:rFonts w:hint="eastAsia"/>
                <w:szCs w:val="21"/>
                <w:highlight w:val="none"/>
              </w:rPr>
              <w:t>3</w:t>
            </w:r>
          </w:p>
        </w:tc>
        <w:tc>
          <w:tcPr>
            <w:tcW w:w="2578" w:type="dxa"/>
            <w:noWrap w:val="0"/>
            <w:vAlign w:val="center"/>
          </w:tcPr>
          <w:p w14:paraId="4CDA1D0A">
            <w:pPr>
              <w:rPr>
                <w:szCs w:val="21"/>
                <w:highlight w:val="none"/>
              </w:rPr>
            </w:pPr>
            <w:r>
              <w:rPr>
                <w:szCs w:val="21"/>
                <w:highlight w:val="none"/>
              </w:rPr>
              <w:t>PE100实壁管</w:t>
            </w:r>
          </w:p>
        </w:tc>
        <w:tc>
          <w:tcPr>
            <w:tcW w:w="2405" w:type="dxa"/>
            <w:noWrap w:val="0"/>
            <w:vAlign w:val="center"/>
          </w:tcPr>
          <w:p w14:paraId="2B9CAB6B">
            <w:pPr>
              <w:rPr>
                <w:szCs w:val="21"/>
                <w:highlight w:val="none"/>
              </w:rPr>
            </w:pPr>
            <w:r>
              <w:rPr>
                <w:rFonts w:hint="eastAsia"/>
                <w:szCs w:val="21"/>
                <w:highlight w:val="none"/>
              </w:rPr>
              <w:t>De90，1.0MPa</w:t>
            </w:r>
          </w:p>
        </w:tc>
        <w:tc>
          <w:tcPr>
            <w:tcW w:w="706" w:type="dxa"/>
            <w:noWrap w:val="0"/>
            <w:vAlign w:val="center"/>
          </w:tcPr>
          <w:p w14:paraId="71EC9C31">
            <w:pPr>
              <w:rPr>
                <w:szCs w:val="21"/>
                <w:highlight w:val="none"/>
              </w:rPr>
            </w:pPr>
            <w:r>
              <w:rPr>
                <w:rFonts w:hint="eastAsia"/>
                <w:szCs w:val="21"/>
                <w:highlight w:val="none"/>
              </w:rPr>
              <w:t>m</w:t>
            </w:r>
          </w:p>
        </w:tc>
        <w:tc>
          <w:tcPr>
            <w:tcW w:w="739" w:type="dxa"/>
            <w:noWrap w:val="0"/>
            <w:vAlign w:val="center"/>
          </w:tcPr>
          <w:p w14:paraId="16522C58">
            <w:pPr>
              <w:rPr>
                <w:rFonts w:hint="default" w:eastAsia="宋体"/>
                <w:szCs w:val="21"/>
                <w:highlight w:val="none"/>
                <w:lang w:val="en-US" w:eastAsia="zh-CN"/>
              </w:rPr>
            </w:pPr>
            <w:r>
              <w:rPr>
                <w:rFonts w:hint="eastAsia" w:eastAsia="宋体"/>
                <w:szCs w:val="21"/>
                <w:highlight w:val="none"/>
                <w:lang w:val="en-US" w:eastAsia="zh-CN"/>
              </w:rPr>
              <w:t>903</w:t>
            </w:r>
          </w:p>
        </w:tc>
        <w:tc>
          <w:tcPr>
            <w:tcW w:w="1273" w:type="dxa"/>
            <w:noWrap w:val="0"/>
            <w:vAlign w:val="center"/>
          </w:tcPr>
          <w:p w14:paraId="4FE1E46C">
            <w:pPr>
              <w:rPr>
                <w:szCs w:val="21"/>
                <w:highlight w:val="none"/>
              </w:rPr>
            </w:pPr>
          </w:p>
        </w:tc>
      </w:tr>
      <w:tr w14:paraId="037DDFED">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568" w:type="dxa"/>
            <w:noWrap w:val="0"/>
            <w:vAlign w:val="center"/>
          </w:tcPr>
          <w:p w14:paraId="54B8EB02">
            <w:pPr>
              <w:jc w:val="center"/>
              <w:rPr>
                <w:szCs w:val="21"/>
                <w:highlight w:val="none"/>
              </w:rPr>
            </w:pPr>
            <w:r>
              <w:rPr>
                <w:rFonts w:hint="eastAsia"/>
                <w:szCs w:val="21"/>
                <w:highlight w:val="none"/>
              </w:rPr>
              <w:t>4</w:t>
            </w:r>
          </w:p>
        </w:tc>
        <w:tc>
          <w:tcPr>
            <w:tcW w:w="2578" w:type="dxa"/>
            <w:noWrap w:val="0"/>
            <w:vAlign w:val="center"/>
          </w:tcPr>
          <w:p w14:paraId="1FF0ED2D">
            <w:pPr>
              <w:rPr>
                <w:szCs w:val="21"/>
                <w:highlight w:val="none"/>
              </w:rPr>
            </w:pPr>
            <w:r>
              <w:rPr>
                <w:szCs w:val="21"/>
                <w:highlight w:val="none"/>
              </w:rPr>
              <w:t>PE100实壁管</w:t>
            </w:r>
          </w:p>
        </w:tc>
        <w:tc>
          <w:tcPr>
            <w:tcW w:w="2405" w:type="dxa"/>
            <w:noWrap w:val="0"/>
            <w:vAlign w:val="center"/>
          </w:tcPr>
          <w:p w14:paraId="4893849C">
            <w:pPr>
              <w:rPr>
                <w:szCs w:val="21"/>
                <w:highlight w:val="none"/>
              </w:rPr>
            </w:pPr>
            <w:r>
              <w:rPr>
                <w:rFonts w:hint="eastAsia"/>
                <w:szCs w:val="21"/>
                <w:highlight w:val="none"/>
              </w:rPr>
              <w:t>De75，1.0MPa</w:t>
            </w:r>
          </w:p>
        </w:tc>
        <w:tc>
          <w:tcPr>
            <w:tcW w:w="706" w:type="dxa"/>
            <w:noWrap w:val="0"/>
            <w:vAlign w:val="center"/>
          </w:tcPr>
          <w:p w14:paraId="46496E75">
            <w:pPr>
              <w:rPr>
                <w:szCs w:val="21"/>
                <w:highlight w:val="none"/>
              </w:rPr>
            </w:pPr>
            <w:r>
              <w:rPr>
                <w:rFonts w:hint="eastAsia"/>
                <w:szCs w:val="21"/>
                <w:highlight w:val="none"/>
              </w:rPr>
              <w:t>m</w:t>
            </w:r>
          </w:p>
        </w:tc>
        <w:tc>
          <w:tcPr>
            <w:tcW w:w="739" w:type="dxa"/>
            <w:noWrap w:val="0"/>
            <w:vAlign w:val="center"/>
          </w:tcPr>
          <w:p w14:paraId="3C08F0DE">
            <w:pPr>
              <w:rPr>
                <w:rFonts w:hint="default" w:eastAsia="宋体"/>
                <w:szCs w:val="21"/>
                <w:highlight w:val="none"/>
                <w:lang w:val="en-US" w:eastAsia="zh-CN"/>
              </w:rPr>
            </w:pPr>
            <w:r>
              <w:rPr>
                <w:rFonts w:hint="eastAsia" w:eastAsia="宋体"/>
                <w:szCs w:val="21"/>
                <w:highlight w:val="none"/>
                <w:lang w:val="en-US" w:eastAsia="zh-CN"/>
              </w:rPr>
              <w:t>356</w:t>
            </w:r>
          </w:p>
        </w:tc>
        <w:tc>
          <w:tcPr>
            <w:tcW w:w="1273" w:type="dxa"/>
            <w:noWrap w:val="0"/>
            <w:vAlign w:val="center"/>
          </w:tcPr>
          <w:p w14:paraId="06ABC682">
            <w:pPr>
              <w:rPr>
                <w:szCs w:val="21"/>
                <w:highlight w:val="none"/>
              </w:rPr>
            </w:pPr>
          </w:p>
        </w:tc>
      </w:tr>
      <w:tr w14:paraId="0FA19428">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8" w:type="dxa"/>
            <w:noWrap w:val="0"/>
            <w:vAlign w:val="center"/>
          </w:tcPr>
          <w:p w14:paraId="60ECFF5C">
            <w:pPr>
              <w:jc w:val="center"/>
              <w:rPr>
                <w:szCs w:val="21"/>
                <w:highlight w:val="none"/>
              </w:rPr>
            </w:pPr>
            <w:r>
              <w:rPr>
                <w:rFonts w:hint="eastAsia"/>
                <w:szCs w:val="21"/>
                <w:highlight w:val="none"/>
              </w:rPr>
              <w:t>5</w:t>
            </w:r>
          </w:p>
        </w:tc>
        <w:tc>
          <w:tcPr>
            <w:tcW w:w="2578" w:type="dxa"/>
            <w:noWrap w:val="0"/>
            <w:vAlign w:val="center"/>
          </w:tcPr>
          <w:p w14:paraId="2B09A495">
            <w:pPr>
              <w:rPr>
                <w:szCs w:val="21"/>
                <w:highlight w:val="none"/>
              </w:rPr>
            </w:pPr>
            <w:r>
              <w:rPr>
                <w:rFonts w:hint="eastAsia"/>
                <w:szCs w:val="21"/>
                <w:highlight w:val="none"/>
              </w:rPr>
              <w:t>UPVC排水管</w:t>
            </w:r>
          </w:p>
        </w:tc>
        <w:tc>
          <w:tcPr>
            <w:tcW w:w="2405" w:type="dxa"/>
            <w:noWrap w:val="0"/>
            <w:vAlign w:val="center"/>
          </w:tcPr>
          <w:p w14:paraId="4D666976">
            <w:pPr>
              <w:rPr>
                <w:szCs w:val="21"/>
                <w:highlight w:val="none"/>
              </w:rPr>
            </w:pPr>
            <w:r>
              <w:rPr>
                <w:rFonts w:hint="eastAsia"/>
                <w:szCs w:val="21"/>
                <w:highlight w:val="none"/>
              </w:rPr>
              <w:t>De110</w:t>
            </w:r>
          </w:p>
        </w:tc>
        <w:tc>
          <w:tcPr>
            <w:tcW w:w="706" w:type="dxa"/>
            <w:noWrap w:val="0"/>
            <w:vAlign w:val="center"/>
          </w:tcPr>
          <w:p w14:paraId="349B0362">
            <w:pPr>
              <w:rPr>
                <w:szCs w:val="21"/>
                <w:highlight w:val="none"/>
              </w:rPr>
            </w:pPr>
            <w:r>
              <w:rPr>
                <w:rFonts w:hint="eastAsia"/>
                <w:szCs w:val="21"/>
                <w:highlight w:val="none"/>
              </w:rPr>
              <w:t>m</w:t>
            </w:r>
          </w:p>
        </w:tc>
        <w:tc>
          <w:tcPr>
            <w:tcW w:w="739" w:type="dxa"/>
            <w:noWrap w:val="0"/>
            <w:vAlign w:val="center"/>
          </w:tcPr>
          <w:p w14:paraId="08C9AE9E">
            <w:pPr>
              <w:rPr>
                <w:szCs w:val="21"/>
                <w:highlight w:val="none"/>
              </w:rPr>
            </w:pPr>
            <w:r>
              <w:rPr>
                <w:rFonts w:hint="eastAsia"/>
                <w:szCs w:val="21"/>
                <w:highlight w:val="none"/>
              </w:rPr>
              <w:t>5475</w:t>
            </w:r>
          </w:p>
        </w:tc>
        <w:tc>
          <w:tcPr>
            <w:tcW w:w="1273" w:type="dxa"/>
            <w:noWrap w:val="0"/>
            <w:vAlign w:val="center"/>
          </w:tcPr>
          <w:p w14:paraId="609F2542">
            <w:pPr>
              <w:rPr>
                <w:szCs w:val="21"/>
                <w:highlight w:val="none"/>
              </w:rPr>
            </w:pPr>
            <w:r>
              <w:rPr>
                <w:rFonts w:hint="eastAsia"/>
                <w:szCs w:val="21"/>
                <w:highlight w:val="none"/>
              </w:rPr>
              <w:t>含配件</w:t>
            </w:r>
          </w:p>
        </w:tc>
      </w:tr>
      <w:tr w14:paraId="1BACBCC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8" w:type="dxa"/>
            <w:noWrap w:val="0"/>
            <w:vAlign w:val="center"/>
          </w:tcPr>
          <w:p w14:paraId="64B5D9D5">
            <w:pPr>
              <w:jc w:val="center"/>
              <w:rPr>
                <w:szCs w:val="21"/>
                <w:highlight w:val="none"/>
              </w:rPr>
            </w:pPr>
            <w:r>
              <w:rPr>
                <w:rFonts w:hint="eastAsia"/>
                <w:szCs w:val="21"/>
                <w:highlight w:val="none"/>
              </w:rPr>
              <w:t>6</w:t>
            </w:r>
          </w:p>
        </w:tc>
        <w:tc>
          <w:tcPr>
            <w:tcW w:w="2578" w:type="dxa"/>
            <w:noWrap w:val="0"/>
            <w:vAlign w:val="center"/>
          </w:tcPr>
          <w:p w14:paraId="79F2AB5B">
            <w:pPr>
              <w:rPr>
                <w:szCs w:val="21"/>
                <w:highlight w:val="none"/>
              </w:rPr>
            </w:pPr>
            <w:r>
              <w:rPr>
                <w:rFonts w:hint="eastAsia"/>
                <w:szCs w:val="21"/>
                <w:highlight w:val="none"/>
              </w:rPr>
              <w:t>UPVC排水管</w:t>
            </w:r>
          </w:p>
        </w:tc>
        <w:tc>
          <w:tcPr>
            <w:tcW w:w="2405" w:type="dxa"/>
            <w:noWrap w:val="0"/>
            <w:vAlign w:val="center"/>
          </w:tcPr>
          <w:p w14:paraId="3E631A79">
            <w:pPr>
              <w:rPr>
                <w:szCs w:val="21"/>
                <w:highlight w:val="none"/>
              </w:rPr>
            </w:pPr>
            <w:r>
              <w:rPr>
                <w:rFonts w:hint="eastAsia"/>
                <w:szCs w:val="21"/>
                <w:highlight w:val="none"/>
              </w:rPr>
              <w:t>De75</w:t>
            </w:r>
          </w:p>
        </w:tc>
        <w:tc>
          <w:tcPr>
            <w:tcW w:w="706" w:type="dxa"/>
            <w:noWrap w:val="0"/>
            <w:vAlign w:val="center"/>
          </w:tcPr>
          <w:p w14:paraId="138A0890">
            <w:pPr>
              <w:rPr>
                <w:szCs w:val="21"/>
                <w:highlight w:val="none"/>
              </w:rPr>
            </w:pPr>
            <w:r>
              <w:rPr>
                <w:rFonts w:hint="eastAsia"/>
                <w:szCs w:val="21"/>
                <w:highlight w:val="none"/>
              </w:rPr>
              <w:t>m</w:t>
            </w:r>
          </w:p>
        </w:tc>
        <w:tc>
          <w:tcPr>
            <w:tcW w:w="739" w:type="dxa"/>
            <w:noWrap w:val="0"/>
            <w:vAlign w:val="center"/>
          </w:tcPr>
          <w:p w14:paraId="0D1155CC">
            <w:pPr>
              <w:rPr>
                <w:szCs w:val="21"/>
                <w:highlight w:val="none"/>
              </w:rPr>
            </w:pPr>
            <w:r>
              <w:rPr>
                <w:rFonts w:hint="eastAsia"/>
                <w:szCs w:val="21"/>
                <w:highlight w:val="none"/>
              </w:rPr>
              <w:t>5475</w:t>
            </w:r>
          </w:p>
        </w:tc>
        <w:tc>
          <w:tcPr>
            <w:tcW w:w="1273" w:type="dxa"/>
            <w:noWrap w:val="0"/>
            <w:vAlign w:val="center"/>
          </w:tcPr>
          <w:p w14:paraId="64AA8861">
            <w:pPr>
              <w:rPr>
                <w:szCs w:val="21"/>
                <w:highlight w:val="none"/>
              </w:rPr>
            </w:pPr>
            <w:r>
              <w:rPr>
                <w:rFonts w:hint="eastAsia"/>
                <w:szCs w:val="21"/>
                <w:highlight w:val="none"/>
              </w:rPr>
              <w:t>含配件</w:t>
            </w:r>
          </w:p>
        </w:tc>
      </w:tr>
      <w:tr w14:paraId="081C6EA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568" w:type="dxa"/>
            <w:noWrap w:val="0"/>
            <w:vAlign w:val="center"/>
          </w:tcPr>
          <w:p w14:paraId="28D824E5">
            <w:pPr>
              <w:jc w:val="center"/>
              <w:rPr>
                <w:szCs w:val="21"/>
                <w:highlight w:val="none"/>
              </w:rPr>
            </w:pPr>
            <w:r>
              <w:rPr>
                <w:rFonts w:hint="eastAsia"/>
                <w:szCs w:val="21"/>
                <w:highlight w:val="none"/>
              </w:rPr>
              <w:t>7</w:t>
            </w:r>
          </w:p>
        </w:tc>
        <w:tc>
          <w:tcPr>
            <w:tcW w:w="2578" w:type="dxa"/>
            <w:noWrap w:val="0"/>
            <w:vAlign w:val="center"/>
          </w:tcPr>
          <w:p w14:paraId="001B29D7">
            <w:pPr>
              <w:rPr>
                <w:szCs w:val="21"/>
                <w:highlight w:val="none"/>
              </w:rPr>
            </w:pPr>
            <w:r>
              <w:rPr>
                <w:rFonts w:hint="eastAsia"/>
                <w:szCs w:val="21"/>
                <w:highlight w:val="none"/>
              </w:rPr>
              <w:t>90°弯头</w:t>
            </w:r>
          </w:p>
        </w:tc>
        <w:tc>
          <w:tcPr>
            <w:tcW w:w="2405" w:type="dxa"/>
            <w:noWrap w:val="0"/>
            <w:vAlign w:val="center"/>
          </w:tcPr>
          <w:p w14:paraId="5E20F839">
            <w:pPr>
              <w:rPr>
                <w:szCs w:val="21"/>
                <w:highlight w:val="none"/>
              </w:rPr>
            </w:pPr>
            <w:r>
              <w:rPr>
                <w:rFonts w:hint="eastAsia"/>
                <w:szCs w:val="21"/>
                <w:highlight w:val="none"/>
              </w:rPr>
              <w:t>PE，De90，1.0MPa</w:t>
            </w:r>
          </w:p>
        </w:tc>
        <w:tc>
          <w:tcPr>
            <w:tcW w:w="706" w:type="dxa"/>
            <w:noWrap w:val="0"/>
            <w:vAlign w:val="center"/>
          </w:tcPr>
          <w:p w14:paraId="2C585B9C">
            <w:pPr>
              <w:rPr>
                <w:szCs w:val="21"/>
                <w:highlight w:val="none"/>
              </w:rPr>
            </w:pPr>
            <w:r>
              <w:rPr>
                <w:rFonts w:hint="eastAsia"/>
                <w:szCs w:val="21"/>
                <w:highlight w:val="none"/>
              </w:rPr>
              <w:t>个</w:t>
            </w:r>
          </w:p>
        </w:tc>
        <w:tc>
          <w:tcPr>
            <w:tcW w:w="739" w:type="dxa"/>
            <w:noWrap w:val="0"/>
            <w:vAlign w:val="center"/>
          </w:tcPr>
          <w:p w14:paraId="28A03555">
            <w:pPr>
              <w:jc w:val="center"/>
              <w:rPr>
                <w:szCs w:val="21"/>
                <w:highlight w:val="none"/>
              </w:rPr>
            </w:pPr>
            <w:r>
              <w:rPr>
                <w:rFonts w:hint="eastAsia"/>
                <w:szCs w:val="21"/>
                <w:highlight w:val="none"/>
              </w:rPr>
              <w:t>6</w:t>
            </w:r>
          </w:p>
        </w:tc>
        <w:tc>
          <w:tcPr>
            <w:tcW w:w="1273" w:type="dxa"/>
            <w:noWrap w:val="0"/>
            <w:vAlign w:val="center"/>
          </w:tcPr>
          <w:p w14:paraId="3DD28F6D">
            <w:pPr>
              <w:rPr>
                <w:szCs w:val="21"/>
                <w:highlight w:val="none"/>
              </w:rPr>
            </w:pPr>
          </w:p>
        </w:tc>
      </w:tr>
      <w:tr w14:paraId="245D3AA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3CDFEBDF">
            <w:pPr>
              <w:jc w:val="center"/>
              <w:rPr>
                <w:szCs w:val="21"/>
                <w:highlight w:val="none"/>
              </w:rPr>
            </w:pPr>
            <w:r>
              <w:rPr>
                <w:rFonts w:hint="eastAsia"/>
                <w:szCs w:val="21"/>
                <w:highlight w:val="none"/>
              </w:rPr>
              <w:t>8</w:t>
            </w:r>
          </w:p>
        </w:tc>
        <w:tc>
          <w:tcPr>
            <w:tcW w:w="2578" w:type="dxa"/>
            <w:noWrap w:val="0"/>
            <w:vAlign w:val="center"/>
          </w:tcPr>
          <w:p w14:paraId="131E87B3">
            <w:pPr>
              <w:rPr>
                <w:szCs w:val="21"/>
                <w:highlight w:val="none"/>
              </w:rPr>
            </w:pPr>
            <w:r>
              <w:rPr>
                <w:rFonts w:hint="eastAsia"/>
                <w:szCs w:val="21"/>
                <w:highlight w:val="none"/>
              </w:rPr>
              <w:t>90°弯头</w:t>
            </w:r>
          </w:p>
        </w:tc>
        <w:tc>
          <w:tcPr>
            <w:tcW w:w="2405" w:type="dxa"/>
            <w:noWrap w:val="0"/>
            <w:vAlign w:val="center"/>
          </w:tcPr>
          <w:p w14:paraId="41D57AC7">
            <w:pPr>
              <w:rPr>
                <w:szCs w:val="21"/>
                <w:highlight w:val="none"/>
              </w:rPr>
            </w:pPr>
            <w:r>
              <w:rPr>
                <w:rFonts w:hint="eastAsia"/>
                <w:szCs w:val="21"/>
                <w:highlight w:val="none"/>
              </w:rPr>
              <w:t>PE，De75，1.0MPa</w:t>
            </w:r>
          </w:p>
        </w:tc>
        <w:tc>
          <w:tcPr>
            <w:tcW w:w="706" w:type="dxa"/>
            <w:noWrap w:val="0"/>
            <w:vAlign w:val="center"/>
          </w:tcPr>
          <w:p w14:paraId="2FAD79EE">
            <w:pPr>
              <w:rPr>
                <w:szCs w:val="21"/>
                <w:highlight w:val="none"/>
              </w:rPr>
            </w:pPr>
            <w:r>
              <w:rPr>
                <w:rFonts w:hint="eastAsia"/>
                <w:szCs w:val="21"/>
                <w:highlight w:val="none"/>
              </w:rPr>
              <w:t>个</w:t>
            </w:r>
          </w:p>
        </w:tc>
        <w:tc>
          <w:tcPr>
            <w:tcW w:w="739" w:type="dxa"/>
            <w:noWrap w:val="0"/>
            <w:vAlign w:val="center"/>
          </w:tcPr>
          <w:p w14:paraId="4F8B6187">
            <w:pPr>
              <w:jc w:val="center"/>
              <w:rPr>
                <w:szCs w:val="21"/>
                <w:highlight w:val="none"/>
              </w:rPr>
            </w:pPr>
            <w:r>
              <w:rPr>
                <w:rFonts w:hint="eastAsia"/>
                <w:szCs w:val="21"/>
                <w:highlight w:val="none"/>
              </w:rPr>
              <w:t>6</w:t>
            </w:r>
          </w:p>
        </w:tc>
        <w:tc>
          <w:tcPr>
            <w:tcW w:w="1273" w:type="dxa"/>
            <w:noWrap w:val="0"/>
            <w:vAlign w:val="center"/>
          </w:tcPr>
          <w:p w14:paraId="1A9406C3">
            <w:pPr>
              <w:rPr>
                <w:szCs w:val="21"/>
                <w:highlight w:val="none"/>
              </w:rPr>
            </w:pPr>
          </w:p>
        </w:tc>
      </w:tr>
      <w:tr w14:paraId="712CB3E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1E128F95">
            <w:pPr>
              <w:jc w:val="center"/>
              <w:rPr>
                <w:szCs w:val="21"/>
                <w:highlight w:val="none"/>
              </w:rPr>
            </w:pPr>
            <w:r>
              <w:rPr>
                <w:rFonts w:hint="eastAsia"/>
                <w:szCs w:val="21"/>
                <w:highlight w:val="none"/>
              </w:rPr>
              <w:t>9</w:t>
            </w:r>
          </w:p>
        </w:tc>
        <w:tc>
          <w:tcPr>
            <w:tcW w:w="2578" w:type="dxa"/>
            <w:noWrap w:val="0"/>
            <w:vAlign w:val="center"/>
          </w:tcPr>
          <w:p w14:paraId="2C4CB24E">
            <w:pPr>
              <w:rPr>
                <w:szCs w:val="21"/>
                <w:highlight w:val="none"/>
              </w:rPr>
            </w:pPr>
            <w:r>
              <w:rPr>
                <w:rFonts w:hint="eastAsia"/>
                <w:szCs w:val="21"/>
                <w:highlight w:val="none"/>
              </w:rPr>
              <w:t>等径三通</w:t>
            </w:r>
          </w:p>
        </w:tc>
        <w:tc>
          <w:tcPr>
            <w:tcW w:w="2405" w:type="dxa"/>
            <w:noWrap w:val="0"/>
            <w:vAlign w:val="center"/>
          </w:tcPr>
          <w:p w14:paraId="1A0BE6BD">
            <w:pPr>
              <w:rPr>
                <w:szCs w:val="21"/>
                <w:highlight w:val="none"/>
              </w:rPr>
            </w:pPr>
            <w:r>
              <w:rPr>
                <w:rFonts w:hint="eastAsia"/>
                <w:szCs w:val="21"/>
                <w:highlight w:val="none"/>
              </w:rPr>
              <w:t>PE，De90，1.0MPa</w:t>
            </w:r>
          </w:p>
        </w:tc>
        <w:tc>
          <w:tcPr>
            <w:tcW w:w="706" w:type="dxa"/>
            <w:noWrap w:val="0"/>
            <w:vAlign w:val="center"/>
          </w:tcPr>
          <w:p w14:paraId="69B0BD32">
            <w:pPr>
              <w:rPr>
                <w:szCs w:val="21"/>
                <w:highlight w:val="none"/>
              </w:rPr>
            </w:pPr>
            <w:r>
              <w:rPr>
                <w:rFonts w:hint="eastAsia"/>
                <w:szCs w:val="21"/>
                <w:highlight w:val="none"/>
              </w:rPr>
              <w:t>个</w:t>
            </w:r>
          </w:p>
        </w:tc>
        <w:tc>
          <w:tcPr>
            <w:tcW w:w="739" w:type="dxa"/>
            <w:noWrap w:val="0"/>
            <w:vAlign w:val="center"/>
          </w:tcPr>
          <w:p w14:paraId="62931241">
            <w:pPr>
              <w:jc w:val="center"/>
              <w:rPr>
                <w:szCs w:val="21"/>
                <w:highlight w:val="none"/>
              </w:rPr>
            </w:pPr>
            <w:r>
              <w:rPr>
                <w:rFonts w:hint="eastAsia"/>
                <w:szCs w:val="21"/>
                <w:highlight w:val="none"/>
              </w:rPr>
              <w:t>2</w:t>
            </w:r>
          </w:p>
        </w:tc>
        <w:tc>
          <w:tcPr>
            <w:tcW w:w="1273" w:type="dxa"/>
            <w:noWrap w:val="0"/>
            <w:vAlign w:val="center"/>
          </w:tcPr>
          <w:p w14:paraId="58775AE2">
            <w:pPr>
              <w:rPr>
                <w:szCs w:val="21"/>
                <w:highlight w:val="none"/>
              </w:rPr>
            </w:pPr>
          </w:p>
        </w:tc>
      </w:tr>
      <w:tr w14:paraId="2DBAB8E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3D27E70F">
            <w:pPr>
              <w:jc w:val="center"/>
              <w:rPr>
                <w:szCs w:val="21"/>
                <w:highlight w:val="none"/>
              </w:rPr>
            </w:pPr>
            <w:r>
              <w:rPr>
                <w:rFonts w:hint="eastAsia"/>
                <w:szCs w:val="21"/>
                <w:highlight w:val="none"/>
              </w:rPr>
              <w:t>10</w:t>
            </w:r>
          </w:p>
        </w:tc>
        <w:tc>
          <w:tcPr>
            <w:tcW w:w="2578" w:type="dxa"/>
            <w:noWrap w:val="0"/>
            <w:vAlign w:val="center"/>
          </w:tcPr>
          <w:p w14:paraId="76F39270">
            <w:pPr>
              <w:rPr>
                <w:szCs w:val="21"/>
                <w:highlight w:val="none"/>
              </w:rPr>
            </w:pPr>
            <w:r>
              <w:rPr>
                <w:rFonts w:hint="eastAsia"/>
                <w:szCs w:val="21"/>
                <w:highlight w:val="none"/>
              </w:rPr>
              <w:t>等径三通</w:t>
            </w:r>
          </w:p>
        </w:tc>
        <w:tc>
          <w:tcPr>
            <w:tcW w:w="2405" w:type="dxa"/>
            <w:noWrap w:val="0"/>
            <w:vAlign w:val="center"/>
          </w:tcPr>
          <w:p w14:paraId="48580D8D">
            <w:pPr>
              <w:rPr>
                <w:szCs w:val="21"/>
                <w:highlight w:val="none"/>
              </w:rPr>
            </w:pPr>
            <w:r>
              <w:rPr>
                <w:rFonts w:hint="eastAsia"/>
                <w:szCs w:val="21"/>
                <w:highlight w:val="none"/>
              </w:rPr>
              <w:t>PE，De75，1.0MPa</w:t>
            </w:r>
          </w:p>
        </w:tc>
        <w:tc>
          <w:tcPr>
            <w:tcW w:w="706" w:type="dxa"/>
            <w:noWrap w:val="0"/>
            <w:vAlign w:val="center"/>
          </w:tcPr>
          <w:p w14:paraId="33E82DA7">
            <w:pPr>
              <w:rPr>
                <w:szCs w:val="21"/>
                <w:highlight w:val="none"/>
              </w:rPr>
            </w:pPr>
            <w:r>
              <w:rPr>
                <w:rFonts w:hint="eastAsia"/>
                <w:szCs w:val="21"/>
                <w:highlight w:val="none"/>
              </w:rPr>
              <w:t>个</w:t>
            </w:r>
          </w:p>
        </w:tc>
        <w:tc>
          <w:tcPr>
            <w:tcW w:w="739" w:type="dxa"/>
            <w:noWrap w:val="0"/>
            <w:vAlign w:val="center"/>
          </w:tcPr>
          <w:p w14:paraId="5253FB94">
            <w:pPr>
              <w:jc w:val="center"/>
              <w:rPr>
                <w:szCs w:val="21"/>
                <w:highlight w:val="none"/>
              </w:rPr>
            </w:pPr>
            <w:r>
              <w:rPr>
                <w:rFonts w:hint="eastAsia"/>
                <w:szCs w:val="21"/>
                <w:highlight w:val="none"/>
              </w:rPr>
              <w:t>2</w:t>
            </w:r>
          </w:p>
        </w:tc>
        <w:tc>
          <w:tcPr>
            <w:tcW w:w="1273" w:type="dxa"/>
            <w:noWrap w:val="0"/>
            <w:vAlign w:val="center"/>
          </w:tcPr>
          <w:p w14:paraId="0F6E206C">
            <w:pPr>
              <w:rPr>
                <w:szCs w:val="21"/>
                <w:highlight w:val="none"/>
              </w:rPr>
            </w:pPr>
          </w:p>
        </w:tc>
      </w:tr>
      <w:tr w14:paraId="37BF2D1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3A26381B">
            <w:pPr>
              <w:jc w:val="center"/>
              <w:rPr>
                <w:szCs w:val="21"/>
                <w:highlight w:val="none"/>
              </w:rPr>
            </w:pPr>
            <w:r>
              <w:rPr>
                <w:rFonts w:hint="eastAsia"/>
                <w:szCs w:val="21"/>
                <w:highlight w:val="none"/>
              </w:rPr>
              <w:t>11</w:t>
            </w:r>
          </w:p>
        </w:tc>
        <w:tc>
          <w:tcPr>
            <w:tcW w:w="2578" w:type="dxa"/>
            <w:noWrap w:val="0"/>
            <w:vAlign w:val="center"/>
          </w:tcPr>
          <w:p w14:paraId="29DF33DC">
            <w:pPr>
              <w:rPr>
                <w:szCs w:val="21"/>
                <w:highlight w:val="none"/>
              </w:rPr>
            </w:pPr>
            <w:r>
              <w:rPr>
                <w:rFonts w:hint="eastAsia" w:eastAsia="宋体"/>
                <w:szCs w:val="21"/>
                <w:highlight w:val="none"/>
                <w:lang w:eastAsia="zh-CN"/>
              </w:rPr>
              <w:t>软</w:t>
            </w:r>
            <w:r>
              <w:rPr>
                <w:rFonts w:hint="eastAsia"/>
                <w:szCs w:val="21"/>
                <w:highlight w:val="none"/>
              </w:rPr>
              <w:t>接头</w:t>
            </w:r>
          </w:p>
        </w:tc>
        <w:tc>
          <w:tcPr>
            <w:tcW w:w="2405" w:type="dxa"/>
            <w:noWrap w:val="0"/>
            <w:vAlign w:val="center"/>
          </w:tcPr>
          <w:p w14:paraId="4780B81A">
            <w:pPr>
              <w:rPr>
                <w:szCs w:val="21"/>
                <w:highlight w:val="none"/>
              </w:rPr>
            </w:pPr>
            <w:r>
              <w:rPr>
                <w:rFonts w:hint="eastAsia"/>
                <w:szCs w:val="21"/>
                <w:highlight w:val="none"/>
              </w:rPr>
              <w:t>PE，De315</w:t>
            </w:r>
          </w:p>
        </w:tc>
        <w:tc>
          <w:tcPr>
            <w:tcW w:w="706" w:type="dxa"/>
            <w:noWrap w:val="0"/>
            <w:vAlign w:val="center"/>
          </w:tcPr>
          <w:p w14:paraId="020AA79F">
            <w:pPr>
              <w:rPr>
                <w:szCs w:val="21"/>
                <w:highlight w:val="none"/>
              </w:rPr>
            </w:pPr>
            <w:r>
              <w:rPr>
                <w:rFonts w:hint="eastAsia"/>
                <w:szCs w:val="21"/>
                <w:highlight w:val="none"/>
              </w:rPr>
              <w:t>个</w:t>
            </w:r>
          </w:p>
        </w:tc>
        <w:tc>
          <w:tcPr>
            <w:tcW w:w="739" w:type="dxa"/>
            <w:noWrap w:val="0"/>
            <w:vAlign w:val="center"/>
          </w:tcPr>
          <w:p w14:paraId="2FCED766">
            <w:pPr>
              <w:jc w:val="center"/>
              <w:rPr>
                <w:szCs w:val="21"/>
                <w:highlight w:val="none"/>
              </w:rPr>
            </w:pPr>
            <w:r>
              <w:rPr>
                <w:rFonts w:hint="eastAsia"/>
                <w:szCs w:val="21"/>
                <w:highlight w:val="none"/>
              </w:rPr>
              <w:t>6</w:t>
            </w:r>
          </w:p>
        </w:tc>
        <w:tc>
          <w:tcPr>
            <w:tcW w:w="1273" w:type="dxa"/>
            <w:noWrap w:val="0"/>
            <w:vAlign w:val="center"/>
          </w:tcPr>
          <w:p w14:paraId="5D082D06">
            <w:pPr>
              <w:rPr>
                <w:szCs w:val="21"/>
                <w:highlight w:val="none"/>
              </w:rPr>
            </w:pPr>
          </w:p>
        </w:tc>
      </w:tr>
      <w:tr w14:paraId="582EA22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1BF3BB78">
            <w:pPr>
              <w:jc w:val="center"/>
              <w:rPr>
                <w:szCs w:val="21"/>
                <w:highlight w:val="none"/>
              </w:rPr>
            </w:pPr>
            <w:r>
              <w:rPr>
                <w:rFonts w:hint="eastAsia"/>
                <w:szCs w:val="21"/>
                <w:highlight w:val="none"/>
              </w:rPr>
              <w:t>12</w:t>
            </w:r>
          </w:p>
        </w:tc>
        <w:tc>
          <w:tcPr>
            <w:tcW w:w="2578" w:type="dxa"/>
            <w:noWrap w:val="0"/>
            <w:vAlign w:val="center"/>
          </w:tcPr>
          <w:p w14:paraId="694F683B">
            <w:pPr>
              <w:rPr>
                <w:szCs w:val="21"/>
                <w:highlight w:val="none"/>
              </w:rPr>
            </w:pPr>
            <w:r>
              <w:rPr>
                <w:rFonts w:hint="eastAsia" w:eastAsia="宋体"/>
                <w:szCs w:val="21"/>
                <w:highlight w:val="none"/>
                <w:lang w:eastAsia="zh-CN"/>
              </w:rPr>
              <w:t>软</w:t>
            </w:r>
            <w:r>
              <w:rPr>
                <w:rFonts w:hint="eastAsia"/>
                <w:szCs w:val="21"/>
                <w:highlight w:val="none"/>
              </w:rPr>
              <w:t>接头</w:t>
            </w:r>
          </w:p>
        </w:tc>
        <w:tc>
          <w:tcPr>
            <w:tcW w:w="2405" w:type="dxa"/>
            <w:noWrap w:val="0"/>
            <w:vAlign w:val="center"/>
          </w:tcPr>
          <w:p w14:paraId="4E7DCE1C">
            <w:pPr>
              <w:rPr>
                <w:szCs w:val="21"/>
                <w:highlight w:val="none"/>
              </w:rPr>
            </w:pPr>
            <w:r>
              <w:rPr>
                <w:rFonts w:hint="eastAsia"/>
                <w:szCs w:val="21"/>
                <w:highlight w:val="none"/>
              </w:rPr>
              <w:t>PE，De90</w:t>
            </w:r>
          </w:p>
        </w:tc>
        <w:tc>
          <w:tcPr>
            <w:tcW w:w="706" w:type="dxa"/>
            <w:noWrap w:val="0"/>
            <w:vAlign w:val="center"/>
          </w:tcPr>
          <w:p w14:paraId="044EA64E">
            <w:pPr>
              <w:rPr>
                <w:szCs w:val="21"/>
                <w:highlight w:val="none"/>
              </w:rPr>
            </w:pPr>
            <w:r>
              <w:rPr>
                <w:rFonts w:hint="eastAsia"/>
                <w:szCs w:val="21"/>
                <w:highlight w:val="none"/>
              </w:rPr>
              <w:t>个</w:t>
            </w:r>
          </w:p>
        </w:tc>
        <w:tc>
          <w:tcPr>
            <w:tcW w:w="739" w:type="dxa"/>
            <w:noWrap w:val="0"/>
            <w:vAlign w:val="center"/>
          </w:tcPr>
          <w:p w14:paraId="601A001F">
            <w:pPr>
              <w:jc w:val="center"/>
              <w:rPr>
                <w:szCs w:val="21"/>
                <w:highlight w:val="none"/>
              </w:rPr>
            </w:pPr>
            <w:r>
              <w:rPr>
                <w:rFonts w:hint="eastAsia"/>
                <w:szCs w:val="21"/>
                <w:highlight w:val="none"/>
              </w:rPr>
              <w:t>3</w:t>
            </w:r>
          </w:p>
        </w:tc>
        <w:tc>
          <w:tcPr>
            <w:tcW w:w="1273" w:type="dxa"/>
            <w:noWrap w:val="0"/>
            <w:vAlign w:val="center"/>
          </w:tcPr>
          <w:p w14:paraId="01177054">
            <w:pPr>
              <w:rPr>
                <w:szCs w:val="21"/>
                <w:highlight w:val="none"/>
              </w:rPr>
            </w:pPr>
          </w:p>
        </w:tc>
      </w:tr>
      <w:tr w14:paraId="23B77FFE">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1BC13E90">
            <w:pPr>
              <w:jc w:val="center"/>
              <w:rPr>
                <w:szCs w:val="21"/>
                <w:highlight w:val="none"/>
              </w:rPr>
            </w:pPr>
            <w:r>
              <w:rPr>
                <w:rFonts w:hint="eastAsia"/>
                <w:szCs w:val="21"/>
                <w:highlight w:val="none"/>
              </w:rPr>
              <w:t>13</w:t>
            </w:r>
          </w:p>
        </w:tc>
        <w:tc>
          <w:tcPr>
            <w:tcW w:w="2578" w:type="dxa"/>
            <w:noWrap w:val="0"/>
            <w:vAlign w:val="center"/>
          </w:tcPr>
          <w:p w14:paraId="682B4D3A">
            <w:pPr>
              <w:rPr>
                <w:szCs w:val="21"/>
                <w:highlight w:val="none"/>
              </w:rPr>
            </w:pPr>
            <w:r>
              <w:rPr>
                <w:rFonts w:hint="eastAsia" w:eastAsia="宋体"/>
                <w:szCs w:val="21"/>
                <w:highlight w:val="none"/>
                <w:lang w:eastAsia="zh-CN"/>
              </w:rPr>
              <w:t>软</w:t>
            </w:r>
            <w:r>
              <w:rPr>
                <w:rFonts w:hint="eastAsia"/>
                <w:szCs w:val="21"/>
                <w:highlight w:val="none"/>
              </w:rPr>
              <w:t>接头</w:t>
            </w:r>
          </w:p>
        </w:tc>
        <w:tc>
          <w:tcPr>
            <w:tcW w:w="2405" w:type="dxa"/>
            <w:noWrap w:val="0"/>
            <w:vAlign w:val="center"/>
          </w:tcPr>
          <w:p w14:paraId="1734F564">
            <w:pPr>
              <w:rPr>
                <w:szCs w:val="21"/>
                <w:highlight w:val="none"/>
              </w:rPr>
            </w:pPr>
            <w:r>
              <w:rPr>
                <w:rFonts w:hint="eastAsia"/>
                <w:szCs w:val="21"/>
                <w:highlight w:val="none"/>
              </w:rPr>
              <w:t>PE，De75</w:t>
            </w:r>
          </w:p>
        </w:tc>
        <w:tc>
          <w:tcPr>
            <w:tcW w:w="706" w:type="dxa"/>
            <w:noWrap w:val="0"/>
            <w:vAlign w:val="center"/>
          </w:tcPr>
          <w:p w14:paraId="13048C8F">
            <w:pPr>
              <w:rPr>
                <w:szCs w:val="21"/>
                <w:highlight w:val="none"/>
              </w:rPr>
            </w:pPr>
            <w:r>
              <w:rPr>
                <w:rFonts w:hint="eastAsia"/>
                <w:szCs w:val="21"/>
                <w:highlight w:val="none"/>
              </w:rPr>
              <w:t>个</w:t>
            </w:r>
          </w:p>
        </w:tc>
        <w:tc>
          <w:tcPr>
            <w:tcW w:w="739" w:type="dxa"/>
            <w:noWrap w:val="0"/>
            <w:vAlign w:val="center"/>
          </w:tcPr>
          <w:p w14:paraId="186669C4">
            <w:pPr>
              <w:jc w:val="center"/>
              <w:rPr>
                <w:szCs w:val="21"/>
                <w:highlight w:val="none"/>
              </w:rPr>
            </w:pPr>
            <w:r>
              <w:rPr>
                <w:rFonts w:hint="eastAsia"/>
                <w:szCs w:val="21"/>
                <w:highlight w:val="none"/>
              </w:rPr>
              <w:t>3</w:t>
            </w:r>
          </w:p>
        </w:tc>
        <w:tc>
          <w:tcPr>
            <w:tcW w:w="1273" w:type="dxa"/>
            <w:noWrap w:val="0"/>
            <w:vAlign w:val="center"/>
          </w:tcPr>
          <w:p w14:paraId="6D725A1D">
            <w:pPr>
              <w:rPr>
                <w:szCs w:val="21"/>
                <w:highlight w:val="none"/>
              </w:rPr>
            </w:pPr>
          </w:p>
        </w:tc>
      </w:tr>
      <w:tr w14:paraId="3E418D8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6B3C19DE">
            <w:pPr>
              <w:jc w:val="center"/>
              <w:rPr>
                <w:szCs w:val="21"/>
                <w:highlight w:val="none"/>
              </w:rPr>
            </w:pPr>
            <w:r>
              <w:rPr>
                <w:rFonts w:hint="eastAsia"/>
                <w:szCs w:val="21"/>
                <w:highlight w:val="none"/>
              </w:rPr>
              <w:t>14</w:t>
            </w:r>
          </w:p>
        </w:tc>
        <w:tc>
          <w:tcPr>
            <w:tcW w:w="2578" w:type="dxa"/>
            <w:noWrap w:val="0"/>
            <w:vAlign w:val="center"/>
          </w:tcPr>
          <w:p w14:paraId="6535A7A4">
            <w:pPr>
              <w:rPr>
                <w:szCs w:val="21"/>
                <w:highlight w:val="none"/>
              </w:rPr>
            </w:pPr>
            <w:r>
              <w:rPr>
                <w:rFonts w:hint="eastAsia"/>
                <w:szCs w:val="21"/>
                <w:highlight w:val="none"/>
              </w:rPr>
              <w:t>法兰</w:t>
            </w:r>
          </w:p>
        </w:tc>
        <w:tc>
          <w:tcPr>
            <w:tcW w:w="2405" w:type="dxa"/>
            <w:noWrap w:val="0"/>
            <w:vAlign w:val="center"/>
          </w:tcPr>
          <w:p w14:paraId="33E3DA92">
            <w:pPr>
              <w:rPr>
                <w:szCs w:val="21"/>
                <w:highlight w:val="none"/>
              </w:rPr>
            </w:pPr>
            <w:r>
              <w:rPr>
                <w:rFonts w:hint="eastAsia"/>
                <w:szCs w:val="21"/>
                <w:highlight w:val="none"/>
              </w:rPr>
              <w:t>PE，De315，1.0MPa</w:t>
            </w:r>
          </w:p>
        </w:tc>
        <w:tc>
          <w:tcPr>
            <w:tcW w:w="706" w:type="dxa"/>
            <w:noWrap w:val="0"/>
            <w:vAlign w:val="center"/>
          </w:tcPr>
          <w:p w14:paraId="4338F295">
            <w:pPr>
              <w:rPr>
                <w:szCs w:val="21"/>
                <w:highlight w:val="none"/>
              </w:rPr>
            </w:pPr>
            <w:r>
              <w:rPr>
                <w:rFonts w:hint="eastAsia"/>
                <w:szCs w:val="21"/>
                <w:highlight w:val="none"/>
              </w:rPr>
              <w:t>片</w:t>
            </w:r>
          </w:p>
        </w:tc>
        <w:tc>
          <w:tcPr>
            <w:tcW w:w="739" w:type="dxa"/>
            <w:noWrap w:val="0"/>
            <w:vAlign w:val="center"/>
          </w:tcPr>
          <w:p w14:paraId="21A4985F">
            <w:pPr>
              <w:jc w:val="center"/>
              <w:rPr>
                <w:szCs w:val="21"/>
                <w:highlight w:val="none"/>
              </w:rPr>
            </w:pPr>
            <w:r>
              <w:rPr>
                <w:rFonts w:hint="eastAsia"/>
                <w:szCs w:val="21"/>
                <w:highlight w:val="none"/>
              </w:rPr>
              <w:t>12</w:t>
            </w:r>
          </w:p>
        </w:tc>
        <w:tc>
          <w:tcPr>
            <w:tcW w:w="1273" w:type="dxa"/>
            <w:noWrap w:val="0"/>
            <w:vAlign w:val="center"/>
          </w:tcPr>
          <w:p w14:paraId="07533A2B">
            <w:pPr>
              <w:rPr>
                <w:szCs w:val="21"/>
                <w:highlight w:val="none"/>
              </w:rPr>
            </w:pPr>
          </w:p>
        </w:tc>
      </w:tr>
      <w:tr w14:paraId="2F0B5E44">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568" w:type="dxa"/>
            <w:noWrap w:val="0"/>
            <w:vAlign w:val="center"/>
          </w:tcPr>
          <w:p w14:paraId="7259CF05">
            <w:pPr>
              <w:jc w:val="center"/>
              <w:rPr>
                <w:szCs w:val="21"/>
                <w:highlight w:val="none"/>
              </w:rPr>
            </w:pPr>
            <w:r>
              <w:rPr>
                <w:rFonts w:hint="eastAsia"/>
                <w:szCs w:val="21"/>
                <w:highlight w:val="none"/>
              </w:rPr>
              <w:t>15</w:t>
            </w:r>
          </w:p>
        </w:tc>
        <w:tc>
          <w:tcPr>
            <w:tcW w:w="2578" w:type="dxa"/>
            <w:noWrap w:val="0"/>
            <w:vAlign w:val="center"/>
          </w:tcPr>
          <w:p w14:paraId="7268864C">
            <w:pPr>
              <w:rPr>
                <w:szCs w:val="21"/>
                <w:highlight w:val="none"/>
              </w:rPr>
            </w:pPr>
            <w:r>
              <w:rPr>
                <w:rFonts w:hint="eastAsia"/>
                <w:szCs w:val="21"/>
                <w:highlight w:val="none"/>
              </w:rPr>
              <w:t>法兰</w:t>
            </w:r>
          </w:p>
        </w:tc>
        <w:tc>
          <w:tcPr>
            <w:tcW w:w="2405" w:type="dxa"/>
            <w:noWrap w:val="0"/>
            <w:vAlign w:val="center"/>
          </w:tcPr>
          <w:p w14:paraId="0BD91F73">
            <w:pPr>
              <w:rPr>
                <w:szCs w:val="21"/>
                <w:highlight w:val="none"/>
              </w:rPr>
            </w:pPr>
            <w:r>
              <w:rPr>
                <w:rFonts w:hint="eastAsia"/>
                <w:szCs w:val="21"/>
                <w:highlight w:val="none"/>
              </w:rPr>
              <w:t>PE，De90，1.0MPa</w:t>
            </w:r>
          </w:p>
        </w:tc>
        <w:tc>
          <w:tcPr>
            <w:tcW w:w="706" w:type="dxa"/>
            <w:noWrap w:val="0"/>
            <w:vAlign w:val="center"/>
          </w:tcPr>
          <w:p w14:paraId="01E5C279">
            <w:pPr>
              <w:rPr>
                <w:szCs w:val="21"/>
                <w:highlight w:val="none"/>
              </w:rPr>
            </w:pPr>
            <w:r>
              <w:rPr>
                <w:rFonts w:hint="eastAsia"/>
                <w:szCs w:val="21"/>
                <w:highlight w:val="none"/>
              </w:rPr>
              <w:t>片</w:t>
            </w:r>
          </w:p>
        </w:tc>
        <w:tc>
          <w:tcPr>
            <w:tcW w:w="739" w:type="dxa"/>
            <w:noWrap w:val="0"/>
            <w:vAlign w:val="center"/>
          </w:tcPr>
          <w:p w14:paraId="459299D6">
            <w:pPr>
              <w:jc w:val="center"/>
              <w:rPr>
                <w:szCs w:val="21"/>
                <w:highlight w:val="none"/>
              </w:rPr>
            </w:pPr>
            <w:r>
              <w:rPr>
                <w:rFonts w:hint="eastAsia"/>
                <w:szCs w:val="21"/>
                <w:highlight w:val="none"/>
              </w:rPr>
              <w:t>18</w:t>
            </w:r>
          </w:p>
        </w:tc>
        <w:tc>
          <w:tcPr>
            <w:tcW w:w="1273" w:type="dxa"/>
            <w:noWrap w:val="0"/>
            <w:vAlign w:val="center"/>
          </w:tcPr>
          <w:p w14:paraId="74D97B36">
            <w:pPr>
              <w:rPr>
                <w:szCs w:val="21"/>
                <w:highlight w:val="none"/>
              </w:rPr>
            </w:pPr>
          </w:p>
        </w:tc>
      </w:tr>
      <w:tr w14:paraId="6FF0596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05" w:hRule="atLeast"/>
          <w:jc w:val="center"/>
        </w:trPr>
        <w:tc>
          <w:tcPr>
            <w:tcW w:w="0" w:type="auto"/>
            <w:noWrap w:val="0"/>
            <w:vAlign w:val="center"/>
          </w:tcPr>
          <w:p w14:paraId="39F4522C">
            <w:pPr>
              <w:jc w:val="center"/>
              <w:rPr>
                <w:rFonts w:hint="eastAsia" w:eastAsia="宋体"/>
                <w:szCs w:val="21"/>
                <w:highlight w:val="none"/>
                <w:lang w:eastAsia="zh-CN"/>
              </w:rPr>
            </w:pPr>
            <w:r>
              <w:rPr>
                <w:rFonts w:hint="eastAsia"/>
                <w:szCs w:val="21"/>
                <w:highlight w:val="none"/>
              </w:rPr>
              <w:t>1</w:t>
            </w:r>
            <w:r>
              <w:rPr>
                <w:rFonts w:hint="eastAsia" w:eastAsia="宋体"/>
                <w:szCs w:val="21"/>
                <w:highlight w:val="none"/>
                <w:lang w:val="en-US" w:eastAsia="zh-CN"/>
              </w:rPr>
              <w:t>6</w:t>
            </w:r>
          </w:p>
        </w:tc>
        <w:tc>
          <w:tcPr>
            <w:tcW w:w="2578" w:type="dxa"/>
            <w:noWrap w:val="0"/>
            <w:vAlign w:val="center"/>
          </w:tcPr>
          <w:p w14:paraId="2B7846A6">
            <w:pPr>
              <w:rPr>
                <w:szCs w:val="21"/>
                <w:highlight w:val="none"/>
              </w:rPr>
            </w:pPr>
            <w:r>
              <w:rPr>
                <w:rFonts w:hint="eastAsia"/>
                <w:szCs w:val="21"/>
                <w:highlight w:val="none"/>
              </w:rPr>
              <w:t>法兰</w:t>
            </w:r>
          </w:p>
        </w:tc>
        <w:tc>
          <w:tcPr>
            <w:tcW w:w="2405" w:type="dxa"/>
            <w:noWrap w:val="0"/>
            <w:vAlign w:val="center"/>
          </w:tcPr>
          <w:p w14:paraId="538CB465">
            <w:pPr>
              <w:rPr>
                <w:szCs w:val="21"/>
                <w:highlight w:val="none"/>
              </w:rPr>
            </w:pPr>
            <w:r>
              <w:rPr>
                <w:rFonts w:hint="eastAsia"/>
                <w:szCs w:val="21"/>
                <w:highlight w:val="none"/>
              </w:rPr>
              <w:t>PE，De75，1.0MPa</w:t>
            </w:r>
          </w:p>
        </w:tc>
        <w:tc>
          <w:tcPr>
            <w:tcW w:w="706" w:type="dxa"/>
            <w:noWrap w:val="0"/>
            <w:vAlign w:val="center"/>
          </w:tcPr>
          <w:p w14:paraId="535706F1">
            <w:pPr>
              <w:rPr>
                <w:szCs w:val="21"/>
                <w:highlight w:val="none"/>
              </w:rPr>
            </w:pPr>
            <w:r>
              <w:rPr>
                <w:rFonts w:hint="eastAsia"/>
                <w:szCs w:val="21"/>
                <w:highlight w:val="none"/>
              </w:rPr>
              <w:t>片</w:t>
            </w:r>
          </w:p>
        </w:tc>
        <w:tc>
          <w:tcPr>
            <w:tcW w:w="739" w:type="dxa"/>
            <w:noWrap w:val="0"/>
            <w:vAlign w:val="center"/>
          </w:tcPr>
          <w:p w14:paraId="7297073D">
            <w:pPr>
              <w:jc w:val="center"/>
              <w:rPr>
                <w:szCs w:val="21"/>
                <w:highlight w:val="none"/>
              </w:rPr>
            </w:pPr>
            <w:r>
              <w:rPr>
                <w:rFonts w:hint="eastAsia"/>
                <w:szCs w:val="21"/>
                <w:highlight w:val="none"/>
              </w:rPr>
              <w:t>18</w:t>
            </w:r>
          </w:p>
        </w:tc>
        <w:tc>
          <w:tcPr>
            <w:tcW w:w="1273" w:type="dxa"/>
            <w:noWrap w:val="0"/>
            <w:vAlign w:val="center"/>
          </w:tcPr>
          <w:p w14:paraId="7C0F08ED">
            <w:pPr>
              <w:rPr>
                <w:szCs w:val="21"/>
                <w:highlight w:val="none"/>
              </w:rPr>
            </w:pPr>
          </w:p>
        </w:tc>
      </w:tr>
    </w:tbl>
    <w:p w14:paraId="68EB6890">
      <w:pPr>
        <w:spacing w:line="460" w:lineRule="exact"/>
        <w:rPr>
          <w:rFonts w:hint="eastAsia" w:ascii="黑体" w:hAnsi="黑体" w:eastAsia="黑体" w:cs="黑体"/>
          <w:b/>
          <w:bCs/>
          <w:highlight w:val="none"/>
        </w:rPr>
      </w:pPr>
      <w:r>
        <w:rPr>
          <w:rFonts w:hint="eastAsia" w:ascii="黑体" w:hAnsi="黑体" w:eastAsia="黑体" w:cs="黑体"/>
          <w:b/>
          <w:bCs/>
          <w:highlight w:val="none"/>
        </w:rPr>
        <w:t>注：1）结算单价按招标人提供的采购清单中所有品目的审核单价统一下浮，结算单价下浮率=（1-投标报价/预算审核价）*100%（百分号前保留两位小数）。</w:t>
      </w:r>
    </w:p>
    <w:p w14:paraId="59B6EF9D">
      <w:pPr>
        <w:spacing w:line="460" w:lineRule="exact"/>
        <w:rPr>
          <w:rFonts w:hint="eastAsia" w:ascii="宋体" w:hAnsi="宋体"/>
          <w:highlight w:val="none"/>
        </w:rPr>
      </w:pPr>
      <w:r>
        <w:rPr>
          <w:rFonts w:hint="eastAsia" w:ascii="宋体" w:hAnsi="宋体"/>
          <w:highlight w:val="none"/>
        </w:rPr>
        <w:t>5.付款方式：本合同的付款方式在合同特殊条款中规定。</w:t>
      </w:r>
    </w:p>
    <w:p w14:paraId="78458DE6">
      <w:pPr>
        <w:spacing w:line="460" w:lineRule="exact"/>
        <w:rPr>
          <w:rFonts w:hint="eastAsia" w:ascii="宋体" w:hAnsi="宋体"/>
          <w:highlight w:val="none"/>
        </w:rPr>
      </w:pPr>
      <w:r>
        <w:rPr>
          <w:rFonts w:hint="eastAsia" w:ascii="宋体" w:hAnsi="宋体"/>
          <w:highlight w:val="none"/>
        </w:rPr>
        <w:t>6.交货时间及交货地点</w:t>
      </w:r>
      <w:r>
        <w:rPr>
          <w:rFonts w:hint="eastAsia" w:ascii="宋体" w:hAnsi="宋体"/>
          <w:highlight w:val="none"/>
        </w:rPr>
        <w:cr/>
      </w:r>
      <w:r>
        <w:rPr>
          <w:rFonts w:hint="eastAsia" w:ascii="宋体" w:hAnsi="宋体"/>
          <w:highlight w:val="none"/>
        </w:rPr>
        <w:t xml:space="preserve">   </w:t>
      </w:r>
      <w:r>
        <w:rPr>
          <w:rFonts w:hint="eastAsia" w:ascii="黑体" w:hAnsi="宋体" w:eastAsia="黑体"/>
          <w:b/>
          <w:bCs/>
          <w:highlight w:val="none"/>
        </w:rPr>
        <w:t>本合同产品的交货时间和交货地点详见合同特殊条款</w:t>
      </w:r>
    </w:p>
    <w:p w14:paraId="422755C2">
      <w:pPr>
        <w:spacing w:line="460" w:lineRule="exact"/>
        <w:rPr>
          <w:rFonts w:hint="eastAsia" w:ascii="宋体" w:hAnsi="宋体"/>
          <w:bCs/>
          <w:highlight w:val="none"/>
        </w:rPr>
      </w:pPr>
      <w:r>
        <w:rPr>
          <w:rFonts w:hint="eastAsia" w:ascii="宋体" w:hAnsi="宋体"/>
          <w:highlight w:val="none"/>
        </w:rPr>
        <w:t>7.合同的生效</w:t>
      </w:r>
      <w:r>
        <w:rPr>
          <w:rFonts w:hint="eastAsia" w:ascii="宋体" w:hAnsi="宋体"/>
          <w:highlight w:val="none"/>
        </w:rPr>
        <w:cr/>
      </w:r>
      <w:r>
        <w:rPr>
          <w:rFonts w:hint="eastAsia" w:ascii="宋体" w:hAnsi="宋体"/>
          <w:highlight w:val="none"/>
        </w:rPr>
        <w:t xml:space="preserve">    </w:t>
      </w:r>
      <w:r>
        <w:rPr>
          <w:rFonts w:hint="eastAsia" w:ascii="黑体" w:hAnsi="宋体" w:eastAsia="黑体"/>
          <w:b/>
          <w:bCs/>
          <w:highlight w:val="none"/>
        </w:rPr>
        <w:t>本合同经双方法定代表人或授权代表签署，买、卖双方加盖印章后生效。</w:t>
      </w:r>
    </w:p>
    <w:p w14:paraId="52B20AA5">
      <w:pPr>
        <w:spacing w:line="460" w:lineRule="exact"/>
        <w:rPr>
          <w:rFonts w:hint="eastAsia" w:ascii="宋体" w:hAnsi="宋体"/>
          <w:highlight w:val="none"/>
        </w:rPr>
        <w:sectPr>
          <w:footerReference r:id="rId18" w:type="first"/>
          <w:headerReference r:id="rId16" w:type="default"/>
          <w:footerReference r:id="rId17" w:type="default"/>
          <w:footnotePr>
            <w:numRestart w:val="eachPage"/>
          </w:footnotePr>
          <w:endnotePr>
            <w:numRestart w:val="eachSect"/>
          </w:endnotePr>
          <w:pgSz w:w="11907" w:h="16840"/>
          <w:pgMar w:top="1304" w:right="1247" w:bottom="1247" w:left="1304" w:header="851" w:footer="992" w:gutter="0"/>
          <w:pgNumType w:fmt="decimal"/>
          <w:cols w:space="720" w:num="1"/>
          <w:titlePg/>
          <w:docGrid w:type="lines" w:linePitch="435" w:charSpace="-6554"/>
        </w:sectPr>
      </w:pPr>
    </w:p>
    <w:p w14:paraId="10BB569B">
      <w:pPr>
        <w:spacing w:line="460" w:lineRule="exact"/>
        <w:rPr>
          <w:rFonts w:hint="eastAsia" w:ascii="宋体" w:hAnsi="宋体"/>
          <w:highlight w:val="none"/>
        </w:rPr>
      </w:pPr>
      <w:r>
        <w:rPr>
          <w:rFonts w:hint="eastAsia" w:ascii="宋体" w:hAnsi="宋体"/>
          <w:highlight w:val="none"/>
        </w:rPr>
        <w:t xml:space="preserve">买方：                                          卖方：          </w:t>
      </w:r>
      <w:r>
        <w:rPr>
          <w:rFonts w:hint="eastAsia" w:ascii="宋体" w:hAnsi="宋体"/>
          <w:highlight w:val="none"/>
        </w:rPr>
        <w:cr/>
      </w:r>
      <w:r>
        <w:rPr>
          <w:rFonts w:hint="eastAsia" w:ascii="宋体" w:hAnsi="宋体"/>
          <w:highlight w:val="none"/>
        </w:rPr>
        <w:t xml:space="preserve">名称：                                          名称：（印章）  </w:t>
      </w:r>
      <w:r>
        <w:rPr>
          <w:rFonts w:hint="eastAsia" w:ascii="宋体" w:hAnsi="宋体"/>
          <w:highlight w:val="none"/>
        </w:rPr>
        <w:cr/>
      </w:r>
      <w:r>
        <w:rPr>
          <w:rFonts w:hint="eastAsia" w:ascii="宋体" w:hAnsi="宋体"/>
          <w:highlight w:val="none"/>
        </w:rPr>
        <w:t>全权代表（签字）：                               全权代表（签字）：</w:t>
      </w:r>
    </w:p>
    <w:p w14:paraId="1D1A7188">
      <w:pPr>
        <w:spacing w:line="460" w:lineRule="exact"/>
        <w:rPr>
          <w:rFonts w:hint="eastAsia" w:ascii="宋体" w:hAnsi="宋体"/>
          <w:highlight w:val="none"/>
        </w:rPr>
      </w:pPr>
      <w:r>
        <w:rPr>
          <w:rFonts w:hint="eastAsia" w:ascii="宋体" w:hAnsi="宋体"/>
          <w:highlight w:val="none"/>
        </w:rPr>
        <w:t xml:space="preserve">地址：                                          地址：          </w:t>
      </w:r>
    </w:p>
    <w:p w14:paraId="0ACE5B19">
      <w:pPr>
        <w:spacing w:line="460" w:lineRule="exact"/>
        <w:rPr>
          <w:rFonts w:hint="eastAsia" w:ascii="宋体" w:hAnsi="宋体"/>
          <w:highlight w:val="none"/>
        </w:rPr>
      </w:pPr>
      <w:r>
        <w:rPr>
          <w:rFonts w:hint="eastAsia" w:ascii="宋体" w:hAnsi="宋体"/>
          <w:highlight w:val="none"/>
        </w:rPr>
        <w:t xml:space="preserve">邮政编码：                                      邮政编码：      </w:t>
      </w:r>
    </w:p>
    <w:p w14:paraId="2E379652">
      <w:pPr>
        <w:spacing w:line="460" w:lineRule="exact"/>
        <w:rPr>
          <w:rFonts w:hint="eastAsia" w:ascii="宋体" w:hAnsi="宋体"/>
          <w:highlight w:val="none"/>
        </w:rPr>
      </w:pPr>
      <w:r>
        <w:rPr>
          <w:rFonts w:hint="eastAsia" w:ascii="宋体" w:hAnsi="宋体"/>
          <w:highlight w:val="none"/>
        </w:rPr>
        <w:t xml:space="preserve">电话：                                          电话：          </w:t>
      </w:r>
    </w:p>
    <w:p w14:paraId="2D0933C0">
      <w:pPr>
        <w:spacing w:line="460" w:lineRule="exact"/>
        <w:rPr>
          <w:rFonts w:hint="eastAsia" w:ascii="宋体" w:hAnsi="宋体"/>
          <w:highlight w:val="none"/>
        </w:rPr>
      </w:pPr>
      <w:r>
        <w:rPr>
          <w:rFonts w:hint="eastAsia" w:ascii="宋体" w:hAnsi="宋体"/>
          <w:highlight w:val="none"/>
        </w:rPr>
        <w:t xml:space="preserve">传真：                                          传真：          </w:t>
      </w:r>
    </w:p>
    <w:p w14:paraId="4A3D8096">
      <w:pPr>
        <w:spacing w:line="460" w:lineRule="exact"/>
        <w:rPr>
          <w:rFonts w:hint="eastAsia" w:ascii="宋体" w:hAnsi="宋体"/>
          <w:highlight w:val="none"/>
        </w:rPr>
      </w:pPr>
      <w:r>
        <w:rPr>
          <w:rFonts w:hint="eastAsia" w:ascii="宋体" w:hAnsi="宋体"/>
          <w:highlight w:val="none"/>
        </w:rPr>
        <w:t xml:space="preserve">开户银行：                                      开户银行：      </w:t>
      </w:r>
    </w:p>
    <w:p w14:paraId="1A64234A">
      <w:pPr>
        <w:tabs>
          <w:tab w:val="left" w:pos="1740"/>
        </w:tabs>
        <w:spacing w:line="460" w:lineRule="exact"/>
        <w:rPr>
          <w:rFonts w:hint="eastAsia" w:ascii="宋体" w:hAnsi="宋体"/>
          <w:highlight w:val="none"/>
        </w:rPr>
      </w:pPr>
      <w:r>
        <w:rPr>
          <w:rFonts w:hint="eastAsia" w:ascii="宋体" w:hAnsi="宋体"/>
          <w:highlight w:val="none"/>
        </w:rPr>
        <w:t>帐号：                                          帐号：</w:t>
      </w:r>
    </w:p>
    <w:p w14:paraId="748E2DD0">
      <w:pPr>
        <w:tabs>
          <w:tab w:val="left" w:pos="1740"/>
        </w:tabs>
        <w:spacing w:line="317" w:lineRule="auto"/>
        <w:rPr>
          <w:rFonts w:hint="eastAsia" w:ascii="宋体" w:hAnsi="宋体"/>
          <w:highlight w:val="none"/>
        </w:rPr>
      </w:pPr>
    </w:p>
    <w:p w14:paraId="7CC97839">
      <w:pPr>
        <w:spacing w:line="360" w:lineRule="exact"/>
        <w:ind w:firstLine="480" w:firstLineChars="200"/>
        <w:jc w:val="center"/>
        <w:rPr>
          <w:rFonts w:eastAsia="黑体"/>
          <w:bCs/>
          <w:sz w:val="24"/>
          <w:highlight w:val="none"/>
        </w:rPr>
        <w:sectPr>
          <w:footerReference r:id="rId20" w:type="first"/>
          <w:footerReference r:id="rId19" w:type="default"/>
          <w:footnotePr>
            <w:numRestart w:val="eachPage"/>
          </w:footnotePr>
          <w:endnotePr>
            <w:numRestart w:val="eachSect"/>
          </w:endnotePr>
          <w:pgSz w:w="11907" w:h="16840"/>
          <w:pgMar w:top="1304" w:right="1247" w:bottom="1247" w:left="1304" w:header="851" w:footer="992" w:gutter="0"/>
          <w:pgNumType w:fmt="decimal"/>
          <w:cols w:space="720" w:num="1"/>
          <w:titlePg/>
          <w:docGrid w:type="lines" w:linePitch="435" w:charSpace="-6554"/>
        </w:sectPr>
      </w:pPr>
    </w:p>
    <w:p w14:paraId="3976327F">
      <w:pPr>
        <w:spacing w:line="360" w:lineRule="exact"/>
        <w:ind w:firstLine="480" w:firstLineChars="200"/>
        <w:jc w:val="center"/>
        <w:rPr>
          <w:rFonts w:eastAsia="黑体"/>
          <w:bCs/>
          <w:sz w:val="24"/>
          <w:highlight w:val="none"/>
        </w:rPr>
      </w:pPr>
      <w:r>
        <w:rPr>
          <w:rFonts w:eastAsia="黑体"/>
          <w:bCs/>
          <w:sz w:val="24"/>
          <w:highlight w:val="none"/>
        </w:rPr>
        <w:t>卖方履约保函</w:t>
      </w:r>
    </w:p>
    <w:p w14:paraId="77DC6652">
      <w:pPr>
        <w:adjustRightInd w:val="0"/>
        <w:snapToGrid w:val="0"/>
        <w:spacing w:line="336" w:lineRule="auto"/>
        <w:rPr>
          <w:szCs w:val="21"/>
          <w:highlight w:val="none"/>
        </w:rPr>
      </w:pPr>
      <w:r>
        <w:rPr>
          <w:szCs w:val="21"/>
          <w:highlight w:val="none"/>
        </w:rPr>
        <w:t xml:space="preserve"> </w:t>
      </w:r>
    </w:p>
    <w:p w14:paraId="10EBFC58">
      <w:pPr>
        <w:adjustRightInd w:val="0"/>
        <w:snapToGrid w:val="0"/>
        <w:spacing w:line="336" w:lineRule="auto"/>
        <w:ind w:firstLine="6001" w:firstLineChars="2499"/>
        <w:rPr>
          <w:szCs w:val="21"/>
          <w:highlight w:val="none"/>
          <w:u w:val="single"/>
        </w:rPr>
      </w:pPr>
      <w:r>
        <w:rPr>
          <w:b/>
          <w:bCs/>
          <w:szCs w:val="21"/>
          <w:highlight w:val="none"/>
        </w:rPr>
        <w:t>编号：</w:t>
      </w:r>
      <w:r>
        <w:rPr>
          <w:b/>
          <w:bCs/>
          <w:szCs w:val="21"/>
          <w:highlight w:val="none"/>
          <w:u w:val="single"/>
        </w:rPr>
        <w:t xml:space="preserve">       </w:t>
      </w:r>
      <w:r>
        <w:rPr>
          <w:szCs w:val="21"/>
          <w:highlight w:val="none"/>
          <w:u w:val="single"/>
        </w:rPr>
        <w:t xml:space="preserve">         </w:t>
      </w:r>
    </w:p>
    <w:p w14:paraId="713F74E8">
      <w:pPr>
        <w:adjustRightInd w:val="0"/>
        <w:snapToGrid w:val="0"/>
        <w:spacing w:line="336" w:lineRule="auto"/>
        <w:rPr>
          <w:szCs w:val="21"/>
          <w:highlight w:val="none"/>
          <w:u w:val="single"/>
        </w:rPr>
      </w:pPr>
    </w:p>
    <w:p w14:paraId="4D711677">
      <w:pPr>
        <w:adjustRightInd w:val="0"/>
        <w:snapToGrid w:val="0"/>
        <w:spacing w:line="336" w:lineRule="auto"/>
        <w:rPr>
          <w:szCs w:val="21"/>
          <w:highlight w:val="none"/>
        </w:rPr>
      </w:pPr>
      <w:r>
        <w:rPr>
          <w:szCs w:val="21"/>
          <w:highlight w:val="none"/>
          <w:u w:val="single"/>
        </w:rPr>
        <w:t xml:space="preserve">                              </w:t>
      </w:r>
      <w:r>
        <w:rPr>
          <w:szCs w:val="21"/>
          <w:highlight w:val="none"/>
        </w:rPr>
        <w:t>（</w:t>
      </w:r>
      <w:r>
        <w:rPr>
          <w:rFonts w:hint="eastAsia"/>
          <w:szCs w:val="21"/>
          <w:highlight w:val="none"/>
        </w:rPr>
        <w:t>买方</w:t>
      </w:r>
      <w:r>
        <w:rPr>
          <w:szCs w:val="21"/>
          <w:highlight w:val="none"/>
        </w:rPr>
        <w:t>）：</w:t>
      </w:r>
    </w:p>
    <w:p w14:paraId="07AF4014">
      <w:pPr>
        <w:adjustRightInd w:val="0"/>
        <w:snapToGrid w:val="0"/>
        <w:spacing w:line="336" w:lineRule="auto"/>
        <w:ind w:firstLine="480" w:firstLineChars="200"/>
        <w:rPr>
          <w:szCs w:val="21"/>
          <w:highlight w:val="none"/>
        </w:rPr>
      </w:pPr>
      <w:r>
        <w:rPr>
          <w:szCs w:val="21"/>
          <w:highlight w:val="none"/>
        </w:rPr>
        <w:t>鉴于</w:t>
      </w:r>
      <w:r>
        <w:rPr>
          <w:szCs w:val="21"/>
          <w:highlight w:val="none"/>
          <w:u w:val="single"/>
        </w:rPr>
        <w:t xml:space="preserve">                                      </w:t>
      </w:r>
      <w:r>
        <w:rPr>
          <w:szCs w:val="21"/>
          <w:highlight w:val="none"/>
        </w:rPr>
        <w:t>（以下简称“卖方”）已收到</w:t>
      </w:r>
    </w:p>
    <w:p w14:paraId="75E30260">
      <w:pPr>
        <w:adjustRightInd w:val="0"/>
        <w:snapToGrid w:val="0"/>
        <w:spacing w:line="336" w:lineRule="auto"/>
        <w:rPr>
          <w:szCs w:val="21"/>
          <w:highlight w:val="none"/>
        </w:rPr>
      </w:pPr>
      <w:r>
        <w:rPr>
          <w:szCs w:val="21"/>
          <w:highlight w:val="none"/>
          <w:u w:val="single"/>
        </w:rPr>
        <w:t xml:space="preserve"> </w:t>
      </w:r>
      <w:r>
        <w:rPr>
          <w:rFonts w:hint="eastAsia" w:ascii="宋体" w:hAnsi="宋体" w:eastAsia="宋体"/>
          <w:highlight w:val="none"/>
          <w:u w:val="single"/>
          <w:lang w:eastAsia="zh-CN"/>
        </w:rPr>
        <w:t>三门县饮用水水源地保护及生态修复项目-农村生活污水处理工程-管材</w:t>
      </w:r>
      <w:r>
        <w:rPr>
          <w:szCs w:val="21"/>
          <w:highlight w:val="none"/>
        </w:rPr>
        <w:t>（工程名称）的中标通知书，应卖方申请，我方愿就卖方履行上述工程的《</w:t>
      </w:r>
      <w:r>
        <w:rPr>
          <w:rFonts w:hint="eastAsia" w:ascii="宋体" w:hAnsi="宋体" w:eastAsia="宋体"/>
          <w:highlight w:val="none"/>
          <w:u w:val="single"/>
          <w:lang w:eastAsia="zh-CN"/>
        </w:rPr>
        <w:t>三门县饮用水水源地保护及生态修复项目-农村生活污水处理工程-管材</w:t>
      </w:r>
      <w:r>
        <w:rPr>
          <w:szCs w:val="21"/>
          <w:highlight w:val="none"/>
        </w:rPr>
        <w:t>合同》（以下简称主合同）约定的义务以保证的方式向贵方提供如下担保：</w:t>
      </w:r>
    </w:p>
    <w:p w14:paraId="75AC78CD">
      <w:pPr>
        <w:adjustRightInd w:val="0"/>
        <w:snapToGrid w:val="0"/>
        <w:spacing w:line="336" w:lineRule="auto"/>
        <w:ind w:firstLine="480" w:firstLineChars="200"/>
        <w:rPr>
          <w:b/>
          <w:bCs/>
          <w:szCs w:val="21"/>
          <w:highlight w:val="none"/>
        </w:rPr>
      </w:pPr>
      <w:r>
        <w:rPr>
          <w:b/>
          <w:bCs/>
          <w:szCs w:val="21"/>
          <w:highlight w:val="none"/>
        </w:rPr>
        <w:t>一、保证的范围及保证金额</w:t>
      </w:r>
    </w:p>
    <w:p w14:paraId="0868BD32">
      <w:pPr>
        <w:adjustRightInd w:val="0"/>
        <w:snapToGrid w:val="0"/>
        <w:spacing w:line="336" w:lineRule="auto"/>
        <w:ind w:firstLine="480" w:firstLineChars="200"/>
        <w:rPr>
          <w:szCs w:val="21"/>
          <w:highlight w:val="none"/>
        </w:rPr>
      </w:pPr>
      <w:r>
        <w:rPr>
          <w:szCs w:val="21"/>
          <w:highlight w:val="none"/>
        </w:rPr>
        <w:t>我方的保证范围是卖方未按照主合同的约定履行义务，给贵方造成的实际损失。</w:t>
      </w:r>
    </w:p>
    <w:p w14:paraId="01337548">
      <w:pPr>
        <w:adjustRightInd w:val="0"/>
        <w:snapToGrid w:val="0"/>
        <w:spacing w:line="336" w:lineRule="auto"/>
        <w:ind w:firstLine="480" w:firstLineChars="200"/>
        <w:rPr>
          <w:szCs w:val="21"/>
          <w:highlight w:val="none"/>
        </w:rPr>
      </w:pPr>
      <w:r>
        <w:rPr>
          <w:szCs w:val="21"/>
          <w:highlight w:val="none"/>
        </w:rPr>
        <w:t>我方保证的金额最高不超过人民币</w:t>
      </w:r>
      <w:r>
        <w:rPr>
          <w:szCs w:val="21"/>
          <w:highlight w:val="none"/>
          <w:u w:val="single"/>
        </w:rPr>
        <w:t xml:space="preserve">      </w:t>
      </w:r>
      <w:r>
        <w:rPr>
          <w:szCs w:val="21"/>
          <w:highlight w:val="none"/>
        </w:rPr>
        <w:t>万元整（大写：</w:t>
      </w:r>
      <w:r>
        <w:rPr>
          <w:szCs w:val="21"/>
          <w:highlight w:val="none"/>
          <w:u w:val="single"/>
        </w:rPr>
        <w:t xml:space="preserve">               </w:t>
      </w:r>
      <w:r>
        <w:rPr>
          <w:szCs w:val="21"/>
          <w:highlight w:val="none"/>
        </w:rPr>
        <w:t>）。</w:t>
      </w:r>
    </w:p>
    <w:p w14:paraId="6219A4FD">
      <w:pPr>
        <w:adjustRightInd w:val="0"/>
        <w:snapToGrid w:val="0"/>
        <w:spacing w:line="336" w:lineRule="auto"/>
        <w:ind w:firstLine="470" w:firstLineChars="196"/>
        <w:rPr>
          <w:b/>
          <w:szCs w:val="21"/>
          <w:highlight w:val="none"/>
        </w:rPr>
      </w:pPr>
      <w:r>
        <w:rPr>
          <w:szCs w:val="21"/>
          <w:highlight w:val="none"/>
        </w:rPr>
        <w:t>二、</w:t>
      </w:r>
      <w:r>
        <w:rPr>
          <w:b/>
          <w:szCs w:val="21"/>
          <w:highlight w:val="none"/>
        </w:rPr>
        <w:t>保证的方式及保证期间</w:t>
      </w:r>
    </w:p>
    <w:p w14:paraId="0F761E81">
      <w:pPr>
        <w:adjustRightInd w:val="0"/>
        <w:snapToGrid w:val="0"/>
        <w:spacing w:line="336" w:lineRule="auto"/>
        <w:ind w:firstLine="480" w:firstLineChars="200"/>
        <w:rPr>
          <w:szCs w:val="21"/>
          <w:highlight w:val="none"/>
        </w:rPr>
      </w:pPr>
      <w:r>
        <w:rPr>
          <w:szCs w:val="21"/>
          <w:highlight w:val="none"/>
        </w:rPr>
        <w:t>我方保证的期间为：自本合同生效之日起</w:t>
      </w:r>
      <w:r>
        <w:rPr>
          <w:rFonts w:hint="eastAsia"/>
          <w:szCs w:val="21"/>
          <w:highlight w:val="none"/>
        </w:rPr>
        <w:t>二年内</w:t>
      </w:r>
      <w:r>
        <w:rPr>
          <w:szCs w:val="21"/>
          <w:highlight w:val="none"/>
        </w:rPr>
        <w:t>。</w:t>
      </w:r>
    </w:p>
    <w:p w14:paraId="4C41E832">
      <w:pPr>
        <w:adjustRightInd w:val="0"/>
        <w:snapToGrid w:val="0"/>
        <w:spacing w:line="336" w:lineRule="auto"/>
        <w:ind w:firstLine="480" w:firstLineChars="200"/>
        <w:rPr>
          <w:szCs w:val="21"/>
          <w:highlight w:val="none"/>
        </w:rPr>
      </w:pPr>
      <w:r>
        <w:rPr>
          <w:szCs w:val="21"/>
          <w:highlight w:val="none"/>
        </w:rPr>
        <w:t>本保函有效期内，如合同规定的</w:t>
      </w:r>
      <w:r>
        <w:rPr>
          <w:rFonts w:hint="eastAsia"/>
          <w:szCs w:val="21"/>
          <w:highlight w:val="none"/>
        </w:rPr>
        <w:t>卖方</w:t>
      </w:r>
      <w:r>
        <w:rPr>
          <w:szCs w:val="21"/>
          <w:highlight w:val="none"/>
        </w:rPr>
        <w:t>履约义务未完成的，应在本保函到期日前到我方办理续保手续，经我方书面同意后，保证期做相应调整。</w:t>
      </w:r>
    </w:p>
    <w:p w14:paraId="6DAD6901">
      <w:pPr>
        <w:adjustRightInd w:val="0"/>
        <w:snapToGrid w:val="0"/>
        <w:spacing w:line="336" w:lineRule="auto"/>
        <w:ind w:firstLine="471" w:firstLineChars="196"/>
        <w:rPr>
          <w:b/>
          <w:szCs w:val="21"/>
          <w:highlight w:val="none"/>
        </w:rPr>
      </w:pPr>
      <w:r>
        <w:rPr>
          <w:b/>
          <w:szCs w:val="21"/>
          <w:highlight w:val="none"/>
        </w:rPr>
        <w:t>三、承担保证责任的形式</w:t>
      </w:r>
    </w:p>
    <w:p w14:paraId="43AE0BD4">
      <w:pPr>
        <w:adjustRightInd w:val="0"/>
        <w:snapToGrid w:val="0"/>
        <w:spacing w:line="336" w:lineRule="auto"/>
        <w:ind w:firstLine="360" w:firstLineChars="150"/>
        <w:rPr>
          <w:szCs w:val="21"/>
          <w:highlight w:val="none"/>
        </w:rPr>
      </w:pPr>
      <w:r>
        <w:rPr>
          <w:szCs w:val="21"/>
          <w:highlight w:val="none"/>
        </w:rPr>
        <w:t>我方在本保函第一条规定的保证金额内赔偿贵方的损失。</w:t>
      </w:r>
    </w:p>
    <w:p w14:paraId="026C2D4D">
      <w:pPr>
        <w:adjustRightInd w:val="0"/>
        <w:snapToGrid w:val="0"/>
        <w:spacing w:line="336" w:lineRule="auto"/>
        <w:ind w:firstLine="480" w:firstLineChars="200"/>
        <w:rPr>
          <w:szCs w:val="21"/>
          <w:highlight w:val="none"/>
        </w:rPr>
      </w:pPr>
      <w:r>
        <w:rPr>
          <w:b/>
          <w:szCs w:val="21"/>
          <w:highlight w:val="none"/>
        </w:rPr>
        <w:t>四</w:t>
      </w:r>
      <w:r>
        <w:rPr>
          <w:szCs w:val="21"/>
          <w:highlight w:val="none"/>
        </w:rPr>
        <w:t>、</w:t>
      </w:r>
      <w:r>
        <w:rPr>
          <w:b/>
          <w:szCs w:val="21"/>
          <w:highlight w:val="none"/>
        </w:rPr>
        <w:t>代偿的安排</w:t>
      </w:r>
    </w:p>
    <w:p w14:paraId="6F055607">
      <w:pPr>
        <w:adjustRightInd w:val="0"/>
        <w:snapToGrid w:val="0"/>
        <w:spacing w:line="336" w:lineRule="auto"/>
        <w:ind w:firstLine="480" w:firstLineChars="200"/>
        <w:rPr>
          <w:szCs w:val="21"/>
          <w:highlight w:val="none"/>
        </w:rPr>
      </w:pPr>
      <w:r>
        <w:rPr>
          <w:szCs w:val="21"/>
          <w:highlight w:val="none"/>
        </w:rPr>
        <w:t>贵方要求我方承担保证责任的，应向我方发出索赔通知书及卖方未履行主合同约定义务的证明材料。索赔通知应写明要求索赔的金额，支付款项应到达的帐号，并附有说明卖方违反主合同造成贵方损失情况的证明材料。</w:t>
      </w:r>
    </w:p>
    <w:p w14:paraId="407265FF">
      <w:pPr>
        <w:adjustRightInd w:val="0"/>
        <w:snapToGrid w:val="0"/>
        <w:spacing w:line="336" w:lineRule="auto"/>
        <w:ind w:firstLine="480" w:firstLineChars="200"/>
        <w:rPr>
          <w:szCs w:val="21"/>
          <w:highlight w:val="none"/>
        </w:rPr>
      </w:pPr>
      <w:r>
        <w:rPr>
          <w:szCs w:val="21"/>
          <w:highlight w:val="none"/>
        </w:rPr>
        <w:t>贵方以工程质量不符合主合同约定标准为由，向我方提出违约索赔的，还需同时提供符合相应条件要求的工程质量检测部门出具的质量说明材料。</w:t>
      </w:r>
    </w:p>
    <w:p w14:paraId="7C9E7543">
      <w:pPr>
        <w:adjustRightInd w:val="0"/>
        <w:snapToGrid w:val="0"/>
        <w:spacing w:line="336" w:lineRule="auto"/>
        <w:ind w:firstLine="480" w:firstLineChars="200"/>
        <w:rPr>
          <w:szCs w:val="21"/>
          <w:highlight w:val="none"/>
        </w:rPr>
      </w:pPr>
      <w:r>
        <w:rPr>
          <w:szCs w:val="21"/>
          <w:highlight w:val="none"/>
        </w:rPr>
        <w:t>我方收到贵方的索赔通知书及相应证明材料后，在3个工作日内按照本保函的承诺承担保证责任。</w:t>
      </w:r>
    </w:p>
    <w:p w14:paraId="60CB69AA">
      <w:pPr>
        <w:adjustRightInd w:val="0"/>
        <w:snapToGrid w:val="0"/>
        <w:spacing w:line="336" w:lineRule="auto"/>
        <w:ind w:firstLine="480" w:firstLineChars="200"/>
        <w:rPr>
          <w:b/>
          <w:szCs w:val="21"/>
          <w:highlight w:val="none"/>
        </w:rPr>
      </w:pPr>
      <w:r>
        <w:rPr>
          <w:b/>
          <w:szCs w:val="21"/>
          <w:highlight w:val="none"/>
        </w:rPr>
        <w:t>五、保证责任的解除</w:t>
      </w:r>
    </w:p>
    <w:p w14:paraId="6FE35E9B">
      <w:pPr>
        <w:adjustRightInd w:val="0"/>
        <w:snapToGrid w:val="0"/>
        <w:spacing w:line="336" w:lineRule="auto"/>
        <w:ind w:firstLine="480" w:firstLineChars="200"/>
        <w:rPr>
          <w:szCs w:val="21"/>
          <w:highlight w:val="none"/>
        </w:rPr>
      </w:pPr>
      <w:r>
        <w:rPr>
          <w:szCs w:val="21"/>
          <w:highlight w:val="none"/>
        </w:rPr>
        <w:t>1、在本保函承诺的保证期间内，贵方未书面向我方主张保证责任的，自保证期间届满次日起，我方保证责任解除。</w:t>
      </w:r>
    </w:p>
    <w:p w14:paraId="77B788DB">
      <w:pPr>
        <w:adjustRightInd w:val="0"/>
        <w:snapToGrid w:val="0"/>
        <w:spacing w:line="336" w:lineRule="auto"/>
        <w:ind w:firstLine="480" w:firstLineChars="200"/>
        <w:rPr>
          <w:szCs w:val="21"/>
          <w:highlight w:val="none"/>
        </w:rPr>
      </w:pPr>
      <w:r>
        <w:rPr>
          <w:szCs w:val="21"/>
          <w:highlight w:val="none"/>
        </w:rPr>
        <w:t>2、卖方按主合同约定履行了义务的，自本保函承诺的保证期间届满次日起，我方保证责任解除。</w:t>
      </w:r>
    </w:p>
    <w:p w14:paraId="6FC0E80F">
      <w:pPr>
        <w:adjustRightInd w:val="0"/>
        <w:snapToGrid w:val="0"/>
        <w:spacing w:line="336" w:lineRule="auto"/>
        <w:ind w:firstLine="480" w:firstLineChars="200"/>
        <w:rPr>
          <w:szCs w:val="21"/>
          <w:highlight w:val="none"/>
        </w:rPr>
        <w:sectPr>
          <w:footerReference r:id="rId22" w:type="first"/>
          <w:footerReference r:id="rId21" w:type="default"/>
          <w:footnotePr>
            <w:numRestart w:val="eachPage"/>
          </w:footnotePr>
          <w:endnotePr>
            <w:numRestart w:val="eachSect"/>
          </w:endnotePr>
          <w:pgSz w:w="11907" w:h="16840"/>
          <w:pgMar w:top="1304" w:right="1247" w:bottom="1247" w:left="1304" w:header="851" w:footer="992" w:gutter="0"/>
          <w:pgNumType w:fmt="decimal"/>
          <w:cols w:space="720" w:num="1"/>
          <w:titlePg/>
          <w:docGrid w:type="lines" w:linePitch="435" w:charSpace="-6554"/>
        </w:sectPr>
      </w:pPr>
    </w:p>
    <w:p w14:paraId="0393767A">
      <w:pPr>
        <w:adjustRightInd w:val="0"/>
        <w:snapToGrid w:val="0"/>
        <w:spacing w:line="336" w:lineRule="auto"/>
        <w:ind w:firstLine="480" w:firstLineChars="200"/>
        <w:rPr>
          <w:szCs w:val="21"/>
          <w:highlight w:val="none"/>
        </w:rPr>
      </w:pPr>
      <w:r>
        <w:rPr>
          <w:szCs w:val="21"/>
          <w:highlight w:val="none"/>
        </w:rPr>
        <w:t>3、我方按照本保函向贵方履行保证责任所支付的金额达到本保函金额时，自我方向贵方支付（支付款项从我方帐户划出）之日起，保证责任即解除。</w:t>
      </w:r>
    </w:p>
    <w:p w14:paraId="045CF2F8">
      <w:pPr>
        <w:adjustRightInd w:val="0"/>
        <w:snapToGrid w:val="0"/>
        <w:spacing w:line="336" w:lineRule="auto"/>
        <w:ind w:firstLine="480" w:firstLineChars="200"/>
        <w:rPr>
          <w:szCs w:val="21"/>
          <w:highlight w:val="none"/>
        </w:rPr>
      </w:pPr>
      <w:r>
        <w:rPr>
          <w:szCs w:val="21"/>
          <w:highlight w:val="none"/>
        </w:rPr>
        <w:t>4、按照法律法规的规定或出现应解除我方保证责任的其它情形的，我方在本保函项下的保证责任亦解除。</w:t>
      </w:r>
    </w:p>
    <w:p w14:paraId="14F37A06">
      <w:pPr>
        <w:adjustRightInd w:val="0"/>
        <w:snapToGrid w:val="0"/>
        <w:spacing w:line="336" w:lineRule="auto"/>
        <w:ind w:firstLine="480" w:firstLineChars="200"/>
        <w:rPr>
          <w:szCs w:val="21"/>
          <w:highlight w:val="none"/>
        </w:rPr>
      </w:pPr>
      <w:r>
        <w:rPr>
          <w:szCs w:val="21"/>
          <w:highlight w:val="none"/>
        </w:rPr>
        <w:t>我方解除保证责任后，贵方应自我方保证责任解除之日起3个工作日内，将本保函原件返还我方。</w:t>
      </w:r>
    </w:p>
    <w:p w14:paraId="35114B3F">
      <w:pPr>
        <w:adjustRightInd w:val="0"/>
        <w:snapToGrid w:val="0"/>
        <w:spacing w:line="336" w:lineRule="auto"/>
        <w:ind w:firstLine="480" w:firstLineChars="200"/>
        <w:rPr>
          <w:b/>
          <w:szCs w:val="21"/>
          <w:highlight w:val="none"/>
        </w:rPr>
      </w:pPr>
      <w:r>
        <w:rPr>
          <w:b/>
          <w:szCs w:val="21"/>
          <w:highlight w:val="none"/>
        </w:rPr>
        <w:t>六</w:t>
      </w:r>
      <w:r>
        <w:rPr>
          <w:szCs w:val="21"/>
          <w:highlight w:val="none"/>
        </w:rPr>
        <w:t>、</w:t>
      </w:r>
      <w:r>
        <w:rPr>
          <w:b/>
          <w:szCs w:val="21"/>
          <w:highlight w:val="none"/>
        </w:rPr>
        <w:t>免责条款</w:t>
      </w:r>
    </w:p>
    <w:p w14:paraId="1BA1C664">
      <w:pPr>
        <w:adjustRightInd w:val="0"/>
        <w:snapToGrid w:val="0"/>
        <w:spacing w:line="336" w:lineRule="auto"/>
        <w:ind w:firstLine="480" w:firstLineChars="200"/>
        <w:rPr>
          <w:szCs w:val="21"/>
          <w:highlight w:val="none"/>
        </w:rPr>
      </w:pPr>
      <w:r>
        <w:rPr>
          <w:szCs w:val="21"/>
          <w:highlight w:val="none"/>
        </w:rPr>
        <w:t>1、因贵方违约致使卖方不能履行义务的，我方不承担保证责任。</w:t>
      </w:r>
    </w:p>
    <w:p w14:paraId="5061952A">
      <w:pPr>
        <w:adjustRightInd w:val="0"/>
        <w:snapToGrid w:val="0"/>
        <w:spacing w:line="336" w:lineRule="auto"/>
        <w:ind w:firstLine="480" w:firstLineChars="200"/>
        <w:rPr>
          <w:szCs w:val="21"/>
          <w:highlight w:val="none"/>
        </w:rPr>
      </w:pPr>
      <w:r>
        <w:rPr>
          <w:szCs w:val="21"/>
          <w:highlight w:val="none"/>
        </w:rPr>
        <w:t>2、依照法律法规的规定或贵方与卖方的另行约定，免除卖方部分或全部义务的，我方亦免除其相应的保证责任。</w:t>
      </w:r>
    </w:p>
    <w:p w14:paraId="21E16003">
      <w:pPr>
        <w:adjustRightInd w:val="0"/>
        <w:snapToGrid w:val="0"/>
        <w:spacing w:line="336" w:lineRule="auto"/>
        <w:ind w:firstLine="480" w:firstLineChars="200"/>
        <w:rPr>
          <w:szCs w:val="21"/>
          <w:highlight w:val="none"/>
        </w:rPr>
      </w:pPr>
      <w:r>
        <w:rPr>
          <w:szCs w:val="21"/>
          <w:highlight w:val="none"/>
        </w:rPr>
        <w:t>3、贵方与卖方协议变更主合同的，如加重卖方责任致使我方保证责任加重的，需征得我方书面同意，否则我方不再承担因此而加重部分的保证责任。</w:t>
      </w:r>
    </w:p>
    <w:p w14:paraId="18163827">
      <w:pPr>
        <w:adjustRightInd w:val="0"/>
        <w:snapToGrid w:val="0"/>
        <w:spacing w:line="336" w:lineRule="auto"/>
        <w:ind w:firstLine="480" w:firstLineChars="200"/>
        <w:rPr>
          <w:szCs w:val="21"/>
          <w:highlight w:val="none"/>
        </w:rPr>
      </w:pPr>
      <w:r>
        <w:rPr>
          <w:szCs w:val="21"/>
          <w:highlight w:val="none"/>
        </w:rPr>
        <w:t>4、因不可抗力造成卖方不能履行义务的，我方不承担保证责任。</w:t>
      </w:r>
    </w:p>
    <w:p w14:paraId="20D4A951">
      <w:pPr>
        <w:adjustRightInd w:val="0"/>
        <w:snapToGrid w:val="0"/>
        <w:spacing w:line="336" w:lineRule="auto"/>
        <w:ind w:firstLine="480" w:firstLineChars="200"/>
        <w:rPr>
          <w:szCs w:val="21"/>
          <w:highlight w:val="none"/>
        </w:rPr>
      </w:pPr>
      <w:r>
        <w:rPr>
          <w:b/>
          <w:szCs w:val="21"/>
          <w:highlight w:val="none"/>
        </w:rPr>
        <w:t>七</w:t>
      </w:r>
      <w:r>
        <w:rPr>
          <w:szCs w:val="21"/>
          <w:highlight w:val="none"/>
        </w:rPr>
        <w:t>、</w:t>
      </w:r>
      <w:r>
        <w:rPr>
          <w:b/>
          <w:szCs w:val="21"/>
          <w:highlight w:val="none"/>
        </w:rPr>
        <w:t>争议的解决</w:t>
      </w:r>
    </w:p>
    <w:p w14:paraId="4CFCED59">
      <w:pPr>
        <w:adjustRightInd w:val="0"/>
        <w:snapToGrid w:val="0"/>
        <w:spacing w:line="336" w:lineRule="auto"/>
        <w:ind w:firstLine="480" w:firstLineChars="200"/>
        <w:rPr>
          <w:szCs w:val="21"/>
          <w:highlight w:val="none"/>
        </w:rPr>
      </w:pPr>
      <w:r>
        <w:rPr>
          <w:szCs w:val="21"/>
          <w:highlight w:val="none"/>
        </w:rPr>
        <w:t>因本保函发生的纠纷，由贵我双方协商解决，协商不成的，通过诉讼程序解决，诉讼管辖地</w:t>
      </w:r>
      <w:r>
        <w:rPr>
          <w:rFonts w:hint="eastAsia"/>
          <w:szCs w:val="21"/>
          <w:highlight w:val="none"/>
        </w:rPr>
        <w:t>三门县人民</w:t>
      </w:r>
      <w:r>
        <w:rPr>
          <w:szCs w:val="21"/>
          <w:highlight w:val="none"/>
        </w:rPr>
        <w:t>法院。</w:t>
      </w:r>
    </w:p>
    <w:p w14:paraId="1527F58F">
      <w:pPr>
        <w:adjustRightInd w:val="0"/>
        <w:snapToGrid w:val="0"/>
        <w:spacing w:line="336" w:lineRule="auto"/>
        <w:ind w:firstLine="480" w:firstLineChars="200"/>
        <w:rPr>
          <w:szCs w:val="21"/>
          <w:highlight w:val="none"/>
        </w:rPr>
      </w:pPr>
      <w:r>
        <w:rPr>
          <w:b/>
          <w:szCs w:val="21"/>
          <w:highlight w:val="none"/>
        </w:rPr>
        <w:t>八、保函的生效及份数</w:t>
      </w:r>
    </w:p>
    <w:p w14:paraId="0B43BBAE">
      <w:pPr>
        <w:adjustRightInd w:val="0"/>
        <w:snapToGrid w:val="0"/>
        <w:spacing w:line="336" w:lineRule="auto"/>
        <w:ind w:firstLine="480" w:firstLineChars="200"/>
        <w:rPr>
          <w:szCs w:val="21"/>
          <w:highlight w:val="none"/>
        </w:rPr>
      </w:pPr>
      <w:r>
        <w:rPr>
          <w:szCs w:val="21"/>
          <w:highlight w:val="none"/>
        </w:rPr>
        <w:t>本保函须经我方法定代表人（或其授权代理人）签字且加盖公章，并在主合同生效之日起生效。</w:t>
      </w:r>
    </w:p>
    <w:p w14:paraId="19C91F7C">
      <w:pPr>
        <w:adjustRightInd w:val="0"/>
        <w:snapToGrid w:val="0"/>
        <w:spacing w:line="336" w:lineRule="auto"/>
        <w:ind w:firstLine="720"/>
        <w:rPr>
          <w:szCs w:val="21"/>
          <w:highlight w:val="none"/>
        </w:rPr>
      </w:pPr>
    </w:p>
    <w:p w14:paraId="0EAEEEB2">
      <w:pPr>
        <w:adjustRightInd w:val="0"/>
        <w:snapToGrid w:val="0"/>
        <w:spacing w:line="336" w:lineRule="auto"/>
        <w:ind w:firstLine="720"/>
        <w:rPr>
          <w:szCs w:val="21"/>
          <w:highlight w:val="none"/>
        </w:rPr>
      </w:pPr>
    </w:p>
    <w:p w14:paraId="31BE1B25">
      <w:pPr>
        <w:adjustRightInd w:val="0"/>
        <w:snapToGrid w:val="0"/>
        <w:spacing w:line="336" w:lineRule="auto"/>
        <w:ind w:firstLine="720"/>
        <w:rPr>
          <w:szCs w:val="21"/>
          <w:highlight w:val="none"/>
        </w:rPr>
      </w:pPr>
      <w:r>
        <w:rPr>
          <w:szCs w:val="21"/>
          <w:highlight w:val="none"/>
        </w:rPr>
        <w:t xml:space="preserve">                                    保证人（盖章）：</w:t>
      </w:r>
    </w:p>
    <w:p w14:paraId="4E33D97D">
      <w:pPr>
        <w:adjustRightInd w:val="0"/>
        <w:snapToGrid w:val="0"/>
        <w:spacing w:line="336" w:lineRule="auto"/>
        <w:ind w:firstLine="720"/>
        <w:rPr>
          <w:szCs w:val="21"/>
          <w:highlight w:val="none"/>
        </w:rPr>
      </w:pPr>
    </w:p>
    <w:p w14:paraId="074DF55C">
      <w:pPr>
        <w:adjustRightInd w:val="0"/>
        <w:snapToGrid w:val="0"/>
        <w:spacing w:line="336" w:lineRule="auto"/>
        <w:ind w:firstLine="720"/>
        <w:rPr>
          <w:szCs w:val="21"/>
          <w:highlight w:val="none"/>
        </w:rPr>
      </w:pPr>
      <w:r>
        <w:rPr>
          <w:szCs w:val="21"/>
          <w:highlight w:val="none"/>
        </w:rPr>
        <w:t xml:space="preserve">                                法定代表人（或授权代理人）：</w:t>
      </w:r>
    </w:p>
    <w:p w14:paraId="4CA9FBF5">
      <w:pPr>
        <w:adjustRightInd w:val="0"/>
        <w:snapToGrid w:val="0"/>
        <w:spacing w:line="336" w:lineRule="auto"/>
        <w:ind w:firstLine="720"/>
        <w:rPr>
          <w:szCs w:val="21"/>
          <w:highlight w:val="none"/>
        </w:rPr>
      </w:pPr>
    </w:p>
    <w:p w14:paraId="4C5045A7">
      <w:pPr>
        <w:adjustRightInd w:val="0"/>
        <w:snapToGrid w:val="0"/>
        <w:spacing w:line="336" w:lineRule="auto"/>
        <w:ind w:firstLine="720"/>
        <w:rPr>
          <w:szCs w:val="21"/>
          <w:highlight w:val="none"/>
        </w:rPr>
      </w:pPr>
      <w:r>
        <w:rPr>
          <w:szCs w:val="21"/>
          <w:highlight w:val="none"/>
        </w:rPr>
        <w:t xml:space="preserve">                                    年     月      日</w:t>
      </w:r>
    </w:p>
    <w:p w14:paraId="4C34DDEF">
      <w:pPr>
        <w:pStyle w:val="2"/>
        <w:spacing w:before="120" w:after="120" w:line="400" w:lineRule="exact"/>
        <w:rPr>
          <w:rFonts w:eastAsia="黑体"/>
          <w:sz w:val="32"/>
        </w:rPr>
        <w:sectPr>
          <w:footerReference r:id="rId24" w:type="first"/>
          <w:footerReference r:id="rId23" w:type="default"/>
          <w:footnotePr>
            <w:numRestart w:val="eachPage"/>
          </w:footnotePr>
          <w:endnotePr>
            <w:numRestart w:val="eachSect"/>
          </w:endnotePr>
          <w:pgSz w:w="11907" w:h="16840"/>
          <w:pgMar w:top="1304" w:right="1247" w:bottom="1247" w:left="1304" w:header="851" w:footer="992" w:gutter="0"/>
          <w:pgNumType w:fmt="decimal"/>
          <w:cols w:space="720" w:num="1"/>
          <w:titlePg/>
          <w:docGrid w:type="lines" w:linePitch="435" w:charSpace="-6554"/>
        </w:sectPr>
      </w:pPr>
      <w:bookmarkStart w:id="114" w:name="_Toc14389"/>
    </w:p>
    <w:p w14:paraId="4B653AB3">
      <w:pPr>
        <w:pStyle w:val="2"/>
        <w:spacing w:before="120" w:after="120" w:line="400" w:lineRule="exact"/>
        <w:rPr>
          <w:rFonts w:eastAsia="黑体"/>
          <w:sz w:val="32"/>
        </w:rPr>
      </w:pPr>
      <w:r>
        <w:rPr>
          <w:rFonts w:eastAsia="黑体"/>
          <w:sz w:val="32"/>
        </w:rPr>
        <w:t>第</w:t>
      </w:r>
      <w:r>
        <w:rPr>
          <w:rFonts w:hint="eastAsia" w:eastAsia="黑体"/>
          <w:sz w:val="32"/>
        </w:rPr>
        <w:t>六</w:t>
      </w:r>
      <w:r>
        <w:rPr>
          <w:rFonts w:eastAsia="黑体"/>
          <w:sz w:val="32"/>
        </w:rPr>
        <w:t>章</w:t>
      </w:r>
      <w:r>
        <w:rPr>
          <w:rFonts w:hint="eastAsia" w:eastAsia="黑体"/>
          <w:sz w:val="32"/>
        </w:rPr>
        <w:t xml:space="preserve">    </w:t>
      </w:r>
      <w:r>
        <w:rPr>
          <w:rFonts w:eastAsia="黑体"/>
          <w:sz w:val="32"/>
        </w:rPr>
        <w:t>投标文件格式</w:t>
      </w:r>
      <w:bookmarkEnd w:id="98"/>
      <w:bookmarkEnd w:id="114"/>
    </w:p>
    <w:p w14:paraId="0818F6E7"/>
    <w:p w14:paraId="2F4DF207">
      <w:r>
        <w:rPr>
          <w:rFonts w:hint="eastAsia"/>
        </w:rPr>
        <w:t>封面</w:t>
      </w:r>
    </w:p>
    <w:p w14:paraId="7443C831">
      <w:pPr>
        <w:spacing w:line="360" w:lineRule="auto"/>
        <w:jc w:val="center"/>
        <w:rPr>
          <w:sz w:val="32"/>
          <w:szCs w:val="32"/>
        </w:rPr>
      </w:pPr>
    </w:p>
    <w:p w14:paraId="4FAF7AD7">
      <w:pPr>
        <w:spacing w:line="360" w:lineRule="auto"/>
        <w:jc w:val="both"/>
        <w:rPr>
          <w:sz w:val="32"/>
          <w:szCs w:val="32"/>
        </w:rPr>
      </w:pPr>
      <w:r>
        <w:rPr>
          <w:rFonts w:hint="eastAsia" w:eastAsia="宋体"/>
          <w:sz w:val="32"/>
          <w:szCs w:val="32"/>
          <w:lang w:val="en-US" w:eastAsia="zh-CN"/>
        </w:rPr>
        <w:t xml:space="preserve">                       </w:t>
      </w:r>
      <w:r>
        <w:rPr>
          <w:sz w:val="32"/>
          <w:szCs w:val="32"/>
        </w:rPr>
        <w:t xml:space="preserve">  </w:t>
      </w:r>
      <w:r>
        <w:rPr>
          <w:sz w:val="32"/>
          <w:szCs w:val="32"/>
          <w:u w:val="single"/>
        </w:rPr>
        <w:t xml:space="preserve">               </w:t>
      </w:r>
      <w:r>
        <w:rPr>
          <w:rFonts w:hint="eastAsia" w:eastAsia="宋体"/>
          <w:sz w:val="32"/>
          <w:szCs w:val="32"/>
          <w:u w:val="single"/>
          <w:lang w:val="en-US" w:eastAsia="zh-CN"/>
        </w:rPr>
        <w:t xml:space="preserve">     （项目名称）</w:t>
      </w:r>
      <w:r>
        <w:rPr>
          <w:sz w:val="32"/>
          <w:szCs w:val="32"/>
          <w:u w:val="single"/>
        </w:rPr>
        <w:t xml:space="preserve">           </w:t>
      </w:r>
      <w:r>
        <w:rPr>
          <w:sz w:val="32"/>
          <w:szCs w:val="32"/>
        </w:rPr>
        <w:t xml:space="preserve"> </w:t>
      </w:r>
    </w:p>
    <w:p w14:paraId="157038A5">
      <w:pPr>
        <w:spacing w:line="360" w:lineRule="auto"/>
        <w:jc w:val="center"/>
        <w:rPr>
          <w:rFonts w:eastAsia="黑体"/>
          <w:sz w:val="44"/>
        </w:rPr>
      </w:pPr>
    </w:p>
    <w:p w14:paraId="14ECD34C">
      <w:pPr>
        <w:spacing w:line="360" w:lineRule="auto"/>
        <w:jc w:val="center"/>
        <w:rPr>
          <w:rFonts w:eastAsia="黑体"/>
          <w:sz w:val="52"/>
          <w:szCs w:val="52"/>
        </w:rPr>
      </w:pPr>
      <w:r>
        <w:rPr>
          <w:rFonts w:hint="eastAsia" w:eastAsia="黑体"/>
          <w:sz w:val="52"/>
          <w:szCs w:val="52"/>
        </w:rPr>
        <w:t>投 标 文 件</w:t>
      </w:r>
    </w:p>
    <w:p w14:paraId="7AE032C7">
      <w:pPr>
        <w:spacing w:line="480" w:lineRule="auto"/>
        <w:jc w:val="center"/>
        <w:rPr>
          <w:rFonts w:ascii="宋体" w:hAnsi="宋体"/>
          <w:sz w:val="56"/>
          <w:szCs w:val="56"/>
        </w:rPr>
      </w:pPr>
      <w:r>
        <w:rPr>
          <w:rFonts w:hint="eastAsia" w:ascii="宋体" w:hAnsi="宋体"/>
          <w:sz w:val="56"/>
          <w:szCs w:val="56"/>
        </w:rPr>
        <w:t>（资信</w:t>
      </w:r>
      <w:r>
        <w:rPr>
          <w:rFonts w:hint="eastAsia" w:ascii="宋体" w:hAnsi="宋体" w:eastAsia="宋体"/>
          <w:sz w:val="56"/>
          <w:szCs w:val="56"/>
          <w:lang w:val="en-US" w:eastAsia="zh-CN"/>
        </w:rPr>
        <w:t>/技术/商务</w:t>
      </w:r>
      <w:r>
        <w:rPr>
          <w:rFonts w:hint="eastAsia" w:ascii="宋体" w:hAnsi="宋体"/>
          <w:sz w:val="56"/>
          <w:szCs w:val="56"/>
        </w:rPr>
        <w:t>标）</w:t>
      </w:r>
    </w:p>
    <w:p w14:paraId="3EFBBD09">
      <w:pPr>
        <w:spacing w:line="420" w:lineRule="auto"/>
      </w:pPr>
    </w:p>
    <w:p w14:paraId="37602359">
      <w:pPr>
        <w:spacing w:line="400" w:lineRule="exact"/>
        <w:ind w:firstLine="1260" w:firstLineChars="450"/>
        <w:rPr>
          <w:sz w:val="28"/>
          <w:szCs w:val="28"/>
        </w:rPr>
      </w:pPr>
    </w:p>
    <w:p w14:paraId="37478A37">
      <w:pPr>
        <w:spacing w:line="400" w:lineRule="exact"/>
        <w:ind w:firstLine="1260" w:firstLineChars="450"/>
        <w:rPr>
          <w:sz w:val="28"/>
          <w:szCs w:val="28"/>
        </w:rPr>
      </w:pPr>
    </w:p>
    <w:p w14:paraId="620D7D26">
      <w:pPr>
        <w:spacing w:line="400" w:lineRule="exact"/>
        <w:ind w:firstLine="1260" w:firstLineChars="450"/>
        <w:rPr>
          <w:sz w:val="28"/>
          <w:szCs w:val="28"/>
        </w:rPr>
      </w:pPr>
      <w:r>
        <w:rPr>
          <w:sz w:val="28"/>
          <w:szCs w:val="28"/>
        </w:rPr>
        <w:t>投标人：</w:t>
      </w:r>
      <w:r>
        <w:rPr>
          <w:sz w:val="28"/>
          <w:szCs w:val="28"/>
          <w:u w:val="single"/>
        </w:rPr>
        <w:t xml:space="preserve">                          </w:t>
      </w:r>
      <w:r>
        <w:rPr>
          <w:sz w:val="28"/>
          <w:szCs w:val="28"/>
        </w:rPr>
        <w:t>（盖单位章）</w:t>
      </w:r>
    </w:p>
    <w:p w14:paraId="08481B42">
      <w:pPr>
        <w:spacing w:line="400" w:lineRule="exact"/>
        <w:ind w:firstLine="1260" w:firstLineChars="450"/>
        <w:rPr>
          <w:sz w:val="28"/>
          <w:szCs w:val="28"/>
        </w:rPr>
      </w:pPr>
    </w:p>
    <w:p w14:paraId="1F316086">
      <w:pPr>
        <w:spacing w:line="400" w:lineRule="exact"/>
        <w:ind w:firstLine="1260" w:firstLineChars="450"/>
        <w:rPr>
          <w:sz w:val="28"/>
          <w:szCs w:val="28"/>
        </w:rPr>
      </w:pPr>
    </w:p>
    <w:p w14:paraId="3F48A5A0">
      <w:pPr>
        <w:spacing w:line="400" w:lineRule="exact"/>
        <w:ind w:firstLine="1260" w:firstLineChars="450"/>
        <w:rPr>
          <w:sz w:val="28"/>
          <w:szCs w:val="28"/>
        </w:rPr>
      </w:pPr>
    </w:p>
    <w:p w14:paraId="0B0D2BE8">
      <w:pPr>
        <w:spacing w:line="400" w:lineRule="exact"/>
        <w:ind w:firstLine="1260" w:firstLineChars="450"/>
        <w:rPr>
          <w:sz w:val="28"/>
          <w:szCs w:val="28"/>
        </w:rPr>
      </w:pPr>
    </w:p>
    <w:p w14:paraId="79386DD4">
      <w:pPr>
        <w:spacing w:line="400" w:lineRule="exact"/>
        <w:ind w:firstLine="1260" w:firstLineChars="450"/>
        <w:rPr>
          <w:sz w:val="28"/>
          <w:szCs w:val="28"/>
        </w:rPr>
      </w:pPr>
      <w:r>
        <w:rPr>
          <w:sz w:val="28"/>
          <w:szCs w:val="28"/>
        </w:rPr>
        <w:t>法定代表人：</w:t>
      </w:r>
      <w:r>
        <w:rPr>
          <w:sz w:val="28"/>
          <w:szCs w:val="28"/>
          <w:u w:val="single"/>
        </w:rPr>
        <w:t xml:space="preserve">         </w:t>
      </w:r>
      <w:r>
        <w:rPr>
          <w:rFonts w:hint="eastAsia"/>
          <w:sz w:val="28"/>
          <w:szCs w:val="28"/>
          <w:u w:val="single"/>
        </w:rPr>
        <w:t xml:space="preserve">      </w:t>
      </w:r>
      <w:r>
        <w:rPr>
          <w:sz w:val="28"/>
          <w:szCs w:val="28"/>
          <w:u w:val="single"/>
        </w:rPr>
        <w:t xml:space="preserve">      </w:t>
      </w:r>
      <w:r>
        <w:rPr>
          <w:sz w:val="28"/>
          <w:szCs w:val="28"/>
        </w:rPr>
        <w:t>（签字</w:t>
      </w:r>
      <w:r>
        <w:rPr>
          <w:rFonts w:hint="eastAsia"/>
          <w:sz w:val="28"/>
          <w:szCs w:val="28"/>
        </w:rPr>
        <w:t>或盖章</w:t>
      </w:r>
      <w:r>
        <w:rPr>
          <w:sz w:val="28"/>
          <w:szCs w:val="28"/>
        </w:rPr>
        <w:t>）</w:t>
      </w:r>
    </w:p>
    <w:p w14:paraId="7E2A8037">
      <w:pPr>
        <w:spacing w:line="400" w:lineRule="exact"/>
        <w:jc w:val="center"/>
        <w:rPr>
          <w:sz w:val="28"/>
          <w:szCs w:val="28"/>
          <w:u w:val="single"/>
        </w:rPr>
      </w:pPr>
    </w:p>
    <w:p w14:paraId="099F8E41">
      <w:pPr>
        <w:spacing w:line="400" w:lineRule="exact"/>
        <w:jc w:val="center"/>
        <w:rPr>
          <w:sz w:val="28"/>
          <w:szCs w:val="28"/>
          <w:u w:val="single"/>
        </w:rPr>
      </w:pPr>
    </w:p>
    <w:p w14:paraId="2993871D">
      <w:pPr>
        <w:spacing w:line="400" w:lineRule="exact"/>
        <w:jc w:val="center"/>
        <w:rPr>
          <w:sz w:val="28"/>
          <w:szCs w:val="28"/>
          <w:u w:val="single"/>
        </w:rPr>
      </w:pPr>
    </w:p>
    <w:p w14:paraId="42F5C0EF">
      <w:pPr>
        <w:spacing w:line="400" w:lineRule="exact"/>
        <w:jc w:val="center"/>
        <w:rPr>
          <w:sz w:val="28"/>
          <w:szCs w:val="28"/>
          <w:u w:val="single"/>
        </w:rPr>
      </w:pPr>
    </w:p>
    <w:p w14:paraId="2FCE5FB2">
      <w:pPr>
        <w:spacing w:line="400" w:lineRule="exact"/>
        <w:jc w:val="center"/>
        <w:rPr>
          <w:sz w:val="28"/>
          <w:szCs w:val="28"/>
          <w:u w:val="single"/>
        </w:rPr>
      </w:pPr>
    </w:p>
    <w:p w14:paraId="48EBEB2C">
      <w:pPr>
        <w:spacing w:line="400" w:lineRule="exact"/>
        <w:jc w:val="center"/>
        <w:rPr>
          <w:sz w:val="28"/>
          <w:szCs w:val="28"/>
          <w:u w:val="single"/>
        </w:rPr>
      </w:pPr>
    </w:p>
    <w:p w14:paraId="460F1E99">
      <w:pPr>
        <w:spacing w:line="400" w:lineRule="exact"/>
        <w:ind w:firstLine="2833" w:firstLineChars="1012"/>
        <w:rPr>
          <w:sz w:val="28"/>
          <w:szCs w:val="28"/>
        </w:rPr>
      </w:pPr>
      <w:r>
        <w:rPr>
          <w:sz w:val="28"/>
          <w:szCs w:val="28"/>
          <w:u w:val="single"/>
        </w:rPr>
        <w:t xml:space="preserve">        </w:t>
      </w:r>
      <w:r>
        <w:rPr>
          <w:sz w:val="28"/>
          <w:szCs w:val="28"/>
        </w:rPr>
        <w:t>年</w:t>
      </w:r>
      <w:r>
        <w:rPr>
          <w:sz w:val="28"/>
          <w:szCs w:val="28"/>
          <w:u w:val="single"/>
        </w:rPr>
        <w:t xml:space="preserve">    </w:t>
      </w:r>
      <w:r>
        <w:rPr>
          <w:sz w:val="28"/>
          <w:szCs w:val="28"/>
        </w:rPr>
        <w:t>月</w:t>
      </w:r>
      <w:r>
        <w:rPr>
          <w:sz w:val="28"/>
          <w:szCs w:val="28"/>
          <w:u w:val="single"/>
        </w:rPr>
        <w:t xml:space="preserve">   </w:t>
      </w:r>
      <w:r>
        <w:rPr>
          <w:sz w:val="28"/>
          <w:szCs w:val="28"/>
        </w:rPr>
        <w:t>日</w:t>
      </w:r>
    </w:p>
    <w:p w14:paraId="2365D09B">
      <w:pPr>
        <w:pStyle w:val="3"/>
        <w:numPr>
          <w:ilvl w:val="0"/>
          <w:numId w:val="34"/>
        </w:numPr>
        <w:bidi w:val="0"/>
        <w:ind w:left="0" w:leftChars="0" w:firstLine="420" w:firstLineChars="0"/>
        <w:rPr>
          <w:rFonts w:hint="eastAsia"/>
        </w:rPr>
        <w:sectPr>
          <w:footerReference r:id="rId26" w:type="first"/>
          <w:footerReference r:id="rId25" w:type="default"/>
          <w:footnotePr>
            <w:numRestart w:val="eachPage"/>
          </w:footnotePr>
          <w:endnotePr>
            <w:numRestart w:val="eachSect"/>
          </w:endnotePr>
          <w:pgSz w:w="11907" w:h="16840"/>
          <w:pgMar w:top="1304" w:right="1247" w:bottom="1247" w:left="1304" w:header="851" w:footer="992" w:gutter="0"/>
          <w:pgNumType w:fmt="decimal"/>
          <w:cols w:space="720" w:num="1"/>
          <w:titlePg/>
          <w:docGrid w:type="lines" w:linePitch="435" w:charSpace="-6554"/>
        </w:sectPr>
      </w:pPr>
      <w:bookmarkStart w:id="115" w:name="_Toc11730"/>
    </w:p>
    <w:p w14:paraId="5EFE4CC8">
      <w:pPr>
        <w:pStyle w:val="3"/>
        <w:numPr>
          <w:ilvl w:val="0"/>
          <w:numId w:val="34"/>
        </w:numPr>
        <w:bidi w:val="0"/>
        <w:ind w:left="0" w:leftChars="0" w:firstLine="420" w:firstLineChars="0"/>
        <w:rPr>
          <w:rFonts w:hint="eastAsia"/>
        </w:rPr>
      </w:pPr>
      <w:r>
        <w:rPr>
          <w:rFonts w:hint="eastAsia"/>
        </w:rPr>
        <w:t>投标函</w:t>
      </w:r>
      <w:bookmarkEnd w:id="115"/>
    </w:p>
    <w:p w14:paraId="5CD47E4E">
      <w:pPr>
        <w:pStyle w:val="17"/>
        <w:spacing w:line="360" w:lineRule="auto"/>
        <w:rPr>
          <w:rFonts w:hint="eastAsia" w:ascii="宋体" w:hAnsi="宋体"/>
          <w:b/>
          <w:szCs w:val="24"/>
        </w:rPr>
      </w:pPr>
      <w:r>
        <w:rPr>
          <w:rFonts w:hint="eastAsia" w:ascii="宋体" w:hAnsi="宋体"/>
          <w:szCs w:val="24"/>
          <w:u w:val="single"/>
        </w:rPr>
        <w:t>三 门 县 环 境 有 限 公 司</w:t>
      </w:r>
      <w:r>
        <w:rPr>
          <w:rFonts w:hint="eastAsia" w:ascii="宋体" w:hAnsi="宋体"/>
          <w:bCs/>
          <w:szCs w:val="24"/>
        </w:rPr>
        <w:t>：</w:t>
      </w:r>
    </w:p>
    <w:p w14:paraId="5EFE5485">
      <w:pPr>
        <w:spacing w:line="440" w:lineRule="exact"/>
        <w:ind w:firstLine="480" w:firstLineChars="200"/>
        <w:rPr>
          <w:rFonts w:ascii="宋体" w:hAnsi="宋体"/>
        </w:rPr>
      </w:pPr>
      <w:r>
        <w:rPr>
          <w:rFonts w:hint="eastAsia" w:ascii="宋体" w:hAnsi="宋体"/>
        </w:rPr>
        <w:t>我们根据三招建备【202</w:t>
      </w:r>
      <w:r>
        <w:rPr>
          <w:rFonts w:hint="eastAsia" w:ascii="宋体" w:hAnsi="宋体" w:eastAsia="宋体"/>
          <w:lang w:val="en-US" w:eastAsia="zh-CN"/>
        </w:rPr>
        <w:t>5</w:t>
      </w:r>
      <w:r>
        <w:rPr>
          <w:rFonts w:hint="eastAsia" w:ascii="宋体" w:hAnsi="宋体"/>
        </w:rPr>
        <w:t>】</w:t>
      </w:r>
      <w:r>
        <w:rPr>
          <w:rFonts w:hint="eastAsia" w:ascii="宋体" w:hAnsi="宋体"/>
          <w:u w:val="single"/>
        </w:rPr>
        <w:t xml:space="preserve">    </w:t>
      </w:r>
      <w:r>
        <w:rPr>
          <w:rFonts w:hint="eastAsia" w:ascii="宋体" w:hAnsi="宋体"/>
        </w:rPr>
        <w:t>号的招标文件，作了认真研究，我公司以优惠的报价参与本项目的投标竞争。若我公司一旦中标，愿意接受招标文件规定的所有条件，并接受业主和有关管理部门的监督检查。经集体研究本次投标承诺如下：</w:t>
      </w:r>
    </w:p>
    <w:p w14:paraId="5DFD5884">
      <w:pPr>
        <w:pStyle w:val="10"/>
        <w:spacing w:line="440" w:lineRule="exact"/>
        <w:ind w:left="106" w:leftChars="44" w:firstLine="360" w:firstLineChars="150"/>
        <w:rPr>
          <w:rFonts w:hint="eastAsia"/>
        </w:rPr>
      </w:pPr>
      <w:r>
        <w:rPr>
          <w:rFonts w:hint="eastAsia"/>
        </w:rPr>
        <w:t>一、报价：我方愿意以总报价人民币</w:t>
      </w:r>
      <w:r>
        <w:rPr>
          <w:rFonts w:hint="eastAsia"/>
          <w:u w:val="single"/>
        </w:rPr>
        <w:t xml:space="preserve">     </w:t>
      </w:r>
      <w:r>
        <w:rPr>
          <w:rFonts w:hint="eastAsia"/>
        </w:rPr>
        <w:t>（大写）（</w:t>
      </w:r>
      <w:r>
        <w:rPr>
          <w:rFonts w:hint="eastAsia"/>
          <w:u w:val="single"/>
        </w:rPr>
        <w:t xml:space="preserve">      </w:t>
      </w:r>
      <w:r>
        <w:rPr>
          <w:rFonts w:hint="eastAsia"/>
        </w:rPr>
        <w:t xml:space="preserve">（小写））。总报价承担上述产品的产品的设计制造、包装、运输（含装卸）、产品保护、货到就位、设备安装、调试、试运行、技术服务、售后服务、质量保修及配合相关部门验收（含第三方验收）等工作。 </w:t>
      </w:r>
    </w:p>
    <w:p w14:paraId="5B39B6DD">
      <w:pPr>
        <w:pStyle w:val="10"/>
        <w:spacing w:line="440" w:lineRule="exact"/>
        <w:ind w:firstLine="480" w:firstLineChars="200"/>
        <w:rPr>
          <w:rFonts w:hint="eastAsia"/>
        </w:rPr>
      </w:pPr>
      <w:r>
        <w:rPr>
          <w:rFonts w:hint="eastAsia"/>
        </w:rPr>
        <w:t>二、供货期：</w:t>
      </w:r>
      <w:r>
        <w:rPr>
          <w:rFonts w:hint="eastAsia" w:ascii="宋体" w:hAnsi="宋体" w:eastAsia="宋体"/>
        </w:rPr>
        <w:t>在买方发出供货通知书（或者提单）后</w:t>
      </w:r>
      <w:r>
        <w:rPr>
          <w:rFonts w:hint="eastAsia" w:ascii="宋体" w:hAnsi="宋体" w:eastAsia="宋体"/>
          <w:u w:val="single"/>
        </w:rPr>
        <w:t xml:space="preserve">      </w:t>
      </w:r>
      <w:r>
        <w:rPr>
          <w:rFonts w:hint="eastAsia" w:ascii="宋体" w:hAnsi="宋体" w:eastAsia="宋体"/>
        </w:rPr>
        <w:t>日历天内(不超过7日历天)完成供货。供货周期为中标通知书发出之日起至所有工程完工验收止</w:t>
      </w:r>
      <w:r>
        <w:rPr>
          <w:rFonts w:hint="eastAsia"/>
        </w:rPr>
        <w:t>。</w:t>
      </w:r>
    </w:p>
    <w:p w14:paraId="5029203D">
      <w:pPr>
        <w:spacing w:line="440" w:lineRule="exact"/>
        <w:ind w:firstLine="480" w:firstLineChars="200"/>
        <w:rPr>
          <w:rFonts w:ascii="宋体" w:hAnsi="宋体"/>
        </w:rPr>
      </w:pPr>
      <w:r>
        <w:rPr>
          <w:rFonts w:hint="eastAsia" w:ascii="宋体" w:hAnsi="宋体"/>
        </w:rPr>
        <w:t>三、货物质量：</w:t>
      </w:r>
      <w:r>
        <w:rPr>
          <w:rFonts w:hint="eastAsia" w:ascii="宋体" w:hAnsi="宋体"/>
          <w:sz w:val="24"/>
          <w:highlight w:val="none"/>
          <w:u w:val="single"/>
        </w:rPr>
        <w:t>满足招标文件要求。质量保证期为所有工程竣工验收合格之日起二年</w:t>
      </w:r>
      <w:r>
        <w:rPr>
          <w:rFonts w:hint="eastAsia" w:ascii="宋体" w:hAnsi="宋体"/>
          <w:u w:val="single"/>
        </w:rPr>
        <w:t>。</w:t>
      </w:r>
    </w:p>
    <w:p w14:paraId="54C6A9D6">
      <w:pPr>
        <w:spacing w:line="440" w:lineRule="exact"/>
        <w:ind w:firstLine="480" w:firstLineChars="200"/>
        <w:rPr>
          <w:rFonts w:ascii="宋体" w:hAnsi="宋体"/>
        </w:rPr>
      </w:pPr>
      <w:r>
        <w:rPr>
          <w:rFonts w:hint="eastAsia" w:ascii="宋体" w:hAnsi="宋体"/>
        </w:rPr>
        <w:t>四、技术服务按投标文件的承诺及时到位。</w:t>
      </w:r>
    </w:p>
    <w:p w14:paraId="646E633D">
      <w:pPr>
        <w:spacing w:line="440" w:lineRule="exact"/>
        <w:ind w:firstLine="585"/>
        <w:rPr>
          <w:rFonts w:ascii="宋体" w:hAnsi="宋体"/>
        </w:rPr>
      </w:pPr>
      <w:r>
        <w:rPr>
          <w:rFonts w:hint="eastAsia" w:ascii="宋体" w:hAnsi="宋体"/>
        </w:rPr>
        <w:t>五、如果我方中标，我方将按照招标文件规定提交履约保证金，共同地和分别地承担责任。</w:t>
      </w:r>
    </w:p>
    <w:p w14:paraId="79E1F598">
      <w:pPr>
        <w:spacing w:line="440" w:lineRule="exact"/>
        <w:ind w:firstLine="480"/>
        <w:rPr>
          <w:rFonts w:ascii="宋体" w:hAnsi="宋体"/>
        </w:rPr>
      </w:pPr>
      <w:r>
        <w:rPr>
          <w:rFonts w:hint="eastAsia" w:ascii="宋体" w:hAnsi="宋体"/>
        </w:rPr>
        <w:t>六、除非另外达成协议并生效，你方的中标通知书和本投标文件将构成约束我们双方的合同。</w:t>
      </w:r>
    </w:p>
    <w:p w14:paraId="6C97D1A3">
      <w:pPr>
        <w:spacing w:line="440" w:lineRule="exact"/>
        <w:ind w:firstLine="480"/>
        <w:rPr>
          <w:rFonts w:ascii="宋体" w:hAnsi="宋体"/>
        </w:rPr>
      </w:pPr>
      <w:r>
        <w:rPr>
          <w:rFonts w:hint="eastAsia" w:ascii="宋体" w:hAnsi="宋体"/>
        </w:rPr>
        <w:t xml:space="preserve">七、我方的投标保证金已按招标文件的要求递交。   </w:t>
      </w:r>
    </w:p>
    <w:p w14:paraId="17523927">
      <w:pPr>
        <w:spacing w:line="440" w:lineRule="exact"/>
        <w:ind w:firstLine="480"/>
        <w:rPr>
          <w:rFonts w:ascii="宋体" w:hAnsi="宋体"/>
        </w:rPr>
      </w:pPr>
      <w:r>
        <w:rPr>
          <w:rFonts w:hint="eastAsia" w:ascii="宋体" w:hAnsi="宋体"/>
        </w:rPr>
        <w:t>八、我方承诺，在正式施工中若会出现变更，如有增减按业主方意见执行，我方无异议。（最终解释权归招标人所有）</w:t>
      </w:r>
    </w:p>
    <w:p w14:paraId="4867460A">
      <w:pPr>
        <w:spacing w:line="440" w:lineRule="exact"/>
        <w:ind w:firstLine="480"/>
        <w:rPr>
          <w:rFonts w:ascii="宋体" w:hAnsi="宋体"/>
        </w:rPr>
      </w:pPr>
      <w:r>
        <w:rPr>
          <w:rFonts w:hint="eastAsia" w:ascii="宋体" w:hAnsi="宋体"/>
          <w:color w:val="0000FF"/>
        </w:rPr>
        <w:t xml:space="preserve">  </w:t>
      </w:r>
      <w:r>
        <w:rPr>
          <w:rFonts w:hint="eastAsia" w:ascii="宋体" w:hAnsi="宋体"/>
        </w:rPr>
        <w:t xml:space="preserve">                                         </w:t>
      </w:r>
    </w:p>
    <w:p w14:paraId="0233CC9A">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2"/>
        </w:rPr>
        <w:t>投标人（单位盖章</w:t>
      </w:r>
      <w:r>
        <w:rPr>
          <w:rFonts w:ascii="宋体" w:hAnsi="宋体" w:cs="宋体"/>
          <w:color w:val="auto"/>
          <w:spacing w:val="2"/>
        </w:rPr>
        <w:t>）：</w:t>
      </w:r>
      <w:r>
        <w:rPr>
          <w:rFonts w:ascii="宋体" w:hAnsi="宋体" w:cs="宋体"/>
          <w:color w:val="auto"/>
          <w:u w:val="single"/>
        </w:rPr>
        <w:tab/>
      </w:r>
    </w:p>
    <w:p w14:paraId="6E1E0047">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1"/>
        </w:rPr>
        <w:t>法定代表人（签字或盖章</w:t>
      </w:r>
      <w:r>
        <w:rPr>
          <w:rFonts w:ascii="宋体" w:hAnsi="宋体" w:cs="宋体"/>
          <w:color w:val="auto"/>
        </w:rPr>
        <w:t>）：</w:t>
      </w:r>
      <w:r>
        <w:rPr>
          <w:rFonts w:ascii="宋体" w:hAnsi="宋体" w:cs="宋体"/>
          <w:color w:val="auto"/>
          <w:u w:val="single"/>
        </w:rPr>
        <w:tab/>
      </w:r>
    </w:p>
    <w:p w14:paraId="03A9BA79">
      <w:pPr>
        <w:tabs>
          <w:tab w:val="left" w:pos="8719"/>
        </w:tabs>
        <w:spacing w:before="116" w:line="351" w:lineRule="auto"/>
        <w:ind w:left="5280" w:hanging="1"/>
        <w:jc w:val="both"/>
        <w:rPr>
          <w:rFonts w:ascii="宋体" w:hAnsi="宋体" w:cs="宋体"/>
          <w:color w:val="auto"/>
        </w:rPr>
      </w:pPr>
      <w:r>
        <w:rPr>
          <w:rFonts w:ascii="宋体" w:hAnsi="宋体" w:cs="宋体"/>
          <w:color w:val="auto"/>
          <w:spacing w:val="-4"/>
        </w:rPr>
        <w:t>日期：年 月 日</w:t>
      </w:r>
    </w:p>
    <w:p w14:paraId="4CE1E349">
      <w:pPr>
        <w:pStyle w:val="3"/>
        <w:numPr>
          <w:ilvl w:val="0"/>
          <w:numId w:val="34"/>
        </w:numPr>
        <w:bidi w:val="0"/>
        <w:ind w:left="0" w:leftChars="0" w:firstLine="420" w:firstLineChars="0"/>
        <w:rPr>
          <w:rFonts w:hint="eastAsia"/>
        </w:rPr>
        <w:sectPr>
          <w:footerReference r:id="rId28" w:type="first"/>
          <w:footerReference r:id="rId27" w:type="default"/>
          <w:footnotePr>
            <w:numRestart w:val="eachPage"/>
          </w:footnotePr>
          <w:endnotePr>
            <w:numRestart w:val="eachSect"/>
          </w:endnotePr>
          <w:pgSz w:w="11907" w:h="16840"/>
          <w:pgMar w:top="1304" w:right="1247" w:bottom="1247" w:left="1304" w:header="851" w:footer="992" w:gutter="0"/>
          <w:pgNumType w:fmt="decimal"/>
          <w:cols w:space="720" w:num="1"/>
          <w:titlePg/>
          <w:docGrid w:type="lines" w:linePitch="435" w:charSpace="-6554"/>
        </w:sectPr>
      </w:pPr>
      <w:bookmarkStart w:id="116" w:name="_Toc14315"/>
    </w:p>
    <w:p w14:paraId="1ADD97D7">
      <w:pPr>
        <w:pStyle w:val="3"/>
        <w:numPr>
          <w:ilvl w:val="0"/>
          <w:numId w:val="34"/>
        </w:numPr>
        <w:bidi w:val="0"/>
        <w:ind w:left="0" w:leftChars="0" w:firstLine="420" w:firstLineChars="0"/>
        <w:rPr>
          <w:rFonts w:hint="eastAsia"/>
        </w:rPr>
      </w:pPr>
      <w:r>
        <w:rPr>
          <w:rFonts w:hint="eastAsia"/>
        </w:rPr>
        <w:t>法定代表人授权委托书</w:t>
      </w:r>
      <w:bookmarkEnd w:id="116"/>
    </w:p>
    <w:p w14:paraId="057E7551">
      <w:pPr>
        <w:spacing w:before="174" w:line="464" w:lineRule="auto"/>
        <w:ind w:right="88" w:firstLine="721"/>
        <w:rPr>
          <w:rFonts w:ascii="宋体" w:hAnsi="宋体" w:cs="宋体"/>
          <w:color w:val="auto"/>
          <w:sz w:val="28"/>
          <w:szCs w:val="28"/>
        </w:rPr>
      </w:pPr>
      <w:bookmarkStart w:id="117" w:name="_Toc56099918"/>
      <w:r>
        <w:rPr>
          <w:rFonts w:ascii="宋体" w:hAnsi="宋体" w:cs="宋体"/>
          <w:color w:val="auto"/>
          <w:spacing w:val="-1"/>
        </w:rPr>
        <w:t>本授权委托书声明：我</w:t>
      </w:r>
      <w:r>
        <w:rPr>
          <w:rFonts w:ascii="宋体" w:hAnsi="宋体" w:cs="宋体"/>
          <w:color w:val="auto"/>
          <w:spacing w:val="-1"/>
          <w:u w:val="single"/>
        </w:rPr>
        <w:t xml:space="preserve">      （姓名） </w:t>
      </w:r>
      <w:r>
        <w:rPr>
          <w:rFonts w:ascii="宋体" w:hAnsi="宋体" w:cs="宋体"/>
          <w:color w:val="auto"/>
          <w:spacing w:val="-1"/>
        </w:rPr>
        <w:t>系</w:t>
      </w:r>
      <w:r>
        <w:rPr>
          <w:rFonts w:ascii="宋体" w:hAnsi="宋体" w:cs="宋体"/>
          <w:color w:val="auto"/>
          <w:spacing w:val="-1"/>
          <w:u w:val="single"/>
        </w:rPr>
        <w:t xml:space="preserve">                 （投标单位名</w:t>
      </w:r>
      <w:r>
        <w:rPr>
          <w:rFonts w:ascii="宋体" w:hAnsi="宋体" w:cs="宋体"/>
          <w:color w:val="auto"/>
          <w:spacing w:val="-3"/>
          <w:u w:val="single"/>
        </w:rPr>
        <w:t xml:space="preserve">称） </w:t>
      </w:r>
      <w:r>
        <w:rPr>
          <w:rFonts w:ascii="宋体" w:hAnsi="宋体" w:cs="宋体"/>
          <w:color w:val="auto"/>
          <w:spacing w:val="-3"/>
        </w:rPr>
        <w:t>的法定代表人，现授权委托</w:t>
      </w:r>
      <w:r>
        <w:rPr>
          <w:rFonts w:ascii="宋体" w:hAnsi="宋体" w:cs="宋体"/>
          <w:color w:val="auto"/>
          <w:spacing w:val="-3"/>
          <w:u w:val="single"/>
        </w:rPr>
        <w:t xml:space="preserve">       （姓名） </w:t>
      </w:r>
      <w:r>
        <w:rPr>
          <w:rFonts w:ascii="宋体" w:hAnsi="宋体" w:cs="宋体"/>
          <w:color w:val="auto"/>
          <w:spacing w:val="-3"/>
        </w:rPr>
        <w:t>在年</w:t>
      </w:r>
      <w:r>
        <w:rPr>
          <w:rFonts w:ascii="宋体" w:hAnsi="宋体" w:cs="宋体"/>
          <w:color w:val="auto"/>
          <w:spacing w:val="-3"/>
          <w:u w:val="single"/>
        </w:rPr>
        <w:t xml:space="preserve">  月  </w:t>
      </w:r>
      <w:r>
        <w:rPr>
          <w:rFonts w:ascii="宋体" w:hAnsi="宋体" w:cs="宋体"/>
          <w:color w:val="auto"/>
          <w:spacing w:val="-3"/>
        </w:rPr>
        <w:t>日至年</w:t>
      </w:r>
      <w:r>
        <w:rPr>
          <w:rFonts w:ascii="宋体" w:hAnsi="宋体" w:cs="宋体"/>
          <w:color w:val="auto"/>
          <w:spacing w:val="-2"/>
        </w:rPr>
        <w:t>月日（代理时限）为我公司的代理人，以本公司的名义参</w:t>
      </w:r>
      <w:r>
        <w:rPr>
          <w:rFonts w:ascii="宋体" w:hAnsi="宋体" w:cs="宋体"/>
          <w:color w:val="auto"/>
          <w:spacing w:val="-3"/>
        </w:rPr>
        <w:t>加</w:t>
      </w:r>
      <w:r>
        <w:rPr>
          <w:rFonts w:ascii="宋体" w:hAnsi="宋体" w:cs="宋体"/>
          <w:color w:val="auto"/>
          <w:spacing w:val="-3"/>
          <w:u w:val="single"/>
        </w:rPr>
        <w:t xml:space="preserve">     工程</w:t>
      </w:r>
      <w:r>
        <w:rPr>
          <w:rFonts w:ascii="宋体" w:hAnsi="宋体" w:cs="宋体"/>
          <w:color w:val="auto"/>
          <w:spacing w:val="-3"/>
        </w:rPr>
        <w:t>的投标活</w:t>
      </w:r>
      <w:r>
        <w:rPr>
          <w:rFonts w:ascii="宋体" w:hAnsi="宋体" w:cs="宋体"/>
          <w:color w:val="auto"/>
        </w:rPr>
        <w:t>动。代理人在代理时间内参加投标、开标、询标过程中所签</w:t>
      </w:r>
      <w:r>
        <w:rPr>
          <w:rFonts w:ascii="宋体" w:hAnsi="宋体" w:cs="宋体"/>
          <w:color w:val="auto"/>
          <w:spacing w:val="-1"/>
        </w:rPr>
        <w:t>署的一切文件和处理与之相关的一切事务，本人均予以承认</w:t>
      </w:r>
      <w:r>
        <w:rPr>
          <w:rFonts w:ascii="宋体" w:hAnsi="宋体" w:cs="宋体"/>
          <w:color w:val="auto"/>
          <w:spacing w:val="-1"/>
          <w:sz w:val="28"/>
          <w:szCs w:val="28"/>
        </w:rPr>
        <w:t>。</w:t>
      </w:r>
    </w:p>
    <w:p w14:paraId="3C638166">
      <w:pPr>
        <w:spacing w:before="7" w:line="309" w:lineRule="auto"/>
        <w:ind w:left="258" w:right="5407" w:hanging="259"/>
        <w:rPr>
          <w:rFonts w:ascii="宋体" w:hAnsi="宋体" w:cs="宋体"/>
          <w:color w:val="auto"/>
        </w:rPr>
      </w:pPr>
      <w:r>
        <w:rPr>
          <w:rFonts w:ascii="宋体" w:hAnsi="宋体" w:cs="宋体"/>
          <w:color w:val="auto"/>
          <w:spacing w:val="-4"/>
        </w:rPr>
        <w:t>代理人无权转委托。特此委托。</w:t>
      </w:r>
      <w:r>
        <w:rPr>
          <w:rFonts w:ascii="宋体" w:hAnsi="宋体" w:cs="宋体"/>
          <w:color w:val="auto"/>
        </w:rPr>
        <w:t>附</w:t>
      </w:r>
    </w:p>
    <w:tbl>
      <w:tblPr>
        <w:tblStyle w:val="35"/>
        <w:tblW w:w="6666" w:type="dxa"/>
        <w:tblInd w:w="1059" w:type="dxa"/>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Layout w:type="fixed"/>
        <w:tblCellMar>
          <w:top w:w="0" w:type="dxa"/>
          <w:left w:w="0" w:type="dxa"/>
          <w:bottom w:w="0" w:type="dxa"/>
          <w:right w:w="0" w:type="dxa"/>
        </w:tblCellMar>
      </w:tblPr>
      <w:tblGrid>
        <w:gridCol w:w="6666"/>
      </w:tblGrid>
      <w:tr w14:paraId="58CEE7BA">
        <w:tblPrEx>
          <w:tblBorders>
            <w:top w:val="single" w:color="000000" w:sz="2" w:space="0"/>
            <w:left w:val="single" w:color="000000" w:sz="2" w:space="0"/>
            <w:bottom w:val="single" w:color="000000" w:sz="2" w:space="0"/>
            <w:right w:val="single" w:color="000000" w:sz="2" w:space="0"/>
            <w:insideH w:val="none" w:color="auto" w:sz="0" w:space="0"/>
            <w:insideV w:val="none" w:color="auto" w:sz="0" w:space="0"/>
          </w:tblBorders>
          <w:tblCellMar>
            <w:top w:w="0" w:type="dxa"/>
            <w:left w:w="0" w:type="dxa"/>
            <w:bottom w:w="0" w:type="dxa"/>
            <w:right w:w="0" w:type="dxa"/>
          </w:tblCellMar>
        </w:tblPrEx>
        <w:trPr>
          <w:trHeight w:val="6244" w:hRule="atLeast"/>
        </w:trPr>
        <w:tc>
          <w:tcPr>
            <w:tcW w:w="6666" w:type="dxa"/>
          </w:tcPr>
          <w:p w14:paraId="7BF2BC31">
            <w:pPr>
              <w:spacing w:line="242" w:lineRule="auto"/>
              <w:rPr>
                <w:color w:val="auto"/>
              </w:rPr>
            </w:pPr>
          </w:p>
          <w:p w14:paraId="76C89EE3">
            <w:pPr>
              <w:spacing w:line="242" w:lineRule="auto"/>
              <w:rPr>
                <w:color w:val="auto"/>
              </w:rPr>
            </w:pPr>
          </w:p>
          <w:p w14:paraId="5DCF7B91">
            <w:pPr>
              <w:spacing w:line="242" w:lineRule="auto"/>
              <w:rPr>
                <w:color w:val="auto"/>
              </w:rPr>
            </w:pPr>
          </w:p>
          <w:p w14:paraId="01517A54">
            <w:pPr>
              <w:spacing w:line="242" w:lineRule="auto"/>
              <w:rPr>
                <w:color w:val="auto"/>
              </w:rPr>
            </w:pPr>
          </w:p>
          <w:p w14:paraId="4133CD40">
            <w:pPr>
              <w:spacing w:line="242" w:lineRule="auto"/>
              <w:rPr>
                <w:color w:val="auto"/>
              </w:rPr>
            </w:pPr>
          </w:p>
          <w:p w14:paraId="6C042980">
            <w:pPr>
              <w:spacing w:line="242" w:lineRule="auto"/>
              <w:rPr>
                <w:color w:val="auto"/>
              </w:rPr>
            </w:pPr>
          </w:p>
          <w:p w14:paraId="5A6CDFDF">
            <w:pPr>
              <w:spacing w:line="242" w:lineRule="auto"/>
              <w:rPr>
                <w:color w:val="auto"/>
              </w:rPr>
            </w:pPr>
          </w:p>
          <w:p w14:paraId="5D3E3398">
            <w:pPr>
              <w:spacing w:line="242" w:lineRule="auto"/>
              <w:rPr>
                <w:color w:val="auto"/>
              </w:rPr>
            </w:pPr>
          </w:p>
          <w:p w14:paraId="403F3F41">
            <w:pPr>
              <w:spacing w:line="242" w:lineRule="auto"/>
              <w:rPr>
                <w:color w:val="auto"/>
              </w:rPr>
            </w:pPr>
          </w:p>
          <w:p w14:paraId="1F9419DA">
            <w:pPr>
              <w:spacing w:line="242" w:lineRule="auto"/>
              <w:rPr>
                <w:color w:val="auto"/>
              </w:rPr>
            </w:pPr>
          </w:p>
          <w:p w14:paraId="300A9372">
            <w:pPr>
              <w:spacing w:line="243" w:lineRule="auto"/>
              <w:rPr>
                <w:color w:val="auto"/>
              </w:rPr>
            </w:pPr>
          </w:p>
          <w:p w14:paraId="68560496">
            <w:pPr>
              <w:spacing w:line="243" w:lineRule="auto"/>
              <w:rPr>
                <w:color w:val="auto"/>
              </w:rPr>
            </w:pPr>
          </w:p>
          <w:p w14:paraId="3A7873F1">
            <w:pPr>
              <w:pStyle w:val="57"/>
              <w:spacing w:before="78" w:line="219" w:lineRule="auto"/>
              <w:ind w:left="1659"/>
              <w:rPr>
                <w:color w:val="auto"/>
              </w:rPr>
            </w:pPr>
            <w:r>
              <w:rPr>
                <w:color w:val="auto"/>
                <w:spacing w:val="-1"/>
              </w:rPr>
              <w:t>代理人身份证正面、背面粘贴处</w:t>
            </w:r>
          </w:p>
        </w:tc>
      </w:tr>
    </w:tbl>
    <w:p w14:paraId="1A479C14">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2"/>
        </w:rPr>
        <w:t>投标人（单位盖章</w:t>
      </w:r>
      <w:r>
        <w:rPr>
          <w:rFonts w:ascii="宋体" w:hAnsi="宋体" w:cs="宋体"/>
          <w:color w:val="auto"/>
          <w:spacing w:val="2"/>
        </w:rPr>
        <w:t>）：</w:t>
      </w:r>
      <w:r>
        <w:rPr>
          <w:rFonts w:ascii="宋体" w:hAnsi="宋体" w:cs="宋体"/>
          <w:color w:val="auto"/>
          <w:u w:val="single"/>
        </w:rPr>
        <w:tab/>
      </w:r>
    </w:p>
    <w:p w14:paraId="6681A819">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1"/>
        </w:rPr>
        <w:t>法定代表人（签字或盖章</w:t>
      </w:r>
      <w:r>
        <w:rPr>
          <w:rFonts w:ascii="宋体" w:hAnsi="宋体" w:cs="宋体"/>
          <w:color w:val="auto"/>
        </w:rPr>
        <w:t>）：</w:t>
      </w:r>
      <w:r>
        <w:rPr>
          <w:rFonts w:ascii="宋体" w:hAnsi="宋体" w:cs="宋体"/>
          <w:color w:val="auto"/>
          <w:u w:val="single"/>
        </w:rPr>
        <w:tab/>
      </w:r>
    </w:p>
    <w:p w14:paraId="4A959E43">
      <w:pPr>
        <w:tabs>
          <w:tab w:val="left" w:pos="8719"/>
        </w:tabs>
        <w:spacing w:before="116" w:line="351" w:lineRule="auto"/>
        <w:ind w:left="5280" w:hanging="1"/>
        <w:jc w:val="both"/>
        <w:rPr>
          <w:rFonts w:ascii="宋体" w:hAnsi="宋体" w:cs="宋体"/>
          <w:color w:val="auto"/>
        </w:rPr>
      </w:pPr>
      <w:r>
        <w:rPr>
          <w:rFonts w:ascii="宋体" w:hAnsi="宋体" w:cs="宋体"/>
          <w:color w:val="auto"/>
          <w:spacing w:val="-4"/>
        </w:rPr>
        <w:t>日期：年 月 日</w:t>
      </w:r>
    </w:p>
    <w:p w14:paraId="7C6D20EF">
      <w:pPr>
        <w:spacing w:before="78" w:line="218" w:lineRule="auto"/>
        <w:ind w:left="12"/>
        <w:rPr>
          <w:rFonts w:ascii="宋体" w:hAnsi="宋体" w:cs="宋体"/>
          <w:color w:val="auto"/>
        </w:rPr>
      </w:pPr>
      <w:r>
        <w:rPr>
          <w:rFonts w:ascii="宋体" w:hAnsi="宋体" w:cs="宋体"/>
          <w:color w:val="auto"/>
          <w:spacing w:val="-1"/>
        </w:rPr>
        <w:t>（注：此委托书格式供参考，各地可根据实际需求更改）</w:t>
      </w:r>
    </w:p>
    <w:p w14:paraId="1F459FA2">
      <w:pPr>
        <w:spacing w:before="100" w:beforeAutospacing="1" w:after="100" w:afterAutospacing="1" w:line="360" w:lineRule="auto"/>
        <w:ind w:firstLine="4652" w:firstLineChars="1550"/>
        <w:sectPr>
          <w:footerReference r:id="rId30" w:type="first"/>
          <w:footerReference r:id="rId29" w:type="default"/>
          <w:footnotePr>
            <w:numRestart w:val="eachPage"/>
          </w:footnotePr>
          <w:endnotePr>
            <w:numRestart w:val="eachSect"/>
          </w:endnotePr>
          <w:pgSz w:w="11907" w:h="16840"/>
          <w:pgMar w:top="1304" w:right="1247" w:bottom="1247" w:left="1304" w:header="851" w:footer="992" w:gutter="0"/>
          <w:pgNumType w:fmt="decimal"/>
          <w:cols w:space="720" w:num="1"/>
          <w:titlePg/>
          <w:docGrid w:type="lines" w:linePitch="435" w:charSpace="-6554"/>
        </w:sectPr>
      </w:pPr>
      <w:r>
        <w:rPr>
          <w:rFonts w:hint="eastAsia"/>
          <w:b/>
          <w:bCs/>
          <w:sz w:val="30"/>
          <w:szCs w:val="30"/>
        </w:rPr>
        <w:br w:type="page"/>
      </w:r>
      <w:bookmarkEnd w:id="117"/>
    </w:p>
    <w:p w14:paraId="27795557">
      <w:pPr>
        <w:pStyle w:val="3"/>
        <w:numPr>
          <w:ilvl w:val="0"/>
          <w:numId w:val="34"/>
        </w:numPr>
        <w:bidi w:val="0"/>
        <w:ind w:left="0" w:leftChars="0" w:firstLine="420" w:firstLineChars="0"/>
        <w:rPr>
          <w:rFonts w:hint="eastAsia"/>
          <w:color w:val="auto"/>
        </w:rPr>
      </w:pPr>
      <w:bookmarkStart w:id="118" w:name="_Toc27717"/>
      <w:r>
        <w:rPr>
          <w:rFonts w:hint="eastAsia"/>
          <w:color w:val="auto"/>
        </w:rPr>
        <w:t>投标人资格自查表</w:t>
      </w:r>
      <w:bookmarkEnd w:id="118"/>
    </w:p>
    <w:p w14:paraId="5E8D9A68">
      <w:pPr>
        <w:ind w:left="-29" w:leftChars="-95" w:hanging="199" w:hangingChars="66"/>
        <w:jc w:val="center"/>
        <w:rPr>
          <w:rFonts w:eastAsia="黑体"/>
          <w:b/>
          <w:color w:val="auto"/>
          <w:sz w:val="30"/>
          <w:szCs w:val="30"/>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8"/>
        <w:gridCol w:w="4611"/>
        <w:gridCol w:w="1401"/>
        <w:gridCol w:w="1142"/>
        <w:gridCol w:w="1140"/>
      </w:tblGrid>
      <w:tr w14:paraId="037F8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 w:hRule="atLeast"/>
          <w:jc w:val="center"/>
        </w:trPr>
        <w:tc>
          <w:tcPr>
            <w:tcW w:w="648" w:type="dxa"/>
            <w:vAlign w:val="center"/>
          </w:tcPr>
          <w:p w14:paraId="476831D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r>
              <w:rPr>
                <w:rFonts w:hint="eastAsia" w:ascii="宋体" w:hAnsi="宋体"/>
                <w:b/>
                <w:color w:val="auto"/>
              </w:rPr>
              <w:t>序号</w:t>
            </w:r>
          </w:p>
        </w:tc>
        <w:tc>
          <w:tcPr>
            <w:tcW w:w="4611" w:type="dxa"/>
            <w:vAlign w:val="center"/>
          </w:tcPr>
          <w:p w14:paraId="6A041BB0">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r>
              <w:rPr>
                <w:rFonts w:hint="eastAsia" w:ascii="宋体" w:hAnsi="宋体"/>
                <w:b/>
                <w:color w:val="auto"/>
              </w:rPr>
              <w:t>自查内容</w:t>
            </w:r>
          </w:p>
        </w:tc>
        <w:tc>
          <w:tcPr>
            <w:tcW w:w="1401" w:type="dxa"/>
            <w:vAlign w:val="center"/>
          </w:tcPr>
          <w:p w14:paraId="152D051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r>
              <w:rPr>
                <w:rFonts w:hint="eastAsia" w:ascii="宋体" w:hAnsi="宋体"/>
                <w:b/>
                <w:color w:val="auto"/>
              </w:rPr>
              <w:t>招标文件</w:t>
            </w:r>
          </w:p>
          <w:p w14:paraId="7DFE93C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r>
              <w:rPr>
                <w:rFonts w:hint="eastAsia" w:ascii="宋体" w:hAnsi="宋体"/>
                <w:b/>
                <w:color w:val="auto"/>
              </w:rPr>
              <w:t>条款号</w:t>
            </w:r>
          </w:p>
        </w:tc>
        <w:tc>
          <w:tcPr>
            <w:tcW w:w="1142" w:type="dxa"/>
            <w:vAlign w:val="center"/>
          </w:tcPr>
          <w:p w14:paraId="0DD3945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r>
              <w:rPr>
                <w:rFonts w:hint="eastAsia" w:ascii="宋体" w:hAnsi="宋体"/>
                <w:b/>
                <w:color w:val="auto"/>
              </w:rPr>
              <w:t>投标要求</w:t>
            </w:r>
          </w:p>
        </w:tc>
        <w:tc>
          <w:tcPr>
            <w:tcW w:w="1140" w:type="dxa"/>
            <w:vAlign w:val="center"/>
          </w:tcPr>
          <w:p w14:paraId="14662B0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r>
              <w:rPr>
                <w:rFonts w:hint="eastAsia" w:ascii="宋体" w:hAnsi="宋体"/>
                <w:b/>
                <w:color w:val="auto"/>
              </w:rPr>
              <w:t>自查情况</w:t>
            </w:r>
          </w:p>
        </w:tc>
      </w:tr>
      <w:tr w14:paraId="6C5258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8" w:type="dxa"/>
            <w:vAlign w:val="center"/>
          </w:tcPr>
          <w:p w14:paraId="346CEC4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1</w:t>
            </w:r>
          </w:p>
        </w:tc>
        <w:tc>
          <w:tcPr>
            <w:tcW w:w="4611" w:type="dxa"/>
            <w:vAlign w:val="center"/>
          </w:tcPr>
          <w:p w14:paraId="4D6F67C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投标人资质条件是否符合</w:t>
            </w:r>
          </w:p>
        </w:tc>
        <w:tc>
          <w:tcPr>
            <w:tcW w:w="1401" w:type="dxa"/>
            <w:vAlign w:val="center"/>
          </w:tcPr>
          <w:p w14:paraId="316F3F7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3.1</w:t>
            </w:r>
          </w:p>
        </w:tc>
        <w:tc>
          <w:tcPr>
            <w:tcW w:w="1142" w:type="dxa"/>
            <w:vAlign w:val="center"/>
          </w:tcPr>
          <w:p w14:paraId="10886DA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是</w:t>
            </w:r>
          </w:p>
        </w:tc>
        <w:tc>
          <w:tcPr>
            <w:tcW w:w="1140" w:type="dxa"/>
            <w:vAlign w:val="center"/>
          </w:tcPr>
          <w:p w14:paraId="01363BB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7A2ED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9" w:hRule="exact"/>
          <w:jc w:val="center"/>
        </w:trPr>
        <w:tc>
          <w:tcPr>
            <w:tcW w:w="648" w:type="dxa"/>
            <w:vAlign w:val="center"/>
          </w:tcPr>
          <w:p w14:paraId="6E2F3C6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2</w:t>
            </w:r>
          </w:p>
        </w:tc>
        <w:tc>
          <w:tcPr>
            <w:tcW w:w="4611" w:type="dxa"/>
            <w:vAlign w:val="center"/>
          </w:tcPr>
          <w:p w14:paraId="1BCA5ABA">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是否为招标人不具有独立法人资格的附属机构（单位）</w:t>
            </w:r>
          </w:p>
        </w:tc>
        <w:tc>
          <w:tcPr>
            <w:tcW w:w="1401" w:type="dxa"/>
            <w:vAlign w:val="center"/>
          </w:tcPr>
          <w:p w14:paraId="54006DE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3.4（1）</w:t>
            </w:r>
          </w:p>
        </w:tc>
        <w:tc>
          <w:tcPr>
            <w:tcW w:w="1142" w:type="dxa"/>
            <w:vAlign w:val="center"/>
          </w:tcPr>
          <w:p w14:paraId="1268C4F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5622B17B">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19352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exact"/>
          <w:jc w:val="center"/>
        </w:trPr>
        <w:tc>
          <w:tcPr>
            <w:tcW w:w="648" w:type="dxa"/>
            <w:vAlign w:val="center"/>
          </w:tcPr>
          <w:p w14:paraId="7F711CC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w:t>
            </w:r>
          </w:p>
        </w:tc>
        <w:tc>
          <w:tcPr>
            <w:tcW w:w="4611" w:type="dxa"/>
            <w:vAlign w:val="center"/>
          </w:tcPr>
          <w:p w14:paraId="0F1DE55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是否为本工程前期准备提供设计或咨询服务的，及施工总承包</w:t>
            </w:r>
          </w:p>
        </w:tc>
        <w:tc>
          <w:tcPr>
            <w:tcW w:w="1401" w:type="dxa"/>
            <w:vAlign w:val="center"/>
          </w:tcPr>
          <w:p w14:paraId="4ED0C5E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3.4（2）</w:t>
            </w:r>
          </w:p>
        </w:tc>
        <w:tc>
          <w:tcPr>
            <w:tcW w:w="1142" w:type="dxa"/>
            <w:vAlign w:val="center"/>
          </w:tcPr>
          <w:p w14:paraId="3324E372">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5BD5A0D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63F02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8" w:type="dxa"/>
            <w:vAlign w:val="center"/>
          </w:tcPr>
          <w:p w14:paraId="0E03B43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4</w:t>
            </w:r>
          </w:p>
        </w:tc>
        <w:tc>
          <w:tcPr>
            <w:tcW w:w="4611" w:type="dxa"/>
            <w:vAlign w:val="center"/>
          </w:tcPr>
          <w:p w14:paraId="741576A6">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是否为本工程的监理人</w:t>
            </w:r>
          </w:p>
        </w:tc>
        <w:tc>
          <w:tcPr>
            <w:tcW w:w="1401" w:type="dxa"/>
            <w:vAlign w:val="center"/>
          </w:tcPr>
          <w:p w14:paraId="4335439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3.4（3）</w:t>
            </w:r>
          </w:p>
        </w:tc>
        <w:tc>
          <w:tcPr>
            <w:tcW w:w="1142" w:type="dxa"/>
            <w:vAlign w:val="center"/>
          </w:tcPr>
          <w:p w14:paraId="4393993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1A273E9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1F16D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8" w:type="dxa"/>
            <w:vAlign w:val="center"/>
          </w:tcPr>
          <w:p w14:paraId="0401294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5</w:t>
            </w:r>
          </w:p>
        </w:tc>
        <w:tc>
          <w:tcPr>
            <w:tcW w:w="4611" w:type="dxa"/>
            <w:vAlign w:val="center"/>
          </w:tcPr>
          <w:p w14:paraId="3EE35EB8">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是否为本工程的代建人</w:t>
            </w:r>
          </w:p>
        </w:tc>
        <w:tc>
          <w:tcPr>
            <w:tcW w:w="1401" w:type="dxa"/>
            <w:vAlign w:val="center"/>
          </w:tcPr>
          <w:p w14:paraId="250FD91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3.4（4）</w:t>
            </w:r>
          </w:p>
        </w:tc>
        <w:tc>
          <w:tcPr>
            <w:tcW w:w="1142" w:type="dxa"/>
            <w:vAlign w:val="center"/>
          </w:tcPr>
          <w:p w14:paraId="68E085CE">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298E544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3B89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8" w:type="dxa"/>
            <w:vAlign w:val="center"/>
          </w:tcPr>
          <w:p w14:paraId="66DF019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6</w:t>
            </w:r>
          </w:p>
        </w:tc>
        <w:tc>
          <w:tcPr>
            <w:tcW w:w="4611" w:type="dxa"/>
            <w:vAlign w:val="center"/>
          </w:tcPr>
          <w:p w14:paraId="7E421BC2">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是否为本工程提供招标代理服务</w:t>
            </w:r>
          </w:p>
        </w:tc>
        <w:tc>
          <w:tcPr>
            <w:tcW w:w="1401" w:type="dxa"/>
            <w:vAlign w:val="center"/>
          </w:tcPr>
          <w:p w14:paraId="4C625E5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3.4（5）</w:t>
            </w:r>
          </w:p>
        </w:tc>
        <w:tc>
          <w:tcPr>
            <w:tcW w:w="1142" w:type="dxa"/>
            <w:vAlign w:val="center"/>
          </w:tcPr>
          <w:p w14:paraId="040A5C8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3327897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24A1F2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9" w:hRule="exact"/>
          <w:jc w:val="center"/>
        </w:trPr>
        <w:tc>
          <w:tcPr>
            <w:tcW w:w="648" w:type="dxa"/>
            <w:vAlign w:val="center"/>
          </w:tcPr>
          <w:p w14:paraId="14553C4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7</w:t>
            </w:r>
          </w:p>
        </w:tc>
        <w:tc>
          <w:tcPr>
            <w:tcW w:w="4611" w:type="dxa"/>
            <w:vAlign w:val="center"/>
          </w:tcPr>
          <w:p w14:paraId="551FB153">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是否与本工程的监理人或代建人或招标代理机构同为一个法定代表人</w:t>
            </w:r>
          </w:p>
        </w:tc>
        <w:tc>
          <w:tcPr>
            <w:tcW w:w="1401" w:type="dxa"/>
            <w:vAlign w:val="center"/>
          </w:tcPr>
          <w:p w14:paraId="6F69C65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3.4（6）</w:t>
            </w:r>
          </w:p>
        </w:tc>
        <w:tc>
          <w:tcPr>
            <w:tcW w:w="1142" w:type="dxa"/>
            <w:vAlign w:val="center"/>
          </w:tcPr>
          <w:p w14:paraId="6F5B2766">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6206464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2D90A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exact"/>
          <w:jc w:val="center"/>
        </w:trPr>
        <w:tc>
          <w:tcPr>
            <w:tcW w:w="648" w:type="dxa"/>
            <w:vAlign w:val="center"/>
          </w:tcPr>
          <w:p w14:paraId="6EFF2BD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8</w:t>
            </w:r>
          </w:p>
        </w:tc>
        <w:tc>
          <w:tcPr>
            <w:tcW w:w="4611" w:type="dxa"/>
            <w:vAlign w:val="center"/>
          </w:tcPr>
          <w:p w14:paraId="1FE20BC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是否与本工程的监理人或代建人或招标代理机构相互控股或参股</w:t>
            </w:r>
          </w:p>
        </w:tc>
        <w:tc>
          <w:tcPr>
            <w:tcW w:w="1401" w:type="dxa"/>
            <w:vAlign w:val="center"/>
          </w:tcPr>
          <w:p w14:paraId="2C5DB62D">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3.4（7）</w:t>
            </w:r>
          </w:p>
        </w:tc>
        <w:tc>
          <w:tcPr>
            <w:tcW w:w="1142" w:type="dxa"/>
            <w:vAlign w:val="center"/>
          </w:tcPr>
          <w:p w14:paraId="20DC32C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0663C2D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3B7BC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4" w:hRule="exact"/>
          <w:jc w:val="center"/>
        </w:trPr>
        <w:tc>
          <w:tcPr>
            <w:tcW w:w="648" w:type="dxa"/>
            <w:vAlign w:val="center"/>
          </w:tcPr>
          <w:p w14:paraId="1DD66D1A">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9</w:t>
            </w:r>
          </w:p>
        </w:tc>
        <w:tc>
          <w:tcPr>
            <w:tcW w:w="4611" w:type="dxa"/>
            <w:vAlign w:val="center"/>
          </w:tcPr>
          <w:p w14:paraId="7C130177">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是否与本工程的监理人或代建人或招标代理机构相互任职或工作</w:t>
            </w:r>
          </w:p>
        </w:tc>
        <w:tc>
          <w:tcPr>
            <w:tcW w:w="1401" w:type="dxa"/>
            <w:vAlign w:val="center"/>
          </w:tcPr>
          <w:p w14:paraId="6DE8DB4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3.4（8）</w:t>
            </w:r>
          </w:p>
        </w:tc>
        <w:tc>
          <w:tcPr>
            <w:tcW w:w="1142" w:type="dxa"/>
            <w:vAlign w:val="center"/>
          </w:tcPr>
          <w:p w14:paraId="623428E5">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64890171">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799FF9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8" w:type="dxa"/>
            <w:vAlign w:val="center"/>
          </w:tcPr>
          <w:p w14:paraId="7D936FE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10</w:t>
            </w:r>
          </w:p>
        </w:tc>
        <w:tc>
          <w:tcPr>
            <w:tcW w:w="4611" w:type="dxa"/>
            <w:vAlign w:val="center"/>
          </w:tcPr>
          <w:p w14:paraId="7023723E">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是否被责令停业</w:t>
            </w:r>
          </w:p>
        </w:tc>
        <w:tc>
          <w:tcPr>
            <w:tcW w:w="1401" w:type="dxa"/>
            <w:vAlign w:val="center"/>
          </w:tcPr>
          <w:p w14:paraId="49A280D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3.4（9）</w:t>
            </w:r>
          </w:p>
        </w:tc>
        <w:tc>
          <w:tcPr>
            <w:tcW w:w="1142" w:type="dxa"/>
            <w:vAlign w:val="center"/>
          </w:tcPr>
          <w:p w14:paraId="42245A0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0A5956D3">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168500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648" w:type="dxa"/>
            <w:vAlign w:val="center"/>
          </w:tcPr>
          <w:p w14:paraId="79B50FA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11</w:t>
            </w:r>
          </w:p>
        </w:tc>
        <w:tc>
          <w:tcPr>
            <w:tcW w:w="4611" w:type="dxa"/>
            <w:vAlign w:val="center"/>
          </w:tcPr>
          <w:p w14:paraId="4EB2DB6D">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是否被暂停或取消投标资格</w:t>
            </w:r>
          </w:p>
        </w:tc>
        <w:tc>
          <w:tcPr>
            <w:tcW w:w="1401" w:type="dxa"/>
            <w:vAlign w:val="center"/>
          </w:tcPr>
          <w:p w14:paraId="5E4DACF7">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3.4（10）</w:t>
            </w:r>
          </w:p>
        </w:tc>
        <w:tc>
          <w:tcPr>
            <w:tcW w:w="1142" w:type="dxa"/>
            <w:vAlign w:val="center"/>
          </w:tcPr>
          <w:p w14:paraId="554CC8C4">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6679369C">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r w14:paraId="43E54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8" w:hRule="exact"/>
          <w:jc w:val="center"/>
        </w:trPr>
        <w:tc>
          <w:tcPr>
            <w:tcW w:w="648" w:type="dxa"/>
            <w:vAlign w:val="center"/>
          </w:tcPr>
          <w:p w14:paraId="5F72AC98">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 xml:space="preserve">12              </w:t>
            </w:r>
          </w:p>
        </w:tc>
        <w:tc>
          <w:tcPr>
            <w:tcW w:w="4611" w:type="dxa"/>
            <w:vAlign w:val="center"/>
          </w:tcPr>
          <w:p w14:paraId="14B386C1">
            <w:pPr>
              <w:keepNext w:val="0"/>
              <w:keepLines w:val="0"/>
              <w:pageBreakBefore w:val="0"/>
              <w:widowControl/>
              <w:kinsoku w:val="0"/>
              <w:wordWrap/>
              <w:overflowPunct/>
              <w:topLinePunct w:val="0"/>
              <w:autoSpaceDE w:val="0"/>
              <w:autoSpaceDN w:val="0"/>
              <w:bidi w:val="0"/>
              <w:adjustRightInd w:val="0"/>
              <w:snapToGrid w:val="0"/>
              <w:spacing w:line="440" w:lineRule="exact"/>
              <w:textAlignment w:val="baseline"/>
              <w:rPr>
                <w:rFonts w:ascii="宋体" w:hAnsi="宋体"/>
                <w:color w:val="auto"/>
              </w:rPr>
            </w:pPr>
            <w:r>
              <w:rPr>
                <w:rFonts w:hint="eastAsia" w:ascii="宋体" w:hAnsi="宋体"/>
                <w:color w:val="auto"/>
              </w:rPr>
              <w:t>是否存在投标人（包括法定代表人）有行贿犯罪记录的（由投标文件提交截止之日上溯3年，行贿犯罪记录日期以法院判决生效日期为准）</w:t>
            </w:r>
          </w:p>
        </w:tc>
        <w:tc>
          <w:tcPr>
            <w:tcW w:w="1401" w:type="dxa"/>
            <w:vAlign w:val="center"/>
          </w:tcPr>
          <w:p w14:paraId="3E75D439">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3.4（11）</w:t>
            </w:r>
          </w:p>
        </w:tc>
        <w:tc>
          <w:tcPr>
            <w:tcW w:w="1142" w:type="dxa"/>
            <w:vAlign w:val="center"/>
          </w:tcPr>
          <w:p w14:paraId="32D335C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color w:val="auto"/>
              </w:rPr>
            </w:pPr>
            <w:r>
              <w:rPr>
                <w:rFonts w:hint="eastAsia" w:ascii="宋体" w:hAnsi="宋体"/>
                <w:color w:val="auto"/>
              </w:rPr>
              <w:t>否</w:t>
            </w:r>
          </w:p>
        </w:tc>
        <w:tc>
          <w:tcPr>
            <w:tcW w:w="1140" w:type="dxa"/>
            <w:vAlign w:val="center"/>
          </w:tcPr>
          <w:p w14:paraId="6B9E66DF">
            <w:pPr>
              <w:keepNext w:val="0"/>
              <w:keepLines w:val="0"/>
              <w:pageBreakBefore w:val="0"/>
              <w:widowControl/>
              <w:kinsoku w:val="0"/>
              <w:wordWrap/>
              <w:overflowPunct/>
              <w:topLinePunct w:val="0"/>
              <w:autoSpaceDE w:val="0"/>
              <w:autoSpaceDN w:val="0"/>
              <w:bidi w:val="0"/>
              <w:adjustRightInd w:val="0"/>
              <w:snapToGrid w:val="0"/>
              <w:spacing w:line="440" w:lineRule="exact"/>
              <w:jc w:val="center"/>
              <w:textAlignment w:val="baseline"/>
              <w:rPr>
                <w:rFonts w:ascii="宋体" w:hAnsi="宋体"/>
                <w:b/>
                <w:color w:val="auto"/>
              </w:rPr>
            </w:pPr>
          </w:p>
        </w:tc>
      </w:tr>
    </w:tbl>
    <w:p w14:paraId="6296800C">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2"/>
        </w:rPr>
        <w:t>投标人（单位盖章</w:t>
      </w:r>
      <w:r>
        <w:rPr>
          <w:rFonts w:ascii="宋体" w:hAnsi="宋体" w:cs="宋体"/>
          <w:color w:val="auto"/>
          <w:spacing w:val="2"/>
        </w:rPr>
        <w:t>）：</w:t>
      </w:r>
      <w:r>
        <w:rPr>
          <w:rFonts w:ascii="宋体" w:hAnsi="宋体" w:cs="宋体"/>
          <w:color w:val="auto"/>
          <w:u w:val="single"/>
        </w:rPr>
        <w:tab/>
      </w:r>
    </w:p>
    <w:p w14:paraId="0BB8043C">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1"/>
        </w:rPr>
        <w:t>法定代表人（签字或盖章</w:t>
      </w:r>
      <w:r>
        <w:rPr>
          <w:rFonts w:ascii="宋体" w:hAnsi="宋体" w:cs="宋体"/>
          <w:color w:val="auto"/>
        </w:rPr>
        <w:t>）：</w:t>
      </w:r>
      <w:r>
        <w:rPr>
          <w:rFonts w:ascii="宋体" w:hAnsi="宋体" w:cs="宋体"/>
          <w:color w:val="auto"/>
          <w:u w:val="single"/>
        </w:rPr>
        <w:tab/>
      </w:r>
    </w:p>
    <w:p w14:paraId="1D25D0A3">
      <w:pPr>
        <w:tabs>
          <w:tab w:val="left" w:pos="8719"/>
        </w:tabs>
        <w:spacing w:before="116" w:line="351" w:lineRule="auto"/>
        <w:ind w:left="5280" w:hanging="1"/>
        <w:jc w:val="both"/>
        <w:rPr>
          <w:rFonts w:ascii="宋体" w:hAnsi="宋体" w:cs="宋体"/>
          <w:color w:val="auto"/>
        </w:rPr>
      </w:pPr>
      <w:r>
        <w:rPr>
          <w:rFonts w:ascii="宋体" w:hAnsi="宋体" w:cs="宋体"/>
          <w:color w:val="auto"/>
          <w:spacing w:val="-4"/>
        </w:rPr>
        <w:t>日期：年 月 日</w:t>
      </w:r>
    </w:p>
    <w:p w14:paraId="2932D75D">
      <w:pPr>
        <w:spacing w:line="440" w:lineRule="exact"/>
        <w:ind w:right="560"/>
        <w:jc w:val="right"/>
        <w:rPr>
          <w:rFonts w:ascii="宋体" w:hAnsi="宋体"/>
          <w:color w:val="FF0000"/>
        </w:rPr>
      </w:pPr>
    </w:p>
    <w:p w14:paraId="540B1C70">
      <w:pPr>
        <w:pStyle w:val="3"/>
        <w:numPr>
          <w:ilvl w:val="0"/>
          <w:numId w:val="34"/>
        </w:numPr>
        <w:bidi w:val="0"/>
        <w:ind w:left="0" w:leftChars="0" w:firstLine="420" w:firstLineChars="0"/>
        <w:rPr>
          <w:rFonts w:hint="eastAsia"/>
        </w:rPr>
        <w:sectPr>
          <w:footerReference r:id="rId32" w:type="first"/>
          <w:footerReference r:id="rId31" w:type="default"/>
          <w:footnotePr>
            <w:numRestart w:val="eachPage"/>
          </w:footnotePr>
          <w:endnotePr>
            <w:numRestart w:val="eachSect"/>
          </w:endnotePr>
          <w:pgSz w:w="11907" w:h="16840"/>
          <w:pgMar w:top="1304" w:right="1247" w:bottom="1247" w:left="1304" w:header="851" w:footer="992" w:gutter="0"/>
          <w:pgNumType w:fmt="decimal"/>
          <w:cols w:space="720" w:num="1"/>
          <w:titlePg/>
          <w:docGrid w:linePitch="435" w:charSpace="-6554"/>
        </w:sectPr>
      </w:pPr>
      <w:bookmarkStart w:id="119" w:name="_Toc23798"/>
    </w:p>
    <w:p w14:paraId="68D28FC9">
      <w:pPr>
        <w:pStyle w:val="3"/>
        <w:numPr>
          <w:ilvl w:val="0"/>
          <w:numId w:val="34"/>
        </w:numPr>
        <w:bidi w:val="0"/>
        <w:ind w:left="0" w:leftChars="0" w:firstLine="420" w:firstLineChars="0"/>
        <w:rPr>
          <w:rFonts w:hint="eastAsia"/>
        </w:rPr>
      </w:pPr>
      <w:r>
        <w:rPr>
          <w:rFonts w:hint="eastAsia"/>
        </w:rPr>
        <w:t>台州市建设工程诚信投标承诺书</w:t>
      </w:r>
      <w:bookmarkEnd w:id="119"/>
    </w:p>
    <w:p w14:paraId="76FEAB30">
      <w:pPr>
        <w:tabs>
          <w:tab w:val="left" w:pos="136"/>
        </w:tabs>
        <w:spacing w:line="440" w:lineRule="exact"/>
        <w:rPr>
          <w:rFonts w:ascii="宋体" w:hAnsi="宋体" w:cs="宋体"/>
          <w:color w:val="auto"/>
        </w:rPr>
      </w:pPr>
      <w:r>
        <w:rPr>
          <w:rFonts w:ascii="宋体" w:hAnsi="宋体" w:cs="宋体"/>
          <w:color w:val="auto"/>
          <w:u w:val="single"/>
        </w:rPr>
        <w:tab/>
      </w:r>
      <w:r>
        <w:rPr>
          <w:rFonts w:ascii="宋体" w:hAnsi="宋体" w:cs="宋体"/>
          <w:color w:val="auto"/>
          <w:spacing w:val="-23"/>
          <w:u w:val="single"/>
        </w:rPr>
        <w:t>（招标人名称</w:t>
      </w:r>
      <w:r>
        <w:rPr>
          <w:rFonts w:ascii="宋体" w:hAnsi="宋体" w:cs="宋体"/>
          <w:color w:val="auto"/>
          <w:u w:val="single"/>
        </w:rPr>
        <w:t>）</w:t>
      </w:r>
      <w:r>
        <w:rPr>
          <w:rFonts w:ascii="宋体" w:hAnsi="宋体" w:cs="宋体"/>
          <w:color w:val="auto"/>
        </w:rPr>
        <w:t>：</w:t>
      </w:r>
    </w:p>
    <w:p w14:paraId="0FE5410D">
      <w:pPr>
        <w:spacing w:line="440" w:lineRule="exact"/>
        <w:ind w:firstLine="481"/>
        <w:jc w:val="both"/>
        <w:rPr>
          <w:rFonts w:ascii="宋体" w:hAnsi="宋体" w:cs="宋体"/>
          <w:color w:val="auto"/>
        </w:rPr>
      </w:pPr>
      <w:r>
        <w:rPr>
          <w:rFonts w:ascii="宋体" w:hAnsi="宋体" w:cs="宋体"/>
          <w:color w:val="auto"/>
          <w:spacing w:val="3"/>
        </w:rPr>
        <w:t>本公司已详细阅读</w:t>
      </w:r>
      <w:r>
        <w:rPr>
          <w:rFonts w:ascii="宋体" w:hAnsi="宋体" w:cs="宋体"/>
          <w:color w:val="auto"/>
          <w:spacing w:val="3"/>
          <w:u w:val="single"/>
        </w:rPr>
        <w:t xml:space="preserve">    （工程名称及招标编号）   </w:t>
      </w:r>
      <w:r>
        <w:rPr>
          <w:rFonts w:ascii="宋体" w:hAnsi="宋体" w:cs="宋体"/>
          <w:color w:val="auto"/>
          <w:spacing w:val="3"/>
        </w:rPr>
        <w:t>招标文件，自觉遵守中华</w:t>
      </w:r>
      <w:r>
        <w:rPr>
          <w:rFonts w:ascii="宋体" w:hAnsi="宋体" w:cs="宋体"/>
          <w:color w:val="auto"/>
          <w:spacing w:val="1"/>
        </w:rPr>
        <w:t>人民共和国、浙江省及当地有关招标投标的法律法</w:t>
      </w:r>
      <w:r>
        <w:rPr>
          <w:rFonts w:ascii="宋体" w:hAnsi="宋体" w:cs="宋体"/>
          <w:color w:val="auto"/>
        </w:rPr>
        <w:t>规规定，自觉维护建筑市场正常</w:t>
      </w:r>
      <w:r>
        <w:rPr>
          <w:rFonts w:ascii="宋体" w:hAnsi="宋体" w:cs="宋体"/>
          <w:color w:val="auto"/>
          <w:spacing w:val="-1"/>
        </w:rPr>
        <w:t>秩序，现自愿就参加该工程投标有关事项郑重承诺如下：</w:t>
      </w:r>
    </w:p>
    <w:p w14:paraId="5BAB31F9">
      <w:pPr>
        <w:spacing w:line="440" w:lineRule="exact"/>
        <w:ind w:firstLine="474"/>
        <w:rPr>
          <w:rFonts w:ascii="宋体" w:hAnsi="宋体" w:cs="宋体"/>
          <w:color w:val="auto"/>
        </w:rPr>
      </w:pPr>
      <w:r>
        <w:rPr>
          <w:rFonts w:ascii="宋体" w:hAnsi="宋体" w:cs="宋体"/>
          <w:color w:val="auto"/>
        </w:rPr>
        <w:t>1.承诺投标文件无虚假、伪造的内容。若投标文件中存在虚假、伪造的内容，</w:t>
      </w:r>
      <w:r>
        <w:rPr>
          <w:rFonts w:ascii="宋体" w:hAnsi="宋体" w:cs="宋体"/>
          <w:color w:val="auto"/>
          <w:spacing w:val="-4"/>
        </w:rPr>
        <w:t>同意作无效投标处理。</w:t>
      </w:r>
    </w:p>
    <w:p w14:paraId="1EC6071F">
      <w:pPr>
        <w:spacing w:line="440" w:lineRule="exact"/>
        <w:ind w:firstLine="481"/>
        <w:rPr>
          <w:rFonts w:ascii="宋体" w:hAnsi="宋体" w:cs="宋体"/>
          <w:color w:val="auto"/>
        </w:rPr>
      </w:pPr>
      <w:r>
        <w:rPr>
          <w:rFonts w:ascii="宋体" w:hAnsi="宋体" w:cs="宋体"/>
          <w:color w:val="auto"/>
          <w:spacing w:val="9"/>
        </w:rPr>
        <w:t>2.承诺我单位法定代表人、拟派项目负责人、授权代表等主要责任人诚信投</w:t>
      </w:r>
      <w:r>
        <w:rPr>
          <w:rFonts w:ascii="宋体" w:hAnsi="宋体" w:cs="宋体"/>
          <w:color w:val="auto"/>
          <w:spacing w:val="-6"/>
        </w:rPr>
        <w:t>标。</w:t>
      </w:r>
    </w:p>
    <w:p w14:paraId="0F03C53D">
      <w:pPr>
        <w:spacing w:line="440" w:lineRule="exact"/>
        <w:ind w:firstLine="519"/>
        <w:rPr>
          <w:rFonts w:ascii="宋体" w:hAnsi="宋体" w:cs="宋体"/>
          <w:color w:val="auto"/>
        </w:rPr>
      </w:pPr>
      <w:r>
        <w:rPr>
          <w:rFonts w:ascii="微软雅黑" w:hAnsi="微软雅黑" w:eastAsia="微软雅黑" w:cs="微软雅黑"/>
          <w:color w:val="auto"/>
        </w:rPr>
        <w:t>3.</w:t>
      </w:r>
      <w:r>
        <w:rPr>
          <w:rFonts w:ascii="宋体" w:hAnsi="宋体" w:cs="宋体"/>
          <w:color w:val="auto"/>
        </w:rPr>
        <w:t>承诺不存在以下串通投标行为</w:t>
      </w:r>
      <w:r>
        <w:rPr>
          <w:rFonts w:ascii="宋体" w:hAnsi="宋体" w:cs="宋体"/>
          <w:color w:val="auto"/>
          <w:spacing w:val="-10"/>
        </w:rPr>
        <w:t>：（</w:t>
      </w:r>
      <w:r>
        <w:rPr>
          <w:rFonts w:ascii="宋体" w:hAnsi="宋体" w:cs="宋体"/>
          <w:color w:val="auto"/>
        </w:rPr>
        <w:t>1）不同投标人的投标文件由同一单位或</w:t>
      </w:r>
      <w:r>
        <w:rPr>
          <w:rFonts w:ascii="宋体" w:hAnsi="宋体" w:cs="宋体"/>
          <w:color w:val="auto"/>
          <w:spacing w:val="-1"/>
        </w:rPr>
        <w:t>者个人编制（包括使用同一台电脑、同一套投标工具、同一套计价软件</w:t>
      </w:r>
      <w:r>
        <w:rPr>
          <w:rFonts w:ascii="宋体" w:hAnsi="宋体" w:cs="宋体"/>
          <w:color w:val="auto"/>
          <w:spacing w:val="9"/>
        </w:rPr>
        <w:t>）；</w:t>
      </w:r>
    </w:p>
    <w:p w14:paraId="16B95FE9">
      <w:pPr>
        <w:spacing w:line="440" w:lineRule="exact"/>
        <w:rPr>
          <w:rFonts w:ascii="宋体" w:hAnsi="宋体" w:cs="宋体"/>
          <w:color w:val="auto"/>
        </w:rPr>
      </w:pPr>
      <w:r>
        <w:rPr>
          <w:rFonts w:ascii="宋体" w:hAnsi="宋体" w:cs="宋体"/>
          <w:color w:val="auto"/>
          <w:spacing w:val="-1"/>
        </w:rPr>
        <w:t>（2）不同投标人委托同一单位或者个人办理投标事宜；</w:t>
      </w:r>
    </w:p>
    <w:p w14:paraId="42B80D20">
      <w:pPr>
        <w:spacing w:line="440" w:lineRule="exact"/>
        <w:rPr>
          <w:rFonts w:ascii="宋体" w:hAnsi="宋体" w:cs="宋体"/>
          <w:color w:val="auto"/>
        </w:rPr>
      </w:pPr>
      <w:r>
        <w:rPr>
          <w:rFonts w:ascii="宋体" w:hAnsi="宋体" w:cs="宋体"/>
          <w:color w:val="auto"/>
          <w:spacing w:val="-1"/>
        </w:rPr>
        <w:t>（3）不同投标人的投标文件载明的项目管理成员为同一人；</w:t>
      </w:r>
    </w:p>
    <w:p w14:paraId="4451D292">
      <w:pPr>
        <w:spacing w:line="440" w:lineRule="exact"/>
        <w:rPr>
          <w:rFonts w:ascii="宋体" w:hAnsi="宋体" w:cs="宋体"/>
          <w:color w:val="auto"/>
        </w:rPr>
      </w:pPr>
      <w:r>
        <w:rPr>
          <w:rFonts w:ascii="宋体" w:hAnsi="宋体" w:cs="宋体"/>
          <w:color w:val="auto"/>
          <w:spacing w:val="-1"/>
        </w:rPr>
        <w:t>（4）不同投标人的投标文件异常一致或者投标报价呈规律性差异；</w:t>
      </w:r>
    </w:p>
    <w:p w14:paraId="2D4F86B4">
      <w:pPr>
        <w:spacing w:line="440" w:lineRule="exact"/>
        <w:rPr>
          <w:rFonts w:ascii="宋体" w:hAnsi="宋体" w:cs="宋体"/>
          <w:color w:val="auto"/>
        </w:rPr>
      </w:pPr>
      <w:r>
        <w:rPr>
          <w:rFonts w:ascii="宋体" w:hAnsi="宋体" w:cs="宋体"/>
          <w:color w:val="auto"/>
          <w:spacing w:val="-2"/>
        </w:rPr>
        <w:t>（5）不同投标人的投标文件相互混装；</w:t>
      </w:r>
    </w:p>
    <w:p w14:paraId="6E48515E">
      <w:pPr>
        <w:spacing w:line="440" w:lineRule="exact"/>
        <w:rPr>
          <w:rFonts w:ascii="宋体" w:hAnsi="宋体" w:cs="宋体"/>
          <w:color w:val="auto"/>
        </w:rPr>
      </w:pPr>
      <w:r>
        <w:rPr>
          <w:rFonts w:ascii="宋体" w:hAnsi="宋体" w:cs="宋体"/>
          <w:color w:val="auto"/>
          <w:spacing w:val="-1"/>
        </w:rPr>
        <w:t>（6）不同投标人的投标保证金从同一单位或者个人的账户转出；</w:t>
      </w:r>
    </w:p>
    <w:p w14:paraId="37F22988">
      <w:pPr>
        <w:spacing w:line="440" w:lineRule="exact"/>
        <w:ind w:firstLine="481"/>
        <w:jc w:val="both"/>
        <w:rPr>
          <w:rFonts w:ascii="宋体" w:hAnsi="宋体" w:cs="宋体"/>
          <w:color w:val="auto"/>
        </w:rPr>
      </w:pPr>
      <w:r>
        <w:rPr>
          <w:rFonts w:ascii="宋体" w:hAnsi="宋体" w:cs="宋体"/>
          <w:color w:val="auto"/>
          <w:spacing w:val="2"/>
        </w:rPr>
        <w:t>若与其他投标人存在投标文件异常一致、内容多处雷同、电子检测码（或制作码、创建码）一致的情况，同意作无效投标处理，并接受有关行政监督部门的调查</w:t>
      </w:r>
      <w:r>
        <w:rPr>
          <w:rFonts w:ascii="宋体" w:hAnsi="宋体" w:cs="宋体"/>
          <w:color w:val="auto"/>
          <w:spacing w:val="-3"/>
        </w:rPr>
        <w:t>和处罚。</w:t>
      </w:r>
    </w:p>
    <w:p w14:paraId="467A5727">
      <w:pPr>
        <w:spacing w:line="440" w:lineRule="exact"/>
        <w:ind w:firstLine="478"/>
        <w:rPr>
          <w:rFonts w:ascii="宋体" w:hAnsi="宋体" w:cs="宋体"/>
          <w:color w:val="auto"/>
        </w:rPr>
      </w:pPr>
      <w:r>
        <w:rPr>
          <w:rFonts w:ascii="宋体" w:hAnsi="宋体" w:cs="宋体"/>
          <w:color w:val="auto"/>
          <w:spacing w:val="2"/>
        </w:rPr>
        <w:t>4.承诺无恶意报价行为，若被认定存在严重哄抬标价或影响合同履行的异常低</w:t>
      </w:r>
      <w:r>
        <w:rPr>
          <w:rFonts w:ascii="宋体" w:hAnsi="宋体" w:cs="宋体"/>
          <w:color w:val="auto"/>
        </w:rPr>
        <w:t>价竞标行为，同意作无效投标处理，并接受有关行</w:t>
      </w:r>
      <w:r>
        <w:rPr>
          <w:rFonts w:ascii="宋体" w:hAnsi="宋体" w:cs="宋体"/>
          <w:color w:val="auto"/>
          <w:spacing w:val="-1"/>
        </w:rPr>
        <w:t>政监督部门的调查和处罚。</w:t>
      </w:r>
    </w:p>
    <w:p w14:paraId="40256186">
      <w:pPr>
        <w:spacing w:line="440" w:lineRule="exact"/>
        <w:ind w:firstLine="480"/>
        <w:rPr>
          <w:rFonts w:ascii="宋体" w:hAnsi="宋体" w:cs="宋体"/>
          <w:color w:val="auto"/>
        </w:rPr>
      </w:pPr>
      <w:r>
        <w:rPr>
          <w:rFonts w:ascii="宋体" w:hAnsi="宋体" w:cs="宋体"/>
          <w:color w:val="auto"/>
          <w:spacing w:val="2"/>
        </w:rPr>
        <w:t>5.承诺按照投标文件派驻管理人员及投入机械设备，若存在不到位的情况，同</w:t>
      </w:r>
      <w:r>
        <w:rPr>
          <w:rFonts w:ascii="宋体" w:hAnsi="宋体" w:cs="宋体"/>
          <w:color w:val="auto"/>
          <w:spacing w:val="-5"/>
        </w:rPr>
        <w:t>意接受合同约定的处罚。若严重影响合同履约的，同意接受招标人解除合</w:t>
      </w:r>
      <w:r>
        <w:rPr>
          <w:rFonts w:ascii="宋体" w:hAnsi="宋体" w:cs="宋体"/>
          <w:color w:val="auto"/>
          <w:spacing w:val="-6"/>
        </w:rPr>
        <w:t>同的要求。</w:t>
      </w:r>
    </w:p>
    <w:p w14:paraId="518692F9">
      <w:pPr>
        <w:spacing w:line="440" w:lineRule="exact"/>
        <w:ind w:firstLine="478"/>
        <w:rPr>
          <w:rFonts w:ascii="宋体" w:hAnsi="宋体" w:cs="宋体"/>
          <w:color w:val="auto"/>
          <w:spacing w:val="-1"/>
        </w:rPr>
      </w:pPr>
      <w:r>
        <w:rPr>
          <w:rFonts w:ascii="宋体" w:hAnsi="宋体" w:cs="宋体"/>
          <w:color w:val="auto"/>
          <w:spacing w:val="2"/>
        </w:rPr>
        <w:t>9.承诺本招标文件要求的人员和我单位没有被人民法院列入限制失信被执行人</w:t>
      </w:r>
      <w:r>
        <w:rPr>
          <w:rFonts w:ascii="宋体" w:hAnsi="宋体" w:cs="宋体"/>
          <w:color w:val="auto"/>
          <w:spacing w:val="-1"/>
        </w:rPr>
        <w:t>名单和至投标截止时间三年内没有行贿犯罪记录。</w:t>
      </w:r>
    </w:p>
    <w:p w14:paraId="6F662F94">
      <w:pPr>
        <w:spacing w:line="440" w:lineRule="exact"/>
        <w:ind w:firstLine="478"/>
        <w:rPr>
          <w:rFonts w:ascii="宋体" w:hAnsi="宋体" w:cs="宋体"/>
          <w:color w:val="auto"/>
        </w:rPr>
      </w:pPr>
      <w:r>
        <w:rPr>
          <w:rFonts w:ascii="宋体" w:hAnsi="宋体" w:cs="宋体"/>
          <w:color w:val="auto"/>
          <w:spacing w:val="2"/>
        </w:rPr>
        <w:t>10.承诺未被有关行政主管部门列入严重</w:t>
      </w:r>
      <w:r>
        <w:rPr>
          <w:rFonts w:ascii="宋体" w:hAnsi="宋体" w:cs="宋体"/>
          <w:color w:val="auto"/>
          <w:spacing w:val="1"/>
        </w:rPr>
        <w:t>失信黑名单(严重违法失信企业名单、</w:t>
      </w:r>
      <w:r>
        <w:rPr>
          <w:rFonts w:ascii="宋体" w:hAnsi="宋体" w:cs="宋体"/>
          <w:color w:val="auto"/>
          <w:spacing w:val="-1"/>
        </w:rPr>
        <w:t>联合惩戒名单)或限制参加投标。</w:t>
      </w:r>
    </w:p>
    <w:p w14:paraId="0C52CC71">
      <w:pPr>
        <w:spacing w:line="440" w:lineRule="exact"/>
        <w:ind w:firstLine="491"/>
        <w:rPr>
          <w:rFonts w:ascii="宋体" w:hAnsi="宋体" w:cs="宋体"/>
          <w:color w:val="auto"/>
        </w:rPr>
      </w:pPr>
      <w:r>
        <w:rPr>
          <w:rFonts w:ascii="宋体" w:hAnsi="宋体" w:cs="宋体"/>
          <w:color w:val="auto"/>
          <w:spacing w:val="-1"/>
        </w:rPr>
        <w:t>1</w:t>
      </w:r>
      <w:r>
        <w:rPr>
          <w:rFonts w:hint="eastAsia" w:ascii="宋体" w:hAnsi="宋体" w:eastAsia="宋体" w:cs="宋体"/>
          <w:color w:val="auto"/>
          <w:spacing w:val="-1"/>
          <w:lang w:val="en-US" w:eastAsia="zh-CN"/>
        </w:rPr>
        <w:t>1</w:t>
      </w:r>
      <w:r>
        <w:rPr>
          <w:rFonts w:ascii="宋体" w:hAnsi="宋体" w:cs="宋体"/>
          <w:color w:val="auto"/>
          <w:spacing w:val="-1"/>
        </w:rPr>
        <w:t>.承诺本公司的投标资格已按照《投标人资格自查表》逐条自查，并如实填写。</w:t>
      </w:r>
    </w:p>
    <w:p w14:paraId="0C1CA9FE">
      <w:pPr>
        <w:spacing w:line="440" w:lineRule="exact"/>
        <w:ind w:firstLine="489"/>
        <w:rPr>
          <w:rFonts w:ascii="宋体" w:hAnsi="宋体" w:cs="宋体"/>
          <w:color w:val="auto"/>
        </w:rPr>
      </w:pPr>
      <w:r>
        <w:rPr>
          <w:rFonts w:ascii="宋体" w:hAnsi="宋体" w:cs="宋体"/>
          <w:color w:val="auto"/>
          <w:spacing w:val="-1"/>
        </w:rPr>
        <w:t>1</w:t>
      </w:r>
      <w:r>
        <w:rPr>
          <w:rFonts w:hint="eastAsia" w:ascii="宋体" w:hAnsi="宋体" w:eastAsia="宋体" w:cs="宋体"/>
          <w:color w:val="auto"/>
          <w:spacing w:val="-1"/>
          <w:lang w:val="en-US" w:eastAsia="zh-CN"/>
        </w:rPr>
        <w:t>2</w:t>
      </w:r>
      <w:r>
        <w:rPr>
          <w:rFonts w:ascii="宋体" w:hAnsi="宋体" w:cs="宋体"/>
          <w:color w:val="auto"/>
          <w:spacing w:val="-1"/>
        </w:rPr>
        <w:t>.承诺不存在他人以本公司名义投标或者不存在以其他方式弄虚作假的行</w:t>
      </w:r>
      <w:r>
        <w:rPr>
          <w:rFonts w:ascii="宋体" w:hAnsi="宋体" w:cs="宋体"/>
          <w:color w:val="auto"/>
          <w:spacing w:val="-9"/>
        </w:rPr>
        <w:t>为。</w:t>
      </w:r>
    </w:p>
    <w:p w14:paraId="01BFFEEC">
      <w:pPr>
        <w:keepNext w:val="0"/>
        <w:keepLines w:val="0"/>
        <w:pageBreakBefore w:val="0"/>
        <w:widowControl/>
        <w:kinsoku w:val="0"/>
        <w:wordWrap/>
        <w:overflowPunct/>
        <w:topLinePunct w:val="0"/>
        <w:autoSpaceDE w:val="0"/>
        <w:autoSpaceDN w:val="0"/>
        <w:bidi w:val="0"/>
        <w:adjustRightInd w:val="0"/>
        <w:snapToGrid w:val="0"/>
        <w:spacing w:line="440" w:lineRule="exact"/>
        <w:ind w:firstLine="476" w:firstLineChars="200"/>
        <w:textAlignment w:val="baseline"/>
        <w:rPr>
          <w:rFonts w:ascii="宋体" w:hAnsi="宋体" w:cs="宋体"/>
          <w:color w:val="auto"/>
        </w:rPr>
      </w:pPr>
      <w:r>
        <w:rPr>
          <w:rFonts w:ascii="宋体" w:hAnsi="宋体" w:cs="宋体"/>
          <w:color w:val="auto"/>
          <w:spacing w:val="-1"/>
        </w:rPr>
        <w:t>1</w:t>
      </w:r>
      <w:r>
        <w:rPr>
          <w:rFonts w:hint="eastAsia" w:ascii="宋体" w:hAnsi="宋体" w:eastAsia="宋体" w:cs="宋体"/>
          <w:color w:val="auto"/>
          <w:spacing w:val="-1"/>
          <w:lang w:val="en-US" w:eastAsia="zh-CN"/>
        </w:rPr>
        <w:t>3</w:t>
      </w:r>
      <w:r>
        <w:rPr>
          <w:rFonts w:ascii="宋体" w:hAnsi="宋体" w:cs="宋体"/>
          <w:color w:val="auto"/>
          <w:spacing w:val="-1"/>
        </w:rPr>
        <w:t>.承诺不存在向招标人或者评标委员会成员行贿以牟取中标的行为。</w:t>
      </w:r>
    </w:p>
    <w:p w14:paraId="700FDFF2">
      <w:pPr>
        <w:spacing w:line="440" w:lineRule="exact"/>
        <w:ind w:firstLine="497"/>
        <w:rPr>
          <w:rFonts w:ascii="宋体" w:hAnsi="宋体" w:cs="宋体"/>
          <w:color w:val="auto"/>
          <w:spacing w:val="1"/>
        </w:rPr>
      </w:pPr>
      <w:r>
        <w:rPr>
          <w:rFonts w:ascii="宋体" w:hAnsi="宋体" w:cs="宋体"/>
          <w:color w:val="auto"/>
          <w:spacing w:val="-1"/>
        </w:rPr>
        <w:t>1</w:t>
      </w:r>
      <w:r>
        <w:rPr>
          <w:rFonts w:hint="eastAsia" w:ascii="宋体" w:hAnsi="宋体" w:eastAsia="宋体" w:cs="宋体"/>
          <w:color w:val="auto"/>
          <w:spacing w:val="-1"/>
          <w:lang w:val="en-US" w:eastAsia="zh-CN"/>
        </w:rPr>
        <w:t>4</w:t>
      </w:r>
      <w:r>
        <w:rPr>
          <w:rFonts w:ascii="宋体" w:hAnsi="宋体" w:cs="宋体"/>
          <w:color w:val="auto"/>
          <w:spacing w:val="-1"/>
        </w:rPr>
        <w:t>.我单位直接负责本项目投标的主管人员为法定代表人</w:t>
      </w:r>
      <w:r>
        <w:rPr>
          <w:rFonts w:hint="eastAsia" w:ascii="宋体" w:hAnsi="宋体" w:cs="宋体"/>
          <w:color w:val="auto"/>
          <w:spacing w:val="-1"/>
          <w:u w:val="single"/>
        </w:rPr>
        <w:t xml:space="preserve">          </w:t>
      </w:r>
      <w:r>
        <w:rPr>
          <w:rFonts w:ascii="宋体" w:hAnsi="宋体" w:cs="宋体"/>
          <w:color w:val="auto"/>
          <w:spacing w:val="-1"/>
        </w:rPr>
        <w:t>（身</w:t>
      </w:r>
      <w:r>
        <w:rPr>
          <w:rFonts w:ascii="宋体" w:hAnsi="宋体" w:cs="宋体"/>
          <w:color w:val="auto"/>
          <w:spacing w:val="-5"/>
        </w:rPr>
        <w:t>份证号码</w:t>
      </w:r>
      <w:r>
        <w:rPr>
          <w:rFonts w:ascii="宋体" w:hAnsi="宋体" w:cs="宋体"/>
          <w:color w:val="auto"/>
          <w:spacing w:val="-3"/>
        </w:rPr>
        <w:t>：</w:t>
      </w:r>
      <w:r>
        <w:rPr>
          <w:rFonts w:hint="eastAsia" w:ascii="宋体" w:hAnsi="宋体" w:cs="宋体"/>
          <w:color w:val="auto"/>
          <w:spacing w:val="-3"/>
          <w:u w:val="single"/>
        </w:rPr>
        <w:t xml:space="preserve">   </w:t>
      </w:r>
      <w:r>
        <w:rPr>
          <w:rFonts w:ascii="宋体" w:hAnsi="宋体" w:cs="宋体"/>
          <w:color w:val="auto"/>
          <w:spacing w:val="-3"/>
        </w:rPr>
        <w:t>，</w:t>
      </w:r>
      <w:r>
        <w:rPr>
          <w:rFonts w:ascii="宋体" w:hAnsi="宋体" w:cs="宋体"/>
          <w:color w:val="auto"/>
          <w:spacing w:val="-5"/>
        </w:rPr>
        <w:t>联系手机号码</w:t>
      </w:r>
      <w:r>
        <w:rPr>
          <w:rFonts w:ascii="宋体" w:hAnsi="宋体" w:cs="宋体"/>
          <w:color w:val="auto"/>
          <w:spacing w:val="-3"/>
        </w:rPr>
        <w:t>：</w:t>
      </w:r>
      <w:r>
        <w:rPr>
          <w:rFonts w:ascii="宋体" w:hAnsi="宋体" w:cs="宋体"/>
          <w:i/>
          <w:iCs/>
          <w:color w:val="auto"/>
          <w:spacing w:val="-3"/>
          <w:sz w:val="25"/>
          <w:szCs w:val="25"/>
          <w:u w:val="single"/>
        </w:rPr>
        <w:t>（</w:t>
      </w:r>
      <w:r>
        <w:rPr>
          <w:rFonts w:ascii="宋体" w:hAnsi="宋体" w:cs="宋体"/>
          <w:i/>
          <w:iCs/>
          <w:color w:val="auto"/>
          <w:spacing w:val="-5"/>
          <w:sz w:val="25"/>
          <w:szCs w:val="25"/>
          <w:u w:val="single"/>
        </w:rPr>
        <w:t>必须为本人实名办理的手机号</w:t>
      </w:r>
      <w:r>
        <w:rPr>
          <w:rFonts w:ascii="宋体" w:hAnsi="宋体" w:cs="宋体"/>
          <w:i/>
          <w:iCs/>
          <w:color w:val="auto"/>
          <w:spacing w:val="1"/>
          <w:sz w:val="25"/>
          <w:szCs w:val="25"/>
          <w:u w:val="single"/>
        </w:rPr>
        <w:t>码</w:t>
      </w:r>
      <w:r>
        <w:rPr>
          <w:rFonts w:ascii="宋体" w:hAnsi="宋体" w:cs="宋体"/>
          <w:i/>
          <w:iCs/>
          <w:color w:val="auto"/>
          <w:spacing w:val="-5"/>
          <w:sz w:val="25"/>
          <w:szCs w:val="25"/>
          <w:u w:val="single"/>
        </w:rPr>
        <w:t>）</w:t>
      </w:r>
      <w:r>
        <w:rPr>
          <w:rFonts w:ascii="宋体" w:hAnsi="宋体" w:cs="宋体"/>
          <w:color w:val="auto"/>
          <w:spacing w:val="-5"/>
        </w:rPr>
        <w:t>）；</w:t>
      </w:r>
      <w:r>
        <w:rPr>
          <w:rFonts w:ascii="宋体" w:hAnsi="宋体" w:cs="宋体"/>
          <w:color w:val="auto"/>
          <w:spacing w:val="1"/>
        </w:rPr>
        <w:t>我单位与本项目投标相关的直接责任人员为本次投标委托授权代</w:t>
      </w:r>
      <w:r>
        <w:rPr>
          <w:rFonts w:ascii="宋体" w:hAnsi="宋体" w:cs="宋体"/>
          <w:color w:val="auto"/>
          <w:spacing w:val="1"/>
          <w:u w:val="single"/>
        </w:rPr>
        <w:t>表</w:t>
      </w:r>
      <w:r>
        <w:rPr>
          <w:rFonts w:hint="eastAsia" w:ascii="宋体" w:hAnsi="宋体" w:cs="宋体"/>
          <w:color w:val="auto"/>
          <w:spacing w:val="1"/>
          <w:u w:val="single"/>
        </w:rPr>
        <w:t xml:space="preserve">     </w:t>
      </w:r>
      <w:r>
        <w:rPr>
          <w:rFonts w:ascii="宋体" w:hAnsi="宋体" w:cs="宋体"/>
          <w:color w:val="auto"/>
          <w:spacing w:val="-3"/>
        </w:rPr>
        <w:t>（身份证号码：</w:t>
      </w:r>
      <w:r>
        <w:rPr>
          <w:rFonts w:hint="eastAsia" w:ascii="宋体" w:hAnsi="宋体" w:cs="宋体"/>
          <w:color w:val="auto"/>
          <w:spacing w:val="-3"/>
          <w:u w:val="single"/>
        </w:rPr>
        <w:t xml:space="preserve">     </w:t>
      </w:r>
      <w:r>
        <w:rPr>
          <w:rFonts w:ascii="宋体" w:hAnsi="宋体" w:cs="宋体"/>
          <w:color w:val="auto"/>
          <w:spacing w:val="-3"/>
        </w:rPr>
        <w:t>联系手机号码</w:t>
      </w:r>
      <w:r>
        <w:rPr>
          <w:rFonts w:ascii="宋体" w:hAnsi="宋体" w:cs="宋体"/>
          <w:color w:val="auto"/>
          <w:spacing w:val="7"/>
        </w:rPr>
        <w:t>：</w:t>
      </w:r>
      <w:r>
        <w:rPr>
          <w:rFonts w:ascii="宋体" w:hAnsi="宋体" w:cs="宋体"/>
          <w:i/>
          <w:iCs/>
          <w:color w:val="auto"/>
          <w:spacing w:val="7"/>
          <w:sz w:val="25"/>
          <w:szCs w:val="25"/>
          <w:u w:val="single"/>
        </w:rPr>
        <w:t>（</w:t>
      </w:r>
      <w:r>
        <w:rPr>
          <w:rFonts w:ascii="宋体" w:hAnsi="宋体" w:cs="宋体"/>
          <w:i/>
          <w:iCs/>
          <w:color w:val="auto"/>
          <w:spacing w:val="-3"/>
          <w:sz w:val="25"/>
          <w:szCs w:val="25"/>
          <w:u w:val="single"/>
        </w:rPr>
        <w:t>必须为本人实名办理的手机</w:t>
      </w:r>
      <w:r>
        <w:rPr>
          <w:rFonts w:ascii="宋体" w:hAnsi="宋体" w:cs="宋体"/>
          <w:i/>
          <w:iCs/>
          <w:color w:val="auto"/>
          <w:spacing w:val="1"/>
          <w:sz w:val="25"/>
          <w:szCs w:val="25"/>
          <w:u w:val="single"/>
        </w:rPr>
        <w:t>号码</w:t>
      </w:r>
      <w:r>
        <w:rPr>
          <w:rFonts w:ascii="宋体" w:hAnsi="宋体" w:cs="宋体"/>
          <w:i/>
          <w:iCs/>
          <w:color w:val="auto"/>
          <w:spacing w:val="-15"/>
          <w:sz w:val="25"/>
          <w:szCs w:val="25"/>
          <w:u w:val="single"/>
        </w:rPr>
        <w:t>）</w:t>
      </w:r>
      <w:r>
        <w:rPr>
          <w:rFonts w:ascii="宋体" w:hAnsi="宋体" w:cs="宋体"/>
          <w:color w:val="auto"/>
          <w:spacing w:val="-15"/>
        </w:rPr>
        <w:t>），</w:t>
      </w:r>
      <w:r>
        <w:rPr>
          <w:rFonts w:ascii="宋体" w:hAnsi="宋体" w:cs="宋体"/>
          <w:color w:val="auto"/>
          <w:spacing w:val="1"/>
        </w:rPr>
        <w:t>上述人员承诺承担相应的法律责任。</w:t>
      </w:r>
    </w:p>
    <w:p w14:paraId="11A3AF88">
      <w:pPr>
        <w:spacing w:line="440" w:lineRule="exact"/>
        <w:ind w:firstLine="497"/>
        <w:rPr>
          <w:rFonts w:ascii="宋体" w:hAnsi="宋体" w:cs="宋体"/>
          <w:color w:val="auto"/>
          <w:spacing w:val="-5"/>
        </w:rPr>
        <w:sectPr>
          <w:footerReference r:id="rId34" w:type="first"/>
          <w:footerReference r:id="rId33" w:type="default"/>
          <w:footnotePr>
            <w:numRestart w:val="eachPage"/>
          </w:footnotePr>
          <w:endnotePr>
            <w:numRestart w:val="eachSect"/>
          </w:endnotePr>
          <w:pgSz w:w="11907" w:h="16840"/>
          <w:pgMar w:top="1304" w:right="1247" w:bottom="1247" w:left="1304" w:header="851" w:footer="992" w:gutter="0"/>
          <w:pgNumType w:fmt="decimal"/>
          <w:cols w:space="720" w:num="1"/>
          <w:titlePg/>
          <w:docGrid w:linePitch="435" w:charSpace="-6554"/>
        </w:sectPr>
      </w:pPr>
    </w:p>
    <w:p w14:paraId="2DC679B9">
      <w:pPr>
        <w:spacing w:line="440" w:lineRule="exact"/>
        <w:ind w:firstLine="497"/>
        <w:rPr>
          <w:rFonts w:ascii="宋体" w:hAnsi="宋体" w:cs="宋体"/>
          <w:color w:val="auto"/>
        </w:rPr>
      </w:pPr>
      <w:r>
        <w:rPr>
          <w:rFonts w:ascii="宋体" w:hAnsi="宋体" w:cs="宋体"/>
          <w:color w:val="auto"/>
          <w:spacing w:val="-5"/>
        </w:rPr>
        <w:t>1</w:t>
      </w:r>
      <w:r>
        <w:rPr>
          <w:rFonts w:hint="eastAsia" w:ascii="宋体" w:hAnsi="宋体" w:eastAsia="宋体" w:cs="宋体"/>
          <w:color w:val="auto"/>
          <w:spacing w:val="-5"/>
          <w:lang w:val="en-US" w:eastAsia="zh-CN"/>
        </w:rPr>
        <w:t>5</w:t>
      </w:r>
      <w:r>
        <w:rPr>
          <w:rFonts w:ascii="宋体" w:hAnsi="宋体" w:cs="宋体"/>
          <w:color w:val="auto"/>
          <w:spacing w:val="-5"/>
        </w:rPr>
        <w:t>.其他</w:t>
      </w:r>
      <w:r>
        <w:rPr>
          <w:rFonts w:ascii="宋体" w:hAnsi="宋体" w:cs="宋体"/>
          <w:color w:val="auto"/>
          <w:spacing w:val="-1"/>
        </w:rPr>
        <w:t>：</w:t>
      </w:r>
      <w:r>
        <w:rPr>
          <w:rFonts w:hint="eastAsia" w:ascii="宋体" w:hAnsi="宋体" w:cs="宋体"/>
          <w:i/>
          <w:iCs/>
          <w:color w:val="auto"/>
          <w:spacing w:val="-1"/>
          <w:sz w:val="25"/>
          <w:szCs w:val="25"/>
          <w:u w:val="single"/>
        </w:rPr>
        <w:t xml:space="preserve">   /         </w:t>
      </w:r>
      <w:r>
        <w:rPr>
          <w:rFonts w:ascii="宋体" w:hAnsi="宋体" w:cs="宋体"/>
          <w:color w:val="auto"/>
          <w:spacing w:val="-5"/>
        </w:rPr>
        <w:t>。</w:t>
      </w:r>
    </w:p>
    <w:p w14:paraId="0F7D3BF0">
      <w:pPr>
        <w:spacing w:line="440" w:lineRule="exact"/>
        <w:ind w:firstLine="488"/>
        <w:rPr>
          <w:rFonts w:ascii="宋体" w:hAnsi="宋体" w:cs="宋体"/>
          <w:color w:val="auto"/>
        </w:rPr>
      </w:pPr>
      <w:r>
        <w:rPr>
          <w:rFonts w:ascii="宋体" w:hAnsi="宋体" w:cs="宋体"/>
          <w:color w:val="auto"/>
          <w:spacing w:val="-2"/>
        </w:rPr>
        <w:t>1</w:t>
      </w:r>
      <w:r>
        <w:rPr>
          <w:rFonts w:hint="eastAsia" w:ascii="宋体" w:hAnsi="宋体" w:eastAsia="宋体" w:cs="宋体"/>
          <w:color w:val="auto"/>
          <w:spacing w:val="-2"/>
          <w:lang w:val="en-US" w:eastAsia="zh-CN"/>
        </w:rPr>
        <w:t>6</w:t>
      </w:r>
      <w:r>
        <w:rPr>
          <w:rFonts w:ascii="宋体" w:hAnsi="宋体" w:cs="宋体"/>
          <w:color w:val="auto"/>
          <w:spacing w:val="-2"/>
        </w:rPr>
        <w:t>.以上承诺如有虚假，愿意接受投标保证金不予退还的处理。给招标人造成损</w:t>
      </w:r>
      <w:r>
        <w:rPr>
          <w:rFonts w:ascii="宋体" w:hAnsi="宋体" w:cs="宋体"/>
          <w:color w:val="auto"/>
          <w:spacing w:val="-5"/>
        </w:rPr>
        <w:t>失的，愿意依法承担赔偿责任。如已中标，同意招标人取消</w:t>
      </w:r>
      <w:r>
        <w:rPr>
          <w:rFonts w:ascii="宋体" w:hAnsi="宋体" w:cs="宋体"/>
          <w:color w:val="auto"/>
          <w:spacing w:val="-6"/>
        </w:rPr>
        <w:t>我单位中标资格的处理。</w:t>
      </w:r>
    </w:p>
    <w:p w14:paraId="2ACF4BE3">
      <w:pPr>
        <w:spacing w:line="440" w:lineRule="exact"/>
        <w:ind w:firstLine="457"/>
        <w:rPr>
          <w:rFonts w:ascii="宋体" w:hAnsi="宋体" w:cs="宋体"/>
          <w:color w:val="auto"/>
        </w:rPr>
      </w:pPr>
      <w:r>
        <w:rPr>
          <w:rFonts w:ascii="宋体" w:hAnsi="宋体" w:cs="宋体"/>
          <w:color w:val="auto"/>
          <w:spacing w:val="-1"/>
        </w:rPr>
        <w:t>本人</w:t>
      </w:r>
      <w:r>
        <w:rPr>
          <w:rFonts w:ascii="宋体" w:hAnsi="宋体" w:cs="宋体"/>
          <w:color w:val="auto"/>
          <w:spacing w:val="-1"/>
          <w:u w:val="single"/>
        </w:rPr>
        <w:t>拟</w:t>
      </w:r>
      <w:r>
        <w:rPr>
          <w:rFonts w:ascii="宋体" w:hAnsi="宋体" w:cs="宋体"/>
          <w:b/>
          <w:bCs/>
          <w:color w:val="auto"/>
          <w:spacing w:val="-1"/>
          <w:u w:val="single"/>
        </w:rPr>
        <w:t>派项目负责人（签字</w:t>
      </w:r>
      <w:r>
        <w:rPr>
          <w:rFonts w:ascii="宋体" w:hAnsi="宋体" w:cs="宋体"/>
          <w:b/>
          <w:bCs/>
          <w:color w:val="auto"/>
          <w:spacing w:val="2"/>
          <w:u w:val="single"/>
        </w:rPr>
        <w:t>）</w:t>
      </w:r>
      <w:r>
        <w:rPr>
          <w:rFonts w:hint="eastAsia" w:ascii="宋体" w:hAnsi="宋体" w:cs="宋体"/>
          <w:color w:val="auto"/>
          <w:spacing w:val="2"/>
          <w:u w:val="single"/>
        </w:rPr>
        <w:t xml:space="preserve">            </w:t>
      </w:r>
      <w:r>
        <w:rPr>
          <w:rFonts w:ascii="宋体" w:hAnsi="宋体" w:cs="宋体"/>
          <w:color w:val="auto"/>
          <w:spacing w:val="2"/>
          <w:u w:val="single"/>
        </w:rPr>
        <w:t>：</w:t>
      </w:r>
      <w:r>
        <w:rPr>
          <w:rFonts w:ascii="宋体" w:hAnsi="宋体" w:cs="宋体"/>
          <w:color w:val="auto"/>
          <w:spacing w:val="-1"/>
        </w:rPr>
        <w:t>对所在单位参与本次投标知情</w:t>
      </w:r>
      <w:r>
        <w:rPr>
          <w:rFonts w:ascii="宋体" w:hAnsi="宋体" w:cs="宋体"/>
          <w:color w:val="auto"/>
          <w:spacing w:val="-2"/>
        </w:rPr>
        <w:t>,投标中</w:t>
      </w:r>
      <w:r>
        <w:rPr>
          <w:rFonts w:ascii="宋体" w:hAnsi="宋体" w:cs="宋体"/>
          <w:color w:val="auto"/>
          <w:spacing w:val="-6"/>
        </w:rPr>
        <w:t>使用的本人相关业绩真实有效。</w:t>
      </w:r>
    </w:p>
    <w:p w14:paraId="76C64F82">
      <w:pPr>
        <w:pStyle w:val="10"/>
        <w:spacing w:line="440" w:lineRule="exact"/>
        <w:ind w:left="0"/>
        <w:rPr>
          <w:color w:val="auto"/>
        </w:rPr>
      </w:pPr>
    </w:p>
    <w:p w14:paraId="2E380332">
      <w:pPr>
        <w:spacing w:line="440" w:lineRule="exact"/>
        <w:ind w:firstLine="1"/>
        <w:rPr>
          <w:rFonts w:ascii="宋体" w:hAnsi="宋体" w:cs="宋体"/>
          <w:color w:val="auto"/>
          <w:spacing w:val="-31"/>
        </w:rPr>
      </w:pPr>
      <w:r>
        <w:rPr>
          <w:rFonts w:ascii="宋体" w:hAnsi="宋体" w:cs="宋体"/>
          <w:color w:val="auto"/>
          <w:spacing w:val="-1"/>
        </w:rPr>
        <w:t>法定代表人（签字或盖章</w:t>
      </w:r>
      <w:r>
        <w:rPr>
          <w:rFonts w:ascii="宋体" w:hAnsi="宋体" w:cs="宋体"/>
          <w:color w:val="auto"/>
          <w:spacing w:val="-31"/>
        </w:rPr>
        <w:t>）：</w:t>
      </w:r>
    </w:p>
    <w:p w14:paraId="4F6BCA1B">
      <w:pPr>
        <w:spacing w:line="440" w:lineRule="exact"/>
        <w:ind w:firstLine="1"/>
        <w:rPr>
          <w:rFonts w:ascii="宋体" w:hAnsi="宋体" w:cs="宋体"/>
          <w:color w:val="auto"/>
        </w:rPr>
      </w:pPr>
      <w:r>
        <w:rPr>
          <w:rFonts w:ascii="宋体" w:hAnsi="宋体" w:cs="宋体"/>
          <w:color w:val="auto"/>
          <w:spacing w:val="-2"/>
        </w:rPr>
        <w:t>投标人（单位盖章</w:t>
      </w:r>
      <w:r>
        <w:rPr>
          <w:rFonts w:ascii="宋体" w:hAnsi="宋体" w:cs="宋体"/>
          <w:color w:val="auto"/>
          <w:spacing w:val="3"/>
        </w:rPr>
        <w:t>）：</w:t>
      </w:r>
    </w:p>
    <w:p w14:paraId="001A2F3E">
      <w:pPr>
        <w:spacing w:line="440" w:lineRule="exact"/>
        <w:rPr>
          <w:rFonts w:ascii="MingLiU" w:hAnsi="MingLiU" w:eastAsia="MingLiU" w:cs="MingLiU"/>
          <w:color w:val="auto"/>
          <w:sz w:val="22"/>
          <w:szCs w:val="22"/>
        </w:rPr>
      </w:pPr>
      <w:r>
        <w:rPr>
          <w:rFonts w:ascii="MingLiU" w:hAnsi="MingLiU" w:eastAsia="MingLiU" w:cs="MingLiU"/>
          <w:color w:val="auto"/>
          <w:spacing w:val="-8"/>
          <w:sz w:val="22"/>
          <w:szCs w:val="22"/>
        </w:rPr>
        <w:t>年月日</w:t>
      </w:r>
    </w:p>
    <w:p w14:paraId="2B692B04">
      <w:pPr>
        <w:spacing w:line="360" w:lineRule="auto"/>
        <w:rPr>
          <w:rFonts w:ascii="宋体"/>
          <w:sz w:val="28"/>
        </w:rPr>
      </w:pPr>
    </w:p>
    <w:p w14:paraId="33D3BB47">
      <w:pPr>
        <w:rPr>
          <w:rFonts w:hint="eastAsia"/>
        </w:rPr>
        <w:sectPr>
          <w:footerReference r:id="rId36" w:type="first"/>
          <w:footerReference r:id="rId35" w:type="default"/>
          <w:footnotePr>
            <w:numRestart w:val="eachPage"/>
          </w:footnotePr>
          <w:endnotePr>
            <w:numRestart w:val="eachSect"/>
          </w:endnotePr>
          <w:pgSz w:w="11907" w:h="16840"/>
          <w:pgMar w:top="1304" w:right="1247" w:bottom="1247" w:left="1304" w:header="851" w:footer="992" w:gutter="0"/>
          <w:pgNumType w:fmt="decimal"/>
          <w:cols w:space="720" w:num="1"/>
          <w:titlePg/>
          <w:docGrid w:linePitch="435" w:charSpace="-6554"/>
        </w:sectPr>
      </w:pPr>
    </w:p>
    <w:p w14:paraId="3A56D84B">
      <w:pPr>
        <w:pStyle w:val="3"/>
        <w:numPr>
          <w:ilvl w:val="0"/>
          <w:numId w:val="34"/>
        </w:numPr>
        <w:bidi w:val="0"/>
        <w:ind w:left="0" w:leftChars="0" w:firstLine="420" w:firstLineChars="0"/>
        <w:rPr>
          <w:rFonts w:hint="eastAsia"/>
        </w:rPr>
      </w:pPr>
      <w:bookmarkStart w:id="120" w:name="_Toc4246"/>
      <w:bookmarkStart w:id="121" w:name="_Toc228163259"/>
      <w:r>
        <w:rPr>
          <w:rFonts w:hint="eastAsia"/>
        </w:rPr>
        <w:t>技术标评分索引表</w:t>
      </w:r>
      <w:bookmarkEnd w:id="120"/>
    </w:p>
    <w:tbl>
      <w:tblPr>
        <w:tblStyle w:val="28"/>
        <w:tblW w:w="10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559"/>
        <w:gridCol w:w="6885"/>
        <w:gridCol w:w="1620"/>
        <w:gridCol w:w="7"/>
      </w:tblGrid>
      <w:tr w14:paraId="2AD39C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blHeader/>
          <w:jc w:val="center"/>
        </w:trPr>
        <w:tc>
          <w:tcPr>
            <w:tcW w:w="729" w:type="dxa"/>
            <w:noWrap w:val="0"/>
            <w:vAlign w:val="center"/>
          </w:tcPr>
          <w:p w14:paraId="2B7C0151">
            <w:pPr>
              <w:pStyle w:val="50"/>
              <w:spacing w:line="460" w:lineRule="exact"/>
              <w:jc w:val="center"/>
              <w:rPr>
                <w:color w:val="auto"/>
                <w:highlight w:val="none"/>
              </w:rPr>
            </w:pPr>
            <w:r>
              <w:rPr>
                <w:rFonts w:hint="eastAsia"/>
                <w:color w:val="auto"/>
                <w:highlight w:val="none"/>
              </w:rPr>
              <w:t>序号</w:t>
            </w:r>
          </w:p>
        </w:tc>
        <w:tc>
          <w:tcPr>
            <w:tcW w:w="1559" w:type="dxa"/>
            <w:noWrap w:val="0"/>
            <w:vAlign w:val="center"/>
          </w:tcPr>
          <w:p w14:paraId="61EFF2F7">
            <w:pPr>
              <w:pStyle w:val="50"/>
              <w:spacing w:line="460" w:lineRule="exact"/>
              <w:jc w:val="center"/>
              <w:rPr>
                <w:color w:val="auto"/>
                <w:highlight w:val="none"/>
              </w:rPr>
            </w:pPr>
            <w:r>
              <w:rPr>
                <w:rFonts w:hint="eastAsia"/>
                <w:color w:val="auto"/>
                <w:highlight w:val="none"/>
              </w:rPr>
              <w:t>评审内容</w:t>
            </w:r>
          </w:p>
        </w:tc>
        <w:tc>
          <w:tcPr>
            <w:tcW w:w="6885" w:type="dxa"/>
            <w:noWrap w:val="0"/>
            <w:vAlign w:val="center"/>
          </w:tcPr>
          <w:p w14:paraId="0F299658">
            <w:pPr>
              <w:pStyle w:val="50"/>
              <w:spacing w:line="460" w:lineRule="exact"/>
              <w:jc w:val="center"/>
              <w:rPr>
                <w:color w:val="auto"/>
                <w:highlight w:val="none"/>
              </w:rPr>
            </w:pPr>
            <w:r>
              <w:rPr>
                <w:rFonts w:hint="eastAsia"/>
                <w:color w:val="auto"/>
                <w:highlight w:val="none"/>
              </w:rPr>
              <w:t>评分标准</w:t>
            </w:r>
          </w:p>
        </w:tc>
        <w:tc>
          <w:tcPr>
            <w:tcW w:w="1627" w:type="dxa"/>
            <w:gridSpan w:val="2"/>
            <w:noWrap w:val="0"/>
            <w:vAlign w:val="center"/>
          </w:tcPr>
          <w:p w14:paraId="18651EEC">
            <w:pPr>
              <w:pStyle w:val="50"/>
              <w:spacing w:line="460" w:lineRule="exact"/>
              <w:jc w:val="center"/>
              <w:rPr>
                <w:rFonts w:hint="eastAsia" w:eastAsia="宋体"/>
                <w:color w:val="auto"/>
                <w:highlight w:val="none"/>
                <w:lang w:eastAsia="zh-CN"/>
              </w:rPr>
            </w:pPr>
            <w:r>
              <w:rPr>
                <w:rFonts w:hint="eastAsia"/>
                <w:color w:val="auto"/>
                <w:highlight w:val="none"/>
                <w:lang w:eastAsia="zh-CN"/>
              </w:rPr>
              <w:t>页码索引</w:t>
            </w:r>
          </w:p>
        </w:tc>
      </w:tr>
      <w:tr w14:paraId="6CD8BE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jc w:val="center"/>
        </w:trPr>
        <w:tc>
          <w:tcPr>
            <w:tcW w:w="729" w:type="dxa"/>
            <w:noWrap w:val="0"/>
            <w:vAlign w:val="center"/>
          </w:tcPr>
          <w:p w14:paraId="0B4BAF1E">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559" w:type="dxa"/>
            <w:noWrap w:val="0"/>
            <w:vAlign w:val="center"/>
          </w:tcPr>
          <w:p w14:paraId="2652E22E">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企业信誉度</w:t>
            </w:r>
          </w:p>
        </w:tc>
        <w:tc>
          <w:tcPr>
            <w:tcW w:w="6885" w:type="dxa"/>
            <w:noWrap w:val="0"/>
            <w:vAlign w:val="center"/>
          </w:tcPr>
          <w:p w14:paraId="3B8AF669">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1、银行资信等级：具有20</w:t>
            </w:r>
            <w:r>
              <w:rPr>
                <w:rFonts w:hint="eastAsia" w:hAnsi="宋体" w:cs="宋体"/>
                <w:color w:val="auto"/>
                <w:sz w:val="21"/>
                <w:szCs w:val="21"/>
                <w:highlight w:val="none"/>
                <w:lang w:val="en-US" w:eastAsia="zh-CN"/>
              </w:rPr>
              <w:t>20</w:t>
            </w:r>
            <w:r>
              <w:rPr>
                <w:rFonts w:hint="eastAsia" w:ascii="宋体" w:hAnsi="宋体" w:eastAsia="宋体" w:cs="宋体"/>
                <w:color w:val="auto"/>
                <w:sz w:val="21"/>
                <w:szCs w:val="21"/>
                <w:highlight w:val="none"/>
              </w:rPr>
              <w:t>年度或202</w:t>
            </w:r>
            <w:r>
              <w:rPr>
                <w:rFonts w:hint="eastAsia" w:hAnsi="宋体" w:cs="宋体"/>
                <w:color w:val="auto"/>
                <w:sz w:val="21"/>
                <w:szCs w:val="21"/>
                <w:highlight w:val="none"/>
                <w:lang w:val="en-US" w:eastAsia="zh-CN"/>
              </w:rPr>
              <w:t>1</w:t>
            </w:r>
            <w:r>
              <w:rPr>
                <w:rFonts w:hint="eastAsia" w:ascii="宋体" w:hAnsi="宋体" w:eastAsia="宋体" w:cs="宋体"/>
                <w:color w:val="auto"/>
                <w:sz w:val="21"/>
                <w:szCs w:val="21"/>
                <w:highlight w:val="none"/>
              </w:rPr>
              <w:t>年度或202</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年度或202</w:t>
            </w: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rPr>
              <w:t>年度或202</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年度AAA信用等级的得1分；AA信用等级的得0.5分；其他不得分。</w:t>
            </w:r>
          </w:p>
          <w:p w14:paraId="2C02F5C9">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注：提供相关证书材料。</w:t>
            </w:r>
          </w:p>
        </w:tc>
        <w:tc>
          <w:tcPr>
            <w:tcW w:w="1627" w:type="dxa"/>
            <w:gridSpan w:val="2"/>
            <w:noWrap w:val="0"/>
            <w:vAlign w:val="center"/>
          </w:tcPr>
          <w:p w14:paraId="06B7DAC1">
            <w:pPr>
              <w:pStyle w:val="50"/>
              <w:spacing w:line="460" w:lineRule="exact"/>
              <w:jc w:val="center"/>
              <w:rPr>
                <w:rFonts w:ascii="宋体" w:hAnsi="宋体" w:eastAsia="宋体" w:cs="宋体"/>
                <w:color w:val="auto"/>
                <w:sz w:val="21"/>
                <w:szCs w:val="21"/>
                <w:highlight w:val="none"/>
              </w:rPr>
            </w:pPr>
          </w:p>
        </w:tc>
      </w:tr>
      <w:tr w14:paraId="1CFE78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9" w:type="dxa"/>
            <w:noWrap w:val="0"/>
            <w:vAlign w:val="center"/>
          </w:tcPr>
          <w:p w14:paraId="20A86E7A">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559" w:type="dxa"/>
            <w:noWrap w:val="0"/>
            <w:vAlign w:val="center"/>
          </w:tcPr>
          <w:p w14:paraId="2F8767B6">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企业资信</w:t>
            </w:r>
          </w:p>
        </w:tc>
        <w:tc>
          <w:tcPr>
            <w:tcW w:w="6885" w:type="dxa"/>
            <w:noWrap w:val="0"/>
            <w:vAlign w:val="center"/>
          </w:tcPr>
          <w:p w14:paraId="3BB4A2B2">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5、获得省级及以上相关行政部门颁发的“高新技术企业证书”或“国家企业技术中心”，并在有效期内的得1分，不具备不得分。</w:t>
            </w:r>
          </w:p>
          <w:p w14:paraId="730BC721">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6、获得国家认可（CNAS）实验室证书证书或中国塑料加工工业协会颁发的中国塑料管道工程技术研究开发中心的，并在有效期内的得1分，不具备不得分。</w:t>
            </w:r>
          </w:p>
          <w:p w14:paraId="72F9CFC7">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注：提供相关证书材料。（原件备查）</w:t>
            </w:r>
          </w:p>
        </w:tc>
        <w:tc>
          <w:tcPr>
            <w:tcW w:w="1627" w:type="dxa"/>
            <w:gridSpan w:val="2"/>
            <w:noWrap w:val="0"/>
            <w:vAlign w:val="center"/>
          </w:tcPr>
          <w:p w14:paraId="79916BFB">
            <w:pPr>
              <w:pStyle w:val="50"/>
              <w:spacing w:line="460" w:lineRule="exact"/>
              <w:jc w:val="center"/>
              <w:rPr>
                <w:rFonts w:hint="eastAsia" w:ascii="宋体" w:hAnsi="宋体" w:eastAsia="宋体" w:cs="宋体"/>
                <w:color w:val="auto"/>
                <w:sz w:val="21"/>
                <w:szCs w:val="21"/>
                <w:highlight w:val="none"/>
                <w:lang w:eastAsia="zh-CN"/>
              </w:rPr>
            </w:pPr>
          </w:p>
        </w:tc>
      </w:tr>
      <w:tr w14:paraId="097AE7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90" w:hRule="atLeast"/>
          <w:jc w:val="center"/>
        </w:trPr>
        <w:tc>
          <w:tcPr>
            <w:tcW w:w="729" w:type="dxa"/>
            <w:noWrap w:val="0"/>
            <w:vAlign w:val="center"/>
          </w:tcPr>
          <w:p w14:paraId="0F0E3EBC">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3</w:t>
            </w:r>
          </w:p>
        </w:tc>
        <w:tc>
          <w:tcPr>
            <w:tcW w:w="1559" w:type="dxa"/>
            <w:noWrap w:val="0"/>
            <w:vAlign w:val="center"/>
          </w:tcPr>
          <w:p w14:paraId="33605F3A">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企业业绩</w:t>
            </w:r>
          </w:p>
        </w:tc>
        <w:tc>
          <w:tcPr>
            <w:tcW w:w="6885" w:type="dxa"/>
            <w:noWrap w:val="0"/>
            <w:vAlign w:val="center"/>
          </w:tcPr>
          <w:p w14:paraId="28067CD2">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投标人于2021年1月1日至今完成承插式聚乙烯实壁排水管单个合同金额在人民币</w:t>
            </w:r>
            <w:r>
              <w:rPr>
                <w:rFonts w:hint="eastAsia" w:ascii="宋体" w:hAnsi="宋体" w:eastAsia="宋体" w:cs="宋体"/>
                <w:sz w:val="21"/>
                <w:szCs w:val="21"/>
                <w:highlight w:val="none"/>
              </w:rPr>
              <w:t>500万元</w:t>
            </w:r>
            <w:r>
              <w:rPr>
                <w:rFonts w:hint="eastAsia" w:ascii="宋体" w:hAnsi="宋体" w:eastAsia="宋体" w:cs="宋体"/>
                <w:color w:val="auto"/>
                <w:sz w:val="21"/>
                <w:szCs w:val="21"/>
                <w:highlight w:val="none"/>
              </w:rPr>
              <w:t>（含）以上的每个得1分，最高得</w:t>
            </w:r>
            <w:r>
              <w:rPr>
                <w:rFonts w:hint="eastAsia" w:hAnsi="宋体" w:cs="宋体"/>
                <w:color w:val="auto"/>
                <w:sz w:val="21"/>
                <w:szCs w:val="21"/>
                <w:highlight w:val="none"/>
                <w:lang w:val="en-US" w:eastAsia="zh-CN"/>
              </w:rPr>
              <w:t>2</w:t>
            </w:r>
            <w:r>
              <w:rPr>
                <w:rFonts w:hint="eastAsia" w:ascii="宋体" w:hAnsi="宋体" w:eastAsia="宋体" w:cs="宋体"/>
                <w:color w:val="auto"/>
                <w:sz w:val="21"/>
                <w:szCs w:val="21"/>
                <w:highlight w:val="none"/>
              </w:rPr>
              <w:t>分，不具备不得分。</w:t>
            </w:r>
          </w:p>
          <w:p w14:paraId="5FA8D9A6">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注：提供中标通知书级合同。（原件备查）</w:t>
            </w:r>
          </w:p>
        </w:tc>
        <w:tc>
          <w:tcPr>
            <w:tcW w:w="1620" w:type="dxa"/>
            <w:noWrap w:val="0"/>
            <w:vAlign w:val="center"/>
          </w:tcPr>
          <w:p w14:paraId="67B8C666">
            <w:pPr>
              <w:pStyle w:val="50"/>
              <w:spacing w:line="460" w:lineRule="exact"/>
              <w:jc w:val="center"/>
              <w:rPr>
                <w:rFonts w:ascii="宋体" w:hAnsi="宋体" w:eastAsia="宋体" w:cs="宋体"/>
                <w:color w:val="auto"/>
                <w:sz w:val="21"/>
                <w:szCs w:val="21"/>
                <w:highlight w:val="none"/>
              </w:rPr>
            </w:pPr>
          </w:p>
        </w:tc>
      </w:tr>
      <w:tr w14:paraId="76FC0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restart"/>
            <w:noWrap w:val="0"/>
            <w:vAlign w:val="center"/>
          </w:tcPr>
          <w:p w14:paraId="4EA99F83">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4</w:t>
            </w:r>
          </w:p>
        </w:tc>
        <w:tc>
          <w:tcPr>
            <w:tcW w:w="1559" w:type="dxa"/>
            <w:vMerge w:val="restart"/>
            <w:noWrap w:val="0"/>
            <w:vAlign w:val="center"/>
          </w:tcPr>
          <w:p w14:paraId="17E929CB">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供货及质量保证措施</w:t>
            </w:r>
          </w:p>
        </w:tc>
        <w:tc>
          <w:tcPr>
            <w:tcW w:w="6885" w:type="dxa"/>
            <w:noWrap w:val="0"/>
            <w:vAlign w:val="center"/>
          </w:tcPr>
          <w:p w14:paraId="18F11FDD">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供货时间响应程度：接到招标人供货通知书3天内完成供货的得1分，5天内完成供货的得0.8分，7天内完成供货的得0.5分。</w:t>
            </w:r>
          </w:p>
        </w:tc>
        <w:tc>
          <w:tcPr>
            <w:tcW w:w="1620" w:type="dxa"/>
            <w:vMerge w:val="restart"/>
            <w:noWrap w:val="0"/>
            <w:vAlign w:val="center"/>
          </w:tcPr>
          <w:p w14:paraId="31683D9E">
            <w:pPr>
              <w:pStyle w:val="50"/>
              <w:spacing w:line="460" w:lineRule="exact"/>
              <w:jc w:val="center"/>
              <w:rPr>
                <w:rFonts w:ascii="宋体" w:hAnsi="宋体" w:eastAsia="宋体" w:cs="宋体"/>
                <w:color w:val="auto"/>
                <w:sz w:val="21"/>
                <w:szCs w:val="21"/>
                <w:highlight w:val="none"/>
              </w:rPr>
            </w:pPr>
          </w:p>
        </w:tc>
      </w:tr>
      <w:tr w14:paraId="40A754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18C099FC">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2084B0AE">
            <w:pPr>
              <w:pStyle w:val="50"/>
              <w:spacing w:line="460" w:lineRule="exact"/>
              <w:jc w:val="center"/>
              <w:rPr>
                <w:rFonts w:ascii="宋体" w:hAnsi="宋体" w:eastAsia="宋体" w:cs="宋体"/>
                <w:color w:val="auto"/>
                <w:sz w:val="21"/>
                <w:szCs w:val="21"/>
                <w:highlight w:val="none"/>
              </w:rPr>
            </w:pPr>
          </w:p>
        </w:tc>
        <w:tc>
          <w:tcPr>
            <w:tcW w:w="6885" w:type="dxa"/>
            <w:noWrap w:val="0"/>
            <w:vAlign w:val="center"/>
          </w:tcPr>
          <w:p w14:paraId="0B6FB631">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由评标委员会根据投标人对配合工程施工、满足招标人供货要求、质量保证、技术保障的措施及承诺内容等进行酌情打分，一档</w:t>
            </w:r>
            <w:r>
              <w:rPr>
                <w:rFonts w:hint="eastAsia" w:hAnsi="宋体" w:cs="宋体"/>
                <w:color w:val="auto"/>
                <w:sz w:val="21"/>
                <w:szCs w:val="21"/>
                <w:highlight w:val="none"/>
                <w:lang w:val="en-US" w:eastAsia="zh-CN"/>
              </w:rPr>
              <w:t>4-6</w:t>
            </w:r>
            <w:r>
              <w:rPr>
                <w:rFonts w:hint="eastAsia" w:ascii="宋体" w:hAnsi="宋体" w:eastAsia="宋体" w:cs="宋体"/>
                <w:color w:val="auto"/>
                <w:sz w:val="21"/>
                <w:szCs w:val="21"/>
                <w:highlight w:val="none"/>
              </w:rPr>
              <w:t>分，二档</w:t>
            </w:r>
            <w:r>
              <w:rPr>
                <w:rFonts w:hint="eastAsia" w:hAnsi="宋体" w:cs="宋体"/>
                <w:color w:val="auto"/>
                <w:sz w:val="21"/>
                <w:szCs w:val="21"/>
                <w:highlight w:val="none"/>
                <w:lang w:val="en-US" w:eastAsia="zh-CN"/>
              </w:rPr>
              <w:t>2-3.9</w:t>
            </w:r>
            <w:r>
              <w:rPr>
                <w:rFonts w:hint="eastAsia" w:ascii="宋体" w:hAnsi="宋体" w:eastAsia="宋体" w:cs="宋体"/>
                <w:color w:val="auto"/>
                <w:sz w:val="21"/>
                <w:szCs w:val="21"/>
                <w:highlight w:val="none"/>
              </w:rPr>
              <w:t>分，三档0-</w:t>
            </w:r>
            <w:r>
              <w:rPr>
                <w:rFonts w:hint="eastAsia" w:hAnsi="宋体" w:cs="宋体"/>
                <w:color w:val="auto"/>
                <w:sz w:val="21"/>
                <w:szCs w:val="21"/>
                <w:highlight w:val="none"/>
                <w:lang w:val="en-US" w:eastAsia="zh-CN"/>
              </w:rPr>
              <w:t>1.9</w:t>
            </w:r>
            <w:r>
              <w:rPr>
                <w:rFonts w:hint="eastAsia" w:ascii="宋体" w:hAnsi="宋体" w:eastAsia="宋体" w:cs="宋体"/>
                <w:color w:val="auto"/>
                <w:sz w:val="21"/>
                <w:szCs w:val="21"/>
                <w:highlight w:val="none"/>
              </w:rPr>
              <w:t>分；</w:t>
            </w:r>
          </w:p>
        </w:tc>
        <w:tc>
          <w:tcPr>
            <w:tcW w:w="1620" w:type="dxa"/>
            <w:vMerge w:val="continue"/>
            <w:noWrap w:val="0"/>
            <w:vAlign w:val="center"/>
          </w:tcPr>
          <w:p w14:paraId="434E933E">
            <w:pPr>
              <w:pStyle w:val="50"/>
              <w:spacing w:line="460" w:lineRule="exact"/>
              <w:jc w:val="center"/>
              <w:rPr>
                <w:rFonts w:ascii="宋体" w:hAnsi="宋体" w:eastAsia="宋体" w:cs="宋体"/>
                <w:color w:val="auto"/>
                <w:sz w:val="21"/>
                <w:szCs w:val="21"/>
                <w:highlight w:val="none"/>
              </w:rPr>
            </w:pPr>
          </w:p>
        </w:tc>
      </w:tr>
      <w:tr w14:paraId="18F5B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5EE7968F">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42B34849">
            <w:pPr>
              <w:pStyle w:val="50"/>
              <w:spacing w:line="460" w:lineRule="exact"/>
              <w:jc w:val="center"/>
              <w:rPr>
                <w:rFonts w:ascii="宋体" w:hAnsi="宋体" w:eastAsia="宋体" w:cs="宋体"/>
                <w:color w:val="auto"/>
                <w:sz w:val="21"/>
                <w:szCs w:val="21"/>
                <w:highlight w:val="none"/>
              </w:rPr>
            </w:pPr>
          </w:p>
        </w:tc>
        <w:tc>
          <w:tcPr>
            <w:tcW w:w="6885" w:type="dxa"/>
            <w:noWrap w:val="0"/>
            <w:vAlign w:val="center"/>
          </w:tcPr>
          <w:p w14:paraId="60F2C3E4">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根据投标人提供的现场供货点的设置及技术指导人员配置等相关情况进行酌情打分，0-2分。</w:t>
            </w:r>
          </w:p>
        </w:tc>
        <w:tc>
          <w:tcPr>
            <w:tcW w:w="1620" w:type="dxa"/>
            <w:vMerge w:val="continue"/>
            <w:noWrap w:val="0"/>
            <w:vAlign w:val="center"/>
          </w:tcPr>
          <w:p w14:paraId="5927C448">
            <w:pPr>
              <w:pStyle w:val="50"/>
              <w:spacing w:line="460" w:lineRule="exact"/>
              <w:jc w:val="center"/>
              <w:rPr>
                <w:rFonts w:ascii="宋体" w:hAnsi="宋体" w:eastAsia="宋体" w:cs="宋体"/>
                <w:color w:val="auto"/>
                <w:sz w:val="21"/>
                <w:szCs w:val="21"/>
                <w:highlight w:val="none"/>
              </w:rPr>
            </w:pPr>
          </w:p>
        </w:tc>
      </w:tr>
      <w:tr w14:paraId="5F81E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noWrap w:val="0"/>
            <w:vAlign w:val="center"/>
          </w:tcPr>
          <w:p w14:paraId="3077FC12">
            <w:pPr>
              <w:pStyle w:val="50"/>
              <w:spacing w:line="460" w:lineRule="exact"/>
              <w:jc w:val="center"/>
              <w:rPr>
                <w:rFonts w:ascii="宋体" w:hAnsi="宋体" w:eastAsia="宋体"/>
                <w:color w:val="auto"/>
                <w:highlight w:val="none"/>
              </w:rPr>
            </w:pPr>
            <w:r>
              <w:rPr>
                <w:rFonts w:hint="eastAsia" w:ascii="宋体" w:hAnsi="宋体" w:eastAsia="宋体"/>
                <w:color w:val="auto"/>
                <w:highlight w:val="none"/>
              </w:rPr>
              <w:t>5</w:t>
            </w:r>
          </w:p>
        </w:tc>
        <w:tc>
          <w:tcPr>
            <w:tcW w:w="1559" w:type="dxa"/>
            <w:noWrap w:val="0"/>
            <w:vAlign w:val="center"/>
          </w:tcPr>
          <w:p w14:paraId="5F58F246">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售后服务措施及承诺内容</w:t>
            </w:r>
          </w:p>
        </w:tc>
        <w:tc>
          <w:tcPr>
            <w:tcW w:w="6885" w:type="dxa"/>
            <w:noWrap w:val="0"/>
            <w:vAlign w:val="center"/>
          </w:tcPr>
          <w:p w14:paraId="5F2C25A2">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供应商设置的售后服务机构、售后服务体系完善性、售后服务体系的真实性；服务响应时间、服务人员配套等，一档3.0-6.0分，二档1.5-2.9分，三档0-1.4分。</w:t>
            </w:r>
          </w:p>
        </w:tc>
        <w:tc>
          <w:tcPr>
            <w:tcW w:w="1620" w:type="dxa"/>
            <w:noWrap w:val="0"/>
            <w:vAlign w:val="center"/>
          </w:tcPr>
          <w:p w14:paraId="7B1ACB48">
            <w:pPr>
              <w:pStyle w:val="50"/>
              <w:spacing w:line="460" w:lineRule="exact"/>
              <w:jc w:val="center"/>
              <w:rPr>
                <w:rFonts w:ascii="宋体" w:hAnsi="宋体" w:eastAsia="宋体" w:cs="宋体"/>
                <w:color w:val="auto"/>
                <w:sz w:val="21"/>
                <w:szCs w:val="21"/>
                <w:highlight w:val="none"/>
              </w:rPr>
            </w:pPr>
          </w:p>
        </w:tc>
      </w:tr>
      <w:tr w14:paraId="44B99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restart"/>
            <w:noWrap w:val="0"/>
            <w:vAlign w:val="center"/>
          </w:tcPr>
          <w:p w14:paraId="2B8A4707">
            <w:pPr>
              <w:pStyle w:val="50"/>
              <w:spacing w:line="460" w:lineRule="exact"/>
              <w:jc w:val="center"/>
              <w:rPr>
                <w:rFonts w:hint="eastAsia" w:ascii="宋体" w:hAnsi="宋体" w:eastAsia="宋体"/>
                <w:color w:val="auto"/>
                <w:highlight w:val="none"/>
                <w:lang w:val="en-US" w:eastAsia="zh-CN"/>
              </w:rPr>
            </w:pPr>
            <w:r>
              <w:rPr>
                <w:rFonts w:hint="eastAsia" w:hAnsi="宋体"/>
                <w:color w:val="auto"/>
                <w:highlight w:val="none"/>
                <w:lang w:val="en-US" w:eastAsia="zh-CN"/>
              </w:rPr>
              <w:t>6</w:t>
            </w:r>
          </w:p>
        </w:tc>
        <w:tc>
          <w:tcPr>
            <w:tcW w:w="1559" w:type="dxa"/>
            <w:vMerge w:val="restart"/>
            <w:noWrap w:val="0"/>
            <w:vAlign w:val="center"/>
          </w:tcPr>
          <w:p w14:paraId="61B511B7">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产品质量保险及专利等</w:t>
            </w:r>
          </w:p>
        </w:tc>
        <w:tc>
          <w:tcPr>
            <w:tcW w:w="6885" w:type="dxa"/>
            <w:noWrap w:val="0"/>
            <w:vAlign w:val="center"/>
          </w:tcPr>
          <w:p w14:paraId="32D30A1C">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具有产品质量保险或产品责任保险，且在有效期内的得1分（以产品质量保险单或产品责任保险单为准），不具备不得分。 </w:t>
            </w:r>
          </w:p>
          <w:p w14:paraId="53374FF0">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注：提供保险单。</w:t>
            </w:r>
          </w:p>
        </w:tc>
        <w:tc>
          <w:tcPr>
            <w:tcW w:w="1620" w:type="dxa"/>
            <w:vMerge w:val="restart"/>
            <w:noWrap w:val="0"/>
            <w:vAlign w:val="center"/>
          </w:tcPr>
          <w:p w14:paraId="2539249F">
            <w:pPr>
              <w:pStyle w:val="50"/>
              <w:spacing w:line="460" w:lineRule="exact"/>
              <w:jc w:val="center"/>
              <w:rPr>
                <w:rFonts w:ascii="宋体" w:hAnsi="宋体" w:eastAsia="宋体" w:cs="宋体"/>
                <w:color w:val="auto"/>
                <w:sz w:val="21"/>
                <w:szCs w:val="21"/>
                <w:highlight w:val="none"/>
              </w:rPr>
            </w:pPr>
          </w:p>
        </w:tc>
      </w:tr>
      <w:tr w14:paraId="4F8284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11FAA01D">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7D47DBE2">
            <w:pPr>
              <w:pStyle w:val="50"/>
              <w:spacing w:line="460" w:lineRule="exact"/>
              <w:jc w:val="center"/>
              <w:rPr>
                <w:rFonts w:ascii="宋体" w:hAnsi="宋体" w:eastAsia="宋体" w:cs="宋体"/>
                <w:color w:val="auto"/>
                <w:sz w:val="21"/>
                <w:szCs w:val="21"/>
                <w:highlight w:val="none"/>
              </w:rPr>
            </w:pPr>
          </w:p>
        </w:tc>
        <w:tc>
          <w:tcPr>
            <w:tcW w:w="6885" w:type="dxa"/>
            <w:noWrap w:val="0"/>
            <w:vAlign w:val="center"/>
          </w:tcPr>
          <w:p w14:paraId="4DC7D949">
            <w:pPr>
              <w:pStyle w:val="50"/>
              <w:spacing w:line="460" w:lineRule="exact"/>
              <w:rPr>
                <w:rFonts w:hint="eastAsia" w:hAnsi="宋体" w:cs="宋体"/>
                <w:b w:val="0"/>
                <w:bCs w:val="0"/>
                <w:color w:val="auto"/>
                <w:sz w:val="21"/>
                <w:szCs w:val="21"/>
                <w:highlight w:val="none"/>
                <w:lang w:val="en-US" w:eastAsia="zh-CN"/>
              </w:rPr>
            </w:pPr>
            <w:r>
              <w:rPr>
                <w:rFonts w:hint="eastAsia" w:hAnsi="宋体" w:cs="宋体"/>
                <w:b w:val="0"/>
                <w:bCs w:val="0"/>
                <w:color w:val="auto"/>
                <w:sz w:val="21"/>
                <w:szCs w:val="21"/>
                <w:highlight w:val="none"/>
                <w:lang w:eastAsia="zh-CN"/>
              </w:rPr>
              <w:t>投标人具有安全生产生产标准化企业证书，一级得</w:t>
            </w:r>
            <w:r>
              <w:rPr>
                <w:rFonts w:hint="eastAsia" w:hAnsi="宋体" w:cs="宋体"/>
                <w:b w:val="0"/>
                <w:bCs w:val="0"/>
                <w:color w:val="auto"/>
                <w:sz w:val="21"/>
                <w:szCs w:val="21"/>
                <w:highlight w:val="none"/>
                <w:lang w:val="en-US" w:eastAsia="zh-CN"/>
              </w:rPr>
              <w:t>3</w:t>
            </w:r>
            <w:r>
              <w:rPr>
                <w:rFonts w:hint="eastAsia" w:hAnsi="宋体" w:cs="宋体"/>
                <w:b w:val="0"/>
                <w:bCs w:val="0"/>
                <w:color w:val="auto"/>
                <w:sz w:val="21"/>
                <w:szCs w:val="21"/>
                <w:highlight w:val="none"/>
                <w:lang w:eastAsia="zh-CN"/>
              </w:rPr>
              <w:t>分，二级</w:t>
            </w:r>
            <w:r>
              <w:rPr>
                <w:rFonts w:hint="eastAsia" w:hAnsi="宋体" w:cs="宋体"/>
                <w:b w:val="0"/>
                <w:bCs w:val="0"/>
                <w:color w:val="auto"/>
                <w:sz w:val="21"/>
                <w:szCs w:val="21"/>
                <w:highlight w:val="none"/>
                <w:lang w:val="en-US" w:eastAsia="zh-CN"/>
              </w:rPr>
              <w:t>2分，三级1分。</w:t>
            </w:r>
          </w:p>
          <w:p w14:paraId="0DEF444E">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注：提供相关证书材料。</w:t>
            </w:r>
          </w:p>
        </w:tc>
        <w:tc>
          <w:tcPr>
            <w:tcW w:w="1620" w:type="dxa"/>
            <w:vMerge w:val="continue"/>
            <w:tcBorders/>
            <w:noWrap w:val="0"/>
            <w:vAlign w:val="center"/>
          </w:tcPr>
          <w:p w14:paraId="47BE9659">
            <w:pPr>
              <w:pStyle w:val="50"/>
              <w:spacing w:line="460" w:lineRule="exact"/>
              <w:jc w:val="center"/>
              <w:rPr>
                <w:rFonts w:ascii="宋体" w:hAnsi="宋体" w:eastAsia="宋体" w:cs="宋体"/>
                <w:color w:val="auto"/>
                <w:sz w:val="21"/>
                <w:szCs w:val="21"/>
                <w:highlight w:val="none"/>
              </w:rPr>
            </w:pPr>
          </w:p>
        </w:tc>
      </w:tr>
      <w:tr w14:paraId="01BA19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985" w:hRule="atLeast"/>
          <w:jc w:val="center"/>
        </w:trPr>
        <w:tc>
          <w:tcPr>
            <w:tcW w:w="729" w:type="dxa"/>
            <w:vMerge w:val="continue"/>
            <w:noWrap w:val="0"/>
            <w:vAlign w:val="center"/>
          </w:tcPr>
          <w:p w14:paraId="11C90F15">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596D9146">
            <w:pPr>
              <w:pStyle w:val="50"/>
              <w:spacing w:line="460" w:lineRule="exact"/>
              <w:jc w:val="center"/>
              <w:rPr>
                <w:rFonts w:ascii="宋体" w:hAnsi="宋体" w:eastAsia="宋体" w:cs="宋体"/>
                <w:color w:val="auto"/>
                <w:sz w:val="21"/>
                <w:szCs w:val="21"/>
                <w:highlight w:val="none"/>
              </w:rPr>
            </w:pPr>
          </w:p>
        </w:tc>
        <w:tc>
          <w:tcPr>
            <w:tcW w:w="6885" w:type="dxa"/>
            <w:noWrap w:val="0"/>
            <w:vAlign w:val="center"/>
          </w:tcPr>
          <w:p w14:paraId="2AFEF05E">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承插式聚乙烯实壁排水管</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具有省级及以上建设科技成果推广项目证书或住房和城乡建设部科技与产业化发展中心颁发的全国建设行业科技成果推广项目证书，且在有效期内的得1分，不具备不得分。</w:t>
            </w:r>
          </w:p>
          <w:p w14:paraId="6DBEA9E7">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注：提供相关证书材料。</w:t>
            </w:r>
          </w:p>
        </w:tc>
        <w:tc>
          <w:tcPr>
            <w:tcW w:w="1620" w:type="dxa"/>
            <w:vMerge w:val="continue"/>
            <w:tcBorders/>
            <w:noWrap w:val="0"/>
            <w:vAlign w:val="center"/>
          </w:tcPr>
          <w:p w14:paraId="53B06221">
            <w:pPr>
              <w:pStyle w:val="50"/>
              <w:spacing w:line="460" w:lineRule="exact"/>
              <w:jc w:val="center"/>
              <w:rPr>
                <w:rFonts w:ascii="宋体" w:hAnsi="宋体" w:eastAsia="宋体" w:cs="宋体"/>
                <w:color w:val="auto"/>
                <w:sz w:val="21"/>
                <w:szCs w:val="21"/>
                <w:highlight w:val="none"/>
              </w:rPr>
            </w:pPr>
          </w:p>
        </w:tc>
      </w:tr>
      <w:tr w14:paraId="059A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37258456">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6135E098">
            <w:pPr>
              <w:pStyle w:val="50"/>
              <w:spacing w:line="460" w:lineRule="exact"/>
              <w:jc w:val="center"/>
              <w:rPr>
                <w:rFonts w:ascii="宋体" w:hAnsi="宋体" w:eastAsia="宋体" w:cs="宋体"/>
                <w:color w:val="auto"/>
                <w:sz w:val="21"/>
                <w:szCs w:val="21"/>
                <w:highlight w:val="none"/>
              </w:rPr>
            </w:pPr>
          </w:p>
        </w:tc>
        <w:tc>
          <w:tcPr>
            <w:tcW w:w="6885" w:type="dxa"/>
            <w:noWrap w:val="0"/>
            <w:vAlign w:val="center"/>
          </w:tcPr>
          <w:p w14:paraId="29948B4F">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承插式聚乙烯实壁排水管</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具有发明专利证书或具有新型实用专利证书的1分，不具备不得分。 </w:t>
            </w:r>
          </w:p>
          <w:p w14:paraId="769F0516">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注：提供相关证书材料。</w:t>
            </w:r>
          </w:p>
        </w:tc>
        <w:tc>
          <w:tcPr>
            <w:tcW w:w="1620" w:type="dxa"/>
            <w:vMerge w:val="continue"/>
            <w:tcBorders/>
            <w:noWrap w:val="0"/>
            <w:vAlign w:val="center"/>
          </w:tcPr>
          <w:p w14:paraId="5F4EB517">
            <w:pPr>
              <w:pStyle w:val="50"/>
              <w:spacing w:line="460" w:lineRule="exact"/>
              <w:jc w:val="center"/>
              <w:rPr>
                <w:rFonts w:ascii="宋体" w:hAnsi="宋体" w:eastAsia="宋体" w:cs="宋体"/>
                <w:color w:val="auto"/>
                <w:sz w:val="21"/>
                <w:szCs w:val="21"/>
                <w:highlight w:val="none"/>
              </w:rPr>
            </w:pPr>
          </w:p>
        </w:tc>
      </w:tr>
      <w:tr w14:paraId="4DC86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715" w:hRule="atLeast"/>
          <w:jc w:val="center"/>
        </w:trPr>
        <w:tc>
          <w:tcPr>
            <w:tcW w:w="729" w:type="dxa"/>
            <w:vMerge w:val="restart"/>
            <w:noWrap w:val="0"/>
            <w:vAlign w:val="center"/>
          </w:tcPr>
          <w:p w14:paraId="2FECBAA0">
            <w:pPr>
              <w:pStyle w:val="50"/>
              <w:spacing w:line="460" w:lineRule="exact"/>
              <w:jc w:val="center"/>
              <w:rPr>
                <w:rFonts w:hint="eastAsia" w:ascii="宋体" w:hAnsi="宋体" w:eastAsia="宋体"/>
                <w:color w:val="auto"/>
                <w:highlight w:val="none"/>
                <w:lang w:val="en-US" w:eastAsia="zh-CN"/>
              </w:rPr>
            </w:pPr>
            <w:r>
              <w:rPr>
                <w:rFonts w:hint="eastAsia" w:hAnsi="宋体"/>
                <w:color w:val="auto"/>
                <w:highlight w:val="none"/>
                <w:lang w:val="en-US" w:eastAsia="zh-CN"/>
              </w:rPr>
              <w:t>7</w:t>
            </w:r>
          </w:p>
        </w:tc>
        <w:tc>
          <w:tcPr>
            <w:tcW w:w="1559" w:type="dxa"/>
            <w:vMerge w:val="restart"/>
            <w:noWrap w:val="0"/>
            <w:vAlign w:val="center"/>
          </w:tcPr>
          <w:p w14:paraId="19C2A60D">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投标产品质量检验</w:t>
            </w:r>
          </w:p>
        </w:tc>
        <w:tc>
          <w:tcPr>
            <w:tcW w:w="6885" w:type="dxa"/>
            <w:noWrap w:val="0"/>
            <w:vAlign w:val="center"/>
          </w:tcPr>
          <w:p w14:paraId="0263BFEA">
            <w:pPr>
              <w:pStyle w:val="50"/>
              <w:spacing w:line="46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投标产品（承插式聚乙烯实壁排水管）具有省级及以上质量检验检测中心出具的产品质量检验报告情况进行评分：按照招标文件管材采购清单型号提供（检测项需包含：氧化诱导时间、环刚度、断裂伸长率），</w:t>
            </w:r>
            <w:r>
              <w:rPr>
                <w:rFonts w:hint="eastAsia" w:ascii="宋体" w:hAnsi="宋体" w:eastAsia="宋体" w:cs="宋体"/>
                <w:color w:val="auto"/>
                <w:sz w:val="21"/>
                <w:szCs w:val="21"/>
                <w:highlight w:val="none"/>
                <w:lang w:eastAsia="zh-CN"/>
              </w:rPr>
              <w:t>每份检测报告</w:t>
            </w:r>
            <w:r>
              <w:rPr>
                <w:rFonts w:hint="eastAsia" w:ascii="宋体" w:hAnsi="宋体" w:eastAsia="宋体" w:cs="宋体"/>
                <w:color w:val="auto"/>
                <w:sz w:val="21"/>
                <w:szCs w:val="21"/>
                <w:highlight w:val="none"/>
              </w:rPr>
              <w:t>得2分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本项最高2分</w:t>
            </w:r>
            <w:r>
              <w:rPr>
                <w:rFonts w:hint="eastAsia" w:hAnsi="宋体" w:cs="宋体"/>
                <w:color w:val="auto"/>
                <w:sz w:val="21"/>
                <w:szCs w:val="21"/>
                <w:highlight w:val="none"/>
                <w:lang w:eastAsia="zh-CN"/>
              </w:rPr>
              <w:t>。</w:t>
            </w:r>
            <w:r>
              <w:rPr>
                <w:rFonts w:hint="eastAsia" w:ascii="宋体" w:hAnsi="宋体" w:eastAsia="宋体" w:cs="宋体"/>
                <w:color w:val="auto"/>
                <w:sz w:val="21"/>
                <w:szCs w:val="21"/>
                <w:highlight w:val="none"/>
              </w:rPr>
              <w:t xml:space="preserve">     </w:t>
            </w:r>
          </w:p>
          <w:p w14:paraId="5F8BE92C">
            <w:pPr>
              <w:pStyle w:val="50"/>
              <w:spacing w:line="46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注：提供省级及以上质量检验检测机构出具的产品质量检验报告</w:t>
            </w:r>
          </w:p>
        </w:tc>
        <w:tc>
          <w:tcPr>
            <w:tcW w:w="1620" w:type="dxa"/>
            <w:vMerge w:val="restart"/>
            <w:noWrap w:val="0"/>
            <w:vAlign w:val="center"/>
          </w:tcPr>
          <w:p w14:paraId="5C1AF7F1">
            <w:pPr>
              <w:pStyle w:val="50"/>
              <w:spacing w:line="460" w:lineRule="exact"/>
              <w:jc w:val="center"/>
              <w:rPr>
                <w:rFonts w:ascii="宋体" w:hAnsi="宋体" w:eastAsia="宋体" w:cs="宋体"/>
                <w:color w:val="auto"/>
                <w:sz w:val="21"/>
                <w:szCs w:val="21"/>
                <w:highlight w:val="none"/>
              </w:rPr>
            </w:pPr>
          </w:p>
        </w:tc>
      </w:tr>
      <w:tr w14:paraId="31FEE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1360" w:hRule="atLeast"/>
          <w:jc w:val="center"/>
        </w:trPr>
        <w:tc>
          <w:tcPr>
            <w:tcW w:w="729" w:type="dxa"/>
            <w:vMerge w:val="continue"/>
            <w:noWrap w:val="0"/>
            <w:vAlign w:val="center"/>
          </w:tcPr>
          <w:p w14:paraId="747732F9">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3084E36D">
            <w:pPr>
              <w:pStyle w:val="50"/>
              <w:spacing w:line="460" w:lineRule="exact"/>
              <w:jc w:val="center"/>
              <w:rPr>
                <w:rFonts w:ascii="宋体" w:hAnsi="宋体" w:eastAsia="宋体" w:cs="宋体"/>
                <w:color w:val="auto"/>
                <w:sz w:val="21"/>
                <w:szCs w:val="21"/>
                <w:highlight w:val="none"/>
              </w:rPr>
            </w:pPr>
          </w:p>
        </w:tc>
        <w:tc>
          <w:tcPr>
            <w:tcW w:w="6885" w:type="dxa"/>
            <w:noWrap w:val="0"/>
            <w:vAlign w:val="center"/>
          </w:tcPr>
          <w:p w14:paraId="40D8CD92">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投标产品（PE给水管）具有省级及以上质量检验检测中心出具的产品质量检验报告情况进行评分：按招标文件管材采购清单型号提供（检测项目不少于：氧化诱导、灰份、静液压强度、断裂伸长率），每个型号得1</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分，本项最高得3分。</w:t>
            </w:r>
          </w:p>
          <w:p w14:paraId="3F21C40E">
            <w:pPr>
              <w:pStyle w:val="50"/>
              <w:spacing w:line="460" w:lineRule="exact"/>
              <w:rPr>
                <w:rFonts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注：提供省级及以上质量检验检测机构出具的产品质量检验报告。</w:t>
            </w:r>
          </w:p>
        </w:tc>
        <w:tc>
          <w:tcPr>
            <w:tcW w:w="1620" w:type="dxa"/>
            <w:vMerge w:val="continue"/>
            <w:tcBorders/>
            <w:noWrap w:val="0"/>
            <w:vAlign w:val="center"/>
          </w:tcPr>
          <w:p w14:paraId="43D48A42">
            <w:pPr>
              <w:pStyle w:val="50"/>
              <w:spacing w:line="460" w:lineRule="exact"/>
              <w:jc w:val="center"/>
              <w:rPr>
                <w:rFonts w:ascii="宋体" w:hAnsi="宋体" w:eastAsia="宋体" w:cs="宋体"/>
                <w:color w:val="auto"/>
                <w:sz w:val="21"/>
                <w:szCs w:val="21"/>
                <w:highlight w:val="none"/>
              </w:rPr>
            </w:pPr>
          </w:p>
        </w:tc>
      </w:tr>
      <w:tr w14:paraId="762D2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vMerge w:val="continue"/>
            <w:noWrap w:val="0"/>
            <w:vAlign w:val="center"/>
          </w:tcPr>
          <w:p w14:paraId="510727FF">
            <w:pPr>
              <w:pStyle w:val="50"/>
              <w:spacing w:line="460" w:lineRule="exact"/>
              <w:jc w:val="center"/>
              <w:rPr>
                <w:rFonts w:ascii="宋体" w:hAnsi="宋体" w:eastAsia="宋体"/>
                <w:color w:val="auto"/>
                <w:highlight w:val="none"/>
              </w:rPr>
            </w:pPr>
          </w:p>
        </w:tc>
        <w:tc>
          <w:tcPr>
            <w:tcW w:w="1559" w:type="dxa"/>
            <w:vMerge w:val="continue"/>
            <w:noWrap w:val="0"/>
            <w:vAlign w:val="center"/>
          </w:tcPr>
          <w:p w14:paraId="2B430F8C">
            <w:pPr>
              <w:pStyle w:val="50"/>
              <w:spacing w:line="460" w:lineRule="exact"/>
              <w:jc w:val="center"/>
              <w:rPr>
                <w:rFonts w:ascii="宋体" w:hAnsi="宋体" w:eastAsia="宋体" w:cs="宋体"/>
                <w:color w:val="auto"/>
                <w:sz w:val="21"/>
                <w:szCs w:val="21"/>
                <w:highlight w:val="none"/>
              </w:rPr>
            </w:pPr>
          </w:p>
        </w:tc>
        <w:tc>
          <w:tcPr>
            <w:tcW w:w="6885" w:type="dxa"/>
            <w:noWrap w:val="0"/>
            <w:vAlign w:val="center"/>
          </w:tcPr>
          <w:p w14:paraId="16E0A1D9">
            <w:pPr>
              <w:pStyle w:val="50"/>
              <w:spacing w:line="460" w:lineRule="exact"/>
              <w:rPr>
                <w:rFonts w:ascii="宋体" w:hAnsi="宋体" w:eastAsia="宋体" w:cs="宋体"/>
                <w:sz w:val="21"/>
                <w:szCs w:val="21"/>
                <w:highlight w:val="none"/>
              </w:rPr>
            </w:pPr>
            <w:r>
              <w:rPr>
                <w:rFonts w:hint="eastAsia" w:ascii="宋体" w:hAnsi="宋体" w:eastAsia="宋体" w:cs="宋体"/>
                <w:sz w:val="21"/>
                <w:szCs w:val="21"/>
                <w:highlight w:val="none"/>
              </w:rPr>
              <w:t>投标人具有投标产品配套的丁腈橡胶圈国家级检测报告，检测指标需包含拉伸强度、压缩永久弯形、硬度变化及压缩应力松弛（100d、7d）的得4分。</w:t>
            </w:r>
          </w:p>
          <w:p w14:paraId="1C388853">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sz w:val="21"/>
                <w:szCs w:val="21"/>
                <w:highlight w:val="none"/>
              </w:rPr>
              <w:t>注：提供省级及以上质量检验检测中心出具的产品质量检验报告。</w:t>
            </w:r>
          </w:p>
        </w:tc>
        <w:tc>
          <w:tcPr>
            <w:tcW w:w="1620" w:type="dxa"/>
            <w:vMerge w:val="continue"/>
            <w:tcBorders/>
            <w:noWrap w:val="0"/>
            <w:vAlign w:val="center"/>
          </w:tcPr>
          <w:p w14:paraId="4BB99B07">
            <w:pPr>
              <w:pStyle w:val="50"/>
              <w:spacing w:line="460" w:lineRule="exact"/>
              <w:jc w:val="center"/>
              <w:rPr>
                <w:rFonts w:ascii="宋体" w:hAnsi="宋体" w:eastAsia="宋体" w:cs="宋体"/>
                <w:color w:val="auto"/>
                <w:sz w:val="21"/>
                <w:szCs w:val="21"/>
                <w:highlight w:val="none"/>
              </w:rPr>
            </w:pPr>
          </w:p>
        </w:tc>
      </w:tr>
      <w:tr w14:paraId="04225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noWrap w:val="0"/>
            <w:vAlign w:val="center"/>
          </w:tcPr>
          <w:p w14:paraId="30D05F1D">
            <w:pPr>
              <w:pStyle w:val="50"/>
              <w:spacing w:line="460" w:lineRule="exact"/>
              <w:jc w:val="center"/>
              <w:rPr>
                <w:rFonts w:hint="eastAsia" w:ascii="宋体" w:hAnsi="宋体" w:eastAsia="宋体"/>
                <w:color w:val="auto"/>
                <w:highlight w:val="none"/>
                <w:lang w:eastAsia="zh-CN"/>
              </w:rPr>
            </w:pPr>
            <w:r>
              <w:rPr>
                <w:rFonts w:hint="eastAsia" w:hAnsi="宋体"/>
                <w:color w:val="auto"/>
                <w:highlight w:val="none"/>
                <w:lang w:val="en-US" w:eastAsia="zh-CN"/>
              </w:rPr>
              <w:t>8</w:t>
            </w:r>
          </w:p>
        </w:tc>
        <w:tc>
          <w:tcPr>
            <w:tcW w:w="1559" w:type="dxa"/>
            <w:noWrap w:val="0"/>
            <w:vAlign w:val="center"/>
          </w:tcPr>
          <w:p w14:paraId="3DAE7E75">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PE管材的生产原材料</w:t>
            </w:r>
          </w:p>
        </w:tc>
        <w:tc>
          <w:tcPr>
            <w:tcW w:w="6885" w:type="dxa"/>
            <w:noWrap w:val="0"/>
            <w:vAlign w:val="center"/>
          </w:tcPr>
          <w:p w14:paraId="47CCE5CE">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1、产品生产的原材料必须为优质材料，根据原材料品牌、产地、等级、质量标准、有关的技术参数以及材料使用情况等证明材料进行分档打分，一档</w:t>
            </w:r>
            <w:r>
              <w:rPr>
                <w:rFonts w:hint="eastAsia" w:hAnsi="宋体" w:cs="宋体"/>
                <w:color w:val="auto"/>
                <w:sz w:val="21"/>
                <w:szCs w:val="21"/>
                <w:highlight w:val="none"/>
                <w:lang w:val="en-US" w:eastAsia="zh-CN"/>
              </w:rPr>
              <w:t>3-6</w:t>
            </w:r>
            <w:r>
              <w:rPr>
                <w:rFonts w:hint="eastAsia" w:ascii="宋体" w:hAnsi="宋体" w:eastAsia="宋体" w:cs="宋体"/>
                <w:color w:val="auto"/>
                <w:sz w:val="21"/>
                <w:szCs w:val="21"/>
                <w:highlight w:val="none"/>
              </w:rPr>
              <w:t>分，二档</w:t>
            </w:r>
            <w:r>
              <w:rPr>
                <w:rFonts w:hint="eastAsia" w:hAnsi="宋体" w:cs="宋体"/>
                <w:color w:val="auto"/>
                <w:sz w:val="21"/>
                <w:szCs w:val="21"/>
                <w:highlight w:val="none"/>
                <w:lang w:val="en-US" w:eastAsia="zh-CN"/>
              </w:rPr>
              <w:t>1.5-2.</w:t>
            </w:r>
            <w:r>
              <w:rPr>
                <w:rFonts w:hint="eastAsia" w:ascii="宋体" w:hAnsi="宋体" w:eastAsia="宋体" w:cs="宋体"/>
                <w:color w:val="auto"/>
                <w:sz w:val="21"/>
                <w:szCs w:val="21"/>
                <w:highlight w:val="none"/>
              </w:rPr>
              <w:t>9分，三档0-1.</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706A86D3">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注：提供原材料采购合同和质量监督检验机构出具的原材料质量检验报告，如采用进口原材料需提供相关证明材料（不提供不得分）。</w:t>
            </w:r>
          </w:p>
        </w:tc>
        <w:tc>
          <w:tcPr>
            <w:tcW w:w="1620" w:type="dxa"/>
            <w:noWrap w:val="0"/>
            <w:vAlign w:val="center"/>
          </w:tcPr>
          <w:p w14:paraId="289405C8">
            <w:pPr>
              <w:pStyle w:val="50"/>
              <w:spacing w:line="460" w:lineRule="exact"/>
              <w:jc w:val="center"/>
              <w:rPr>
                <w:rFonts w:ascii="宋体" w:hAnsi="宋体" w:eastAsia="宋体" w:cs="宋体"/>
                <w:color w:val="auto"/>
                <w:sz w:val="21"/>
                <w:szCs w:val="21"/>
                <w:highlight w:val="none"/>
              </w:rPr>
            </w:pPr>
          </w:p>
        </w:tc>
      </w:tr>
      <w:tr w14:paraId="4BDA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dxa"/>
          <w:trHeight w:val="340" w:hRule="atLeast"/>
          <w:jc w:val="center"/>
        </w:trPr>
        <w:tc>
          <w:tcPr>
            <w:tcW w:w="729" w:type="dxa"/>
            <w:noWrap w:val="0"/>
            <w:vAlign w:val="center"/>
          </w:tcPr>
          <w:p w14:paraId="3A974E00">
            <w:pPr>
              <w:pStyle w:val="50"/>
              <w:spacing w:line="460" w:lineRule="exact"/>
              <w:jc w:val="center"/>
              <w:rPr>
                <w:rFonts w:hint="eastAsia" w:ascii="宋体" w:hAnsi="宋体" w:eastAsia="宋体"/>
                <w:color w:val="auto"/>
                <w:highlight w:val="none"/>
                <w:lang w:eastAsia="zh-CN"/>
              </w:rPr>
            </w:pPr>
            <w:r>
              <w:rPr>
                <w:rFonts w:hint="eastAsia"/>
                <w:color w:val="auto"/>
                <w:highlight w:val="none"/>
                <w:lang w:val="en-US" w:eastAsia="zh-CN"/>
              </w:rPr>
              <w:t>9</w:t>
            </w:r>
          </w:p>
        </w:tc>
        <w:tc>
          <w:tcPr>
            <w:tcW w:w="1559" w:type="dxa"/>
            <w:noWrap w:val="0"/>
            <w:vAlign w:val="center"/>
          </w:tcPr>
          <w:p w14:paraId="60CD3B2E">
            <w:pPr>
              <w:pStyle w:val="50"/>
              <w:spacing w:line="460" w:lineRule="exact"/>
              <w:jc w:val="center"/>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生产设备和检测设备情况</w:t>
            </w:r>
          </w:p>
        </w:tc>
        <w:tc>
          <w:tcPr>
            <w:tcW w:w="6885" w:type="dxa"/>
            <w:noWrap w:val="0"/>
            <w:vAlign w:val="center"/>
          </w:tcPr>
          <w:p w14:paraId="371CBCCF">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1、投标人拥有进口管材生产线每条得0.5分，最高得3分，不具备的不得分；</w:t>
            </w:r>
          </w:p>
          <w:p w14:paraId="71B6AFD7">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2、根据投标人具有先进的产品质量检测设备情况进行打分：针对环刚度、环柔度、烘箱试验、冲击强度，一档</w:t>
            </w:r>
            <w:r>
              <w:rPr>
                <w:rFonts w:hint="eastAsia" w:hAnsi="宋体" w:cs="宋体"/>
                <w:color w:val="auto"/>
                <w:sz w:val="21"/>
                <w:szCs w:val="21"/>
                <w:highlight w:val="none"/>
                <w:lang w:val="en-US" w:eastAsia="zh-CN"/>
              </w:rPr>
              <w:t>1-2</w:t>
            </w:r>
            <w:r>
              <w:rPr>
                <w:rFonts w:hint="eastAsia" w:ascii="宋体" w:hAnsi="宋体" w:eastAsia="宋体" w:cs="宋体"/>
                <w:color w:val="auto"/>
                <w:sz w:val="21"/>
                <w:szCs w:val="21"/>
                <w:highlight w:val="none"/>
              </w:rPr>
              <w:t>分，二档</w:t>
            </w:r>
            <w:r>
              <w:rPr>
                <w:rFonts w:hint="eastAsia" w:hAnsi="宋体" w:cs="宋体"/>
                <w:color w:val="auto"/>
                <w:sz w:val="21"/>
                <w:szCs w:val="21"/>
                <w:highlight w:val="none"/>
                <w:lang w:val="en-US" w:eastAsia="zh-CN"/>
              </w:rPr>
              <w:t>0.5-0.9</w:t>
            </w:r>
            <w:r>
              <w:rPr>
                <w:rFonts w:hint="eastAsia" w:ascii="宋体" w:hAnsi="宋体" w:eastAsia="宋体" w:cs="宋体"/>
                <w:color w:val="auto"/>
                <w:sz w:val="21"/>
                <w:szCs w:val="21"/>
                <w:highlight w:val="none"/>
              </w:rPr>
              <w:t>分，三档0-0.</w:t>
            </w: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688D05BF">
            <w:pPr>
              <w:pStyle w:val="50"/>
              <w:spacing w:line="460" w:lineRule="exact"/>
              <w:rPr>
                <w:rFonts w:ascii="宋体" w:hAnsi="宋体" w:eastAsia="宋体" w:cs="宋体"/>
                <w:color w:val="auto"/>
                <w:sz w:val="21"/>
                <w:szCs w:val="21"/>
                <w:highlight w:val="none"/>
              </w:rPr>
            </w:pPr>
            <w:r>
              <w:rPr>
                <w:rFonts w:hint="eastAsia" w:ascii="宋体" w:hAnsi="宋体" w:eastAsia="宋体" w:cs="宋体"/>
                <w:color w:val="auto"/>
                <w:sz w:val="21"/>
                <w:szCs w:val="21"/>
                <w:highlight w:val="none"/>
              </w:rPr>
              <w:t>3、根据投标人具有原材料检测设备情况进行打分：炭黑分散、氧化诱导时间、熔体流动速率，具备一个得1分，每增加一个得0.5分，最高得2分。</w:t>
            </w:r>
          </w:p>
          <w:p w14:paraId="314357BA">
            <w:pPr>
              <w:pStyle w:val="50"/>
              <w:spacing w:line="460" w:lineRule="exact"/>
              <w:rPr>
                <w:rFonts w:ascii="宋体" w:hAnsi="宋体" w:eastAsia="宋体" w:cs="宋体"/>
                <w:color w:val="auto"/>
                <w:sz w:val="21"/>
                <w:szCs w:val="21"/>
                <w:highlight w:val="none"/>
              </w:rPr>
            </w:pPr>
            <w:r>
              <w:rPr>
                <w:rFonts w:hint="eastAsia" w:ascii="宋体" w:hAnsi="宋体" w:eastAsia="宋体" w:cs="宋体"/>
                <w:b/>
                <w:bCs/>
                <w:color w:val="auto"/>
                <w:sz w:val="21"/>
                <w:szCs w:val="21"/>
                <w:highlight w:val="none"/>
              </w:rPr>
              <w:t>注：提供生产设备、检测设备列表说明并附设备图片以及设备采购合同、发票，如为进口设备需提供相关证明材料。</w:t>
            </w:r>
          </w:p>
        </w:tc>
        <w:tc>
          <w:tcPr>
            <w:tcW w:w="1620" w:type="dxa"/>
            <w:noWrap w:val="0"/>
            <w:vAlign w:val="center"/>
          </w:tcPr>
          <w:p w14:paraId="6CC61346">
            <w:pPr>
              <w:pStyle w:val="50"/>
              <w:spacing w:line="460" w:lineRule="exact"/>
              <w:jc w:val="center"/>
              <w:rPr>
                <w:rFonts w:ascii="宋体" w:hAnsi="宋体" w:eastAsia="宋体" w:cs="宋体"/>
                <w:color w:val="auto"/>
                <w:sz w:val="21"/>
                <w:szCs w:val="21"/>
                <w:highlight w:val="none"/>
              </w:rPr>
            </w:pPr>
          </w:p>
        </w:tc>
      </w:tr>
    </w:tbl>
    <w:p w14:paraId="0A03E318">
      <w:pPr>
        <w:pStyle w:val="3"/>
        <w:numPr>
          <w:ilvl w:val="0"/>
          <w:numId w:val="34"/>
        </w:numPr>
        <w:bidi w:val="0"/>
        <w:ind w:left="0" w:leftChars="0" w:firstLine="420" w:firstLineChars="0"/>
        <w:rPr>
          <w:rFonts w:hint="eastAsia"/>
        </w:rPr>
        <w:sectPr>
          <w:pgSz w:w="12240" w:h="15840"/>
          <w:pgMar w:top="1247" w:right="964" w:bottom="1247" w:left="964" w:header="794" w:footer="851" w:gutter="0"/>
          <w:pgNumType w:fmt="decimal"/>
          <w:cols w:space="720" w:num="1"/>
          <w:titlePg/>
        </w:sectPr>
      </w:pPr>
    </w:p>
    <w:p w14:paraId="129C186A">
      <w:pPr>
        <w:pStyle w:val="3"/>
        <w:numPr>
          <w:ilvl w:val="0"/>
          <w:numId w:val="34"/>
        </w:numPr>
        <w:bidi w:val="0"/>
        <w:ind w:left="0" w:leftChars="0" w:firstLine="420" w:firstLineChars="0"/>
        <w:rPr>
          <w:rFonts w:hint="eastAsia"/>
        </w:rPr>
      </w:pPr>
      <w:bookmarkStart w:id="122" w:name="_Toc16983"/>
      <w:r>
        <w:rPr>
          <w:rFonts w:hint="eastAsia"/>
        </w:rPr>
        <w:t>投标人或制造商基本情况表（格式）</w:t>
      </w:r>
      <w:bookmarkEnd w:id="122"/>
    </w:p>
    <w:p w14:paraId="09615149">
      <w:pPr>
        <w:pStyle w:val="15"/>
        <w:rPr>
          <w:rFonts w:ascii="Times New Roman" w:hAnsi="Times New Roman"/>
        </w:rPr>
      </w:pPr>
    </w:p>
    <w:tbl>
      <w:tblPr>
        <w:tblStyle w:val="2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1485"/>
        <w:gridCol w:w="649"/>
        <w:gridCol w:w="1193"/>
        <w:gridCol w:w="404"/>
        <w:gridCol w:w="320"/>
        <w:gridCol w:w="458"/>
        <w:gridCol w:w="845"/>
        <w:gridCol w:w="1337"/>
        <w:gridCol w:w="977"/>
        <w:gridCol w:w="961"/>
        <w:gridCol w:w="371"/>
        <w:gridCol w:w="838"/>
        <w:gridCol w:w="358"/>
        <w:gridCol w:w="1216"/>
        <w:gridCol w:w="92"/>
        <w:gridCol w:w="1228"/>
      </w:tblGrid>
      <w:tr w14:paraId="600C6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7" w:hRule="atLeast"/>
          <w:jc w:val="center"/>
        </w:trPr>
        <w:tc>
          <w:tcPr>
            <w:tcW w:w="835" w:type="dxa"/>
          </w:tcPr>
          <w:p w14:paraId="75780887">
            <w:pPr>
              <w:pStyle w:val="15"/>
              <w:spacing w:line="360" w:lineRule="atLeast"/>
              <w:jc w:val="center"/>
              <w:rPr>
                <w:rFonts w:hint="eastAsia" w:hAnsi="宋体"/>
                <w:szCs w:val="24"/>
              </w:rPr>
            </w:pPr>
            <w:r>
              <w:rPr>
                <w:rFonts w:hint="eastAsia" w:hAnsi="宋体"/>
                <w:szCs w:val="24"/>
              </w:rPr>
              <w:t>单位名称</w:t>
            </w:r>
          </w:p>
        </w:tc>
        <w:tc>
          <w:tcPr>
            <w:tcW w:w="3731" w:type="dxa"/>
            <w:gridSpan w:val="4"/>
          </w:tcPr>
          <w:p w14:paraId="18EC06ED">
            <w:pPr>
              <w:pStyle w:val="15"/>
              <w:spacing w:line="360" w:lineRule="atLeast"/>
              <w:rPr>
                <w:rFonts w:hint="eastAsia" w:hAnsi="宋体"/>
                <w:szCs w:val="24"/>
              </w:rPr>
            </w:pPr>
          </w:p>
        </w:tc>
        <w:tc>
          <w:tcPr>
            <w:tcW w:w="778" w:type="dxa"/>
            <w:gridSpan w:val="2"/>
            <w:vAlign w:val="center"/>
          </w:tcPr>
          <w:p w14:paraId="31D26A85">
            <w:pPr>
              <w:pStyle w:val="15"/>
              <w:spacing w:line="360" w:lineRule="atLeast"/>
              <w:jc w:val="center"/>
              <w:rPr>
                <w:rFonts w:hint="eastAsia" w:hAnsi="宋体"/>
                <w:szCs w:val="24"/>
              </w:rPr>
            </w:pPr>
            <w:r>
              <w:rPr>
                <w:rFonts w:hint="eastAsia" w:hAnsi="宋体"/>
                <w:szCs w:val="24"/>
              </w:rPr>
              <w:t>电话</w:t>
            </w:r>
          </w:p>
        </w:tc>
        <w:tc>
          <w:tcPr>
            <w:tcW w:w="2182" w:type="dxa"/>
            <w:gridSpan w:val="2"/>
          </w:tcPr>
          <w:p w14:paraId="704D4189">
            <w:pPr>
              <w:pStyle w:val="15"/>
              <w:spacing w:line="360" w:lineRule="atLeast"/>
              <w:rPr>
                <w:rFonts w:hint="eastAsia" w:hAnsi="宋体"/>
                <w:szCs w:val="24"/>
              </w:rPr>
            </w:pPr>
          </w:p>
        </w:tc>
        <w:tc>
          <w:tcPr>
            <w:tcW w:w="977" w:type="dxa"/>
          </w:tcPr>
          <w:p w14:paraId="5ED82113">
            <w:pPr>
              <w:pStyle w:val="15"/>
              <w:spacing w:line="360" w:lineRule="atLeast"/>
              <w:jc w:val="center"/>
              <w:rPr>
                <w:rFonts w:hint="eastAsia" w:hAnsi="宋体"/>
                <w:szCs w:val="24"/>
              </w:rPr>
            </w:pPr>
            <w:r>
              <w:rPr>
                <w:rFonts w:hint="eastAsia" w:hAnsi="宋体"/>
                <w:szCs w:val="24"/>
              </w:rPr>
              <w:t>主管</w:t>
            </w:r>
          </w:p>
          <w:p w14:paraId="2479BCEE">
            <w:pPr>
              <w:pStyle w:val="15"/>
              <w:spacing w:line="360" w:lineRule="atLeast"/>
              <w:jc w:val="center"/>
              <w:rPr>
                <w:rFonts w:hint="eastAsia" w:hAnsi="宋体"/>
                <w:szCs w:val="24"/>
              </w:rPr>
            </w:pPr>
            <w:r>
              <w:rPr>
                <w:rFonts w:hint="eastAsia" w:hAnsi="宋体"/>
                <w:szCs w:val="24"/>
              </w:rPr>
              <w:t>部门</w:t>
            </w:r>
          </w:p>
        </w:tc>
        <w:tc>
          <w:tcPr>
            <w:tcW w:w="961" w:type="dxa"/>
          </w:tcPr>
          <w:p w14:paraId="6D51C6EE">
            <w:pPr>
              <w:pStyle w:val="15"/>
              <w:spacing w:line="360" w:lineRule="atLeast"/>
              <w:rPr>
                <w:rFonts w:hint="eastAsia" w:hAnsi="宋体"/>
                <w:szCs w:val="24"/>
              </w:rPr>
            </w:pPr>
          </w:p>
        </w:tc>
        <w:tc>
          <w:tcPr>
            <w:tcW w:w="1209" w:type="dxa"/>
            <w:gridSpan w:val="2"/>
            <w:vAlign w:val="center"/>
          </w:tcPr>
          <w:p w14:paraId="75499BCF">
            <w:pPr>
              <w:pStyle w:val="15"/>
              <w:spacing w:line="360" w:lineRule="atLeast"/>
              <w:jc w:val="center"/>
              <w:rPr>
                <w:rFonts w:hint="eastAsia" w:hAnsi="宋体"/>
                <w:szCs w:val="24"/>
              </w:rPr>
            </w:pPr>
            <w:r>
              <w:rPr>
                <w:rFonts w:hint="eastAsia" w:hAnsi="宋体"/>
                <w:szCs w:val="24"/>
              </w:rPr>
              <w:t>企业</w:t>
            </w:r>
          </w:p>
          <w:p w14:paraId="23EB3E13">
            <w:pPr>
              <w:pStyle w:val="15"/>
              <w:spacing w:line="360" w:lineRule="atLeast"/>
              <w:jc w:val="center"/>
              <w:rPr>
                <w:rFonts w:hint="eastAsia" w:hAnsi="宋体"/>
                <w:szCs w:val="24"/>
              </w:rPr>
            </w:pPr>
            <w:r>
              <w:rPr>
                <w:rFonts w:hint="eastAsia" w:hAnsi="宋体"/>
                <w:szCs w:val="24"/>
              </w:rPr>
              <w:t>负责人</w:t>
            </w:r>
          </w:p>
        </w:tc>
        <w:tc>
          <w:tcPr>
            <w:tcW w:w="1666" w:type="dxa"/>
            <w:gridSpan w:val="3"/>
            <w:vAlign w:val="center"/>
          </w:tcPr>
          <w:p w14:paraId="12B92BB5">
            <w:pPr>
              <w:pStyle w:val="15"/>
              <w:spacing w:line="360" w:lineRule="atLeast"/>
              <w:jc w:val="center"/>
              <w:rPr>
                <w:rFonts w:hint="eastAsia" w:hAnsi="宋体"/>
                <w:szCs w:val="24"/>
              </w:rPr>
            </w:pPr>
          </w:p>
        </w:tc>
        <w:tc>
          <w:tcPr>
            <w:tcW w:w="1228" w:type="dxa"/>
            <w:vAlign w:val="center"/>
          </w:tcPr>
          <w:p w14:paraId="64CE7932">
            <w:pPr>
              <w:pStyle w:val="15"/>
              <w:spacing w:line="360" w:lineRule="atLeast"/>
              <w:jc w:val="center"/>
              <w:rPr>
                <w:rFonts w:hint="eastAsia" w:hAnsi="宋体"/>
                <w:szCs w:val="24"/>
              </w:rPr>
            </w:pPr>
            <w:r>
              <w:rPr>
                <w:rFonts w:hint="eastAsia" w:hAnsi="宋体"/>
                <w:szCs w:val="24"/>
              </w:rPr>
              <w:t>职务</w:t>
            </w:r>
          </w:p>
        </w:tc>
      </w:tr>
      <w:tr w14:paraId="340C8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8" w:hRule="atLeast"/>
          <w:jc w:val="center"/>
        </w:trPr>
        <w:tc>
          <w:tcPr>
            <w:tcW w:w="835" w:type="dxa"/>
            <w:vAlign w:val="center"/>
          </w:tcPr>
          <w:p w14:paraId="56DB4407">
            <w:pPr>
              <w:pStyle w:val="15"/>
              <w:spacing w:line="360" w:lineRule="atLeast"/>
              <w:jc w:val="center"/>
              <w:rPr>
                <w:rFonts w:hint="eastAsia" w:hAnsi="宋体"/>
                <w:szCs w:val="24"/>
              </w:rPr>
            </w:pPr>
            <w:r>
              <w:rPr>
                <w:rFonts w:hint="eastAsia" w:hAnsi="宋体"/>
                <w:szCs w:val="24"/>
              </w:rPr>
              <w:t>地址</w:t>
            </w:r>
          </w:p>
        </w:tc>
        <w:tc>
          <w:tcPr>
            <w:tcW w:w="3731" w:type="dxa"/>
            <w:gridSpan w:val="4"/>
          </w:tcPr>
          <w:p w14:paraId="34CDB19C">
            <w:pPr>
              <w:pStyle w:val="15"/>
              <w:spacing w:line="360" w:lineRule="atLeast"/>
              <w:rPr>
                <w:rFonts w:hint="eastAsia" w:hAnsi="宋体"/>
                <w:szCs w:val="24"/>
              </w:rPr>
            </w:pPr>
          </w:p>
        </w:tc>
        <w:tc>
          <w:tcPr>
            <w:tcW w:w="778" w:type="dxa"/>
            <w:gridSpan w:val="2"/>
            <w:vAlign w:val="center"/>
          </w:tcPr>
          <w:p w14:paraId="52238B2E">
            <w:pPr>
              <w:pStyle w:val="15"/>
              <w:spacing w:line="360" w:lineRule="atLeast"/>
              <w:jc w:val="center"/>
              <w:rPr>
                <w:rFonts w:hint="eastAsia" w:hAnsi="宋体"/>
                <w:szCs w:val="24"/>
              </w:rPr>
            </w:pPr>
            <w:r>
              <w:rPr>
                <w:rFonts w:hint="eastAsia" w:hAnsi="宋体"/>
                <w:szCs w:val="24"/>
              </w:rPr>
              <w:t>传真</w:t>
            </w:r>
          </w:p>
        </w:tc>
        <w:tc>
          <w:tcPr>
            <w:tcW w:w="2182" w:type="dxa"/>
            <w:gridSpan w:val="2"/>
          </w:tcPr>
          <w:p w14:paraId="389F57ED">
            <w:pPr>
              <w:pStyle w:val="15"/>
              <w:spacing w:line="360" w:lineRule="atLeast"/>
              <w:rPr>
                <w:rFonts w:hint="eastAsia" w:hAnsi="宋体"/>
                <w:szCs w:val="24"/>
              </w:rPr>
            </w:pPr>
          </w:p>
        </w:tc>
        <w:tc>
          <w:tcPr>
            <w:tcW w:w="977" w:type="dxa"/>
          </w:tcPr>
          <w:p w14:paraId="53FCEE5F">
            <w:pPr>
              <w:pStyle w:val="15"/>
              <w:spacing w:line="360" w:lineRule="atLeast"/>
              <w:jc w:val="center"/>
              <w:rPr>
                <w:rFonts w:hint="eastAsia" w:hAnsi="宋体"/>
                <w:szCs w:val="24"/>
              </w:rPr>
            </w:pPr>
            <w:r>
              <w:rPr>
                <w:rFonts w:hint="eastAsia" w:hAnsi="宋体"/>
                <w:szCs w:val="24"/>
              </w:rPr>
              <w:t>企业</w:t>
            </w:r>
          </w:p>
          <w:p w14:paraId="29519319">
            <w:pPr>
              <w:pStyle w:val="15"/>
              <w:spacing w:line="360" w:lineRule="atLeast"/>
              <w:jc w:val="center"/>
              <w:rPr>
                <w:rFonts w:hint="eastAsia" w:hAnsi="宋体"/>
                <w:szCs w:val="24"/>
              </w:rPr>
            </w:pPr>
            <w:r>
              <w:rPr>
                <w:rFonts w:hint="eastAsia" w:hAnsi="宋体"/>
                <w:szCs w:val="24"/>
              </w:rPr>
              <w:t>性质</w:t>
            </w:r>
          </w:p>
        </w:tc>
        <w:tc>
          <w:tcPr>
            <w:tcW w:w="961" w:type="dxa"/>
          </w:tcPr>
          <w:p w14:paraId="3984DEBB">
            <w:pPr>
              <w:pStyle w:val="15"/>
              <w:spacing w:line="360" w:lineRule="atLeast"/>
              <w:rPr>
                <w:rFonts w:hint="eastAsia" w:hAnsi="宋体"/>
                <w:szCs w:val="24"/>
              </w:rPr>
            </w:pPr>
          </w:p>
        </w:tc>
        <w:tc>
          <w:tcPr>
            <w:tcW w:w="1209" w:type="dxa"/>
            <w:gridSpan w:val="2"/>
            <w:vAlign w:val="center"/>
          </w:tcPr>
          <w:p w14:paraId="39616BB3">
            <w:pPr>
              <w:pStyle w:val="15"/>
              <w:spacing w:line="360" w:lineRule="atLeast"/>
              <w:jc w:val="center"/>
              <w:rPr>
                <w:rFonts w:hint="eastAsia" w:hAnsi="宋体"/>
                <w:szCs w:val="24"/>
              </w:rPr>
            </w:pPr>
            <w:r>
              <w:rPr>
                <w:rFonts w:hint="eastAsia" w:hAnsi="宋体"/>
                <w:szCs w:val="24"/>
              </w:rPr>
              <w:t>授权代表</w:t>
            </w:r>
          </w:p>
        </w:tc>
        <w:tc>
          <w:tcPr>
            <w:tcW w:w="1666" w:type="dxa"/>
            <w:gridSpan w:val="3"/>
            <w:vAlign w:val="center"/>
          </w:tcPr>
          <w:p w14:paraId="696D7B9B">
            <w:pPr>
              <w:pStyle w:val="15"/>
              <w:spacing w:line="360" w:lineRule="atLeast"/>
              <w:jc w:val="center"/>
              <w:rPr>
                <w:rFonts w:hint="eastAsia" w:hAnsi="宋体"/>
                <w:szCs w:val="24"/>
              </w:rPr>
            </w:pPr>
          </w:p>
        </w:tc>
        <w:tc>
          <w:tcPr>
            <w:tcW w:w="1228" w:type="dxa"/>
            <w:vAlign w:val="center"/>
          </w:tcPr>
          <w:p w14:paraId="282BD163">
            <w:pPr>
              <w:pStyle w:val="15"/>
              <w:spacing w:line="360" w:lineRule="atLeast"/>
              <w:jc w:val="center"/>
              <w:rPr>
                <w:rFonts w:hint="eastAsia" w:hAnsi="宋体"/>
                <w:szCs w:val="24"/>
              </w:rPr>
            </w:pPr>
            <w:r>
              <w:rPr>
                <w:rFonts w:hint="eastAsia" w:hAnsi="宋体"/>
                <w:szCs w:val="24"/>
              </w:rPr>
              <w:t>职务</w:t>
            </w:r>
          </w:p>
        </w:tc>
      </w:tr>
      <w:tr w14:paraId="11F554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jc w:val="center"/>
        </w:trPr>
        <w:tc>
          <w:tcPr>
            <w:tcW w:w="835" w:type="dxa"/>
          </w:tcPr>
          <w:p w14:paraId="5EE06AEF">
            <w:pPr>
              <w:pStyle w:val="15"/>
              <w:spacing w:line="360" w:lineRule="atLeast"/>
              <w:jc w:val="center"/>
              <w:rPr>
                <w:rFonts w:hint="eastAsia" w:hAnsi="宋体"/>
                <w:szCs w:val="24"/>
              </w:rPr>
            </w:pPr>
            <w:r>
              <w:rPr>
                <w:rFonts w:hint="eastAsia" w:hAnsi="宋体"/>
                <w:szCs w:val="24"/>
              </w:rPr>
              <w:t>单位简历</w:t>
            </w:r>
          </w:p>
          <w:p w14:paraId="627341DE">
            <w:pPr>
              <w:pStyle w:val="15"/>
              <w:spacing w:line="360" w:lineRule="atLeast"/>
              <w:jc w:val="center"/>
              <w:rPr>
                <w:rFonts w:hint="eastAsia" w:hAnsi="宋体"/>
                <w:szCs w:val="24"/>
              </w:rPr>
            </w:pPr>
            <w:r>
              <w:rPr>
                <w:rFonts w:hint="eastAsia" w:hAnsi="宋体"/>
                <w:szCs w:val="24"/>
              </w:rPr>
              <w:t>及</w:t>
            </w:r>
          </w:p>
          <w:p w14:paraId="7AB2C2D4">
            <w:pPr>
              <w:pStyle w:val="15"/>
              <w:spacing w:line="360" w:lineRule="atLeast"/>
              <w:jc w:val="center"/>
              <w:rPr>
                <w:rFonts w:hint="eastAsia" w:hAnsi="宋体"/>
                <w:szCs w:val="24"/>
              </w:rPr>
            </w:pPr>
            <w:r>
              <w:rPr>
                <w:rFonts w:hint="eastAsia" w:hAnsi="宋体"/>
                <w:szCs w:val="24"/>
              </w:rPr>
              <w:t>机构</w:t>
            </w:r>
          </w:p>
        </w:tc>
        <w:tc>
          <w:tcPr>
            <w:tcW w:w="6691" w:type="dxa"/>
            <w:gridSpan w:val="8"/>
          </w:tcPr>
          <w:p w14:paraId="36E92F69">
            <w:pPr>
              <w:pStyle w:val="15"/>
              <w:spacing w:line="360" w:lineRule="atLeast"/>
              <w:rPr>
                <w:rFonts w:hint="eastAsia" w:hAnsi="宋体"/>
                <w:szCs w:val="24"/>
              </w:rPr>
            </w:pPr>
          </w:p>
        </w:tc>
        <w:tc>
          <w:tcPr>
            <w:tcW w:w="977" w:type="dxa"/>
          </w:tcPr>
          <w:p w14:paraId="2ACC944E">
            <w:pPr>
              <w:pStyle w:val="15"/>
              <w:spacing w:line="360" w:lineRule="atLeast"/>
              <w:jc w:val="center"/>
              <w:rPr>
                <w:rFonts w:hint="eastAsia" w:hAnsi="宋体"/>
                <w:szCs w:val="24"/>
              </w:rPr>
            </w:pPr>
            <w:r>
              <w:rPr>
                <w:rFonts w:hint="eastAsia" w:hAnsi="宋体"/>
                <w:szCs w:val="24"/>
              </w:rPr>
              <w:t>单位</w:t>
            </w:r>
          </w:p>
          <w:p w14:paraId="056240EB">
            <w:pPr>
              <w:pStyle w:val="15"/>
              <w:spacing w:line="360" w:lineRule="atLeast"/>
              <w:jc w:val="center"/>
              <w:rPr>
                <w:rFonts w:hint="eastAsia" w:hAnsi="宋体"/>
                <w:szCs w:val="24"/>
              </w:rPr>
            </w:pPr>
            <w:r>
              <w:rPr>
                <w:rFonts w:hint="eastAsia" w:hAnsi="宋体"/>
                <w:szCs w:val="24"/>
              </w:rPr>
              <w:t>优势</w:t>
            </w:r>
          </w:p>
          <w:p w14:paraId="25611CEA">
            <w:pPr>
              <w:pStyle w:val="15"/>
              <w:spacing w:line="360" w:lineRule="atLeast"/>
              <w:jc w:val="center"/>
              <w:rPr>
                <w:rFonts w:hint="eastAsia" w:hAnsi="宋体"/>
                <w:szCs w:val="24"/>
              </w:rPr>
            </w:pPr>
            <w:r>
              <w:rPr>
                <w:rFonts w:hint="eastAsia" w:hAnsi="宋体"/>
                <w:szCs w:val="24"/>
              </w:rPr>
              <w:t>及</w:t>
            </w:r>
          </w:p>
          <w:p w14:paraId="199EF090">
            <w:pPr>
              <w:pStyle w:val="15"/>
              <w:spacing w:line="360" w:lineRule="atLeast"/>
              <w:jc w:val="center"/>
              <w:rPr>
                <w:rFonts w:hint="eastAsia" w:hAnsi="宋体"/>
                <w:szCs w:val="24"/>
              </w:rPr>
            </w:pPr>
            <w:r>
              <w:rPr>
                <w:rFonts w:hint="eastAsia" w:hAnsi="宋体"/>
                <w:szCs w:val="24"/>
              </w:rPr>
              <w:t>特长</w:t>
            </w:r>
          </w:p>
        </w:tc>
        <w:tc>
          <w:tcPr>
            <w:tcW w:w="5064" w:type="dxa"/>
            <w:gridSpan w:val="7"/>
            <w:tcBorders>
              <w:bottom w:val="single" w:color="auto" w:sz="4" w:space="0"/>
            </w:tcBorders>
          </w:tcPr>
          <w:p w14:paraId="017F7698">
            <w:pPr>
              <w:pStyle w:val="15"/>
              <w:spacing w:line="360" w:lineRule="atLeast"/>
              <w:rPr>
                <w:rFonts w:hint="eastAsia" w:hAnsi="宋体"/>
                <w:szCs w:val="24"/>
              </w:rPr>
            </w:pPr>
          </w:p>
        </w:tc>
      </w:tr>
      <w:tr w14:paraId="5EC92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5" w:type="dxa"/>
            <w:vMerge w:val="restart"/>
            <w:vAlign w:val="center"/>
          </w:tcPr>
          <w:p w14:paraId="0BA91E3B">
            <w:pPr>
              <w:pStyle w:val="15"/>
              <w:spacing w:line="440" w:lineRule="atLeast"/>
              <w:jc w:val="center"/>
              <w:rPr>
                <w:rFonts w:hint="eastAsia" w:hAnsi="宋体"/>
                <w:szCs w:val="24"/>
              </w:rPr>
            </w:pPr>
            <w:r>
              <w:rPr>
                <w:rFonts w:hint="eastAsia" w:hAnsi="宋体"/>
                <w:szCs w:val="24"/>
              </w:rPr>
              <w:t>单位概况</w:t>
            </w:r>
          </w:p>
        </w:tc>
        <w:tc>
          <w:tcPr>
            <w:tcW w:w="1485" w:type="dxa"/>
            <w:vMerge w:val="restart"/>
            <w:vAlign w:val="center"/>
          </w:tcPr>
          <w:p w14:paraId="71F96ACD">
            <w:pPr>
              <w:pStyle w:val="15"/>
              <w:spacing w:line="440" w:lineRule="atLeast"/>
              <w:jc w:val="center"/>
              <w:rPr>
                <w:rFonts w:hint="eastAsia" w:hAnsi="宋体"/>
                <w:szCs w:val="24"/>
              </w:rPr>
            </w:pPr>
            <w:r>
              <w:rPr>
                <w:rFonts w:hint="eastAsia" w:hAnsi="宋体"/>
                <w:szCs w:val="24"/>
              </w:rPr>
              <w:t>职工</w:t>
            </w:r>
          </w:p>
          <w:p w14:paraId="088326DC">
            <w:pPr>
              <w:pStyle w:val="15"/>
              <w:spacing w:line="440" w:lineRule="atLeast"/>
              <w:jc w:val="center"/>
              <w:rPr>
                <w:rFonts w:hint="eastAsia" w:hAnsi="宋体"/>
                <w:szCs w:val="24"/>
              </w:rPr>
            </w:pPr>
            <w:r>
              <w:rPr>
                <w:rFonts w:hint="eastAsia" w:hAnsi="宋体"/>
                <w:szCs w:val="24"/>
              </w:rPr>
              <w:t>总数</w:t>
            </w:r>
          </w:p>
        </w:tc>
        <w:tc>
          <w:tcPr>
            <w:tcW w:w="5206" w:type="dxa"/>
            <w:gridSpan w:val="7"/>
          </w:tcPr>
          <w:p w14:paraId="2A7682D7">
            <w:pPr>
              <w:pStyle w:val="15"/>
              <w:spacing w:line="440" w:lineRule="atLeast"/>
              <w:rPr>
                <w:rFonts w:hint="eastAsia" w:hAnsi="宋体"/>
                <w:szCs w:val="24"/>
              </w:rPr>
            </w:pPr>
            <w:r>
              <w:rPr>
                <w:rFonts w:hint="eastAsia" w:hAnsi="宋体"/>
                <w:szCs w:val="24"/>
              </w:rPr>
              <w:t>生产工人                平均技术等级</w:t>
            </w:r>
          </w:p>
        </w:tc>
        <w:tc>
          <w:tcPr>
            <w:tcW w:w="977" w:type="dxa"/>
            <w:vMerge w:val="restart"/>
          </w:tcPr>
          <w:p w14:paraId="1F863F6F">
            <w:pPr>
              <w:pStyle w:val="15"/>
              <w:spacing w:line="440" w:lineRule="atLeast"/>
              <w:rPr>
                <w:rFonts w:hint="eastAsia" w:hAnsi="宋体"/>
                <w:szCs w:val="24"/>
              </w:rPr>
            </w:pPr>
            <w:r>
              <w:rPr>
                <w:rFonts w:hint="eastAsia" w:hAnsi="宋体"/>
                <w:szCs w:val="24"/>
              </w:rPr>
              <w:t>上一年主要经济指标</w:t>
            </w:r>
          </w:p>
        </w:tc>
        <w:tc>
          <w:tcPr>
            <w:tcW w:w="1332" w:type="dxa"/>
            <w:gridSpan w:val="2"/>
          </w:tcPr>
          <w:p w14:paraId="7C3C4A2E">
            <w:pPr>
              <w:pStyle w:val="15"/>
              <w:spacing w:line="440" w:lineRule="atLeast"/>
              <w:jc w:val="center"/>
              <w:rPr>
                <w:rFonts w:hint="eastAsia" w:hAnsi="宋体"/>
                <w:szCs w:val="24"/>
              </w:rPr>
            </w:pPr>
            <w:r>
              <w:rPr>
                <w:rFonts w:hint="eastAsia" w:hAnsi="宋体"/>
                <w:szCs w:val="24"/>
              </w:rPr>
              <w:t>指标名称</w:t>
            </w:r>
          </w:p>
        </w:tc>
        <w:tc>
          <w:tcPr>
            <w:tcW w:w="1196" w:type="dxa"/>
            <w:gridSpan w:val="2"/>
          </w:tcPr>
          <w:p w14:paraId="2FF6C424">
            <w:pPr>
              <w:pStyle w:val="15"/>
              <w:spacing w:line="440" w:lineRule="atLeast"/>
              <w:rPr>
                <w:rFonts w:hint="eastAsia" w:hAnsi="宋体"/>
                <w:szCs w:val="24"/>
              </w:rPr>
            </w:pPr>
          </w:p>
        </w:tc>
        <w:tc>
          <w:tcPr>
            <w:tcW w:w="1216" w:type="dxa"/>
          </w:tcPr>
          <w:p w14:paraId="28CF759E">
            <w:pPr>
              <w:pStyle w:val="15"/>
              <w:spacing w:line="440" w:lineRule="atLeast"/>
              <w:rPr>
                <w:rFonts w:hint="eastAsia" w:hAnsi="宋体"/>
                <w:szCs w:val="24"/>
              </w:rPr>
            </w:pPr>
            <w:r>
              <w:rPr>
                <w:rFonts w:hint="eastAsia" w:hAnsi="宋体"/>
                <w:szCs w:val="24"/>
              </w:rPr>
              <w:t>实际完成</w:t>
            </w:r>
          </w:p>
        </w:tc>
        <w:tc>
          <w:tcPr>
            <w:tcW w:w="1320" w:type="dxa"/>
            <w:gridSpan w:val="2"/>
          </w:tcPr>
          <w:p w14:paraId="39DFEE63">
            <w:pPr>
              <w:pStyle w:val="15"/>
              <w:spacing w:line="440" w:lineRule="atLeast"/>
              <w:rPr>
                <w:rFonts w:hint="eastAsia" w:hAnsi="宋体"/>
                <w:szCs w:val="24"/>
              </w:rPr>
            </w:pPr>
          </w:p>
        </w:tc>
      </w:tr>
      <w:tr w14:paraId="764AC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666E597D">
            <w:pPr>
              <w:pStyle w:val="15"/>
              <w:spacing w:line="440" w:lineRule="atLeast"/>
              <w:rPr>
                <w:rFonts w:hint="eastAsia" w:hAnsi="宋体"/>
                <w:szCs w:val="24"/>
              </w:rPr>
            </w:pPr>
          </w:p>
        </w:tc>
        <w:tc>
          <w:tcPr>
            <w:tcW w:w="1485" w:type="dxa"/>
            <w:vMerge w:val="continue"/>
            <w:vAlign w:val="center"/>
          </w:tcPr>
          <w:p w14:paraId="326BF6D7">
            <w:pPr>
              <w:pStyle w:val="15"/>
              <w:spacing w:line="440" w:lineRule="atLeast"/>
              <w:jc w:val="center"/>
              <w:rPr>
                <w:rFonts w:hint="eastAsia" w:hAnsi="宋体"/>
                <w:szCs w:val="24"/>
              </w:rPr>
            </w:pPr>
          </w:p>
        </w:tc>
        <w:tc>
          <w:tcPr>
            <w:tcW w:w="5206" w:type="dxa"/>
            <w:gridSpan w:val="7"/>
            <w:vAlign w:val="center"/>
          </w:tcPr>
          <w:p w14:paraId="72E95531">
            <w:pPr>
              <w:pStyle w:val="15"/>
              <w:spacing w:line="440" w:lineRule="atLeast"/>
              <w:rPr>
                <w:rFonts w:hint="eastAsia" w:hAnsi="宋体"/>
                <w:szCs w:val="24"/>
              </w:rPr>
            </w:pPr>
            <w:r>
              <w:rPr>
                <w:rFonts w:hint="eastAsia" w:hAnsi="宋体"/>
                <w:szCs w:val="24"/>
              </w:rPr>
              <w:t>技术人员     其中：高级工程师     工程师</w:t>
            </w:r>
          </w:p>
        </w:tc>
        <w:tc>
          <w:tcPr>
            <w:tcW w:w="977" w:type="dxa"/>
            <w:vMerge w:val="continue"/>
          </w:tcPr>
          <w:p w14:paraId="7C7636C0">
            <w:pPr>
              <w:pStyle w:val="15"/>
              <w:spacing w:line="440" w:lineRule="atLeast"/>
              <w:rPr>
                <w:rFonts w:hint="eastAsia" w:hAnsi="宋体"/>
                <w:szCs w:val="24"/>
              </w:rPr>
            </w:pPr>
          </w:p>
        </w:tc>
        <w:tc>
          <w:tcPr>
            <w:tcW w:w="1332" w:type="dxa"/>
            <w:gridSpan w:val="2"/>
          </w:tcPr>
          <w:p w14:paraId="5E1F70FD">
            <w:pPr>
              <w:pStyle w:val="15"/>
              <w:spacing w:line="440" w:lineRule="atLeast"/>
              <w:rPr>
                <w:rFonts w:hint="eastAsia" w:hAnsi="宋体"/>
                <w:szCs w:val="24"/>
              </w:rPr>
            </w:pPr>
            <w:r>
              <w:rPr>
                <w:rFonts w:hint="eastAsia" w:hAnsi="宋体"/>
                <w:szCs w:val="24"/>
              </w:rPr>
              <w:t>工业总产值</w:t>
            </w:r>
          </w:p>
        </w:tc>
        <w:tc>
          <w:tcPr>
            <w:tcW w:w="1196" w:type="dxa"/>
            <w:gridSpan w:val="2"/>
          </w:tcPr>
          <w:p w14:paraId="773E82E2">
            <w:pPr>
              <w:pStyle w:val="15"/>
              <w:spacing w:line="440" w:lineRule="atLeast"/>
              <w:jc w:val="right"/>
              <w:rPr>
                <w:rFonts w:hint="eastAsia" w:hAnsi="宋体"/>
                <w:szCs w:val="24"/>
              </w:rPr>
            </w:pPr>
            <w:r>
              <w:rPr>
                <w:rFonts w:hint="eastAsia" w:hAnsi="宋体"/>
                <w:szCs w:val="24"/>
              </w:rPr>
              <w:t>万元</w:t>
            </w:r>
          </w:p>
        </w:tc>
        <w:tc>
          <w:tcPr>
            <w:tcW w:w="1216" w:type="dxa"/>
          </w:tcPr>
          <w:p w14:paraId="3430044D">
            <w:pPr>
              <w:pStyle w:val="15"/>
              <w:spacing w:line="440" w:lineRule="atLeast"/>
              <w:rPr>
                <w:rFonts w:hint="eastAsia" w:hAnsi="宋体"/>
                <w:szCs w:val="24"/>
              </w:rPr>
            </w:pPr>
          </w:p>
        </w:tc>
        <w:tc>
          <w:tcPr>
            <w:tcW w:w="1320" w:type="dxa"/>
            <w:gridSpan w:val="2"/>
          </w:tcPr>
          <w:p w14:paraId="3121BC8A">
            <w:pPr>
              <w:pStyle w:val="15"/>
              <w:spacing w:line="440" w:lineRule="atLeast"/>
              <w:rPr>
                <w:rFonts w:hint="eastAsia" w:hAnsi="宋体"/>
                <w:szCs w:val="24"/>
              </w:rPr>
            </w:pPr>
          </w:p>
        </w:tc>
      </w:tr>
      <w:tr w14:paraId="108CAB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2DCCFEFD">
            <w:pPr>
              <w:pStyle w:val="15"/>
              <w:spacing w:line="440" w:lineRule="atLeast"/>
              <w:rPr>
                <w:rFonts w:hint="eastAsia" w:hAnsi="宋体"/>
                <w:szCs w:val="24"/>
              </w:rPr>
            </w:pPr>
          </w:p>
        </w:tc>
        <w:tc>
          <w:tcPr>
            <w:tcW w:w="1485" w:type="dxa"/>
            <w:vMerge w:val="restart"/>
            <w:vAlign w:val="center"/>
          </w:tcPr>
          <w:p w14:paraId="2C5EE8EF">
            <w:pPr>
              <w:pStyle w:val="15"/>
              <w:spacing w:line="440" w:lineRule="atLeast"/>
              <w:jc w:val="center"/>
              <w:rPr>
                <w:rFonts w:hint="eastAsia" w:hAnsi="宋体"/>
                <w:szCs w:val="24"/>
              </w:rPr>
            </w:pPr>
            <w:r>
              <w:rPr>
                <w:rFonts w:hint="eastAsia" w:hAnsi="宋体"/>
                <w:szCs w:val="24"/>
              </w:rPr>
              <w:t>流动</w:t>
            </w:r>
          </w:p>
          <w:p w14:paraId="501AD511">
            <w:pPr>
              <w:pStyle w:val="15"/>
              <w:spacing w:line="440" w:lineRule="atLeast"/>
              <w:jc w:val="center"/>
              <w:rPr>
                <w:rFonts w:hint="eastAsia" w:hAnsi="宋体"/>
                <w:szCs w:val="24"/>
              </w:rPr>
            </w:pPr>
            <w:r>
              <w:rPr>
                <w:rFonts w:hint="eastAsia" w:hAnsi="宋体"/>
                <w:szCs w:val="24"/>
              </w:rPr>
              <w:t>资金</w:t>
            </w:r>
          </w:p>
        </w:tc>
        <w:tc>
          <w:tcPr>
            <w:tcW w:w="1842" w:type="dxa"/>
            <w:gridSpan w:val="2"/>
            <w:vMerge w:val="restart"/>
          </w:tcPr>
          <w:p w14:paraId="306CC884">
            <w:pPr>
              <w:pStyle w:val="15"/>
              <w:spacing w:line="440" w:lineRule="atLeast"/>
              <w:rPr>
                <w:rFonts w:hint="eastAsia" w:hAnsi="宋体"/>
                <w:szCs w:val="24"/>
              </w:rPr>
            </w:pPr>
          </w:p>
          <w:p w14:paraId="5855338A">
            <w:pPr>
              <w:pStyle w:val="15"/>
              <w:spacing w:line="440" w:lineRule="atLeast"/>
              <w:jc w:val="right"/>
              <w:rPr>
                <w:rFonts w:hint="eastAsia" w:hAnsi="宋体"/>
                <w:szCs w:val="24"/>
              </w:rPr>
            </w:pPr>
            <w:r>
              <w:rPr>
                <w:rFonts w:hint="eastAsia" w:hAnsi="宋体"/>
                <w:szCs w:val="24"/>
              </w:rPr>
              <w:t>万元</w:t>
            </w:r>
          </w:p>
        </w:tc>
        <w:tc>
          <w:tcPr>
            <w:tcW w:w="724" w:type="dxa"/>
            <w:gridSpan w:val="2"/>
            <w:vMerge w:val="restart"/>
            <w:vAlign w:val="center"/>
          </w:tcPr>
          <w:p w14:paraId="57A708D4">
            <w:pPr>
              <w:pStyle w:val="15"/>
              <w:spacing w:line="440" w:lineRule="atLeast"/>
              <w:jc w:val="center"/>
              <w:rPr>
                <w:rFonts w:hint="eastAsia" w:hAnsi="宋体"/>
                <w:szCs w:val="24"/>
              </w:rPr>
            </w:pPr>
            <w:r>
              <w:rPr>
                <w:rFonts w:hint="eastAsia" w:hAnsi="宋体"/>
                <w:szCs w:val="24"/>
              </w:rPr>
              <w:t>资金来源</w:t>
            </w:r>
          </w:p>
        </w:tc>
        <w:tc>
          <w:tcPr>
            <w:tcW w:w="1303" w:type="dxa"/>
            <w:gridSpan w:val="2"/>
          </w:tcPr>
          <w:p w14:paraId="3E0A82BC">
            <w:pPr>
              <w:pStyle w:val="15"/>
              <w:spacing w:line="440" w:lineRule="atLeast"/>
              <w:jc w:val="center"/>
              <w:rPr>
                <w:rFonts w:hint="eastAsia" w:hAnsi="宋体"/>
                <w:szCs w:val="24"/>
              </w:rPr>
            </w:pPr>
            <w:r>
              <w:rPr>
                <w:rFonts w:hint="eastAsia" w:hAnsi="宋体"/>
                <w:szCs w:val="24"/>
              </w:rPr>
              <w:t>自有资金</w:t>
            </w:r>
          </w:p>
        </w:tc>
        <w:tc>
          <w:tcPr>
            <w:tcW w:w="1337" w:type="dxa"/>
          </w:tcPr>
          <w:p w14:paraId="34463858">
            <w:pPr>
              <w:pStyle w:val="15"/>
              <w:spacing w:line="440" w:lineRule="atLeast"/>
              <w:jc w:val="right"/>
              <w:rPr>
                <w:rFonts w:hint="eastAsia" w:hAnsi="宋体"/>
                <w:szCs w:val="24"/>
              </w:rPr>
            </w:pPr>
            <w:r>
              <w:rPr>
                <w:rFonts w:hint="eastAsia" w:hAnsi="宋体"/>
                <w:szCs w:val="24"/>
              </w:rPr>
              <w:t>万元</w:t>
            </w:r>
          </w:p>
        </w:tc>
        <w:tc>
          <w:tcPr>
            <w:tcW w:w="977" w:type="dxa"/>
            <w:vMerge w:val="continue"/>
          </w:tcPr>
          <w:p w14:paraId="04EC5DD7">
            <w:pPr>
              <w:pStyle w:val="15"/>
              <w:spacing w:line="440" w:lineRule="atLeast"/>
              <w:rPr>
                <w:rFonts w:hint="eastAsia" w:hAnsi="宋体"/>
                <w:szCs w:val="24"/>
              </w:rPr>
            </w:pPr>
          </w:p>
        </w:tc>
        <w:tc>
          <w:tcPr>
            <w:tcW w:w="1332" w:type="dxa"/>
            <w:gridSpan w:val="2"/>
            <w:vAlign w:val="center"/>
          </w:tcPr>
          <w:p w14:paraId="7AD8BAB9">
            <w:pPr>
              <w:pStyle w:val="15"/>
              <w:spacing w:line="440" w:lineRule="atLeast"/>
              <w:jc w:val="center"/>
              <w:rPr>
                <w:rFonts w:hint="eastAsia" w:hAnsi="宋体"/>
                <w:szCs w:val="24"/>
              </w:rPr>
            </w:pPr>
            <w:r>
              <w:rPr>
                <w:rFonts w:hint="eastAsia" w:hAnsi="宋体"/>
                <w:szCs w:val="24"/>
              </w:rPr>
              <w:t>实现利润</w:t>
            </w:r>
          </w:p>
        </w:tc>
        <w:tc>
          <w:tcPr>
            <w:tcW w:w="1196" w:type="dxa"/>
            <w:gridSpan w:val="2"/>
          </w:tcPr>
          <w:p w14:paraId="67803F32">
            <w:pPr>
              <w:pStyle w:val="15"/>
              <w:spacing w:line="440" w:lineRule="atLeast"/>
              <w:jc w:val="right"/>
              <w:rPr>
                <w:rFonts w:hint="eastAsia" w:hAnsi="宋体"/>
                <w:szCs w:val="24"/>
              </w:rPr>
            </w:pPr>
            <w:r>
              <w:rPr>
                <w:rFonts w:hint="eastAsia" w:hAnsi="宋体"/>
                <w:szCs w:val="24"/>
              </w:rPr>
              <w:t>万元</w:t>
            </w:r>
          </w:p>
        </w:tc>
        <w:tc>
          <w:tcPr>
            <w:tcW w:w="1216" w:type="dxa"/>
          </w:tcPr>
          <w:p w14:paraId="3E0541E6">
            <w:pPr>
              <w:pStyle w:val="15"/>
              <w:spacing w:line="440" w:lineRule="atLeast"/>
              <w:rPr>
                <w:rFonts w:hint="eastAsia" w:hAnsi="宋体"/>
                <w:szCs w:val="24"/>
              </w:rPr>
            </w:pPr>
          </w:p>
        </w:tc>
        <w:tc>
          <w:tcPr>
            <w:tcW w:w="1320" w:type="dxa"/>
            <w:gridSpan w:val="2"/>
          </w:tcPr>
          <w:p w14:paraId="6ABDDB23">
            <w:pPr>
              <w:pStyle w:val="15"/>
              <w:spacing w:line="440" w:lineRule="atLeast"/>
              <w:rPr>
                <w:rFonts w:hint="eastAsia" w:hAnsi="宋体"/>
                <w:szCs w:val="24"/>
              </w:rPr>
            </w:pPr>
          </w:p>
        </w:tc>
      </w:tr>
      <w:tr w14:paraId="4860C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7F9FFD45">
            <w:pPr>
              <w:pStyle w:val="15"/>
              <w:spacing w:line="440" w:lineRule="atLeast"/>
              <w:rPr>
                <w:rFonts w:hint="eastAsia" w:hAnsi="宋体"/>
                <w:szCs w:val="24"/>
              </w:rPr>
            </w:pPr>
          </w:p>
        </w:tc>
        <w:tc>
          <w:tcPr>
            <w:tcW w:w="1485" w:type="dxa"/>
            <w:vMerge w:val="continue"/>
            <w:vAlign w:val="center"/>
          </w:tcPr>
          <w:p w14:paraId="37C44776">
            <w:pPr>
              <w:pStyle w:val="15"/>
              <w:spacing w:line="440" w:lineRule="atLeast"/>
              <w:jc w:val="center"/>
              <w:rPr>
                <w:rFonts w:hint="eastAsia" w:hAnsi="宋体"/>
                <w:szCs w:val="24"/>
              </w:rPr>
            </w:pPr>
          </w:p>
        </w:tc>
        <w:tc>
          <w:tcPr>
            <w:tcW w:w="1842" w:type="dxa"/>
            <w:gridSpan w:val="2"/>
            <w:vMerge w:val="continue"/>
          </w:tcPr>
          <w:p w14:paraId="7FF65C65">
            <w:pPr>
              <w:pStyle w:val="15"/>
              <w:spacing w:line="440" w:lineRule="atLeast"/>
              <w:rPr>
                <w:rFonts w:hint="eastAsia" w:hAnsi="宋体"/>
                <w:szCs w:val="24"/>
              </w:rPr>
            </w:pPr>
          </w:p>
        </w:tc>
        <w:tc>
          <w:tcPr>
            <w:tcW w:w="724" w:type="dxa"/>
            <w:gridSpan w:val="2"/>
            <w:vMerge w:val="continue"/>
          </w:tcPr>
          <w:p w14:paraId="2943896D">
            <w:pPr>
              <w:pStyle w:val="15"/>
              <w:spacing w:line="440" w:lineRule="atLeast"/>
              <w:jc w:val="center"/>
              <w:rPr>
                <w:rFonts w:hint="eastAsia" w:hAnsi="宋体"/>
                <w:szCs w:val="24"/>
              </w:rPr>
            </w:pPr>
          </w:p>
        </w:tc>
        <w:tc>
          <w:tcPr>
            <w:tcW w:w="1303" w:type="dxa"/>
            <w:gridSpan w:val="2"/>
          </w:tcPr>
          <w:p w14:paraId="1EFBE275">
            <w:pPr>
              <w:pStyle w:val="15"/>
              <w:spacing w:line="440" w:lineRule="atLeast"/>
              <w:jc w:val="center"/>
              <w:rPr>
                <w:rFonts w:hint="eastAsia" w:hAnsi="宋体"/>
                <w:szCs w:val="24"/>
              </w:rPr>
            </w:pPr>
            <w:r>
              <w:rPr>
                <w:rFonts w:hint="eastAsia" w:hAnsi="宋体"/>
                <w:szCs w:val="24"/>
              </w:rPr>
              <w:t>银行贷款</w:t>
            </w:r>
          </w:p>
        </w:tc>
        <w:tc>
          <w:tcPr>
            <w:tcW w:w="1337" w:type="dxa"/>
          </w:tcPr>
          <w:p w14:paraId="402B5D66">
            <w:pPr>
              <w:pStyle w:val="15"/>
              <w:spacing w:line="440" w:lineRule="atLeast"/>
              <w:jc w:val="right"/>
              <w:rPr>
                <w:rFonts w:hint="eastAsia" w:hAnsi="宋体"/>
                <w:szCs w:val="24"/>
              </w:rPr>
            </w:pPr>
            <w:r>
              <w:rPr>
                <w:rFonts w:hint="eastAsia" w:hAnsi="宋体"/>
                <w:szCs w:val="24"/>
              </w:rPr>
              <w:t>万元</w:t>
            </w:r>
          </w:p>
        </w:tc>
        <w:tc>
          <w:tcPr>
            <w:tcW w:w="977" w:type="dxa"/>
            <w:vMerge w:val="continue"/>
          </w:tcPr>
          <w:p w14:paraId="5AAAE30D">
            <w:pPr>
              <w:pStyle w:val="15"/>
              <w:spacing w:line="440" w:lineRule="atLeast"/>
              <w:rPr>
                <w:rFonts w:hint="eastAsia" w:hAnsi="宋体"/>
                <w:szCs w:val="24"/>
              </w:rPr>
            </w:pPr>
          </w:p>
        </w:tc>
        <w:tc>
          <w:tcPr>
            <w:tcW w:w="1332" w:type="dxa"/>
            <w:gridSpan w:val="2"/>
            <w:vMerge w:val="restart"/>
            <w:vAlign w:val="center"/>
          </w:tcPr>
          <w:p w14:paraId="68D5511F">
            <w:pPr>
              <w:pStyle w:val="15"/>
              <w:spacing w:line="440" w:lineRule="atLeast"/>
              <w:rPr>
                <w:rFonts w:hint="eastAsia" w:hAnsi="宋体"/>
                <w:szCs w:val="24"/>
              </w:rPr>
            </w:pPr>
            <w:r>
              <w:rPr>
                <w:rFonts w:hint="eastAsia" w:hAnsi="宋体"/>
                <w:szCs w:val="24"/>
              </w:rPr>
              <w:t>主要产品</w:t>
            </w:r>
          </w:p>
        </w:tc>
        <w:tc>
          <w:tcPr>
            <w:tcW w:w="3732" w:type="dxa"/>
            <w:gridSpan w:val="5"/>
            <w:vMerge w:val="restart"/>
          </w:tcPr>
          <w:p w14:paraId="5A960593">
            <w:pPr>
              <w:pStyle w:val="15"/>
              <w:spacing w:line="440" w:lineRule="atLeast"/>
              <w:rPr>
                <w:rFonts w:hint="eastAsia" w:hAnsi="宋体"/>
                <w:szCs w:val="24"/>
              </w:rPr>
            </w:pPr>
          </w:p>
        </w:tc>
      </w:tr>
      <w:tr w14:paraId="4CB535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43C4C21D">
            <w:pPr>
              <w:pStyle w:val="15"/>
              <w:spacing w:line="440" w:lineRule="atLeast"/>
              <w:rPr>
                <w:rFonts w:hint="eastAsia" w:hAnsi="宋体"/>
                <w:szCs w:val="24"/>
              </w:rPr>
            </w:pPr>
          </w:p>
        </w:tc>
        <w:tc>
          <w:tcPr>
            <w:tcW w:w="1485" w:type="dxa"/>
            <w:vMerge w:val="restart"/>
            <w:vAlign w:val="center"/>
          </w:tcPr>
          <w:p w14:paraId="6E57AD0C">
            <w:pPr>
              <w:pStyle w:val="15"/>
              <w:spacing w:line="440" w:lineRule="atLeast"/>
              <w:jc w:val="center"/>
              <w:rPr>
                <w:rFonts w:hint="eastAsia" w:hAnsi="宋体"/>
                <w:szCs w:val="24"/>
              </w:rPr>
            </w:pPr>
            <w:r>
              <w:rPr>
                <w:rFonts w:hint="eastAsia" w:hAnsi="宋体"/>
                <w:szCs w:val="24"/>
              </w:rPr>
              <w:t>固定</w:t>
            </w:r>
          </w:p>
          <w:p w14:paraId="34968F62">
            <w:pPr>
              <w:pStyle w:val="15"/>
              <w:spacing w:line="440" w:lineRule="atLeast"/>
              <w:jc w:val="center"/>
              <w:rPr>
                <w:rFonts w:hint="eastAsia" w:hAnsi="宋体"/>
                <w:szCs w:val="24"/>
              </w:rPr>
            </w:pPr>
            <w:r>
              <w:rPr>
                <w:rFonts w:hint="eastAsia" w:hAnsi="宋体"/>
                <w:szCs w:val="24"/>
              </w:rPr>
              <w:t>资产</w:t>
            </w:r>
          </w:p>
        </w:tc>
        <w:tc>
          <w:tcPr>
            <w:tcW w:w="1842" w:type="dxa"/>
            <w:gridSpan w:val="2"/>
            <w:vMerge w:val="restart"/>
          </w:tcPr>
          <w:p w14:paraId="0F077D58">
            <w:pPr>
              <w:pStyle w:val="15"/>
              <w:spacing w:line="440" w:lineRule="atLeast"/>
              <w:rPr>
                <w:rFonts w:hint="eastAsia" w:hAnsi="宋体"/>
                <w:szCs w:val="24"/>
              </w:rPr>
            </w:pPr>
            <w:r>
              <w:rPr>
                <w:rFonts w:hint="eastAsia" w:hAnsi="宋体"/>
                <w:szCs w:val="24"/>
              </w:rPr>
              <w:t>原值    万元</w:t>
            </w:r>
          </w:p>
          <w:p w14:paraId="2D604B2C">
            <w:pPr>
              <w:pStyle w:val="15"/>
              <w:spacing w:line="440" w:lineRule="atLeast"/>
              <w:rPr>
                <w:rFonts w:hint="eastAsia" w:hAnsi="宋体"/>
                <w:szCs w:val="24"/>
              </w:rPr>
            </w:pPr>
            <w:r>
              <w:rPr>
                <w:rFonts w:hint="eastAsia" w:hAnsi="宋体"/>
                <w:szCs w:val="24"/>
              </w:rPr>
              <w:t>净值    万元</w:t>
            </w:r>
          </w:p>
        </w:tc>
        <w:tc>
          <w:tcPr>
            <w:tcW w:w="724" w:type="dxa"/>
            <w:gridSpan w:val="2"/>
            <w:vMerge w:val="restart"/>
            <w:vAlign w:val="center"/>
          </w:tcPr>
          <w:p w14:paraId="6230A548">
            <w:pPr>
              <w:pStyle w:val="15"/>
              <w:spacing w:line="440" w:lineRule="atLeast"/>
              <w:jc w:val="center"/>
              <w:rPr>
                <w:rFonts w:hint="eastAsia" w:hAnsi="宋体"/>
                <w:szCs w:val="24"/>
              </w:rPr>
            </w:pPr>
            <w:r>
              <w:rPr>
                <w:rFonts w:hint="eastAsia" w:hAnsi="宋体"/>
                <w:szCs w:val="24"/>
              </w:rPr>
              <w:t>资金性质</w:t>
            </w:r>
          </w:p>
        </w:tc>
        <w:tc>
          <w:tcPr>
            <w:tcW w:w="1303" w:type="dxa"/>
            <w:gridSpan w:val="2"/>
          </w:tcPr>
          <w:p w14:paraId="7F41B43D">
            <w:pPr>
              <w:pStyle w:val="15"/>
              <w:spacing w:line="440" w:lineRule="atLeast"/>
              <w:jc w:val="center"/>
              <w:rPr>
                <w:rFonts w:hint="eastAsia" w:hAnsi="宋体"/>
                <w:szCs w:val="24"/>
              </w:rPr>
            </w:pPr>
            <w:r>
              <w:rPr>
                <w:rFonts w:hint="eastAsia" w:hAnsi="宋体"/>
                <w:szCs w:val="24"/>
              </w:rPr>
              <w:t>生产性</w:t>
            </w:r>
          </w:p>
        </w:tc>
        <w:tc>
          <w:tcPr>
            <w:tcW w:w="1337" w:type="dxa"/>
          </w:tcPr>
          <w:p w14:paraId="16AC7662">
            <w:pPr>
              <w:pStyle w:val="15"/>
              <w:spacing w:line="440" w:lineRule="atLeast"/>
              <w:jc w:val="right"/>
              <w:rPr>
                <w:rFonts w:hint="eastAsia" w:hAnsi="宋体"/>
                <w:szCs w:val="24"/>
              </w:rPr>
            </w:pPr>
            <w:r>
              <w:rPr>
                <w:rFonts w:hint="eastAsia" w:hAnsi="宋体"/>
                <w:szCs w:val="24"/>
              </w:rPr>
              <w:t>万元</w:t>
            </w:r>
          </w:p>
        </w:tc>
        <w:tc>
          <w:tcPr>
            <w:tcW w:w="977" w:type="dxa"/>
            <w:vMerge w:val="continue"/>
          </w:tcPr>
          <w:p w14:paraId="71464891">
            <w:pPr>
              <w:pStyle w:val="15"/>
              <w:spacing w:line="440" w:lineRule="atLeast"/>
              <w:rPr>
                <w:rFonts w:hint="eastAsia" w:hAnsi="宋体"/>
                <w:szCs w:val="24"/>
              </w:rPr>
            </w:pPr>
          </w:p>
        </w:tc>
        <w:tc>
          <w:tcPr>
            <w:tcW w:w="1332" w:type="dxa"/>
            <w:gridSpan w:val="2"/>
            <w:vMerge w:val="continue"/>
          </w:tcPr>
          <w:p w14:paraId="305AE102">
            <w:pPr>
              <w:pStyle w:val="15"/>
              <w:spacing w:line="440" w:lineRule="atLeast"/>
              <w:rPr>
                <w:rFonts w:hint="eastAsia" w:hAnsi="宋体"/>
                <w:szCs w:val="24"/>
              </w:rPr>
            </w:pPr>
          </w:p>
        </w:tc>
        <w:tc>
          <w:tcPr>
            <w:tcW w:w="3732" w:type="dxa"/>
            <w:gridSpan w:val="5"/>
            <w:vMerge w:val="continue"/>
          </w:tcPr>
          <w:p w14:paraId="2976C6CB">
            <w:pPr>
              <w:pStyle w:val="15"/>
              <w:spacing w:line="440" w:lineRule="atLeast"/>
              <w:rPr>
                <w:rFonts w:hint="eastAsia" w:hAnsi="宋体"/>
                <w:szCs w:val="24"/>
              </w:rPr>
            </w:pPr>
          </w:p>
        </w:tc>
      </w:tr>
      <w:tr w14:paraId="2274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5EBF70B5">
            <w:pPr>
              <w:pStyle w:val="15"/>
              <w:spacing w:line="440" w:lineRule="atLeast"/>
              <w:rPr>
                <w:rFonts w:hint="eastAsia" w:hAnsi="宋体"/>
                <w:szCs w:val="24"/>
              </w:rPr>
            </w:pPr>
          </w:p>
        </w:tc>
        <w:tc>
          <w:tcPr>
            <w:tcW w:w="1485" w:type="dxa"/>
            <w:vMerge w:val="continue"/>
          </w:tcPr>
          <w:p w14:paraId="7153A791">
            <w:pPr>
              <w:pStyle w:val="15"/>
              <w:spacing w:line="440" w:lineRule="atLeast"/>
              <w:rPr>
                <w:rFonts w:hint="eastAsia" w:hAnsi="宋体"/>
                <w:szCs w:val="24"/>
              </w:rPr>
            </w:pPr>
          </w:p>
        </w:tc>
        <w:tc>
          <w:tcPr>
            <w:tcW w:w="1842" w:type="dxa"/>
            <w:gridSpan w:val="2"/>
            <w:vMerge w:val="continue"/>
          </w:tcPr>
          <w:p w14:paraId="31506162">
            <w:pPr>
              <w:pStyle w:val="15"/>
              <w:spacing w:line="440" w:lineRule="atLeast"/>
              <w:rPr>
                <w:rFonts w:hint="eastAsia" w:hAnsi="宋体"/>
                <w:szCs w:val="24"/>
              </w:rPr>
            </w:pPr>
          </w:p>
        </w:tc>
        <w:tc>
          <w:tcPr>
            <w:tcW w:w="724" w:type="dxa"/>
            <w:gridSpan w:val="2"/>
            <w:vMerge w:val="continue"/>
          </w:tcPr>
          <w:p w14:paraId="73B4C23E">
            <w:pPr>
              <w:pStyle w:val="15"/>
              <w:spacing w:line="440" w:lineRule="atLeast"/>
              <w:rPr>
                <w:rFonts w:hint="eastAsia" w:hAnsi="宋体"/>
                <w:szCs w:val="24"/>
              </w:rPr>
            </w:pPr>
          </w:p>
        </w:tc>
        <w:tc>
          <w:tcPr>
            <w:tcW w:w="1303" w:type="dxa"/>
            <w:gridSpan w:val="2"/>
          </w:tcPr>
          <w:p w14:paraId="788CB5F6">
            <w:pPr>
              <w:pStyle w:val="15"/>
              <w:spacing w:line="440" w:lineRule="atLeast"/>
              <w:jc w:val="center"/>
              <w:rPr>
                <w:rFonts w:hint="eastAsia" w:hAnsi="宋体"/>
                <w:szCs w:val="24"/>
              </w:rPr>
            </w:pPr>
            <w:r>
              <w:rPr>
                <w:rFonts w:hint="eastAsia" w:hAnsi="宋体"/>
                <w:szCs w:val="24"/>
              </w:rPr>
              <w:t>非生产性</w:t>
            </w:r>
          </w:p>
        </w:tc>
        <w:tc>
          <w:tcPr>
            <w:tcW w:w="1337" w:type="dxa"/>
          </w:tcPr>
          <w:p w14:paraId="492D9EDE">
            <w:pPr>
              <w:pStyle w:val="15"/>
              <w:spacing w:line="440" w:lineRule="atLeast"/>
              <w:jc w:val="right"/>
              <w:rPr>
                <w:rFonts w:hint="eastAsia" w:hAnsi="宋体"/>
                <w:szCs w:val="24"/>
              </w:rPr>
            </w:pPr>
            <w:r>
              <w:rPr>
                <w:rFonts w:hint="eastAsia" w:hAnsi="宋体"/>
                <w:szCs w:val="24"/>
              </w:rPr>
              <w:t>万元</w:t>
            </w:r>
          </w:p>
        </w:tc>
        <w:tc>
          <w:tcPr>
            <w:tcW w:w="977" w:type="dxa"/>
            <w:vMerge w:val="continue"/>
          </w:tcPr>
          <w:p w14:paraId="76349844">
            <w:pPr>
              <w:pStyle w:val="15"/>
              <w:spacing w:line="440" w:lineRule="atLeast"/>
              <w:rPr>
                <w:rFonts w:hint="eastAsia" w:hAnsi="宋体"/>
                <w:szCs w:val="24"/>
              </w:rPr>
            </w:pPr>
          </w:p>
        </w:tc>
        <w:tc>
          <w:tcPr>
            <w:tcW w:w="1332" w:type="dxa"/>
            <w:gridSpan w:val="2"/>
            <w:vMerge w:val="continue"/>
          </w:tcPr>
          <w:p w14:paraId="5AC25EF0">
            <w:pPr>
              <w:pStyle w:val="15"/>
              <w:spacing w:line="440" w:lineRule="atLeast"/>
              <w:rPr>
                <w:rFonts w:hint="eastAsia" w:hAnsi="宋体"/>
                <w:szCs w:val="24"/>
              </w:rPr>
            </w:pPr>
          </w:p>
        </w:tc>
        <w:tc>
          <w:tcPr>
            <w:tcW w:w="3732" w:type="dxa"/>
            <w:gridSpan w:val="5"/>
            <w:vMerge w:val="continue"/>
          </w:tcPr>
          <w:p w14:paraId="6DC10F4D">
            <w:pPr>
              <w:pStyle w:val="15"/>
              <w:spacing w:line="440" w:lineRule="atLeast"/>
              <w:rPr>
                <w:rFonts w:hint="eastAsia" w:hAnsi="宋体"/>
                <w:szCs w:val="24"/>
              </w:rPr>
            </w:pPr>
          </w:p>
        </w:tc>
      </w:tr>
      <w:tr w14:paraId="33A76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2" w:hRule="atLeast"/>
          <w:jc w:val="center"/>
        </w:trPr>
        <w:tc>
          <w:tcPr>
            <w:tcW w:w="835" w:type="dxa"/>
            <w:vMerge w:val="restart"/>
          </w:tcPr>
          <w:p w14:paraId="7B0DB117">
            <w:pPr>
              <w:pStyle w:val="15"/>
              <w:spacing w:line="440" w:lineRule="atLeast"/>
              <w:jc w:val="center"/>
              <w:rPr>
                <w:rFonts w:hint="eastAsia" w:hAnsi="宋体"/>
                <w:szCs w:val="24"/>
              </w:rPr>
            </w:pPr>
            <w:r>
              <w:rPr>
                <w:rFonts w:hint="eastAsia" w:hAnsi="宋体"/>
                <w:szCs w:val="24"/>
              </w:rPr>
              <w:t>投标产品</w:t>
            </w:r>
          </w:p>
          <w:p w14:paraId="574FC82C">
            <w:pPr>
              <w:pStyle w:val="15"/>
              <w:spacing w:line="440" w:lineRule="atLeast"/>
              <w:jc w:val="center"/>
              <w:rPr>
                <w:rFonts w:hint="eastAsia" w:hAnsi="宋体"/>
                <w:szCs w:val="24"/>
              </w:rPr>
            </w:pPr>
            <w:r>
              <w:rPr>
                <w:rFonts w:hint="eastAsia" w:hAnsi="宋体"/>
                <w:szCs w:val="24"/>
              </w:rPr>
              <w:t>情况</w:t>
            </w:r>
          </w:p>
        </w:tc>
        <w:tc>
          <w:tcPr>
            <w:tcW w:w="2134" w:type="dxa"/>
            <w:gridSpan w:val="2"/>
            <w:vAlign w:val="center"/>
          </w:tcPr>
          <w:p w14:paraId="2ABF33E6">
            <w:pPr>
              <w:pStyle w:val="15"/>
              <w:spacing w:line="440" w:lineRule="atLeast"/>
              <w:jc w:val="center"/>
              <w:rPr>
                <w:rFonts w:hint="eastAsia" w:hAnsi="宋体"/>
                <w:szCs w:val="24"/>
              </w:rPr>
            </w:pPr>
            <w:r>
              <w:rPr>
                <w:rFonts w:hint="eastAsia" w:hAnsi="宋体"/>
                <w:szCs w:val="24"/>
              </w:rPr>
              <w:t>投标产品名称</w:t>
            </w:r>
          </w:p>
        </w:tc>
        <w:tc>
          <w:tcPr>
            <w:tcW w:w="1193" w:type="dxa"/>
            <w:vAlign w:val="center"/>
          </w:tcPr>
          <w:p w14:paraId="0436D853">
            <w:pPr>
              <w:pStyle w:val="15"/>
              <w:spacing w:line="440" w:lineRule="atLeast"/>
              <w:jc w:val="center"/>
              <w:rPr>
                <w:rFonts w:hint="eastAsia" w:hAnsi="宋体"/>
                <w:szCs w:val="24"/>
              </w:rPr>
            </w:pPr>
            <w:r>
              <w:rPr>
                <w:rFonts w:hint="eastAsia" w:hAnsi="宋体"/>
                <w:szCs w:val="24"/>
              </w:rPr>
              <w:t>型  号</w:t>
            </w:r>
          </w:p>
        </w:tc>
        <w:tc>
          <w:tcPr>
            <w:tcW w:w="724" w:type="dxa"/>
            <w:gridSpan w:val="2"/>
          </w:tcPr>
          <w:p w14:paraId="47158C7E">
            <w:pPr>
              <w:pStyle w:val="15"/>
              <w:spacing w:line="440" w:lineRule="atLeast"/>
              <w:jc w:val="center"/>
              <w:rPr>
                <w:rFonts w:hint="eastAsia" w:hAnsi="宋体"/>
                <w:szCs w:val="24"/>
              </w:rPr>
            </w:pPr>
            <w:r>
              <w:rPr>
                <w:rFonts w:hint="eastAsia" w:hAnsi="宋体"/>
                <w:szCs w:val="24"/>
              </w:rPr>
              <w:t>上年产量</w:t>
            </w:r>
          </w:p>
        </w:tc>
        <w:tc>
          <w:tcPr>
            <w:tcW w:w="2640" w:type="dxa"/>
            <w:gridSpan w:val="3"/>
            <w:vAlign w:val="center"/>
          </w:tcPr>
          <w:p w14:paraId="20BB9B49">
            <w:pPr>
              <w:pStyle w:val="15"/>
              <w:spacing w:line="440" w:lineRule="atLeast"/>
              <w:jc w:val="center"/>
              <w:rPr>
                <w:rFonts w:hint="eastAsia" w:hAnsi="宋体"/>
                <w:szCs w:val="24"/>
              </w:rPr>
            </w:pPr>
            <w:r>
              <w:rPr>
                <w:rFonts w:hint="eastAsia" w:hAnsi="宋体"/>
                <w:szCs w:val="24"/>
              </w:rPr>
              <w:t>产品技术先进水平</w:t>
            </w:r>
          </w:p>
        </w:tc>
        <w:tc>
          <w:tcPr>
            <w:tcW w:w="977" w:type="dxa"/>
          </w:tcPr>
          <w:p w14:paraId="58410D5E">
            <w:pPr>
              <w:pStyle w:val="15"/>
              <w:spacing w:line="440" w:lineRule="atLeast"/>
              <w:jc w:val="center"/>
              <w:rPr>
                <w:rFonts w:hint="eastAsia" w:hAnsi="宋体"/>
                <w:szCs w:val="24"/>
              </w:rPr>
            </w:pPr>
            <w:r>
              <w:rPr>
                <w:rFonts w:hint="eastAsia" w:hAnsi="宋体"/>
                <w:szCs w:val="24"/>
              </w:rPr>
              <w:t>优质</w:t>
            </w:r>
          </w:p>
          <w:p w14:paraId="52AAC4C9">
            <w:pPr>
              <w:pStyle w:val="15"/>
              <w:spacing w:line="440" w:lineRule="atLeast"/>
              <w:jc w:val="center"/>
              <w:rPr>
                <w:rFonts w:hint="eastAsia" w:hAnsi="宋体"/>
                <w:szCs w:val="24"/>
              </w:rPr>
            </w:pPr>
            <w:r>
              <w:rPr>
                <w:rFonts w:hint="eastAsia" w:hAnsi="宋体"/>
                <w:szCs w:val="24"/>
              </w:rPr>
              <w:t>品率</w:t>
            </w:r>
          </w:p>
        </w:tc>
        <w:tc>
          <w:tcPr>
            <w:tcW w:w="1332" w:type="dxa"/>
            <w:gridSpan w:val="2"/>
            <w:vAlign w:val="center"/>
          </w:tcPr>
          <w:p w14:paraId="7C4C3399">
            <w:pPr>
              <w:pStyle w:val="15"/>
              <w:spacing w:line="440" w:lineRule="atLeast"/>
              <w:jc w:val="center"/>
              <w:rPr>
                <w:rFonts w:hint="eastAsia" w:hAnsi="宋体"/>
                <w:szCs w:val="24"/>
              </w:rPr>
            </w:pPr>
            <w:r>
              <w:rPr>
                <w:rFonts w:hint="eastAsia" w:hAnsi="宋体"/>
                <w:szCs w:val="24"/>
              </w:rPr>
              <w:t>一等品率</w:t>
            </w:r>
          </w:p>
        </w:tc>
        <w:tc>
          <w:tcPr>
            <w:tcW w:w="3732" w:type="dxa"/>
            <w:gridSpan w:val="5"/>
            <w:vAlign w:val="center"/>
          </w:tcPr>
          <w:p w14:paraId="126479F5">
            <w:pPr>
              <w:pStyle w:val="15"/>
              <w:spacing w:line="440" w:lineRule="atLeast"/>
              <w:jc w:val="center"/>
              <w:rPr>
                <w:rFonts w:hint="eastAsia" w:hAnsi="宋体"/>
                <w:szCs w:val="24"/>
              </w:rPr>
            </w:pPr>
            <w:r>
              <w:rPr>
                <w:rFonts w:hint="eastAsia" w:hAnsi="宋体"/>
                <w:szCs w:val="24"/>
              </w:rPr>
              <w:t>曾获何种奖励</w:t>
            </w:r>
          </w:p>
        </w:tc>
      </w:tr>
      <w:tr w14:paraId="59E0F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 w:hRule="atLeast"/>
          <w:jc w:val="center"/>
        </w:trPr>
        <w:tc>
          <w:tcPr>
            <w:tcW w:w="835" w:type="dxa"/>
            <w:vMerge w:val="continue"/>
          </w:tcPr>
          <w:p w14:paraId="38DE2E26">
            <w:pPr>
              <w:pStyle w:val="15"/>
              <w:spacing w:line="440" w:lineRule="atLeast"/>
              <w:rPr>
                <w:rFonts w:hint="eastAsia" w:hAnsi="宋体"/>
                <w:szCs w:val="24"/>
              </w:rPr>
            </w:pPr>
          </w:p>
        </w:tc>
        <w:tc>
          <w:tcPr>
            <w:tcW w:w="2134" w:type="dxa"/>
            <w:gridSpan w:val="2"/>
          </w:tcPr>
          <w:p w14:paraId="3E9D2984">
            <w:pPr>
              <w:pStyle w:val="15"/>
              <w:spacing w:line="440" w:lineRule="atLeast"/>
              <w:rPr>
                <w:rFonts w:hint="eastAsia" w:hAnsi="宋体"/>
                <w:szCs w:val="24"/>
              </w:rPr>
            </w:pPr>
          </w:p>
        </w:tc>
        <w:tc>
          <w:tcPr>
            <w:tcW w:w="1193" w:type="dxa"/>
          </w:tcPr>
          <w:p w14:paraId="2E4E9242">
            <w:pPr>
              <w:pStyle w:val="15"/>
              <w:spacing w:line="440" w:lineRule="atLeast"/>
              <w:rPr>
                <w:rFonts w:hint="eastAsia" w:hAnsi="宋体"/>
                <w:szCs w:val="24"/>
              </w:rPr>
            </w:pPr>
          </w:p>
        </w:tc>
        <w:tc>
          <w:tcPr>
            <w:tcW w:w="724" w:type="dxa"/>
            <w:gridSpan w:val="2"/>
          </w:tcPr>
          <w:p w14:paraId="174DB7A2">
            <w:pPr>
              <w:pStyle w:val="15"/>
              <w:spacing w:line="440" w:lineRule="atLeast"/>
              <w:rPr>
                <w:rFonts w:hint="eastAsia" w:hAnsi="宋体"/>
                <w:szCs w:val="24"/>
              </w:rPr>
            </w:pPr>
          </w:p>
        </w:tc>
        <w:tc>
          <w:tcPr>
            <w:tcW w:w="2640" w:type="dxa"/>
            <w:gridSpan w:val="3"/>
          </w:tcPr>
          <w:p w14:paraId="1B8A8A89">
            <w:pPr>
              <w:pStyle w:val="15"/>
              <w:spacing w:line="440" w:lineRule="atLeast"/>
              <w:rPr>
                <w:rFonts w:hint="eastAsia" w:hAnsi="宋体"/>
                <w:szCs w:val="24"/>
              </w:rPr>
            </w:pPr>
          </w:p>
        </w:tc>
        <w:tc>
          <w:tcPr>
            <w:tcW w:w="977" w:type="dxa"/>
          </w:tcPr>
          <w:p w14:paraId="2CF16497">
            <w:pPr>
              <w:pStyle w:val="15"/>
              <w:spacing w:line="440" w:lineRule="atLeast"/>
              <w:rPr>
                <w:rFonts w:hint="eastAsia" w:hAnsi="宋体"/>
                <w:szCs w:val="24"/>
              </w:rPr>
            </w:pPr>
          </w:p>
        </w:tc>
        <w:tc>
          <w:tcPr>
            <w:tcW w:w="1332" w:type="dxa"/>
            <w:gridSpan w:val="2"/>
          </w:tcPr>
          <w:p w14:paraId="43ACBEE2">
            <w:pPr>
              <w:pStyle w:val="15"/>
              <w:spacing w:line="440" w:lineRule="atLeast"/>
              <w:rPr>
                <w:rFonts w:hint="eastAsia" w:hAnsi="宋体"/>
                <w:szCs w:val="24"/>
              </w:rPr>
            </w:pPr>
          </w:p>
        </w:tc>
        <w:tc>
          <w:tcPr>
            <w:tcW w:w="3732" w:type="dxa"/>
            <w:gridSpan w:val="5"/>
          </w:tcPr>
          <w:p w14:paraId="5523CF9F">
            <w:pPr>
              <w:pStyle w:val="15"/>
              <w:spacing w:line="440" w:lineRule="atLeast"/>
              <w:rPr>
                <w:rFonts w:hint="eastAsia" w:hAnsi="宋体"/>
                <w:szCs w:val="24"/>
              </w:rPr>
            </w:pPr>
          </w:p>
        </w:tc>
      </w:tr>
    </w:tbl>
    <w:p w14:paraId="26D83A4B">
      <w:pPr>
        <w:spacing w:line="440" w:lineRule="atLeast"/>
        <w:rPr>
          <w:rFonts w:ascii="宋体"/>
          <w:lang w:val="zh-CN"/>
        </w:rPr>
      </w:pPr>
    </w:p>
    <w:p w14:paraId="50412929">
      <w:pPr>
        <w:spacing w:line="440" w:lineRule="atLeast"/>
        <w:rPr>
          <w:rFonts w:ascii="宋体"/>
          <w:lang w:val="zh-CN"/>
        </w:rPr>
        <w:sectPr>
          <w:pgSz w:w="16838" w:h="11906" w:orient="landscape"/>
          <w:pgMar w:top="964" w:right="1247" w:bottom="964" w:left="1247" w:header="794" w:footer="851" w:gutter="0"/>
          <w:pgNumType w:fmt="decimal"/>
          <w:cols w:space="720" w:num="1"/>
          <w:titlePg/>
        </w:sectPr>
      </w:pPr>
      <w:r>
        <w:rPr>
          <w:rFonts w:hint="eastAsia" w:ascii="宋体" w:hAnsi="宋体"/>
        </w:rPr>
        <w:t xml:space="preserve">法定代表人（签字或盖章）：               投标人或制造商（盖章）：                   日期：   年   月  </w:t>
      </w:r>
      <w:r>
        <w:rPr>
          <w:rFonts w:hint="eastAsia" w:ascii="宋体"/>
          <w:lang w:val="zh-CN"/>
        </w:rPr>
        <w:t xml:space="preserve"> </w:t>
      </w:r>
    </w:p>
    <w:p w14:paraId="37FA8962">
      <w:pPr>
        <w:pStyle w:val="3"/>
        <w:numPr>
          <w:ilvl w:val="0"/>
          <w:numId w:val="34"/>
        </w:numPr>
        <w:bidi w:val="0"/>
        <w:ind w:left="0" w:leftChars="0" w:firstLine="420" w:firstLineChars="0"/>
        <w:rPr>
          <w:rFonts w:hint="eastAsia"/>
        </w:rPr>
      </w:pPr>
      <w:bookmarkStart w:id="123" w:name="_Toc20195"/>
      <w:bookmarkStart w:id="124" w:name="_Toc194741154"/>
      <w:r>
        <w:rPr>
          <w:rFonts w:hint="eastAsia"/>
        </w:rPr>
        <w:t>项目实施情况一览表</w:t>
      </w:r>
      <w:bookmarkEnd w:id="123"/>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2"/>
        <w:gridCol w:w="1342"/>
        <w:gridCol w:w="1342"/>
        <w:gridCol w:w="512"/>
        <w:gridCol w:w="1873"/>
        <w:gridCol w:w="1302"/>
        <w:gridCol w:w="1302"/>
      </w:tblGrid>
      <w:tr w14:paraId="789A7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vAlign w:val="center"/>
          </w:tcPr>
          <w:p w14:paraId="21754AD9">
            <w:pPr>
              <w:spacing w:line="400" w:lineRule="atLeast"/>
              <w:jc w:val="center"/>
              <w:rPr>
                <w:rFonts w:ascii="宋体" w:hAnsi="宋体"/>
              </w:rPr>
            </w:pPr>
            <w:r>
              <w:rPr>
                <w:rFonts w:hint="eastAsia" w:ascii="宋体" w:hAnsi="宋体"/>
              </w:rPr>
              <w:t>产品名称</w:t>
            </w:r>
          </w:p>
        </w:tc>
        <w:tc>
          <w:tcPr>
            <w:tcW w:w="1342" w:type="dxa"/>
            <w:vAlign w:val="center"/>
          </w:tcPr>
          <w:p w14:paraId="2BC51CEF">
            <w:pPr>
              <w:spacing w:line="400" w:lineRule="atLeast"/>
              <w:jc w:val="center"/>
              <w:rPr>
                <w:rFonts w:ascii="宋体" w:hAnsi="宋体"/>
              </w:rPr>
            </w:pPr>
            <w:r>
              <w:rPr>
                <w:rFonts w:hint="eastAsia" w:ascii="宋体" w:hAnsi="宋体"/>
              </w:rPr>
              <w:t>型号规格</w:t>
            </w:r>
          </w:p>
        </w:tc>
        <w:tc>
          <w:tcPr>
            <w:tcW w:w="1342" w:type="dxa"/>
            <w:vAlign w:val="center"/>
          </w:tcPr>
          <w:p w14:paraId="43F3B5D8">
            <w:pPr>
              <w:spacing w:line="400" w:lineRule="atLeast"/>
              <w:jc w:val="center"/>
              <w:rPr>
                <w:rFonts w:ascii="宋体" w:hAnsi="宋体"/>
              </w:rPr>
            </w:pPr>
            <w:r>
              <w:rPr>
                <w:rFonts w:hint="eastAsia" w:ascii="宋体" w:hAnsi="宋体"/>
              </w:rPr>
              <w:t>主要参数</w:t>
            </w:r>
          </w:p>
        </w:tc>
        <w:tc>
          <w:tcPr>
            <w:tcW w:w="512" w:type="dxa"/>
            <w:vAlign w:val="center"/>
          </w:tcPr>
          <w:p w14:paraId="77940212">
            <w:pPr>
              <w:spacing w:line="400" w:lineRule="atLeast"/>
              <w:jc w:val="center"/>
              <w:rPr>
                <w:rFonts w:ascii="宋体" w:hAnsi="宋体"/>
              </w:rPr>
            </w:pPr>
            <w:r>
              <w:rPr>
                <w:rFonts w:hint="eastAsia" w:ascii="宋体" w:hAnsi="宋体"/>
              </w:rPr>
              <w:t>数    量</w:t>
            </w:r>
          </w:p>
        </w:tc>
        <w:tc>
          <w:tcPr>
            <w:tcW w:w="1873" w:type="dxa"/>
            <w:vAlign w:val="center"/>
          </w:tcPr>
          <w:p w14:paraId="04206E3E">
            <w:pPr>
              <w:spacing w:line="400" w:lineRule="atLeast"/>
              <w:jc w:val="center"/>
              <w:rPr>
                <w:rFonts w:ascii="宋体" w:hAnsi="宋体"/>
              </w:rPr>
            </w:pPr>
            <w:r>
              <w:rPr>
                <w:rFonts w:hint="eastAsia" w:ascii="宋体" w:hAnsi="宋体"/>
              </w:rPr>
              <w:t>所用工程名称</w:t>
            </w:r>
          </w:p>
        </w:tc>
        <w:tc>
          <w:tcPr>
            <w:tcW w:w="1302" w:type="dxa"/>
            <w:tcBorders>
              <w:bottom w:val="single" w:color="auto" w:sz="4" w:space="0"/>
            </w:tcBorders>
            <w:vAlign w:val="center"/>
          </w:tcPr>
          <w:p w14:paraId="6B32042E">
            <w:pPr>
              <w:spacing w:line="400" w:lineRule="atLeast"/>
              <w:jc w:val="center"/>
              <w:rPr>
                <w:rFonts w:ascii="宋体" w:hAnsi="宋体"/>
              </w:rPr>
            </w:pPr>
            <w:r>
              <w:rPr>
                <w:rFonts w:hint="eastAsia" w:ascii="宋体" w:hAnsi="宋体"/>
              </w:rPr>
              <w:t>业主电话</w:t>
            </w:r>
          </w:p>
        </w:tc>
        <w:tc>
          <w:tcPr>
            <w:tcW w:w="1302" w:type="dxa"/>
            <w:tcBorders>
              <w:bottom w:val="single" w:color="auto" w:sz="4" w:space="0"/>
            </w:tcBorders>
            <w:vAlign w:val="center"/>
          </w:tcPr>
          <w:p w14:paraId="78D759BC">
            <w:pPr>
              <w:spacing w:line="400" w:lineRule="atLeast"/>
              <w:ind w:left="240" w:hanging="240" w:hangingChars="100"/>
              <w:jc w:val="center"/>
              <w:rPr>
                <w:rFonts w:ascii="宋体" w:hAnsi="宋体"/>
              </w:rPr>
            </w:pPr>
            <w:r>
              <w:rPr>
                <w:rFonts w:hint="eastAsia" w:ascii="宋体" w:hAnsi="宋体"/>
              </w:rPr>
              <w:t>投入运行日期</w:t>
            </w:r>
          </w:p>
        </w:tc>
      </w:tr>
      <w:tr w14:paraId="28F0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59306B36">
            <w:pPr>
              <w:spacing w:line="400" w:lineRule="atLeast"/>
              <w:ind w:firstLine="240" w:firstLineChars="100"/>
              <w:rPr>
                <w:rFonts w:ascii="宋体" w:hAnsi="宋体"/>
              </w:rPr>
            </w:pPr>
          </w:p>
        </w:tc>
        <w:tc>
          <w:tcPr>
            <w:tcW w:w="1342" w:type="dxa"/>
          </w:tcPr>
          <w:p w14:paraId="318DEE21">
            <w:pPr>
              <w:spacing w:line="400" w:lineRule="atLeast"/>
              <w:ind w:firstLine="240" w:firstLineChars="100"/>
              <w:rPr>
                <w:rFonts w:ascii="宋体" w:hAnsi="宋体"/>
              </w:rPr>
            </w:pPr>
          </w:p>
        </w:tc>
        <w:tc>
          <w:tcPr>
            <w:tcW w:w="1342" w:type="dxa"/>
          </w:tcPr>
          <w:p w14:paraId="2CF536F7">
            <w:pPr>
              <w:spacing w:line="400" w:lineRule="atLeast"/>
              <w:jc w:val="center"/>
              <w:rPr>
                <w:rFonts w:ascii="宋体" w:hAnsi="宋体"/>
              </w:rPr>
            </w:pPr>
          </w:p>
        </w:tc>
        <w:tc>
          <w:tcPr>
            <w:tcW w:w="512" w:type="dxa"/>
          </w:tcPr>
          <w:p w14:paraId="564A6670">
            <w:pPr>
              <w:spacing w:line="400" w:lineRule="atLeast"/>
              <w:jc w:val="center"/>
              <w:rPr>
                <w:rFonts w:ascii="宋体" w:hAnsi="宋体"/>
              </w:rPr>
            </w:pPr>
          </w:p>
        </w:tc>
        <w:tc>
          <w:tcPr>
            <w:tcW w:w="1873" w:type="dxa"/>
          </w:tcPr>
          <w:p w14:paraId="7F48C62D">
            <w:pPr>
              <w:spacing w:line="400" w:lineRule="atLeast"/>
              <w:jc w:val="center"/>
              <w:rPr>
                <w:rFonts w:ascii="宋体" w:hAnsi="宋体"/>
              </w:rPr>
            </w:pPr>
          </w:p>
        </w:tc>
        <w:tc>
          <w:tcPr>
            <w:tcW w:w="1302" w:type="dxa"/>
          </w:tcPr>
          <w:p w14:paraId="25E7B757">
            <w:pPr>
              <w:spacing w:line="400" w:lineRule="atLeast"/>
              <w:jc w:val="center"/>
              <w:rPr>
                <w:rFonts w:ascii="宋体" w:hAnsi="宋体"/>
              </w:rPr>
            </w:pPr>
          </w:p>
        </w:tc>
        <w:tc>
          <w:tcPr>
            <w:tcW w:w="1302" w:type="dxa"/>
          </w:tcPr>
          <w:p w14:paraId="45715C59">
            <w:pPr>
              <w:spacing w:line="400" w:lineRule="atLeast"/>
              <w:jc w:val="center"/>
              <w:rPr>
                <w:rFonts w:ascii="宋体" w:hAnsi="宋体"/>
              </w:rPr>
            </w:pPr>
          </w:p>
        </w:tc>
      </w:tr>
      <w:tr w14:paraId="47816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2FEC4972">
            <w:pPr>
              <w:spacing w:line="400" w:lineRule="atLeast"/>
              <w:jc w:val="center"/>
              <w:rPr>
                <w:rFonts w:ascii="宋体" w:hAnsi="宋体"/>
              </w:rPr>
            </w:pPr>
          </w:p>
        </w:tc>
        <w:tc>
          <w:tcPr>
            <w:tcW w:w="1342" w:type="dxa"/>
          </w:tcPr>
          <w:p w14:paraId="16CA5E27">
            <w:pPr>
              <w:spacing w:line="400" w:lineRule="atLeast"/>
              <w:jc w:val="center"/>
              <w:rPr>
                <w:rFonts w:ascii="宋体" w:hAnsi="宋体"/>
              </w:rPr>
            </w:pPr>
          </w:p>
        </w:tc>
        <w:tc>
          <w:tcPr>
            <w:tcW w:w="1342" w:type="dxa"/>
          </w:tcPr>
          <w:p w14:paraId="6C8AB96F">
            <w:pPr>
              <w:spacing w:line="400" w:lineRule="atLeast"/>
              <w:jc w:val="center"/>
              <w:rPr>
                <w:rFonts w:ascii="宋体" w:hAnsi="宋体"/>
              </w:rPr>
            </w:pPr>
          </w:p>
        </w:tc>
        <w:tc>
          <w:tcPr>
            <w:tcW w:w="512" w:type="dxa"/>
          </w:tcPr>
          <w:p w14:paraId="20F8CB2A">
            <w:pPr>
              <w:spacing w:line="400" w:lineRule="atLeast"/>
              <w:jc w:val="center"/>
              <w:rPr>
                <w:rFonts w:ascii="宋体" w:hAnsi="宋体"/>
              </w:rPr>
            </w:pPr>
          </w:p>
        </w:tc>
        <w:tc>
          <w:tcPr>
            <w:tcW w:w="1873" w:type="dxa"/>
          </w:tcPr>
          <w:p w14:paraId="0396DD35">
            <w:pPr>
              <w:spacing w:line="400" w:lineRule="atLeast"/>
              <w:jc w:val="center"/>
              <w:rPr>
                <w:rFonts w:ascii="宋体" w:hAnsi="宋体"/>
              </w:rPr>
            </w:pPr>
          </w:p>
        </w:tc>
        <w:tc>
          <w:tcPr>
            <w:tcW w:w="1302" w:type="dxa"/>
          </w:tcPr>
          <w:p w14:paraId="4DB0F0A7">
            <w:pPr>
              <w:spacing w:line="400" w:lineRule="atLeast"/>
              <w:jc w:val="center"/>
              <w:rPr>
                <w:rFonts w:ascii="宋体" w:hAnsi="宋体"/>
              </w:rPr>
            </w:pPr>
          </w:p>
        </w:tc>
        <w:tc>
          <w:tcPr>
            <w:tcW w:w="1302" w:type="dxa"/>
          </w:tcPr>
          <w:p w14:paraId="180D0B91">
            <w:pPr>
              <w:spacing w:line="400" w:lineRule="atLeast"/>
              <w:jc w:val="center"/>
              <w:rPr>
                <w:rFonts w:ascii="宋体" w:hAnsi="宋体"/>
              </w:rPr>
            </w:pPr>
          </w:p>
        </w:tc>
      </w:tr>
      <w:tr w14:paraId="78B7DC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4A1D3029">
            <w:pPr>
              <w:spacing w:line="400" w:lineRule="atLeast"/>
              <w:jc w:val="center"/>
              <w:rPr>
                <w:rFonts w:ascii="宋体" w:hAnsi="宋体"/>
              </w:rPr>
            </w:pPr>
          </w:p>
        </w:tc>
        <w:tc>
          <w:tcPr>
            <w:tcW w:w="1342" w:type="dxa"/>
          </w:tcPr>
          <w:p w14:paraId="5CCD70C1">
            <w:pPr>
              <w:spacing w:line="400" w:lineRule="atLeast"/>
              <w:jc w:val="center"/>
              <w:rPr>
                <w:rFonts w:ascii="宋体" w:hAnsi="宋体"/>
              </w:rPr>
            </w:pPr>
          </w:p>
        </w:tc>
        <w:tc>
          <w:tcPr>
            <w:tcW w:w="1342" w:type="dxa"/>
          </w:tcPr>
          <w:p w14:paraId="506B907A">
            <w:pPr>
              <w:spacing w:line="400" w:lineRule="atLeast"/>
              <w:jc w:val="center"/>
              <w:rPr>
                <w:rFonts w:ascii="宋体" w:hAnsi="宋体"/>
              </w:rPr>
            </w:pPr>
          </w:p>
        </w:tc>
        <w:tc>
          <w:tcPr>
            <w:tcW w:w="512" w:type="dxa"/>
          </w:tcPr>
          <w:p w14:paraId="49927588">
            <w:pPr>
              <w:spacing w:line="400" w:lineRule="atLeast"/>
              <w:jc w:val="center"/>
              <w:rPr>
                <w:rFonts w:ascii="宋体" w:hAnsi="宋体"/>
              </w:rPr>
            </w:pPr>
          </w:p>
        </w:tc>
        <w:tc>
          <w:tcPr>
            <w:tcW w:w="1873" w:type="dxa"/>
          </w:tcPr>
          <w:p w14:paraId="12B3BAC0">
            <w:pPr>
              <w:spacing w:line="400" w:lineRule="atLeast"/>
              <w:jc w:val="center"/>
              <w:rPr>
                <w:rFonts w:ascii="宋体" w:hAnsi="宋体"/>
              </w:rPr>
            </w:pPr>
          </w:p>
        </w:tc>
        <w:tc>
          <w:tcPr>
            <w:tcW w:w="1302" w:type="dxa"/>
          </w:tcPr>
          <w:p w14:paraId="14101126">
            <w:pPr>
              <w:spacing w:line="400" w:lineRule="atLeast"/>
              <w:jc w:val="center"/>
              <w:rPr>
                <w:rFonts w:ascii="宋体" w:hAnsi="宋体"/>
              </w:rPr>
            </w:pPr>
          </w:p>
        </w:tc>
        <w:tc>
          <w:tcPr>
            <w:tcW w:w="1302" w:type="dxa"/>
          </w:tcPr>
          <w:p w14:paraId="476E9786">
            <w:pPr>
              <w:spacing w:line="400" w:lineRule="atLeast"/>
              <w:jc w:val="center"/>
              <w:rPr>
                <w:rFonts w:ascii="宋体" w:hAnsi="宋体"/>
              </w:rPr>
            </w:pPr>
          </w:p>
        </w:tc>
      </w:tr>
      <w:tr w14:paraId="16CB2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409D83C0">
            <w:pPr>
              <w:spacing w:line="400" w:lineRule="atLeast"/>
              <w:jc w:val="center"/>
              <w:rPr>
                <w:rFonts w:ascii="宋体" w:hAnsi="宋体"/>
              </w:rPr>
            </w:pPr>
          </w:p>
        </w:tc>
        <w:tc>
          <w:tcPr>
            <w:tcW w:w="1342" w:type="dxa"/>
          </w:tcPr>
          <w:p w14:paraId="75D44546">
            <w:pPr>
              <w:spacing w:line="400" w:lineRule="atLeast"/>
              <w:jc w:val="center"/>
              <w:rPr>
                <w:rFonts w:ascii="宋体" w:hAnsi="宋体"/>
              </w:rPr>
            </w:pPr>
          </w:p>
        </w:tc>
        <w:tc>
          <w:tcPr>
            <w:tcW w:w="1342" w:type="dxa"/>
          </w:tcPr>
          <w:p w14:paraId="6B72772D">
            <w:pPr>
              <w:spacing w:line="400" w:lineRule="atLeast"/>
              <w:jc w:val="center"/>
              <w:rPr>
                <w:rFonts w:ascii="宋体" w:hAnsi="宋体"/>
              </w:rPr>
            </w:pPr>
          </w:p>
        </w:tc>
        <w:tc>
          <w:tcPr>
            <w:tcW w:w="512" w:type="dxa"/>
          </w:tcPr>
          <w:p w14:paraId="2152F728">
            <w:pPr>
              <w:spacing w:line="400" w:lineRule="atLeast"/>
              <w:jc w:val="center"/>
              <w:rPr>
                <w:rFonts w:ascii="宋体" w:hAnsi="宋体"/>
              </w:rPr>
            </w:pPr>
          </w:p>
        </w:tc>
        <w:tc>
          <w:tcPr>
            <w:tcW w:w="1873" w:type="dxa"/>
          </w:tcPr>
          <w:p w14:paraId="06E06C1D">
            <w:pPr>
              <w:spacing w:line="400" w:lineRule="atLeast"/>
              <w:jc w:val="center"/>
              <w:rPr>
                <w:rFonts w:ascii="宋体" w:hAnsi="宋体"/>
              </w:rPr>
            </w:pPr>
          </w:p>
        </w:tc>
        <w:tc>
          <w:tcPr>
            <w:tcW w:w="1302" w:type="dxa"/>
          </w:tcPr>
          <w:p w14:paraId="6AA038F3">
            <w:pPr>
              <w:spacing w:line="400" w:lineRule="atLeast"/>
              <w:jc w:val="center"/>
              <w:rPr>
                <w:rFonts w:ascii="宋体" w:hAnsi="宋体"/>
              </w:rPr>
            </w:pPr>
          </w:p>
        </w:tc>
        <w:tc>
          <w:tcPr>
            <w:tcW w:w="1302" w:type="dxa"/>
          </w:tcPr>
          <w:p w14:paraId="1FB5A6C2">
            <w:pPr>
              <w:spacing w:line="400" w:lineRule="atLeast"/>
              <w:jc w:val="center"/>
              <w:rPr>
                <w:rFonts w:ascii="宋体" w:hAnsi="宋体"/>
              </w:rPr>
            </w:pPr>
          </w:p>
        </w:tc>
      </w:tr>
      <w:tr w14:paraId="4A793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0B1F02E8">
            <w:pPr>
              <w:spacing w:line="400" w:lineRule="atLeast"/>
              <w:jc w:val="center"/>
              <w:rPr>
                <w:rFonts w:ascii="宋体" w:hAnsi="宋体"/>
              </w:rPr>
            </w:pPr>
          </w:p>
        </w:tc>
        <w:tc>
          <w:tcPr>
            <w:tcW w:w="1342" w:type="dxa"/>
          </w:tcPr>
          <w:p w14:paraId="3FBF34FB">
            <w:pPr>
              <w:spacing w:line="400" w:lineRule="atLeast"/>
              <w:jc w:val="center"/>
              <w:rPr>
                <w:rFonts w:ascii="宋体" w:hAnsi="宋体"/>
              </w:rPr>
            </w:pPr>
          </w:p>
        </w:tc>
        <w:tc>
          <w:tcPr>
            <w:tcW w:w="1342" w:type="dxa"/>
          </w:tcPr>
          <w:p w14:paraId="25604B97">
            <w:pPr>
              <w:spacing w:line="400" w:lineRule="atLeast"/>
              <w:jc w:val="center"/>
              <w:rPr>
                <w:rFonts w:ascii="宋体" w:hAnsi="宋体"/>
              </w:rPr>
            </w:pPr>
          </w:p>
        </w:tc>
        <w:tc>
          <w:tcPr>
            <w:tcW w:w="512" w:type="dxa"/>
          </w:tcPr>
          <w:p w14:paraId="7A40A17D">
            <w:pPr>
              <w:spacing w:line="400" w:lineRule="atLeast"/>
              <w:jc w:val="center"/>
              <w:rPr>
                <w:rFonts w:ascii="宋体" w:hAnsi="宋体"/>
              </w:rPr>
            </w:pPr>
          </w:p>
        </w:tc>
        <w:tc>
          <w:tcPr>
            <w:tcW w:w="1873" w:type="dxa"/>
          </w:tcPr>
          <w:p w14:paraId="1C803D1C">
            <w:pPr>
              <w:spacing w:line="400" w:lineRule="atLeast"/>
              <w:jc w:val="center"/>
              <w:rPr>
                <w:rFonts w:ascii="宋体" w:hAnsi="宋体"/>
              </w:rPr>
            </w:pPr>
          </w:p>
        </w:tc>
        <w:tc>
          <w:tcPr>
            <w:tcW w:w="1302" w:type="dxa"/>
          </w:tcPr>
          <w:p w14:paraId="7EB52905">
            <w:pPr>
              <w:spacing w:line="400" w:lineRule="atLeast"/>
              <w:jc w:val="center"/>
              <w:rPr>
                <w:rFonts w:ascii="宋体" w:hAnsi="宋体"/>
              </w:rPr>
            </w:pPr>
          </w:p>
        </w:tc>
        <w:tc>
          <w:tcPr>
            <w:tcW w:w="1302" w:type="dxa"/>
          </w:tcPr>
          <w:p w14:paraId="06F39A75">
            <w:pPr>
              <w:spacing w:line="400" w:lineRule="atLeast"/>
              <w:jc w:val="center"/>
              <w:rPr>
                <w:rFonts w:ascii="宋体" w:hAnsi="宋体"/>
              </w:rPr>
            </w:pPr>
          </w:p>
        </w:tc>
      </w:tr>
      <w:tr w14:paraId="25B20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26EE3BF6">
            <w:pPr>
              <w:spacing w:line="400" w:lineRule="atLeast"/>
              <w:jc w:val="center"/>
              <w:rPr>
                <w:rFonts w:ascii="宋体" w:hAnsi="宋体"/>
              </w:rPr>
            </w:pPr>
          </w:p>
        </w:tc>
        <w:tc>
          <w:tcPr>
            <w:tcW w:w="1342" w:type="dxa"/>
          </w:tcPr>
          <w:p w14:paraId="1C7F03E4">
            <w:pPr>
              <w:spacing w:line="400" w:lineRule="atLeast"/>
              <w:jc w:val="center"/>
              <w:rPr>
                <w:rFonts w:ascii="宋体" w:hAnsi="宋体"/>
              </w:rPr>
            </w:pPr>
          </w:p>
        </w:tc>
        <w:tc>
          <w:tcPr>
            <w:tcW w:w="1342" w:type="dxa"/>
          </w:tcPr>
          <w:p w14:paraId="4FC50C28">
            <w:pPr>
              <w:spacing w:line="400" w:lineRule="atLeast"/>
              <w:jc w:val="center"/>
              <w:rPr>
                <w:rFonts w:ascii="宋体" w:hAnsi="宋体"/>
              </w:rPr>
            </w:pPr>
          </w:p>
        </w:tc>
        <w:tc>
          <w:tcPr>
            <w:tcW w:w="512" w:type="dxa"/>
          </w:tcPr>
          <w:p w14:paraId="55703B90">
            <w:pPr>
              <w:spacing w:line="400" w:lineRule="atLeast"/>
              <w:jc w:val="center"/>
              <w:rPr>
                <w:rFonts w:ascii="宋体" w:hAnsi="宋体"/>
              </w:rPr>
            </w:pPr>
          </w:p>
        </w:tc>
        <w:tc>
          <w:tcPr>
            <w:tcW w:w="1873" w:type="dxa"/>
          </w:tcPr>
          <w:p w14:paraId="4DA9E5C5">
            <w:pPr>
              <w:spacing w:line="400" w:lineRule="atLeast"/>
              <w:jc w:val="center"/>
              <w:rPr>
                <w:rFonts w:ascii="宋体" w:hAnsi="宋体"/>
              </w:rPr>
            </w:pPr>
          </w:p>
        </w:tc>
        <w:tc>
          <w:tcPr>
            <w:tcW w:w="1302" w:type="dxa"/>
          </w:tcPr>
          <w:p w14:paraId="09E083F9">
            <w:pPr>
              <w:spacing w:line="400" w:lineRule="atLeast"/>
              <w:jc w:val="center"/>
              <w:rPr>
                <w:rFonts w:ascii="宋体" w:hAnsi="宋体"/>
              </w:rPr>
            </w:pPr>
          </w:p>
        </w:tc>
        <w:tc>
          <w:tcPr>
            <w:tcW w:w="1302" w:type="dxa"/>
          </w:tcPr>
          <w:p w14:paraId="05338CED">
            <w:pPr>
              <w:spacing w:line="400" w:lineRule="atLeast"/>
              <w:jc w:val="center"/>
              <w:rPr>
                <w:rFonts w:ascii="宋体" w:hAnsi="宋体"/>
              </w:rPr>
            </w:pPr>
          </w:p>
        </w:tc>
      </w:tr>
      <w:tr w14:paraId="3D458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3A9D4BF9">
            <w:pPr>
              <w:spacing w:line="400" w:lineRule="atLeast"/>
              <w:jc w:val="center"/>
              <w:rPr>
                <w:rFonts w:ascii="宋体" w:hAnsi="宋体"/>
              </w:rPr>
            </w:pPr>
          </w:p>
        </w:tc>
        <w:tc>
          <w:tcPr>
            <w:tcW w:w="1342" w:type="dxa"/>
          </w:tcPr>
          <w:p w14:paraId="3F78645A">
            <w:pPr>
              <w:spacing w:line="400" w:lineRule="atLeast"/>
              <w:jc w:val="center"/>
              <w:rPr>
                <w:rFonts w:ascii="宋体" w:hAnsi="宋体"/>
              </w:rPr>
            </w:pPr>
          </w:p>
        </w:tc>
        <w:tc>
          <w:tcPr>
            <w:tcW w:w="1342" w:type="dxa"/>
          </w:tcPr>
          <w:p w14:paraId="08AEA2D2">
            <w:pPr>
              <w:spacing w:line="400" w:lineRule="atLeast"/>
              <w:jc w:val="center"/>
              <w:rPr>
                <w:rFonts w:ascii="宋体" w:hAnsi="宋体"/>
              </w:rPr>
            </w:pPr>
          </w:p>
        </w:tc>
        <w:tc>
          <w:tcPr>
            <w:tcW w:w="512" w:type="dxa"/>
          </w:tcPr>
          <w:p w14:paraId="2EA908C3">
            <w:pPr>
              <w:spacing w:line="400" w:lineRule="atLeast"/>
              <w:jc w:val="center"/>
              <w:rPr>
                <w:rFonts w:ascii="宋体" w:hAnsi="宋体"/>
              </w:rPr>
            </w:pPr>
          </w:p>
        </w:tc>
        <w:tc>
          <w:tcPr>
            <w:tcW w:w="1873" w:type="dxa"/>
          </w:tcPr>
          <w:p w14:paraId="25C1FCB4">
            <w:pPr>
              <w:spacing w:line="400" w:lineRule="atLeast"/>
              <w:jc w:val="center"/>
              <w:rPr>
                <w:rFonts w:ascii="宋体" w:hAnsi="宋体"/>
              </w:rPr>
            </w:pPr>
          </w:p>
        </w:tc>
        <w:tc>
          <w:tcPr>
            <w:tcW w:w="1302" w:type="dxa"/>
          </w:tcPr>
          <w:p w14:paraId="1E085365">
            <w:pPr>
              <w:spacing w:line="400" w:lineRule="atLeast"/>
              <w:jc w:val="center"/>
              <w:rPr>
                <w:rFonts w:ascii="宋体" w:hAnsi="宋体"/>
              </w:rPr>
            </w:pPr>
          </w:p>
        </w:tc>
        <w:tc>
          <w:tcPr>
            <w:tcW w:w="1302" w:type="dxa"/>
          </w:tcPr>
          <w:p w14:paraId="4074008A">
            <w:pPr>
              <w:spacing w:line="400" w:lineRule="atLeast"/>
              <w:jc w:val="center"/>
              <w:rPr>
                <w:rFonts w:ascii="宋体" w:hAnsi="宋体"/>
              </w:rPr>
            </w:pPr>
          </w:p>
        </w:tc>
      </w:tr>
      <w:tr w14:paraId="035B3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2F44AFB7">
            <w:pPr>
              <w:spacing w:line="400" w:lineRule="atLeast"/>
              <w:jc w:val="center"/>
              <w:rPr>
                <w:rFonts w:ascii="宋体" w:hAnsi="宋体"/>
              </w:rPr>
            </w:pPr>
          </w:p>
        </w:tc>
        <w:tc>
          <w:tcPr>
            <w:tcW w:w="1342" w:type="dxa"/>
          </w:tcPr>
          <w:p w14:paraId="7915DE90">
            <w:pPr>
              <w:spacing w:line="400" w:lineRule="atLeast"/>
              <w:jc w:val="center"/>
              <w:rPr>
                <w:rFonts w:ascii="宋体" w:hAnsi="宋体"/>
              </w:rPr>
            </w:pPr>
          </w:p>
        </w:tc>
        <w:tc>
          <w:tcPr>
            <w:tcW w:w="1342" w:type="dxa"/>
          </w:tcPr>
          <w:p w14:paraId="57082768">
            <w:pPr>
              <w:spacing w:line="400" w:lineRule="atLeast"/>
              <w:jc w:val="center"/>
              <w:rPr>
                <w:rFonts w:ascii="宋体" w:hAnsi="宋体"/>
              </w:rPr>
            </w:pPr>
          </w:p>
        </w:tc>
        <w:tc>
          <w:tcPr>
            <w:tcW w:w="512" w:type="dxa"/>
          </w:tcPr>
          <w:p w14:paraId="6EDCAC9A">
            <w:pPr>
              <w:spacing w:line="400" w:lineRule="atLeast"/>
              <w:jc w:val="center"/>
              <w:rPr>
                <w:rFonts w:ascii="宋体" w:hAnsi="宋体"/>
              </w:rPr>
            </w:pPr>
          </w:p>
        </w:tc>
        <w:tc>
          <w:tcPr>
            <w:tcW w:w="1873" w:type="dxa"/>
          </w:tcPr>
          <w:p w14:paraId="22D67866">
            <w:pPr>
              <w:spacing w:line="400" w:lineRule="atLeast"/>
              <w:jc w:val="center"/>
              <w:rPr>
                <w:rFonts w:ascii="宋体" w:hAnsi="宋体"/>
              </w:rPr>
            </w:pPr>
          </w:p>
        </w:tc>
        <w:tc>
          <w:tcPr>
            <w:tcW w:w="1302" w:type="dxa"/>
          </w:tcPr>
          <w:p w14:paraId="18D59CA0">
            <w:pPr>
              <w:spacing w:line="400" w:lineRule="atLeast"/>
              <w:jc w:val="center"/>
              <w:rPr>
                <w:rFonts w:ascii="宋体" w:hAnsi="宋体"/>
              </w:rPr>
            </w:pPr>
          </w:p>
        </w:tc>
        <w:tc>
          <w:tcPr>
            <w:tcW w:w="1302" w:type="dxa"/>
          </w:tcPr>
          <w:p w14:paraId="55E6691C">
            <w:pPr>
              <w:spacing w:line="400" w:lineRule="atLeast"/>
              <w:jc w:val="center"/>
              <w:rPr>
                <w:rFonts w:ascii="宋体" w:hAnsi="宋体"/>
              </w:rPr>
            </w:pPr>
          </w:p>
        </w:tc>
      </w:tr>
      <w:tr w14:paraId="3AA3F2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5EAD3827">
            <w:pPr>
              <w:spacing w:line="400" w:lineRule="atLeast"/>
              <w:jc w:val="center"/>
              <w:rPr>
                <w:rFonts w:ascii="宋体" w:hAnsi="宋体"/>
              </w:rPr>
            </w:pPr>
          </w:p>
        </w:tc>
        <w:tc>
          <w:tcPr>
            <w:tcW w:w="1342" w:type="dxa"/>
          </w:tcPr>
          <w:p w14:paraId="36502595">
            <w:pPr>
              <w:spacing w:line="400" w:lineRule="atLeast"/>
              <w:jc w:val="center"/>
              <w:rPr>
                <w:rFonts w:ascii="宋体" w:hAnsi="宋体"/>
              </w:rPr>
            </w:pPr>
          </w:p>
        </w:tc>
        <w:tc>
          <w:tcPr>
            <w:tcW w:w="1342" w:type="dxa"/>
          </w:tcPr>
          <w:p w14:paraId="3BBE90CF">
            <w:pPr>
              <w:spacing w:line="400" w:lineRule="atLeast"/>
              <w:jc w:val="center"/>
              <w:rPr>
                <w:rFonts w:ascii="宋体" w:hAnsi="宋体"/>
              </w:rPr>
            </w:pPr>
          </w:p>
        </w:tc>
        <w:tc>
          <w:tcPr>
            <w:tcW w:w="512" w:type="dxa"/>
          </w:tcPr>
          <w:p w14:paraId="18C61A36">
            <w:pPr>
              <w:spacing w:line="400" w:lineRule="atLeast"/>
              <w:jc w:val="center"/>
              <w:rPr>
                <w:rFonts w:ascii="宋体" w:hAnsi="宋体"/>
              </w:rPr>
            </w:pPr>
          </w:p>
        </w:tc>
        <w:tc>
          <w:tcPr>
            <w:tcW w:w="1873" w:type="dxa"/>
          </w:tcPr>
          <w:p w14:paraId="02E84843">
            <w:pPr>
              <w:spacing w:line="400" w:lineRule="atLeast"/>
              <w:jc w:val="center"/>
              <w:rPr>
                <w:rFonts w:ascii="宋体" w:hAnsi="宋体"/>
              </w:rPr>
            </w:pPr>
          </w:p>
        </w:tc>
        <w:tc>
          <w:tcPr>
            <w:tcW w:w="1302" w:type="dxa"/>
          </w:tcPr>
          <w:p w14:paraId="2428E020">
            <w:pPr>
              <w:spacing w:line="400" w:lineRule="atLeast"/>
              <w:jc w:val="center"/>
              <w:rPr>
                <w:rFonts w:ascii="宋体" w:hAnsi="宋体"/>
              </w:rPr>
            </w:pPr>
          </w:p>
        </w:tc>
        <w:tc>
          <w:tcPr>
            <w:tcW w:w="1302" w:type="dxa"/>
          </w:tcPr>
          <w:p w14:paraId="4F2ADE6E">
            <w:pPr>
              <w:spacing w:line="400" w:lineRule="atLeast"/>
              <w:jc w:val="center"/>
              <w:rPr>
                <w:rFonts w:ascii="宋体" w:hAnsi="宋体"/>
              </w:rPr>
            </w:pPr>
          </w:p>
        </w:tc>
      </w:tr>
      <w:tr w14:paraId="72D01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3E92A992">
            <w:pPr>
              <w:spacing w:line="400" w:lineRule="atLeast"/>
              <w:jc w:val="center"/>
              <w:rPr>
                <w:rFonts w:ascii="宋体" w:hAnsi="宋体"/>
              </w:rPr>
            </w:pPr>
          </w:p>
        </w:tc>
        <w:tc>
          <w:tcPr>
            <w:tcW w:w="1342" w:type="dxa"/>
          </w:tcPr>
          <w:p w14:paraId="1B8011B8">
            <w:pPr>
              <w:spacing w:line="400" w:lineRule="atLeast"/>
              <w:jc w:val="center"/>
              <w:rPr>
                <w:rFonts w:ascii="宋体" w:hAnsi="宋体"/>
              </w:rPr>
            </w:pPr>
          </w:p>
        </w:tc>
        <w:tc>
          <w:tcPr>
            <w:tcW w:w="1342" w:type="dxa"/>
          </w:tcPr>
          <w:p w14:paraId="1B3484DB">
            <w:pPr>
              <w:spacing w:line="400" w:lineRule="atLeast"/>
              <w:jc w:val="center"/>
              <w:rPr>
                <w:rFonts w:ascii="宋体" w:hAnsi="宋体"/>
              </w:rPr>
            </w:pPr>
          </w:p>
        </w:tc>
        <w:tc>
          <w:tcPr>
            <w:tcW w:w="512" w:type="dxa"/>
          </w:tcPr>
          <w:p w14:paraId="48D98433">
            <w:pPr>
              <w:spacing w:line="400" w:lineRule="atLeast"/>
              <w:jc w:val="center"/>
              <w:rPr>
                <w:rFonts w:ascii="宋体" w:hAnsi="宋体"/>
              </w:rPr>
            </w:pPr>
          </w:p>
        </w:tc>
        <w:tc>
          <w:tcPr>
            <w:tcW w:w="1873" w:type="dxa"/>
          </w:tcPr>
          <w:p w14:paraId="5BB16CAC">
            <w:pPr>
              <w:spacing w:line="400" w:lineRule="atLeast"/>
              <w:jc w:val="center"/>
              <w:rPr>
                <w:rFonts w:ascii="宋体" w:hAnsi="宋体"/>
              </w:rPr>
            </w:pPr>
          </w:p>
        </w:tc>
        <w:tc>
          <w:tcPr>
            <w:tcW w:w="1302" w:type="dxa"/>
          </w:tcPr>
          <w:p w14:paraId="40A2DBA6">
            <w:pPr>
              <w:spacing w:line="400" w:lineRule="atLeast"/>
              <w:jc w:val="center"/>
              <w:rPr>
                <w:rFonts w:ascii="宋体" w:hAnsi="宋体"/>
              </w:rPr>
            </w:pPr>
          </w:p>
        </w:tc>
        <w:tc>
          <w:tcPr>
            <w:tcW w:w="1302" w:type="dxa"/>
          </w:tcPr>
          <w:p w14:paraId="42D14EFD">
            <w:pPr>
              <w:spacing w:line="400" w:lineRule="atLeast"/>
              <w:jc w:val="center"/>
              <w:rPr>
                <w:rFonts w:ascii="宋体" w:hAnsi="宋体"/>
              </w:rPr>
            </w:pPr>
          </w:p>
        </w:tc>
      </w:tr>
      <w:tr w14:paraId="372110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34368F66">
            <w:pPr>
              <w:spacing w:line="400" w:lineRule="atLeast"/>
              <w:jc w:val="center"/>
              <w:rPr>
                <w:rFonts w:ascii="宋体" w:hAnsi="宋体"/>
              </w:rPr>
            </w:pPr>
          </w:p>
        </w:tc>
        <w:tc>
          <w:tcPr>
            <w:tcW w:w="1342" w:type="dxa"/>
          </w:tcPr>
          <w:p w14:paraId="2C280137">
            <w:pPr>
              <w:spacing w:line="400" w:lineRule="atLeast"/>
              <w:jc w:val="center"/>
              <w:rPr>
                <w:rFonts w:ascii="宋体" w:hAnsi="宋体"/>
              </w:rPr>
            </w:pPr>
          </w:p>
        </w:tc>
        <w:tc>
          <w:tcPr>
            <w:tcW w:w="1342" w:type="dxa"/>
          </w:tcPr>
          <w:p w14:paraId="15C3678F">
            <w:pPr>
              <w:spacing w:line="400" w:lineRule="atLeast"/>
              <w:jc w:val="center"/>
              <w:rPr>
                <w:rFonts w:ascii="宋体" w:hAnsi="宋体"/>
              </w:rPr>
            </w:pPr>
          </w:p>
        </w:tc>
        <w:tc>
          <w:tcPr>
            <w:tcW w:w="512" w:type="dxa"/>
          </w:tcPr>
          <w:p w14:paraId="0468A4DB">
            <w:pPr>
              <w:spacing w:line="400" w:lineRule="atLeast"/>
              <w:jc w:val="center"/>
              <w:rPr>
                <w:rFonts w:ascii="宋体" w:hAnsi="宋体"/>
              </w:rPr>
            </w:pPr>
          </w:p>
        </w:tc>
        <w:tc>
          <w:tcPr>
            <w:tcW w:w="1873" w:type="dxa"/>
          </w:tcPr>
          <w:p w14:paraId="3D89191C">
            <w:pPr>
              <w:spacing w:line="400" w:lineRule="atLeast"/>
              <w:jc w:val="center"/>
              <w:rPr>
                <w:rFonts w:ascii="宋体" w:hAnsi="宋体"/>
              </w:rPr>
            </w:pPr>
          </w:p>
        </w:tc>
        <w:tc>
          <w:tcPr>
            <w:tcW w:w="1302" w:type="dxa"/>
          </w:tcPr>
          <w:p w14:paraId="4F951FD0">
            <w:pPr>
              <w:spacing w:line="400" w:lineRule="atLeast"/>
              <w:jc w:val="center"/>
              <w:rPr>
                <w:rFonts w:ascii="宋体" w:hAnsi="宋体"/>
              </w:rPr>
            </w:pPr>
          </w:p>
        </w:tc>
        <w:tc>
          <w:tcPr>
            <w:tcW w:w="1302" w:type="dxa"/>
          </w:tcPr>
          <w:p w14:paraId="26F243D5">
            <w:pPr>
              <w:spacing w:line="400" w:lineRule="atLeast"/>
              <w:jc w:val="center"/>
              <w:rPr>
                <w:rFonts w:ascii="宋体" w:hAnsi="宋体"/>
              </w:rPr>
            </w:pPr>
          </w:p>
        </w:tc>
      </w:tr>
      <w:tr w14:paraId="5AB6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0A95356B">
            <w:pPr>
              <w:spacing w:line="400" w:lineRule="atLeast"/>
              <w:jc w:val="center"/>
              <w:rPr>
                <w:rFonts w:ascii="宋体" w:hAnsi="宋体"/>
              </w:rPr>
            </w:pPr>
          </w:p>
        </w:tc>
        <w:tc>
          <w:tcPr>
            <w:tcW w:w="1342" w:type="dxa"/>
          </w:tcPr>
          <w:p w14:paraId="192F013F">
            <w:pPr>
              <w:spacing w:line="400" w:lineRule="atLeast"/>
              <w:jc w:val="center"/>
              <w:rPr>
                <w:rFonts w:ascii="宋体" w:hAnsi="宋体"/>
              </w:rPr>
            </w:pPr>
          </w:p>
        </w:tc>
        <w:tc>
          <w:tcPr>
            <w:tcW w:w="1342" w:type="dxa"/>
          </w:tcPr>
          <w:p w14:paraId="3B4F8A48">
            <w:pPr>
              <w:spacing w:line="400" w:lineRule="atLeast"/>
              <w:jc w:val="center"/>
              <w:rPr>
                <w:rFonts w:ascii="宋体" w:hAnsi="宋体"/>
              </w:rPr>
            </w:pPr>
          </w:p>
        </w:tc>
        <w:tc>
          <w:tcPr>
            <w:tcW w:w="512" w:type="dxa"/>
          </w:tcPr>
          <w:p w14:paraId="7578AF10">
            <w:pPr>
              <w:spacing w:line="400" w:lineRule="atLeast"/>
              <w:jc w:val="center"/>
              <w:rPr>
                <w:rFonts w:ascii="宋体" w:hAnsi="宋体"/>
              </w:rPr>
            </w:pPr>
          </w:p>
        </w:tc>
        <w:tc>
          <w:tcPr>
            <w:tcW w:w="1873" w:type="dxa"/>
          </w:tcPr>
          <w:p w14:paraId="31E100E2">
            <w:pPr>
              <w:spacing w:line="400" w:lineRule="atLeast"/>
              <w:jc w:val="center"/>
              <w:rPr>
                <w:rFonts w:ascii="宋体" w:hAnsi="宋体"/>
              </w:rPr>
            </w:pPr>
          </w:p>
        </w:tc>
        <w:tc>
          <w:tcPr>
            <w:tcW w:w="1302" w:type="dxa"/>
          </w:tcPr>
          <w:p w14:paraId="1FEBB28C">
            <w:pPr>
              <w:spacing w:line="400" w:lineRule="atLeast"/>
              <w:jc w:val="center"/>
              <w:rPr>
                <w:rFonts w:ascii="宋体" w:hAnsi="宋体"/>
              </w:rPr>
            </w:pPr>
          </w:p>
        </w:tc>
        <w:tc>
          <w:tcPr>
            <w:tcW w:w="1302" w:type="dxa"/>
          </w:tcPr>
          <w:p w14:paraId="302D7389">
            <w:pPr>
              <w:spacing w:line="400" w:lineRule="atLeast"/>
              <w:jc w:val="center"/>
              <w:rPr>
                <w:rFonts w:ascii="宋体" w:hAnsi="宋体"/>
              </w:rPr>
            </w:pPr>
          </w:p>
        </w:tc>
      </w:tr>
      <w:tr w14:paraId="2B9277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17A88CB6">
            <w:pPr>
              <w:spacing w:line="400" w:lineRule="atLeast"/>
              <w:jc w:val="center"/>
              <w:rPr>
                <w:rFonts w:ascii="宋体" w:hAnsi="宋体"/>
              </w:rPr>
            </w:pPr>
          </w:p>
        </w:tc>
        <w:tc>
          <w:tcPr>
            <w:tcW w:w="1342" w:type="dxa"/>
          </w:tcPr>
          <w:p w14:paraId="382ADEE3">
            <w:pPr>
              <w:spacing w:line="400" w:lineRule="atLeast"/>
              <w:jc w:val="center"/>
              <w:rPr>
                <w:rFonts w:ascii="宋体" w:hAnsi="宋体"/>
              </w:rPr>
            </w:pPr>
          </w:p>
        </w:tc>
        <w:tc>
          <w:tcPr>
            <w:tcW w:w="1342" w:type="dxa"/>
          </w:tcPr>
          <w:p w14:paraId="5FB569DA">
            <w:pPr>
              <w:spacing w:line="400" w:lineRule="atLeast"/>
              <w:jc w:val="center"/>
              <w:rPr>
                <w:rFonts w:ascii="宋体" w:hAnsi="宋体"/>
              </w:rPr>
            </w:pPr>
          </w:p>
        </w:tc>
        <w:tc>
          <w:tcPr>
            <w:tcW w:w="512" w:type="dxa"/>
          </w:tcPr>
          <w:p w14:paraId="4DAAC3A9">
            <w:pPr>
              <w:spacing w:line="400" w:lineRule="atLeast"/>
              <w:jc w:val="center"/>
              <w:rPr>
                <w:rFonts w:ascii="宋体" w:hAnsi="宋体"/>
              </w:rPr>
            </w:pPr>
          </w:p>
        </w:tc>
        <w:tc>
          <w:tcPr>
            <w:tcW w:w="1873" w:type="dxa"/>
          </w:tcPr>
          <w:p w14:paraId="2B2100B7">
            <w:pPr>
              <w:spacing w:line="400" w:lineRule="atLeast"/>
              <w:jc w:val="center"/>
              <w:rPr>
                <w:rFonts w:ascii="宋体" w:hAnsi="宋体"/>
              </w:rPr>
            </w:pPr>
          </w:p>
        </w:tc>
        <w:tc>
          <w:tcPr>
            <w:tcW w:w="1302" w:type="dxa"/>
          </w:tcPr>
          <w:p w14:paraId="2C25298C">
            <w:pPr>
              <w:spacing w:line="400" w:lineRule="atLeast"/>
              <w:jc w:val="center"/>
              <w:rPr>
                <w:rFonts w:ascii="宋体" w:hAnsi="宋体"/>
              </w:rPr>
            </w:pPr>
          </w:p>
        </w:tc>
        <w:tc>
          <w:tcPr>
            <w:tcW w:w="1302" w:type="dxa"/>
          </w:tcPr>
          <w:p w14:paraId="28B7BB20">
            <w:pPr>
              <w:spacing w:line="400" w:lineRule="atLeast"/>
              <w:jc w:val="center"/>
              <w:rPr>
                <w:rFonts w:ascii="宋体" w:hAnsi="宋体"/>
              </w:rPr>
            </w:pPr>
          </w:p>
        </w:tc>
      </w:tr>
      <w:tr w14:paraId="6B5776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2CF55D57">
            <w:pPr>
              <w:spacing w:line="400" w:lineRule="atLeast"/>
              <w:jc w:val="center"/>
              <w:rPr>
                <w:rFonts w:ascii="宋体" w:hAnsi="宋体"/>
              </w:rPr>
            </w:pPr>
          </w:p>
        </w:tc>
        <w:tc>
          <w:tcPr>
            <w:tcW w:w="1342" w:type="dxa"/>
          </w:tcPr>
          <w:p w14:paraId="5C0AA7F3">
            <w:pPr>
              <w:spacing w:line="400" w:lineRule="atLeast"/>
              <w:jc w:val="center"/>
              <w:rPr>
                <w:rFonts w:ascii="宋体" w:hAnsi="宋体"/>
              </w:rPr>
            </w:pPr>
          </w:p>
        </w:tc>
        <w:tc>
          <w:tcPr>
            <w:tcW w:w="1342" w:type="dxa"/>
          </w:tcPr>
          <w:p w14:paraId="1FD9EAD9">
            <w:pPr>
              <w:spacing w:line="400" w:lineRule="atLeast"/>
              <w:jc w:val="center"/>
              <w:rPr>
                <w:rFonts w:ascii="宋体" w:hAnsi="宋体"/>
              </w:rPr>
            </w:pPr>
          </w:p>
        </w:tc>
        <w:tc>
          <w:tcPr>
            <w:tcW w:w="512" w:type="dxa"/>
          </w:tcPr>
          <w:p w14:paraId="06134AF2">
            <w:pPr>
              <w:spacing w:line="400" w:lineRule="atLeast"/>
              <w:jc w:val="center"/>
              <w:rPr>
                <w:rFonts w:ascii="宋体" w:hAnsi="宋体"/>
              </w:rPr>
            </w:pPr>
          </w:p>
        </w:tc>
        <w:tc>
          <w:tcPr>
            <w:tcW w:w="1873" w:type="dxa"/>
          </w:tcPr>
          <w:p w14:paraId="2D2EDDAA">
            <w:pPr>
              <w:spacing w:line="400" w:lineRule="atLeast"/>
              <w:jc w:val="center"/>
              <w:rPr>
                <w:rFonts w:ascii="宋体" w:hAnsi="宋体"/>
              </w:rPr>
            </w:pPr>
          </w:p>
        </w:tc>
        <w:tc>
          <w:tcPr>
            <w:tcW w:w="1302" w:type="dxa"/>
          </w:tcPr>
          <w:p w14:paraId="79FA7BA0">
            <w:pPr>
              <w:spacing w:line="400" w:lineRule="atLeast"/>
              <w:jc w:val="center"/>
              <w:rPr>
                <w:rFonts w:ascii="宋体" w:hAnsi="宋体"/>
              </w:rPr>
            </w:pPr>
          </w:p>
        </w:tc>
        <w:tc>
          <w:tcPr>
            <w:tcW w:w="1302" w:type="dxa"/>
          </w:tcPr>
          <w:p w14:paraId="1965A429">
            <w:pPr>
              <w:spacing w:line="400" w:lineRule="atLeast"/>
              <w:jc w:val="center"/>
              <w:rPr>
                <w:rFonts w:ascii="宋体" w:hAnsi="宋体"/>
              </w:rPr>
            </w:pPr>
          </w:p>
        </w:tc>
      </w:tr>
      <w:tr w14:paraId="678D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1560B91E">
            <w:pPr>
              <w:spacing w:line="400" w:lineRule="atLeast"/>
              <w:jc w:val="center"/>
              <w:rPr>
                <w:rFonts w:ascii="宋体" w:hAnsi="宋体"/>
              </w:rPr>
            </w:pPr>
          </w:p>
        </w:tc>
        <w:tc>
          <w:tcPr>
            <w:tcW w:w="1342" w:type="dxa"/>
          </w:tcPr>
          <w:p w14:paraId="3AAA602F">
            <w:pPr>
              <w:spacing w:line="400" w:lineRule="atLeast"/>
              <w:jc w:val="center"/>
              <w:rPr>
                <w:rFonts w:ascii="宋体" w:hAnsi="宋体"/>
              </w:rPr>
            </w:pPr>
          </w:p>
        </w:tc>
        <w:tc>
          <w:tcPr>
            <w:tcW w:w="1342" w:type="dxa"/>
          </w:tcPr>
          <w:p w14:paraId="3538ABF7">
            <w:pPr>
              <w:spacing w:line="400" w:lineRule="atLeast"/>
              <w:jc w:val="center"/>
              <w:rPr>
                <w:rFonts w:ascii="宋体" w:hAnsi="宋体"/>
              </w:rPr>
            </w:pPr>
          </w:p>
        </w:tc>
        <w:tc>
          <w:tcPr>
            <w:tcW w:w="512" w:type="dxa"/>
          </w:tcPr>
          <w:p w14:paraId="5A29E1BE">
            <w:pPr>
              <w:spacing w:line="400" w:lineRule="atLeast"/>
              <w:jc w:val="center"/>
              <w:rPr>
                <w:rFonts w:ascii="宋体" w:hAnsi="宋体"/>
              </w:rPr>
            </w:pPr>
          </w:p>
        </w:tc>
        <w:tc>
          <w:tcPr>
            <w:tcW w:w="1873" w:type="dxa"/>
          </w:tcPr>
          <w:p w14:paraId="13C62D03">
            <w:pPr>
              <w:spacing w:line="400" w:lineRule="atLeast"/>
              <w:jc w:val="center"/>
              <w:rPr>
                <w:rFonts w:ascii="宋体" w:hAnsi="宋体"/>
              </w:rPr>
            </w:pPr>
          </w:p>
        </w:tc>
        <w:tc>
          <w:tcPr>
            <w:tcW w:w="1302" w:type="dxa"/>
          </w:tcPr>
          <w:p w14:paraId="34B990A6">
            <w:pPr>
              <w:spacing w:line="400" w:lineRule="atLeast"/>
              <w:jc w:val="center"/>
              <w:rPr>
                <w:rFonts w:ascii="宋体" w:hAnsi="宋体"/>
              </w:rPr>
            </w:pPr>
          </w:p>
        </w:tc>
        <w:tc>
          <w:tcPr>
            <w:tcW w:w="1302" w:type="dxa"/>
          </w:tcPr>
          <w:p w14:paraId="4DEF11DC">
            <w:pPr>
              <w:spacing w:line="400" w:lineRule="atLeast"/>
              <w:jc w:val="center"/>
              <w:rPr>
                <w:rFonts w:ascii="宋体" w:hAnsi="宋体"/>
              </w:rPr>
            </w:pPr>
          </w:p>
        </w:tc>
      </w:tr>
      <w:tr w14:paraId="5FA285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8" w:hRule="atLeast"/>
        </w:trPr>
        <w:tc>
          <w:tcPr>
            <w:tcW w:w="1342" w:type="dxa"/>
          </w:tcPr>
          <w:p w14:paraId="29F06FAA">
            <w:pPr>
              <w:spacing w:line="400" w:lineRule="atLeast"/>
              <w:jc w:val="center"/>
              <w:rPr>
                <w:rFonts w:ascii="宋体" w:hAnsi="宋体"/>
              </w:rPr>
            </w:pPr>
          </w:p>
        </w:tc>
        <w:tc>
          <w:tcPr>
            <w:tcW w:w="1342" w:type="dxa"/>
          </w:tcPr>
          <w:p w14:paraId="07F89B36">
            <w:pPr>
              <w:spacing w:line="400" w:lineRule="atLeast"/>
              <w:jc w:val="center"/>
              <w:rPr>
                <w:rFonts w:ascii="宋体" w:hAnsi="宋体"/>
              </w:rPr>
            </w:pPr>
          </w:p>
        </w:tc>
        <w:tc>
          <w:tcPr>
            <w:tcW w:w="1342" w:type="dxa"/>
          </w:tcPr>
          <w:p w14:paraId="676720E9">
            <w:pPr>
              <w:spacing w:line="400" w:lineRule="atLeast"/>
              <w:jc w:val="center"/>
              <w:rPr>
                <w:rFonts w:ascii="宋体" w:hAnsi="宋体"/>
              </w:rPr>
            </w:pPr>
          </w:p>
        </w:tc>
        <w:tc>
          <w:tcPr>
            <w:tcW w:w="512" w:type="dxa"/>
          </w:tcPr>
          <w:p w14:paraId="7A66709E">
            <w:pPr>
              <w:spacing w:line="400" w:lineRule="atLeast"/>
              <w:jc w:val="center"/>
              <w:rPr>
                <w:rFonts w:ascii="宋体" w:hAnsi="宋体"/>
              </w:rPr>
            </w:pPr>
          </w:p>
        </w:tc>
        <w:tc>
          <w:tcPr>
            <w:tcW w:w="1873" w:type="dxa"/>
          </w:tcPr>
          <w:p w14:paraId="46FB65C5">
            <w:pPr>
              <w:spacing w:line="400" w:lineRule="atLeast"/>
              <w:jc w:val="center"/>
              <w:rPr>
                <w:rFonts w:ascii="宋体" w:hAnsi="宋体"/>
              </w:rPr>
            </w:pPr>
          </w:p>
        </w:tc>
        <w:tc>
          <w:tcPr>
            <w:tcW w:w="1302" w:type="dxa"/>
          </w:tcPr>
          <w:p w14:paraId="357C0086">
            <w:pPr>
              <w:spacing w:line="400" w:lineRule="atLeast"/>
              <w:jc w:val="center"/>
              <w:rPr>
                <w:rFonts w:ascii="宋体" w:hAnsi="宋体"/>
              </w:rPr>
            </w:pPr>
          </w:p>
        </w:tc>
        <w:tc>
          <w:tcPr>
            <w:tcW w:w="1302" w:type="dxa"/>
          </w:tcPr>
          <w:p w14:paraId="712CD2DE">
            <w:pPr>
              <w:spacing w:line="400" w:lineRule="atLeast"/>
              <w:jc w:val="center"/>
              <w:rPr>
                <w:rFonts w:ascii="宋体" w:hAnsi="宋体"/>
              </w:rPr>
            </w:pPr>
          </w:p>
        </w:tc>
      </w:tr>
    </w:tbl>
    <w:p w14:paraId="78F062B7">
      <w:pPr>
        <w:spacing w:line="600" w:lineRule="exact"/>
        <w:rPr>
          <w:rFonts w:ascii="宋体" w:hAnsi="宋体"/>
        </w:rPr>
      </w:pPr>
      <w:r>
        <w:rPr>
          <w:rFonts w:hint="eastAsia" w:ascii="宋体" w:hAnsi="宋体"/>
        </w:rPr>
        <w:t>注：1、各投标人可以根据各</w:t>
      </w:r>
      <w:r>
        <w:rPr>
          <w:rFonts w:hint="eastAsia" w:ascii="宋体"/>
        </w:rPr>
        <w:t>自</w:t>
      </w:r>
      <w:r>
        <w:rPr>
          <w:rFonts w:hint="eastAsia" w:ascii="宋体" w:hAnsi="宋体"/>
        </w:rPr>
        <w:t>业绩量准备充分的表格</w:t>
      </w:r>
      <w:r>
        <w:rPr>
          <w:rStyle w:val="42"/>
          <w:rFonts w:hint="eastAsia"/>
          <w:sz w:val="24"/>
        </w:rPr>
        <w:t>。</w:t>
      </w:r>
    </w:p>
    <w:p w14:paraId="39081140">
      <w:pPr>
        <w:pStyle w:val="13"/>
        <w:spacing w:before="120"/>
        <w:jc w:val="both"/>
        <w:outlineLvl w:val="9"/>
        <w:rPr>
          <w:rFonts w:hint="eastAsia" w:ascii="宋体" w:hAnsi="宋体"/>
          <w:b w:val="0"/>
        </w:rPr>
      </w:pPr>
      <w:bookmarkStart w:id="125" w:name="_Toc419192718"/>
      <w:bookmarkStart w:id="126" w:name="_Toc419358153"/>
      <w:bookmarkStart w:id="127" w:name="_Toc420333686"/>
      <w:bookmarkStart w:id="128" w:name="_Toc353540694"/>
      <w:bookmarkStart w:id="129" w:name="_Toc16355"/>
      <w:bookmarkStart w:id="130" w:name="_Toc24816"/>
      <w:bookmarkStart w:id="131" w:name="_Toc4316"/>
      <w:bookmarkStart w:id="132" w:name="_Toc56099924"/>
      <w:bookmarkStart w:id="133" w:name="_Toc447182077"/>
      <w:r>
        <w:rPr>
          <w:rFonts w:hint="eastAsia" w:ascii="宋体" w:hAnsi="宋体"/>
          <w:b w:val="0"/>
        </w:rPr>
        <w:t>2、同类产品近期的销售业绩，需提</w:t>
      </w:r>
      <w:r>
        <w:rPr>
          <w:rFonts w:hint="eastAsia" w:ascii="宋体" w:hAnsi="宋体" w:cs="宋体"/>
        </w:rPr>
        <w:t>供合同扫描件和首付款销售发票扫描件</w:t>
      </w:r>
      <w:r>
        <w:rPr>
          <w:rFonts w:hint="eastAsia" w:ascii="宋体" w:hAnsi="宋体"/>
          <w:b w:val="0"/>
        </w:rPr>
        <w:t>。</w:t>
      </w:r>
      <w:bookmarkEnd w:id="125"/>
      <w:bookmarkEnd w:id="126"/>
      <w:bookmarkEnd w:id="127"/>
      <w:bookmarkEnd w:id="128"/>
      <w:bookmarkEnd w:id="129"/>
      <w:bookmarkEnd w:id="130"/>
      <w:bookmarkEnd w:id="131"/>
      <w:bookmarkEnd w:id="132"/>
      <w:bookmarkEnd w:id="133"/>
    </w:p>
    <w:p w14:paraId="058A8704">
      <w:pPr>
        <w:ind w:firstLine="5040" w:firstLineChars="1800"/>
        <w:rPr>
          <w:rFonts w:ascii="宋体" w:hAnsi="宋体"/>
          <w:sz w:val="28"/>
        </w:rPr>
      </w:pPr>
    </w:p>
    <w:p w14:paraId="2E6A51DC">
      <w:pPr>
        <w:ind w:firstLine="5040" w:firstLineChars="1800"/>
        <w:rPr>
          <w:rFonts w:ascii="宋体" w:hAnsi="宋体"/>
          <w:sz w:val="28"/>
        </w:rPr>
      </w:pPr>
    </w:p>
    <w:p w14:paraId="7BA21367">
      <w:pPr>
        <w:tabs>
          <w:tab w:val="left" w:pos="8719"/>
        </w:tabs>
        <w:spacing w:before="116" w:line="351" w:lineRule="auto"/>
        <w:ind w:left="5280" w:hanging="1"/>
        <w:jc w:val="both"/>
        <w:rPr>
          <w:rFonts w:ascii="宋体" w:hAnsi="宋体" w:cs="宋体"/>
          <w:color w:val="auto"/>
          <w:u w:val="single"/>
        </w:rPr>
      </w:pPr>
      <w:bookmarkStart w:id="134" w:name="_Toc447182078"/>
      <w:bookmarkStart w:id="135" w:name="_Toc56099925"/>
      <w:r>
        <w:rPr>
          <w:rFonts w:ascii="宋体" w:hAnsi="宋体" w:cs="宋体"/>
          <w:color w:val="auto"/>
          <w:spacing w:val="-2"/>
        </w:rPr>
        <w:t>投标人（单位盖章</w:t>
      </w:r>
      <w:r>
        <w:rPr>
          <w:rFonts w:ascii="宋体" w:hAnsi="宋体" w:cs="宋体"/>
          <w:color w:val="auto"/>
          <w:spacing w:val="2"/>
        </w:rPr>
        <w:t>）：</w:t>
      </w:r>
      <w:r>
        <w:rPr>
          <w:rFonts w:ascii="宋体" w:hAnsi="宋体" w:cs="宋体"/>
          <w:color w:val="auto"/>
          <w:u w:val="single"/>
        </w:rPr>
        <w:tab/>
      </w:r>
    </w:p>
    <w:p w14:paraId="383BEE8E">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1"/>
        </w:rPr>
        <w:t>法定代表人（签字或盖章</w:t>
      </w:r>
      <w:r>
        <w:rPr>
          <w:rFonts w:ascii="宋体" w:hAnsi="宋体" w:cs="宋体"/>
          <w:color w:val="auto"/>
        </w:rPr>
        <w:t>）：</w:t>
      </w:r>
      <w:r>
        <w:rPr>
          <w:rFonts w:ascii="宋体" w:hAnsi="宋体" w:cs="宋体"/>
          <w:color w:val="auto"/>
          <w:u w:val="single"/>
        </w:rPr>
        <w:tab/>
      </w:r>
    </w:p>
    <w:p w14:paraId="673C5585">
      <w:pPr>
        <w:tabs>
          <w:tab w:val="left" w:pos="8719"/>
        </w:tabs>
        <w:spacing w:before="116" w:line="351" w:lineRule="auto"/>
        <w:ind w:left="5280" w:hanging="1"/>
        <w:jc w:val="both"/>
        <w:rPr>
          <w:rFonts w:ascii="宋体" w:hAnsi="宋体" w:cs="宋体"/>
          <w:color w:val="auto"/>
        </w:rPr>
      </w:pPr>
      <w:r>
        <w:rPr>
          <w:rFonts w:ascii="宋体" w:hAnsi="宋体" w:cs="宋体"/>
          <w:color w:val="auto"/>
          <w:spacing w:val="-4"/>
        </w:rPr>
        <w:t>日期：年 月 日</w:t>
      </w:r>
    </w:p>
    <w:p w14:paraId="00BC320E">
      <w:pPr>
        <w:bidi w:val="0"/>
        <w:rPr>
          <w:b w:val="0"/>
          <w:sz w:val="30"/>
          <w:szCs w:val="30"/>
        </w:rPr>
      </w:pPr>
      <w:r>
        <w:rPr>
          <w:rFonts w:hint="eastAsia"/>
          <w:b w:val="0"/>
          <w:sz w:val="30"/>
          <w:szCs w:val="30"/>
        </w:rPr>
        <w:br w:type="page"/>
      </w:r>
      <w:bookmarkEnd w:id="134"/>
      <w:bookmarkEnd w:id="135"/>
    </w:p>
    <w:p w14:paraId="03248AC9">
      <w:pPr>
        <w:pStyle w:val="3"/>
        <w:numPr>
          <w:ilvl w:val="0"/>
          <w:numId w:val="34"/>
        </w:numPr>
        <w:bidi w:val="0"/>
        <w:ind w:left="0" w:leftChars="0" w:firstLine="420" w:firstLineChars="0"/>
        <w:rPr>
          <w:rFonts w:hint="eastAsia"/>
        </w:rPr>
      </w:pPr>
      <w:bookmarkStart w:id="136" w:name="_Toc24231"/>
      <w:bookmarkStart w:id="137" w:name="_Toc447182080"/>
      <w:bookmarkStart w:id="138" w:name="_Toc56099927"/>
      <w:r>
        <w:rPr>
          <w:rFonts w:hint="eastAsia"/>
        </w:rPr>
        <w:t>备品备件一览表</w:t>
      </w:r>
      <w:bookmarkEnd w:id="136"/>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9"/>
        <w:gridCol w:w="1340"/>
        <w:gridCol w:w="812"/>
        <w:gridCol w:w="826"/>
        <w:gridCol w:w="1762"/>
        <w:gridCol w:w="1500"/>
        <w:gridCol w:w="868"/>
      </w:tblGrid>
      <w:tr w14:paraId="7480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1" w:hRule="atLeast"/>
        </w:trPr>
        <w:tc>
          <w:tcPr>
            <w:tcW w:w="2169" w:type="dxa"/>
            <w:vAlign w:val="center"/>
          </w:tcPr>
          <w:p w14:paraId="0640E615">
            <w:pPr>
              <w:pStyle w:val="10"/>
              <w:jc w:val="center"/>
              <w:rPr>
                <w:rFonts w:hint="eastAsia"/>
              </w:rPr>
            </w:pPr>
            <w:r>
              <w:rPr>
                <w:rFonts w:hint="eastAsia"/>
              </w:rPr>
              <w:t>材料名称及编号</w:t>
            </w:r>
          </w:p>
        </w:tc>
        <w:tc>
          <w:tcPr>
            <w:tcW w:w="1340" w:type="dxa"/>
            <w:vAlign w:val="center"/>
          </w:tcPr>
          <w:p w14:paraId="048E6265">
            <w:pPr>
              <w:pStyle w:val="10"/>
              <w:jc w:val="center"/>
              <w:rPr>
                <w:rFonts w:hint="eastAsia"/>
              </w:rPr>
            </w:pPr>
            <w:r>
              <w:rPr>
                <w:rFonts w:hint="eastAsia"/>
              </w:rPr>
              <w:t>备件名称</w:t>
            </w:r>
          </w:p>
        </w:tc>
        <w:tc>
          <w:tcPr>
            <w:tcW w:w="812" w:type="dxa"/>
            <w:vAlign w:val="center"/>
          </w:tcPr>
          <w:p w14:paraId="38B05E60">
            <w:pPr>
              <w:pStyle w:val="10"/>
              <w:jc w:val="center"/>
              <w:rPr>
                <w:rFonts w:hint="eastAsia"/>
              </w:rPr>
            </w:pPr>
            <w:r>
              <w:rPr>
                <w:rFonts w:hint="eastAsia"/>
              </w:rPr>
              <w:t>数量</w:t>
            </w:r>
          </w:p>
        </w:tc>
        <w:tc>
          <w:tcPr>
            <w:tcW w:w="826" w:type="dxa"/>
            <w:vAlign w:val="center"/>
          </w:tcPr>
          <w:p w14:paraId="5157F672">
            <w:pPr>
              <w:pStyle w:val="10"/>
              <w:jc w:val="center"/>
              <w:rPr>
                <w:rFonts w:hint="eastAsia"/>
              </w:rPr>
            </w:pPr>
            <w:r>
              <w:rPr>
                <w:rFonts w:hint="eastAsia"/>
              </w:rPr>
              <w:t>产地</w:t>
            </w:r>
          </w:p>
        </w:tc>
        <w:tc>
          <w:tcPr>
            <w:tcW w:w="1762" w:type="dxa"/>
            <w:tcBorders>
              <w:bottom w:val="single" w:color="auto" w:sz="4" w:space="0"/>
            </w:tcBorders>
            <w:vAlign w:val="center"/>
          </w:tcPr>
          <w:p w14:paraId="7CBADAC2">
            <w:pPr>
              <w:pStyle w:val="10"/>
              <w:jc w:val="center"/>
              <w:rPr>
                <w:rFonts w:hint="eastAsia"/>
              </w:rPr>
            </w:pPr>
            <w:r>
              <w:rPr>
                <w:rFonts w:hint="eastAsia"/>
              </w:rPr>
              <w:t>价格（元）</w:t>
            </w:r>
          </w:p>
        </w:tc>
        <w:tc>
          <w:tcPr>
            <w:tcW w:w="1500" w:type="dxa"/>
            <w:tcBorders>
              <w:bottom w:val="single" w:color="auto" w:sz="4" w:space="0"/>
            </w:tcBorders>
            <w:vAlign w:val="center"/>
          </w:tcPr>
          <w:p w14:paraId="0EBFB225">
            <w:pPr>
              <w:pStyle w:val="10"/>
              <w:jc w:val="center"/>
              <w:rPr>
                <w:rFonts w:hint="eastAsia"/>
              </w:rPr>
            </w:pPr>
            <w:r>
              <w:rPr>
                <w:rFonts w:hint="eastAsia"/>
              </w:rPr>
              <w:t>包装形式</w:t>
            </w:r>
          </w:p>
        </w:tc>
        <w:tc>
          <w:tcPr>
            <w:tcW w:w="868" w:type="dxa"/>
            <w:vAlign w:val="center"/>
          </w:tcPr>
          <w:p w14:paraId="09D8B767">
            <w:pPr>
              <w:pStyle w:val="10"/>
              <w:jc w:val="center"/>
              <w:rPr>
                <w:rFonts w:hint="eastAsia"/>
              </w:rPr>
            </w:pPr>
            <w:r>
              <w:rPr>
                <w:rFonts w:hint="eastAsia"/>
              </w:rPr>
              <w:t>备注</w:t>
            </w:r>
          </w:p>
        </w:tc>
      </w:tr>
      <w:tr w14:paraId="1BD26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2D12D137">
            <w:pPr>
              <w:pStyle w:val="10"/>
              <w:rPr>
                <w:rFonts w:hint="eastAsia"/>
                <w:sz w:val="30"/>
              </w:rPr>
            </w:pPr>
          </w:p>
        </w:tc>
        <w:tc>
          <w:tcPr>
            <w:tcW w:w="1340" w:type="dxa"/>
            <w:vAlign w:val="center"/>
          </w:tcPr>
          <w:p w14:paraId="7B1BA49B">
            <w:pPr>
              <w:pStyle w:val="10"/>
              <w:rPr>
                <w:rFonts w:hint="eastAsia"/>
                <w:sz w:val="30"/>
              </w:rPr>
            </w:pPr>
          </w:p>
        </w:tc>
        <w:tc>
          <w:tcPr>
            <w:tcW w:w="812" w:type="dxa"/>
            <w:vAlign w:val="center"/>
          </w:tcPr>
          <w:p w14:paraId="576D1EE0">
            <w:pPr>
              <w:pStyle w:val="10"/>
              <w:rPr>
                <w:rFonts w:hint="eastAsia"/>
                <w:sz w:val="30"/>
              </w:rPr>
            </w:pPr>
          </w:p>
        </w:tc>
        <w:tc>
          <w:tcPr>
            <w:tcW w:w="826" w:type="dxa"/>
            <w:vAlign w:val="center"/>
          </w:tcPr>
          <w:p w14:paraId="3CAEFD08">
            <w:pPr>
              <w:pStyle w:val="10"/>
              <w:rPr>
                <w:rFonts w:hint="eastAsia"/>
                <w:sz w:val="30"/>
              </w:rPr>
            </w:pPr>
          </w:p>
        </w:tc>
        <w:tc>
          <w:tcPr>
            <w:tcW w:w="1762" w:type="dxa"/>
            <w:vAlign w:val="center"/>
          </w:tcPr>
          <w:p w14:paraId="1CCA0A63">
            <w:pPr>
              <w:pStyle w:val="10"/>
              <w:rPr>
                <w:rFonts w:hint="eastAsia"/>
                <w:sz w:val="30"/>
              </w:rPr>
            </w:pPr>
          </w:p>
        </w:tc>
        <w:tc>
          <w:tcPr>
            <w:tcW w:w="1500" w:type="dxa"/>
            <w:vAlign w:val="center"/>
          </w:tcPr>
          <w:p w14:paraId="5922B307">
            <w:pPr>
              <w:pStyle w:val="10"/>
              <w:rPr>
                <w:rFonts w:hint="eastAsia"/>
                <w:sz w:val="30"/>
              </w:rPr>
            </w:pPr>
          </w:p>
        </w:tc>
        <w:tc>
          <w:tcPr>
            <w:tcW w:w="868" w:type="dxa"/>
            <w:vAlign w:val="center"/>
          </w:tcPr>
          <w:p w14:paraId="62657227">
            <w:pPr>
              <w:pStyle w:val="10"/>
              <w:rPr>
                <w:rFonts w:hint="eastAsia"/>
                <w:sz w:val="30"/>
              </w:rPr>
            </w:pPr>
          </w:p>
        </w:tc>
      </w:tr>
      <w:tr w14:paraId="5733D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7411CB7A">
            <w:pPr>
              <w:pStyle w:val="10"/>
              <w:rPr>
                <w:rFonts w:hint="eastAsia"/>
                <w:sz w:val="30"/>
              </w:rPr>
            </w:pPr>
          </w:p>
        </w:tc>
        <w:tc>
          <w:tcPr>
            <w:tcW w:w="1340" w:type="dxa"/>
            <w:vAlign w:val="center"/>
          </w:tcPr>
          <w:p w14:paraId="657B5183">
            <w:pPr>
              <w:pStyle w:val="10"/>
              <w:rPr>
                <w:rFonts w:hint="eastAsia"/>
                <w:sz w:val="30"/>
              </w:rPr>
            </w:pPr>
          </w:p>
        </w:tc>
        <w:tc>
          <w:tcPr>
            <w:tcW w:w="812" w:type="dxa"/>
            <w:vAlign w:val="center"/>
          </w:tcPr>
          <w:p w14:paraId="7F857C2D">
            <w:pPr>
              <w:pStyle w:val="10"/>
              <w:rPr>
                <w:rFonts w:hint="eastAsia"/>
                <w:sz w:val="30"/>
              </w:rPr>
            </w:pPr>
          </w:p>
        </w:tc>
        <w:tc>
          <w:tcPr>
            <w:tcW w:w="826" w:type="dxa"/>
            <w:vAlign w:val="center"/>
          </w:tcPr>
          <w:p w14:paraId="05882AF4">
            <w:pPr>
              <w:pStyle w:val="10"/>
              <w:rPr>
                <w:rFonts w:hint="eastAsia"/>
                <w:sz w:val="30"/>
              </w:rPr>
            </w:pPr>
          </w:p>
        </w:tc>
        <w:tc>
          <w:tcPr>
            <w:tcW w:w="1762" w:type="dxa"/>
            <w:vAlign w:val="center"/>
          </w:tcPr>
          <w:p w14:paraId="11CCEB1A">
            <w:pPr>
              <w:pStyle w:val="10"/>
              <w:rPr>
                <w:rFonts w:hint="eastAsia"/>
                <w:sz w:val="30"/>
              </w:rPr>
            </w:pPr>
          </w:p>
        </w:tc>
        <w:tc>
          <w:tcPr>
            <w:tcW w:w="1500" w:type="dxa"/>
            <w:vAlign w:val="center"/>
          </w:tcPr>
          <w:p w14:paraId="27416FAF">
            <w:pPr>
              <w:pStyle w:val="10"/>
              <w:rPr>
                <w:rFonts w:hint="eastAsia"/>
                <w:sz w:val="30"/>
              </w:rPr>
            </w:pPr>
          </w:p>
        </w:tc>
        <w:tc>
          <w:tcPr>
            <w:tcW w:w="868" w:type="dxa"/>
            <w:vAlign w:val="center"/>
          </w:tcPr>
          <w:p w14:paraId="43D8B942">
            <w:pPr>
              <w:pStyle w:val="10"/>
              <w:rPr>
                <w:rFonts w:hint="eastAsia"/>
                <w:sz w:val="30"/>
              </w:rPr>
            </w:pPr>
          </w:p>
        </w:tc>
      </w:tr>
      <w:tr w14:paraId="668E9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4441825E">
            <w:pPr>
              <w:pStyle w:val="10"/>
              <w:rPr>
                <w:rFonts w:hint="eastAsia"/>
                <w:sz w:val="30"/>
              </w:rPr>
            </w:pPr>
          </w:p>
        </w:tc>
        <w:tc>
          <w:tcPr>
            <w:tcW w:w="1340" w:type="dxa"/>
            <w:vAlign w:val="center"/>
          </w:tcPr>
          <w:p w14:paraId="6F9C7D90">
            <w:pPr>
              <w:pStyle w:val="10"/>
              <w:rPr>
                <w:rFonts w:hint="eastAsia"/>
                <w:sz w:val="30"/>
              </w:rPr>
            </w:pPr>
          </w:p>
        </w:tc>
        <w:tc>
          <w:tcPr>
            <w:tcW w:w="812" w:type="dxa"/>
            <w:vAlign w:val="center"/>
          </w:tcPr>
          <w:p w14:paraId="691CDC0C">
            <w:pPr>
              <w:pStyle w:val="10"/>
              <w:rPr>
                <w:rFonts w:hint="eastAsia"/>
                <w:sz w:val="30"/>
              </w:rPr>
            </w:pPr>
          </w:p>
        </w:tc>
        <w:tc>
          <w:tcPr>
            <w:tcW w:w="826" w:type="dxa"/>
            <w:vAlign w:val="center"/>
          </w:tcPr>
          <w:p w14:paraId="1FF5A6D8">
            <w:pPr>
              <w:pStyle w:val="10"/>
              <w:rPr>
                <w:rFonts w:hint="eastAsia"/>
                <w:sz w:val="30"/>
              </w:rPr>
            </w:pPr>
          </w:p>
        </w:tc>
        <w:tc>
          <w:tcPr>
            <w:tcW w:w="1762" w:type="dxa"/>
            <w:vAlign w:val="center"/>
          </w:tcPr>
          <w:p w14:paraId="5D56A14D">
            <w:pPr>
              <w:pStyle w:val="10"/>
              <w:rPr>
                <w:rFonts w:hint="eastAsia"/>
                <w:sz w:val="30"/>
              </w:rPr>
            </w:pPr>
          </w:p>
        </w:tc>
        <w:tc>
          <w:tcPr>
            <w:tcW w:w="1500" w:type="dxa"/>
            <w:vAlign w:val="center"/>
          </w:tcPr>
          <w:p w14:paraId="76E1DECC">
            <w:pPr>
              <w:pStyle w:val="10"/>
              <w:rPr>
                <w:rFonts w:hint="eastAsia"/>
                <w:sz w:val="30"/>
              </w:rPr>
            </w:pPr>
          </w:p>
        </w:tc>
        <w:tc>
          <w:tcPr>
            <w:tcW w:w="868" w:type="dxa"/>
            <w:vAlign w:val="center"/>
          </w:tcPr>
          <w:p w14:paraId="741709F4">
            <w:pPr>
              <w:pStyle w:val="10"/>
              <w:rPr>
                <w:rFonts w:hint="eastAsia"/>
                <w:sz w:val="30"/>
              </w:rPr>
            </w:pPr>
          </w:p>
        </w:tc>
      </w:tr>
      <w:tr w14:paraId="31FA41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2A34D59B">
            <w:pPr>
              <w:pStyle w:val="10"/>
              <w:rPr>
                <w:rFonts w:hint="eastAsia"/>
                <w:sz w:val="30"/>
              </w:rPr>
            </w:pPr>
          </w:p>
        </w:tc>
        <w:tc>
          <w:tcPr>
            <w:tcW w:w="1340" w:type="dxa"/>
            <w:vAlign w:val="center"/>
          </w:tcPr>
          <w:p w14:paraId="2446DFD9">
            <w:pPr>
              <w:pStyle w:val="10"/>
              <w:rPr>
                <w:rFonts w:hint="eastAsia"/>
                <w:sz w:val="30"/>
              </w:rPr>
            </w:pPr>
          </w:p>
        </w:tc>
        <w:tc>
          <w:tcPr>
            <w:tcW w:w="812" w:type="dxa"/>
            <w:vAlign w:val="center"/>
          </w:tcPr>
          <w:p w14:paraId="47469319">
            <w:pPr>
              <w:pStyle w:val="10"/>
              <w:rPr>
                <w:rFonts w:hint="eastAsia"/>
                <w:sz w:val="30"/>
              </w:rPr>
            </w:pPr>
          </w:p>
        </w:tc>
        <w:tc>
          <w:tcPr>
            <w:tcW w:w="826" w:type="dxa"/>
            <w:vAlign w:val="center"/>
          </w:tcPr>
          <w:p w14:paraId="7FD430F8">
            <w:pPr>
              <w:pStyle w:val="10"/>
              <w:rPr>
                <w:rFonts w:hint="eastAsia"/>
                <w:sz w:val="30"/>
              </w:rPr>
            </w:pPr>
          </w:p>
        </w:tc>
        <w:tc>
          <w:tcPr>
            <w:tcW w:w="1762" w:type="dxa"/>
            <w:vAlign w:val="center"/>
          </w:tcPr>
          <w:p w14:paraId="4E9B1E5E">
            <w:pPr>
              <w:pStyle w:val="10"/>
              <w:rPr>
                <w:rFonts w:hint="eastAsia"/>
                <w:sz w:val="30"/>
              </w:rPr>
            </w:pPr>
          </w:p>
        </w:tc>
        <w:tc>
          <w:tcPr>
            <w:tcW w:w="1500" w:type="dxa"/>
            <w:vAlign w:val="center"/>
          </w:tcPr>
          <w:p w14:paraId="587CB344">
            <w:pPr>
              <w:pStyle w:val="10"/>
              <w:rPr>
                <w:rFonts w:hint="eastAsia"/>
                <w:sz w:val="30"/>
              </w:rPr>
            </w:pPr>
          </w:p>
        </w:tc>
        <w:tc>
          <w:tcPr>
            <w:tcW w:w="868" w:type="dxa"/>
            <w:vAlign w:val="center"/>
          </w:tcPr>
          <w:p w14:paraId="46785B2A">
            <w:pPr>
              <w:pStyle w:val="10"/>
              <w:rPr>
                <w:rFonts w:hint="eastAsia"/>
                <w:sz w:val="30"/>
              </w:rPr>
            </w:pPr>
          </w:p>
        </w:tc>
      </w:tr>
      <w:tr w14:paraId="277E7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7E1F9DB6">
            <w:pPr>
              <w:pStyle w:val="10"/>
              <w:rPr>
                <w:rFonts w:hint="eastAsia"/>
                <w:sz w:val="30"/>
              </w:rPr>
            </w:pPr>
          </w:p>
        </w:tc>
        <w:tc>
          <w:tcPr>
            <w:tcW w:w="1340" w:type="dxa"/>
            <w:vAlign w:val="center"/>
          </w:tcPr>
          <w:p w14:paraId="5533C598">
            <w:pPr>
              <w:pStyle w:val="10"/>
              <w:rPr>
                <w:rFonts w:hint="eastAsia"/>
                <w:sz w:val="30"/>
              </w:rPr>
            </w:pPr>
          </w:p>
        </w:tc>
        <w:tc>
          <w:tcPr>
            <w:tcW w:w="812" w:type="dxa"/>
            <w:vAlign w:val="center"/>
          </w:tcPr>
          <w:p w14:paraId="21B45180">
            <w:pPr>
              <w:pStyle w:val="10"/>
              <w:rPr>
                <w:rFonts w:hint="eastAsia"/>
                <w:sz w:val="30"/>
              </w:rPr>
            </w:pPr>
          </w:p>
        </w:tc>
        <w:tc>
          <w:tcPr>
            <w:tcW w:w="826" w:type="dxa"/>
            <w:vAlign w:val="center"/>
          </w:tcPr>
          <w:p w14:paraId="6DFD58A8">
            <w:pPr>
              <w:pStyle w:val="10"/>
              <w:rPr>
                <w:rFonts w:hint="eastAsia"/>
                <w:sz w:val="30"/>
              </w:rPr>
            </w:pPr>
          </w:p>
        </w:tc>
        <w:tc>
          <w:tcPr>
            <w:tcW w:w="1762" w:type="dxa"/>
            <w:vAlign w:val="center"/>
          </w:tcPr>
          <w:p w14:paraId="0B027A22">
            <w:pPr>
              <w:pStyle w:val="10"/>
              <w:rPr>
                <w:rFonts w:hint="eastAsia"/>
                <w:sz w:val="30"/>
              </w:rPr>
            </w:pPr>
          </w:p>
        </w:tc>
        <w:tc>
          <w:tcPr>
            <w:tcW w:w="1500" w:type="dxa"/>
            <w:vAlign w:val="center"/>
          </w:tcPr>
          <w:p w14:paraId="28CB0F84">
            <w:pPr>
              <w:pStyle w:val="10"/>
              <w:rPr>
                <w:rFonts w:hint="eastAsia"/>
                <w:sz w:val="30"/>
              </w:rPr>
            </w:pPr>
          </w:p>
        </w:tc>
        <w:tc>
          <w:tcPr>
            <w:tcW w:w="868" w:type="dxa"/>
            <w:vAlign w:val="center"/>
          </w:tcPr>
          <w:p w14:paraId="56DBEDDC">
            <w:pPr>
              <w:pStyle w:val="10"/>
              <w:rPr>
                <w:rFonts w:hint="eastAsia"/>
                <w:sz w:val="30"/>
              </w:rPr>
            </w:pPr>
          </w:p>
        </w:tc>
      </w:tr>
      <w:tr w14:paraId="38B4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361927ED">
            <w:pPr>
              <w:pStyle w:val="10"/>
              <w:rPr>
                <w:rFonts w:hint="eastAsia"/>
                <w:sz w:val="30"/>
              </w:rPr>
            </w:pPr>
          </w:p>
        </w:tc>
        <w:tc>
          <w:tcPr>
            <w:tcW w:w="1340" w:type="dxa"/>
            <w:vAlign w:val="center"/>
          </w:tcPr>
          <w:p w14:paraId="68C3D7AB">
            <w:pPr>
              <w:pStyle w:val="10"/>
              <w:rPr>
                <w:rFonts w:hint="eastAsia"/>
                <w:sz w:val="30"/>
              </w:rPr>
            </w:pPr>
          </w:p>
        </w:tc>
        <w:tc>
          <w:tcPr>
            <w:tcW w:w="812" w:type="dxa"/>
            <w:vAlign w:val="center"/>
          </w:tcPr>
          <w:p w14:paraId="16BA8CB4">
            <w:pPr>
              <w:pStyle w:val="10"/>
              <w:rPr>
                <w:rFonts w:hint="eastAsia"/>
                <w:sz w:val="30"/>
              </w:rPr>
            </w:pPr>
          </w:p>
        </w:tc>
        <w:tc>
          <w:tcPr>
            <w:tcW w:w="826" w:type="dxa"/>
            <w:vAlign w:val="center"/>
          </w:tcPr>
          <w:p w14:paraId="6C75CF00">
            <w:pPr>
              <w:pStyle w:val="10"/>
              <w:rPr>
                <w:rFonts w:hint="eastAsia"/>
                <w:sz w:val="30"/>
              </w:rPr>
            </w:pPr>
          </w:p>
        </w:tc>
        <w:tc>
          <w:tcPr>
            <w:tcW w:w="1762" w:type="dxa"/>
            <w:vAlign w:val="center"/>
          </w:tcPr>
          <w:p w14:paraId="510AF5AB">
            <w:pPr>
              <w:pStyle w:val="10"/>
              <w:rPr>
                <w:rFonts w:hint="eastAsia"/>
                <w:sz w:val="30"/>
              </w:rPr>
            </w:pPr>
          </w:p>
        </w:tc>
        <w:tc>
          <w:tcPr>
            <w:tcW w:w="1500" w:type="dxa"/>
            <w:vAlign w:val="center"/>
          </w:tcPr>
          <w:p w14:paraId="7E518F1C">
            <w:pPr>
              <w:pStyle w:val="10"/>
              <w:rPr>
                <w:rFonts w:hint="eastAsia"/>
                <w:sz w:val="30"/>
              </w:rPr>
            </w:pPr>
          </w:p>
        </w:tc>
        <w:tc>
          <w:tcPr>
            <w:tcW w:w="868" w:type="dxa"/>
            <w:vAlign w:val="center"/>
          </w:tcPr>
          <w:p w14:paraId="64C514CE">
            <w:pPr>
              <w:pStyle w:val="10"/>
              <w:rPr>
                <w:rFonts w:hint="eastAsia"/>
                <w:sz w:val="30"/>
              </w:rPr>
            </w:pPr>
          </w:p>
        </w:tc>
      </w:tr>
      <w:tr w14:paraId="2C7F3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1F4878EA">
            <w:pPr>
              <w:pStyle w:val="10"/>
              <w:rPr>
                <w:rFonts w:hint="eastAsia"/>
                <w:sz w:val="30"/>
              </w:rPr>
            </w:pPr>
          </w:p>
        </w:tc>
        <w:tc>
          <w:tcPr>
            <w:tcW w:w="1340" w:type="dxa"/>
            <w:vAlign w:val="center"/>
          </w:tcPr>
          <w:p w14:paraId="596CE795">
            <w:pPr>
              <w:pStyle w:val="10"/>
              <w:rPr>
                <w:rFonts w:hint="eastAsia"/>
                <w:sz w:val="30"/>
              </w:rPr>
            </w:pPr>
          </w:p>
        </w:tc>
        <w:tc>
          <w:tcPr>
            <w:tcW w:w="812" w:type="dxa"/>
            <w:vAlign w:val="center"/>
          </w:tcPr>
          <w:p w14:paraId="6FA9347E">
            <w:pPr>
              <w:pStyle w:val="10"/>
              <w:rPr>
                <w:rFonts w:hint="eastAsia"/>
                <w:sz w:val="30"/>
              </w:rPr>
            </w:pPr>
          </w:p>
        </w:tc>
        <w:tc>
          <w:tcPr>
            <w:tcW w:w="826" w:type="dxa"/>
            <w:vAlign w:val="center"/>
          </w:tcPr>
          <w:p w14:paraId="19AD9E09">
            <w:pPr>
              <w:pStyle w:val="10"/>
              <w:rPr>
                <w:rFonts w:hint="eastAsia"/>
                <w:sz w:val="30"/>
              </w:rPr>
            </w:pPr>
          </w:p>
        </w:tc>
        <w:tc>
          <w:tcPr>
            <w:tcW w:w="1762" w:type="dxa"/>
            <w:vAlign w:val="center"/>
          </w:tcPr>
          <w:p w14:paraId="277276E4">
            <w:pPr>
              <w:pStyle w:val="10"/>
              <w:rPr>
                <w:rFonts w:hint="eastAsia"/>
                <w:sz w:val="30"/>
              </w:rPr>
            </w:pPr>
          </w:p>
        </w:tc>
        <w:tc>
          <w:tcPr>
            <w:tcW w:w="1500" w:type="dxa"/>
            <w:vAlign w:val="center"/>
          </w:tcPr>
          <w:p w14:paraId="0F34CBDF">
            <w:pPr>
              <w:pStyle w:val="10"/>
              <w:rPr>
                <w:rFonts w:hint="eastAsia"/>
                <w:sz w:val="30"/>
              </w:rPr>
            </w:pPr>
          </w:p>
        </w:tc>
        <w:tc>
          <w:tcPr>
            <w:tcW w:w="868" w:type="dxa"/>
            <w:vAlign w:val="center"/>
          </w:tcPr>
          <w:p w14:paraId="562BB173">
            <w:pPr>
              <w:pStyle w:val="10"/>
              <w:rPr>
                <w:rFonts w:hint="eastAsia"/>
                <w:sz w:val="30"/>
              </w:rPr>
            </w:pPr>
          </w:p>
        </w:tc>
      </w:tr>
      <w:tr w14:paraId="7D505B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54FF105C">
            <w:pPr>
              <w:pStyle w:val="10"/>
              <w:rPr>
                <w:rFonts w:hint="eastAsia"/>
                <w:sz w:val="30"/>
              </w:rPr>
            </w:pPr>
          </w:p>
        </w:tc>
        <w:tc>
          <w:tcPr>
            <w:tcW w:w="1340" w:type="dxa"/>
            <w:vAlign w:val="center"/>
          </w:tcPr>
          <w:p w14:paraId="37DA6B61">
            <w:pPr>
              <w:pStyle w:val="10"/>
              <w:rPr>
                <w:rFonts w:hint="eastAsia"/>
                <w:sz w:val="30"/>
              </w:rPr>
            </w:pPr>
          </w:p>
        </w:tc>
        <w:tc>
          <w:tcPr>
            <w:tcW w:w="812" w:type="dxa"/>
            <w:vAlign w:val="center"/>
          </w:tcPr>
          <w:p w14:paraId="18D03F23">
            <w:pPr>
              <w:pStyle w:val="10"/>
              <w:rPr>
                <w:rFonts w:hint="eastAsia"/>
                <w:sz w:val="30"/>
              </w:rPr>
            </w:pPr>
          </w:p>
        </w:tc>
        <w:tc>
          <w:tcPr>
            <w:tcW w:w="826" w:type="dxa"/>
            <w:vAlign w:val="center"/>
          </w:tcPr>
          <w:p w14:paraId="0F9451F4">
            <w:pPr>
              <w:pStyle w:val="10"/>
              <w:rPr>
                <w:rFonts w:hint="eastAsia"/>
                <w:sz w:val="30"/>
              </w:rPr>
            </w:pPr>
          </w:p>
        </w:tc>
        <w:tc>
          <w:tcPr>
            <w:tcW w:w="1762" w:type="dxa"/>
            <w:vAlign w:val="center"/>
          </w:tcPr>
          <w:p w14:paraId="40A31081">
            <w:pPr>
              <w:pStyle w:val="10"/>
              <w:rPr>
                <w:rFonts w:hint="eastAsia"/>
                <w:sz w:val="30"/>
              </w:rPr>
            </w:pPr>
          </w:p>
        </w:tc>
        <w:tc>
          <w:tcPr>
            <w:tcW w:w="1500" w:type="dxa"/>
            <w:vAlign w:val="center"/>
          </w:tcPr>
          <w:p w14:paraId="4B9DEEA4">
            <w:pPr>
              <w:pStyle w:val="10"/>
              <w:rPr>
                <w:rFonts w:hint="eastAsia"/>
                <w:sz w:val="30"/>
              </w:rPr>
            </w:pPr>
          </w:p>
        </w:tc>
        <w:tc>
          <w:tcPr>
            <w:tcW w:w="868" w:type="dxa"/>
            <w:vAlign w:val="center"/>
          </w:tcPr>
          <w:p w14:paraId="20E9A329">
            <w:pPr>
              <w:pStyle w:val="10"/>
              <w:rPr>
                <w:rFonts w:hint="eastAsia"/>
                <w:sz w:val="30"/>
              </w:rPr>
            </w:pPr>
          </w:p>
        </w:tc>
      </w:tr>
      <w:tr w14:paraId="26962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22E2A2B0">
            <w:pPr>
              <w:pStyle w:val="10"/>
              <w:rPr>
                <w:rFonts w:hint="eastAsia"/>
                <w:sz w:val="30"/>
              </w:rPr>
            </w:pPr>
          </w:p>
        </w:tc>
        <w:tc>
          <w:tcPr>
            <w:tcW w:w="1340" w:type="dxa"/>
            <w:vAlign w:val="center"/>
          </w:tcPr>
          <w:p w14:paraId="22442463">
            <w:pPr>
              <w:pStyle w:val="10"/>
              <w:rPr>
                <w:rFonts w:hint="eastAsia"/>
                <w:sz w:val="30"/>
              </w:rPr>
            </w:pPr>
          </w:p>
        </w:tc>
        <w:tc>
          <w:tcPr>
            <w:tcW w:w="812" w:type="dxa"/>
            <w:vAlign w:val="center"/>
          </w:tcPr>
          <w:p w14:paraId="0BB66E9A">
            <w:pPr>
              <w:pStyle w:val="10"/>
              <w:rPr>
                <w:rFonts w:hint="eastAsia"/>
                <w:sz w:val="30"/>
              </w:rPr>
            </w:pPr>
          </w:p>
        </w:tc>
        <w:tc>
          <w:tcPr>
            <w:tcW w:w="826" w:type="dxa"/>
            <w:vAlign w:val="center"/>
          </w:tcPr>
          <w:p w14:paraId="7F15AF7A">
            <w:pPr>
              <w:pStyle w:val="10"/>
              <w:rPr>
                <w:rFonts w:hint="eastAsia"/>
                <w:sz w:val="30"/>
              </w:rPr>
            </w:pPr>
          </w:p>
        </w:tc>
        <w:tc>
          <w:tcPr>
            <w:tcW w:w="1762" w:type="dxa"/>
            <w:vAlign w:val="center"/>
          </w:tcPr>
          <w:p w14:paraId="37F64721">
            <w:pPr>
              <w:pStyle w:val="10"/>
              <w:rPr>
                <w:rFonts w:hint="eastAsia"/>
                <w:sz w:val="30"/>
              </w:rPr>
            </w:pPr>
          </w:p>
        </w:tc>
        <w:tc>
          <w:tcPr>
            <w:tcW w:w="1500" w:type="dxa"/>
            <w:vAlign w:val="center"/>
          </w:tcPr>
          <w:p w14:paraId="337B34F3">
            <w:pPr>
              <w:pStyle w:val="10"/>
              <w:rPr>
                <w:rFonts w:hint="eastAsia"/>
                <w:sz w:val="30"/>
              </w:rPr>
            </w:pPr>
          </w:p>
        </w:tc>
        <w:tc>
          <w:tcPr>
            <w:tcW w:w="868" w:type="dxa"/>
            <w:vAlign w:val="center"/>
          </w:tcPr>
          <w:p w14:paraId="47C7A4AA">
            <w:pPr>
              <w:pStyle w:val="10"/>
              <w:rPr>
                <w:rFonts w:hint="eastAsia"/>
                <w:sz w:val="30"/>
              </w:rPr>
            </w:pPr>
          </w:p>
        </w:tc>
      </w:tr>
      <w:tr w14:paraId="38EF9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2F93110E">
            <w:pPr>
              <w:pStyle w:val="10"/>
              <w:rPr>
                <w:rFonts w:hint="eastAsia"/>
                <w:sz w:val="30"/>
              </w:rPr>
            </w:pPr>
          </w:p>
        </w:tc>
        <w:tc>
          <w:tcPr>
            <w:tcW w:w="1340" w:type="dxa"/>
            <w:vAlign w:val="center"/>
          </w:tcPr>
          <w:p w14:paraId="19086E06">
            <w:pPr>
              <w:pStyle w:val="10"/>
              <w:rPr>
                <w:rFonts w:hint="eastAsia"/>
                <w:sz w:val="30"/>
              </w:rPr>
            </w:pPr>
          </w:p>
        </w:tc>
        <w:tc>
          <w:tcPr>
            <w:tcW w:w="812" w:type="dxa"/>
            <w:vAlign w:val="center"/>
          </w:tcPr>
          <w:p w14:paraId="25387E33">
            <w:pPr>
              <w:pStyle w:val="10"/>
              <w:rPr>
                <w:rFonts w:hint="eastAsia"/>
                <w:sz w:val="30"/>
              </w:rPr>
            </w:pPr>
          </w:p>
        </w:tc>
        <w:tc>
          <w:tcPr>
            <w:tcW w:w="826" w:type="dxa"/>
            <w:vAlign w:val="center"/>
          </w:tcPr>
          <w:p w14:paraId="37F326A1">
            <w:pPr>
              <w:pStyle w:val="10"/>
              <w:rPr>
                <w:rFonts w:hint="eastAsia"/>
                <w:sz w:val="30"/>
              </w:rPr>
            </w:pPr>
          </w:p>
        </w:tc>
        <w:tc>
          <w:tcPr>
            <w:tcW w:w="1762" w:type="dxa"/>
            <w:vAlign w:val="center"/>
          </w:tcPr>
          <w:p w14:paraId="3759DC6A">
            <w:pPr>
              <w:pStyle w:val="10"/>
              <w:rPr>
                <w:rFonts w:hint="eastAsia"/>
                <w:sz w:val="30"/>
              </w:rPr>
            </w:pPr>
          </w:p>
        </w:tc>
        <w:tc>
          <w:tcPr>
            <w:tcW w:w="1500" w:type="dxa"/>
            <w:vAlign w:val="center"/>
          </w:tcPr>
          <w:p w14:paraId="73AD10EA">
            <w:pPr>
              <w:pStyle w:val="10"/>
              <w:rPr>
                <w:rFonts w:hint="eastAsia"/>
                <w:sz w:val="30"/>
              </w:rPr>
            </w:pPr>
          </w:p>
        </w:tc>
        <w:tc>
          <w:tcPr>
            <w:tcW w:w="868" w:type="dxa"/>
            <w:vAlign w:val="center"/>
          </w:tcPr>
          <w:p w14:paraId="13C0C9BB">
            <w:pPr>
              <w:pStyle w:val="10"/>
              <w:rPr>
                <w:rFonts w:hint="eastAsia"/>
                <w:sz w:val="30"/>
              </w:rPr>
            </w:pPr>
          </w:p>
        </w:tc>
      </w:tr>
      <w:tr w14:paraId="7F64E0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1718E031">
            <w:pPr>
              <w:pStyle w:val="10"/>
              <w:rPr>
                <w:rFonts w:hint="eastAsia"/>
                <w:sz w:val="30"/>
              </w:rPr>
            </w:pPr>
          </w:p>
        </w:tc>
        <w:tc>
          <w:tcPr>
            <w:tcW w:w="1340" w:type="dxa"/>
            <w:vAlign w:val="center"/>
          </w:tcPr>
          <w:p w14:paraId="2F5F5B8D">
            <w:pPr>
              <w:pStyle w:val="10"/>
              <w:rPr>
                <w:rFonts w:hint="eastAsia"/>
                <w:sz w:val="30"/>
              </w:rPr>
            </w:pPr>
          </w:p>
        </w:tc>
        <w:tc>
          <w:tcPr>
            <w:tcW w:w="812" w:type="dxa"/>
            <w:vAlign w:val="center"/>
          </w:tcPr>
          <w:p w14:paraId="04CAECFD">
            <w:pPr>
              <w:pStyle w:val="10"/>
              <w:rPr>
                <w:rFonts w:hint="eastAsia"/>
                <w:sz w:val="30"/>
              </w:rPr>
            </w:pPr>
          </w:p>
        </w:tc>
        <w:tc>
          <w:tcPr>
            <w:tcW w:w="826" w:type="dxa"/>
            <w:vAlign w:val="center"/>
          </w:tcPr>
          <w:p w14:paraId="432640D1">
            <w:pPr>
              <w:pStyle w:val="10"/>
              <w:rPr>
                <w:rFonts w:hint="eastAsia"/>
                <w:sz w:val="30"/>
              </w:rPr>
            </w:pPr>
          </w:p>
        </w:tc>
        <w:tc>
          <w:tcPr>
            <w:tcW w:w="1762" w:type="dxa"/>
            <w:vAlign w:val="center"/>
          </w:tcPr>
          <w:p w14:paraId="577CDFD1">
            <w:pPr>
              <w:pStyle w:val="10"/>
              <w:rPr>
                <w:rFonts w:hint="eastAsia"/>
                <w:sz w:val="30"/>
              </w:rPr>
            </w:pPr>
          </w:p>
        </w:tc>
        <w:tc>
          <w:tcPr>
            <w:tcW w:w="1500" w:type="dxa"/>
            <w:vAlign w:val="center"/>
          </w:tcPr>
          <w:p w14:paraId="0A3ABF40">
            <w:pPr>
              <w:pStyle w:val="10"/>
              <w:rPr>
                <w:rFonts w:hint="eastAsia"/>
                <w:sz w:val="30"/>
              </w:rPr>
            </w:pPr>
          </w:p>
        </w:tc>
        <w:tc>
          <w:tcPr>
            <w:tcW w:w="868" w:type="dxa"/>
            <w:vAlign w:val="center"/>
          </w:tcPr>
          <w:p w14:paraId="1431384B">
            <w:pPr>
              <w:pStyle w:val="10"/>
              <w:rPr>
                <w:rFonts w:hint="eastAsia"/>
                <w:sz w:val="30"/>
              </w:rPr>
            </w:pPr>
          </w:p>
        </w:tc>
      </w:tr>
      <w:tr w14:paraId="52DF6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2395564D">
            <w:pPr>
              <w:pStyle w:val="10"/>
              <w:rPr>
                <w:rFonts w:hint="eastAsia"/>
                <w:sz w:val="30"/>
              </w:rPr>
            </w:pPr>
          </w:p>
        </w:tc>
        <w:tc>
          <w:tcPr>
            <w:tcW w:w="1340" w:type="dxa"/>
            <w:vAlign w:val="center"/>
          </w:tcPr>
          <w:p w14:paraId="7293D87F">
            <w:pPr>
              <w:pStyle w:val="10"/>
              <w:rPr>
                <w:rFonts w:hint="eastAsia"/>
                <w:sz w:val="30"/>
              </w:rPr>
            </w:pPr>
          </w:p>
        </w:tc>
        <w:tc>
          <w:tcPr>
            <w:tcW w:w="812" w:type="dxa"/>
            <w:vAlign w:val="center"/>
          </w:tcPr>
          <w:p w14:paraId="7679C879">
            <w:pPr>
              <w:pStyle w:val="10"/>
              <w:rPr>
                <w:rFonts w:hint="eastAsia"/>
                <w:sz w:val="30"/>
              </w:rPr>
            </w:pPr>
          </w:p>
        </w:tc>
        <w:tc>
          <w:tcPr>
            <w:tcW w:w="826" w:type="dxa"/>
            <w:vAlign w:val="center"/>
          </w:tcPr>
          <w:p w14:paraId="66663FBE">
            <w:pPr>
              <w:pStyle w:val="10"/>
              <w:rPr>
                <w:rFonts w:hint="eastAsia"/>
                <w:sz w:val="30"/>
              </w:rPr>
            </w:pPr>
          </w:p>
        </w:tc>
        <w:tc>
          <w:tcPr>
            <w:tcW w:w="1762" w:type="dxa"/>
            <w:vAlign w:val="center"/>
          </w:tcPr>
          <w:p w14:paraId="282350BC">
            <w:pPr>
              <w:pStyle w:val="10"/>
              <w:rPr>
                <w:rFonts w:hint="eastAsia"/>
                <w:sz w:val="30"/>
              </w:rPr>
            </w:pPr>
          </w:p>
        </w:tc>
        <w:tc>
          <w:tcPr>
            <w:tcW w:w="1500" w:type="dxa"/>
            <w:vAlign w:val="center"/>
          </w:tcPr>
          <w:p w14:paraId="769534DD">
            <w:pPr>
              <w:pStyle w:val="10"/>
              <w:rPr>
                <w:rFonts w:hint="eastAsia"/>
                <w:sz w:val="30"/>
              </w:rPr>
            </w:pPr>
          </w:p>
        </w:tc>
        <w:tc>
          <w:tcPr>
            <w:tcW w:w="868" w:type="dxa"/>
            <w:vAlign w:val="center"/>
          </w:tcPr>
          <w:p w14:paraId="366DF327">
            <w:pPr>
              <w:pStyle w:val="10"/>
              <w:rPr>
                <w:rFonts w:hint="eastAsia"/>
                <w:sz w:val="30"/>
              </w:rPr>
            </w:pPr>
          </w:p>
        </w:tc>
      </w:tr>
      <w:tr w14:paraId="7A011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78BC28FD">
            <w:pPr>
              <w:pStyle w:val="10"/>
              <w:rPr>
                <w:rFonts w:hint="eastAsia"/>
                <w:sz w:val="30"/>
              </w:rPr>
            </w:pPr>
          </w:p>
        </w:tc>
        <w:tc>
          <w:tcPr>
            <w:tcW w:w="1340" w:type="dxa"/>
            <w:vAlign w:val="center"/>
          </w:tcPr>
          <w:p w14:paraId="790DF833">
            <w:pPr>
              <w:pStyle w:val="10"/>
              <w:rPr>
                <w:rFonts w:hint="eastAsia"/>
                <w:sz w:val="30"/>
              </w:rPr>
            </w:pPr>
          </w:p>
        </w:tc>
        <w:tc>
          <w:tcPr>
            <w:tcW w:w="812" w:type="dxa"/>
            <w:vAlign w:val="center"/>
          </w:tcPr>
          <w:p w14:paraId="3D8E6D40">
            <w:pPr>
              <w:pStyle w:val="10"/>
              <w:rPr>
                <w:rFonts w:hint="eastAsia"/>
                <w:sz w:val="30"/>
              </w:rPr>
            </w:pPr>
          </w:p>
        </w:tc>
        <w:tc>
          <w:tcPr>
            <w:tcW w:w="826" w:type="dxa"/>
            <w:vAlign w:val="center"/>
          </w:tcPr>
          <w:p w14:paraId="22C04EC3">
            <w:pPr>
              <w:pStyle w:val="10"/>
              <w:rPr>
                <w:rFonts w:hint="eastAsia"/>
                <w:sz w:val="30"/>
              </w:rPr>
            </w:pPr>
          </w:p>
        </w:tc>
        <w:tc>
          <w:tcPr>
            <w:tcW w:w="1762" w:type="dxa"/>
            <w:vAlign w:val="center"/>
          </w:tcPr>
          <w:p w14:paraId="71A446B4">
            <w:pPr>
              <w:pStyle w:val="10"/>
              <w:rPr>
                <w:rFonts w:hint="eastAsia"/>
                <w:sz w:val="30"/>
              </w:rPr>
            </w:pPr>
          </w:p>
        </w:tc>
        <w:tc>
          <w:tcPr>
            <w:tcW w:w="1500" w:type="dxa"/>
            <w:vAlign w:val="center"/>
          </w:tcPr>
          <w:p w14:paraId="6819FFE5">
            <w:pPr>
              <w:pStyle w:val="10"/>
              <w:rPr>
                <w:rFonts w:hint="eastAsia"/>
                <w:sz w:val="30"/>
              </w:rPr>
            </w:pPr>
          </w:p>
        </w:tc>
        <w:tc>
          <w:tcPr>
            <w:tcW w:w="868" w:type="dxa"/>
            <w:vAlign w:val="center"/>
          </w:tcPr>
          <w:p w14:paraId="4A23CE0B">
            <w:pPr>
              <w:pStyle w:val="10"/>
              <w:rPr>
                <w:rFonts w:hint="eastAsia"/>
                <w:sz w:val="30"/>
              </w:rPr>
            </w:pPr>
          </w:p>
        </w:tc>
      </w:tr>
      <w:tr w14:paraId="609798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1376C8D9">
            <w:pPr>
              <w:pStyle w:val="10"/>
              <w:rPr>
                <w:rFonts w:hint="eastAsia"/>
                <w:sz w:val="30"/>
              </w:rPr>
            </w:pPr>
          </w:p>
        </w:tc>
        <w:tc>
          <w:tcPr>
            <w:tcW w:w="1340" w:type="dxa"/>
            <w:vAlign w:val="center"/>
          </w:tcPr>
          <w:p w14:paraId="7A997C25">
            <w:pPr>
              <w:pStyle w:val="10"/>
              <w:rPr>
                <w:rFonts w:hint="eastAsia"/>
                <w:sz w:val="30"/>
              </w:rPr>
            </w:pPr>
          </w:p>
        </w:tc>
        <w:tc>
          <w:tcPr>
            <w:tcW w:w="812" w:type="dxa"/>
            <w:vAlign w:val="center"/>
          </w:tcPr>
          <w:p w14:paraId="52ACBDC1">
            <w:pPr>
              <w:pStyle w:val="10"/>
              <w:rPr>
                <w:rFonts w:hint="eastAsia"/>
                <w:sz w:val="30"/>
              </w:rPr>
            </w:pPr>
          </w:p>
        </w:tc>
        <w:tc>
          <w:tcPr>
            <w:tcW w:w="826" w:type="dxa"/>
            <w:vAlign w:val="center"/>
          </w:tcPr>
          <w:p w14:paraId="44BE4DF7">
            <w:pPr>
              <w:pStyle w:val="10"/>
              <w:rPr>
                <w:rFonts w:hint="eastAsia"/>
                <w:sz w:val="30"/>
              </w:rPr>
            </w:pPr>
          </w:p>
        </w:tc>
        <w:tc>
          <w:tcPr>
            <w:tcW w:w="1762" w:type="dxa"/>
            <w:vAlign w:val="center"/>
          </w:tcPr>
          <w:p w14:paraId="4028BD3B">
            <w:pPr>
              <w:pStyle w:val="10"/>
              <w:rPr>
                <w:rFonts w:hint="eastAsia"/>
                <w:sz w:val="30"/>
              </w:rPr>
            </w:pPr>
          </w:p>
        </w:tc>
        <w:tc>
          <w:tcPr>
            <w:tcW w:w="1500" w:type="dxa"/>
            <w:vAlign w:val="center"/>
          </w:tcPr>
          <w:p w14:paraId="0C8962C7">
            <w:pPr>
              <w:pStyle w:val="10"/>
              <w:rPr>
                <w:rFonts w:hint="eastAsia"/>
                <w:sz w:val="30"/>
              </w:rPr>
            </w:pPr>
          </w:p>
        </w:tc>
        <w:tc>
          <w:tcPr>
            <w:tcW w:w="868" w:type="dxa"/>
            <w:vAlign w:val="center"/>
          </w:tcPr>
          <w:p w14:paraId="3FA01463">
            <w:pPr>
              <w:pStyle w:val="10"/>
              <w:rPr>
                <w:rFonts w:hint="eastAsia"/>
                <w:sz w:val="30"/>
              </w:rPr>
            </w:pPr>
          </w:p>
        </w:tc>
      </w:tr>
      <w:tr w14:paraId="2DDF8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14CD9E9F">
            <w:pPr>
              <w:pStyle w:val="10"/>
              <w:rPr>
                <w:rFonts w:hint="eastAsia"/>
                <w:sz w:val="30"/>
              </w:rPr>
            </w:pPr>
          </w:p>
        </w:tc>
        <w:tc>
          <w:tcPr>
            <w:tcW w:w="1340" w:type="dxa"/>
            <w:vAlign w:val="center"/>
          </w:tcPr>
          <w:p w14:paraId="28B4597E">
            <w:pPr>
              <w:pStyle w:val="10"/>
              <w:rPr>
                <w:rFonts w:hint="eastAsia"/>
                <w:sz w:val="30"/>
              </w:rPr>
            </w:pPr>
          </w:p>
        </w:tc>
        <w:tc>
          <w:tcPr>
            <w:tcW w:w="812" w:type="dxa"/>
            <w:vAlign w:val="center"/>
          </w:tcPr>
          <w:p w14:paraId="1F708CB8">
            <w:pPr>
              <w:pStyle w:val="10"/>
              <w:rPr>
                <w:rFonts w:hint="eastAsia"/>
                <w:sz w:val="30"/>
              </w:rPr>
            </w:pPr>
          </w:p>
        </w:tc>
        <w:tc>
          <w:tcPr>
            <w:tcW w:w="826" w:type="dxa"/>
            <w:vAlign w:val="center"/>
          </w:tcPr>
          <w:p w14:paraId="59831B54">
            <w:pPr>
              <w:pStyle w:val="10"/>
              <w:rPr>
                <w:rFonts w:hint="eastAsia"/>
                <w:sz w:val="30"/>
              </w:rPr>
            </w:pPr>
          </w:p>
        </w:tc>
        <w:tc>
          <w:tcPr>
            <w:tcW w:w="1762" w:type="dxa"/>
            <w:vAlign w:val="center"/>
          </w:tcPr>
          <w:p w14:paraId="613B0532">
            <w:pPr>
              <w:pStyle w:val="10"/>
              <w:rPr>
                <w:rFonts w:hint="eastAsia"/>
                <w:sz w:val="30"/>
              </w:rPr>
            </w:pPr>
          </w:p>
        </w:tc>
        <w:tc>
          <w:tcPr>
            <w:tcW w:w="1500" w:type="dxa"/>
            <w:vAlign w:val="center"/>
          </w:tcPr>
          <w:p w14:paraId="712819B1">
            <w:pPr>
              <w:pStyle w:val="10"/>
              <w:rPr>
                <w:rFonts w:hint="eastAsia"/>
                <w:sz w:val="30"/>
              </w:rPr>
            </w:pPr>
          </w:p>
        </w:tc>
        <w:tc>
          <w:tcPr>
            <w:tcW w:w="868" w:type="dxa"/>
            <w:vAlign w:val="center"/>
          </w:tcPr>
          <w:p w14:paraId="25D2D166">
            <w:pPr>
              <w:pStyle w:val="10"/>
              <w:rPr>
                <w:rFonts w:hint="eastAsia"/>
                <w:sz w:val="30"/>
              </w:rPr>
            </w:pPr>
          </w:p>
        </w:tc>
      </w:tr>
      <w:tr w14:paraId="60C40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73C8B41B">
            <w:pPr>
              <w:pStyle w:val="10"/>
              <w:rPr>
                <w:rFonts w:hint="eastAsia"/>
                <w:sz w:val="30"/>
              </w:rPr>
            </w:pPr>
          </w:p>
        </w:tc>
        <w:tc>
          <w:tcPr>
            <w:tcW w:w="1340" w:type="dxa"/>
            <w:vAlign w:val="center"/>
          </w:tcPr>
          <w:p w14:paraId="49CAC1F9">
            <w:pPr>
              <w:pStyle w:val="10"/>
              <w:rPr>
                <w:rFonts w:hint="eastAsia"/>
                <w:sz w:val="30"/>
              </w:rPr>
            </w:pPr>
          </w:p>
        </w:tc>
        <w:tc>
          <w:tcPr>
            <w:tcW w:w="812" w:type="dxa"/>
            <w:vAlign w:val="center"/>
          </w:tcPr>
          <w:p w14:paraId="193B8D43">
            <w:pPr>
              <w:pStyle w:val="10"/>
              <w:rPr>
                <w:rFonts w:hint="eastAsia"/>
                <w:sz w:val="30"/>
              </w:rPr>
            </w:pPr>
          </w:p>
        </w:tc>
        <w:tc>
          <w:tcPr>
            <w:tcW w:w="826" w:type="dxa"/>
            <w:vAlign w:val="center"/>
          </w:tcPr>
          <w:p w14:paraId="5844736F">
            <w:pPr>
              <w:pStyle w:val="10"/>
              <w:rPr>
                <w:rFonts w:hint="eastAsia"/>
                <w:sz w:val="30"/>
              </w:rPr>
            </w:pPr>
          </w:p>
        </w:tc>
        <w:tc>
          <w:tcPr>
            <w:tcW w:w="1762" w:type="dxa"/>
            <w:vAlign w:val="center"/>
          </w:tcPr>
          <w:p w14:paraId="687C6F33">
            <w:pPr>
              <w:pStyle w:val="10"/>
              <w:rPr>
                <w:rFonts w:hint="eastAsia"/>
                <w:sz w:val="30"/>
              </w:rPr>
            </w:pPr>
          </w:p>
        </w:tc>
        <w:tc>
          <w:tcPr>
            <w:tcW w:w="1500" w:type="dxa"/>
            <w:vAlign w:val="center"/>
          </w:tcPr>
          <w:p w14:paraId="487142ED">
            <w:pPr>
              <w:pStyle w:val="10"/>
              <w:rPr>
                <w:rFonts w:hint="eastAsia"/>
                <w:sz w:val="30"/>
              </w:rPr>
            </w:pPr>
          </w:p>
        </w:tc>
        <w:tc>
          <w:tcPr>
            <w:tcW w:w="868" w:type="dxa"/>
            <w:vAlign w:val="center"/>
          </w:tcPr>
          <w:p w14:paraId="08EC1DB1">
            <w:pPr>
              <w:pStyle w:val="10"/>
              <w:rPr>
                <w:rFonts w:hint="eastAsia"/>
                <w:sz w:val="30"/>
              </w:rPr>
            </w:pPr>
          </w:p>
        </w:tc>
      </w:tr>
      <w:tr w14:paraId="7CC79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2169" w:type="dxa"/>
            <w:vAlign w:val="center"/>
          </w:tcPr>
          <w:p w14:paraId="0898D5CD">
            <w:pPr>
              <w:pStyle w:val="10"/>
              <w:rPr>
                <w:rFonts w:hint="eastAsia"/>
                <w:sz w:val="30"/>
              </w:rPr>
            </w:pPr>
          </w:p>
        </w:tc>
        <w:tc>
          <w:tcPr>
            <w:tcW w:w="1340" w:type="dxa"/>
            <w:vAlign w:val="center"/>
          </w:tcPr>
          <w:p w14:paraId="7E68368C">
            <w:pPr>
              <w:pStyle w:val="10"/>
              <w:rPr>
                <w:rFonts w:hint="eastAsia"/>
                <w:sz w:val="30"/>
              </w:rPr>
            </w:pPr>
          </w:p>
        </w:tc>
        <w:tc>
          <w:tcPr>
            <w:tcW w:w="812" w:type="dxa"/>
            <w:vAlign w:val="center"/>
          </w:tcPr>
          <w:p w14:paraId="40973E09">
            <w:pPr>
              <w:pStyle w:val="10"/>
              <w:rPr>
                <w:rFonts w:hint="eastAsia"/>
                <w:sz w:val="30"/>
              </w:rPr>
            </w:pPr>
          </w:p>
        </w:tc>
        <w:tc>
          <w:tcPr>
            <w:tcW w:w="826" w:type="dxa"/>
            <w:vAlign w:val="center"/>
          </w:tcPr>
          <w:p w14:paraId="4EC63383">
            <w:pPr>
              <w:pStyle w:val="10"/>
              <w:rPr>
                <w:rFonts w:hint="eastAsia"/>
                <w:sz w:val="30"/>
              </w:rPr>
            </w:pPr>
          </w:p>
        </w:tc>
        <w:tc>
          <w:tcPr>
            <w:tcW w:w="1762" w:type="dxa"/>
            <w:vAlign w:val="center"/>
          </w:tcPr>
          <w:p w14:paraId="0BD56936">
            <w:pPr>
              <w:pStyle w:val="10"/>
              <w:rPr>
                <w:rFonts w:hint="eastAsia"/>
                <w:sz w:val="30"/>
              </w:rPr>
            </w:pPr>
          </w:p>
        </w:tc>
        <w:tc>
          <w:tcPr>
            <w:tcW w:w="1500" w:type="dxa"/>
            <w:vAlign w:val="center"/>
          </w:tcPr>
          <w:p w14:paraId="346B98E1">
            <w:pPr>
              <w:pStyle w:val="10"/>
              <w:rPr>
                <w:rFonts w:hint="eastAsia"/>
                <w:sz w:val="30"/>
              </w:rPr>
            </w:pPr>
          </w:p>
        </w:tc>
        <w:tc>
          <w:tcPr>
            <w:tcW w:w="868" w:type="dxa"/>
            <w:vAlign w:val="center"/>
          </w:tcPr>
          <w:p w14:paraId="20C5E74C">
            <w:pPr>
              <w:pStyle w:val="10"/>
              <w:rPr>
                <w:rFonts w:hint="eastAsia"/>
                <w:sz w:val="30"/>
              </w:rPr>
            </w:pPr>
          </w:p>
        </w:tc>
      </w:tr>
    </w:tbl>
    <w:p w14:paraId="212F73AA">
      <w:pPr>
        <w:pStyle w:val="7"/>
        <w:tabs>
          <w:tab w:val="left" w:pos="1180"/>
        </w:tabs>
        <w:ind w:left="-187" w:leftChars="-78" w:firstLine="480"/>
        <w:rPr>
          <w:rFonts w:hint="eastAsia" w:ascii="宋体" w:hAnsi="宋体"/>
        </w:rPr>
      </w:pPr>
      <w:r>
        <w:rPr>
          <w:rFonts w:hint="eastAsia" w:ascii="宋体" w:hAnsi="宋体"/>
        </w:rPr>
        <w:t>注：1.本表所列为除随产品备品备件外所需的备品备件。</w:t>
      </w:r>
    </w:p>
    <w:p w14:paraId="6A2DD8F0">
      <w:pPr>
        <w:pStyle w:val="7"/>
        <w:tabs>
          <w:tab w:val="left" w:pos="708"/>
        </w:tabs>
        <w:ind w:firstLine="540" w:firstLineChars="225"/>
        <w:rPr>
          <w:rFonts w:hint="eastAsia" w:ascii="宋体" w:hAnsi="宋体"/>
        </w:rPr>
      </w:pPr>
      <w:r>
        <w:rPr>
          <w:rFonts w:hint="eastAsia" w:ascii="宋体" w:hAnsi="宋体"/>
        </w:rPr>
        <w:t>2.本表中所列价格不计入投标总价，仅供业主选购时用。</w:t>
      </w:r>
    </w:p>
    <w:p w14:paraId="78A93EBB">
      <w:pPr>
        <w:pStyle w:val="7"/>
        <w:tabs>
          <w:tab w:val="left" w:pos="708"/>
        </w:tabs>
        <w:ind w:firstLine="540" w:firstLineChars="225"/>
        <w:rPr>
          <w:rFonts w:hint="eastAsia" w:ascii="宋体" w:hAnsi="宋体"/>
        </w:rPr>
      </w:pPr>
      <w:r>
        <w:rPr>
          <w:rFonts w:hint="eastAsia" w:ascii="宋体" w:hAnsi="宋体"/>
        </w:rPr>
        <w:t>3.此表仅提供了表格形式，投标人应根据需要准备足够数量的表格来填写。</w:t>
      </w:r>
    </w:p>
    <w:p w14:paraId="2C2B9AC4">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2"/>
        </w:rPr>
        <w:t>投标人（单位盖章</w:t>
      </w:r>
      <w:r>
        <w:rPr>
          <w:rFonts w:ascii="宋体" w:hAnsi="宋体" w:cs="宋体"/>
          <w:color w:val="auto"/>
          <w:spacing w:val="2"/>
        </w:rPr>
        <w:t>）：</w:t>
      </w:r>
      <w:r>
        <w:rPr>
          <w:rFonts w:ascii="宋体" w:hAnsi="宋体" w:cs="宋体"/>
          <w:color w:val="auto"/>
          <w:u w:val="single"/>
        </w:rPr>
        <w:tab/>
      </w:r>
    </w:p>
    <w:p w14:paraId="1CE0C070">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1"/>
        </w:rPr>
        <w:t>法定代表人（签字或盖章</w:t>
      </w:r>
      <w:r>
        <w:rPr>
          <w:rFonts w:ascii="宋体" w:hAnsi="宋体" w:cs="宋体"/>
          <w:color w:val="auto"/>
        </w:rPr>
        <w:t>）：</w:t>
      </w:r>
      <w:r>
        <w:rPr>
          <w:rFonts w:ascii="宋体" w:hAnsi="宋体" w:cs="宋体"/>
          <w:color w:val="auto"/>
          <w:u w:val="single"/>
        </w:rPr>
        <w:tab/>
      </w:r>
    </w:p>
    <w:p w14:paraId="65249290">
      <w:pPr>
        <w:tabs>
          <w:tab w:val="left" w:pos="8719"/>
        </w:tabs>
        <w:spacing w:before="116" w:line="351" w:lineRule="auto"/>
        <w:ind w:left="5280" w:hanging="1"/>
        <w:jc w:val="both"/>
        <w:rPr>
          <w:rFonts w:ascii="宋体" w:hAnsi="宋体" w:cs="宋体"/>
          <w:color w:val="auto"/>
        </w:rPr>
      </w:pPr>
      <w:r>
        <w:rPr>
          <w:rFonts w:ascii="宋体" w:hAnsi="宋体" w:cs="宋体"/>
          <w:color w:val="auto"/>
          <w:spacing w:val="-4"/>
        </w:rPr>
        <w:t>日期：年 月 日</w:t>
      </w:r>
    </w:p>
    <w:p w14:paraId="3E60DCA7">
      <w:pPr>
        <w:rPr>
          <w:rFonts w:hint="eastAsia"/>
        </w:rPr>
      </w:pPr>
      <w:r>
        <w:rPr>
          <w:rFonts w:hint="eastAsia"/>
        </w:rPr>
        <w:br w:type="page"/>
      </w:r>
    </w:p>
    <w:p w14:paraId="63AFC8C5">
      <w:pPr>
        <w:pStyle w:val="3"/>
        <w:numPr>
          <w:ilvl w:val="0"/>
          <w:numId w:val="34"/>
        </w:numPr>
        <w:bidi w:val="0"/>
        <w:ind w:left="0" w:leftChars="0" w:firstLine="420" w:firstLineChars="0"/>
        <w:rPr>
          <w:rFonts w:hint="eastAsia"/>
        </w:rPr>
      </w:pPr>
      <w:bookmarkStart w:id="139" w:name="_Toc16727"/>
      <w:r>
        <w:rPr>
          <w:rFonts w:hint="eastAsia"/>
        </w:rPr>
        <w:t>现场指导主要人员表</w:t>
      </w:r>
      <w:bookmarkEnd w:id="139"/>
    </w:p>
    <w:tbl>
      <w:tblPr>
        <w:tblStyle w:val="2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7"/>
        <w:gridCol w:w="836"/>
        <w:gridCol w:w="836"/>
        <w:gridCol w:w="836"/>
        <w:gridCol w:w="1115"/>
        <w:gridCol w:w="1394"/>
        <w:gridCol w:w="1951"/>
        <w:gridCol w:w="836"/>
      </w:tblGrid>
      <w:tr w14:paraId="375ED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69B608AD">
            <w:pPr>
              <w:jc w:val="center"/>
              <w:rPr>
                <w:rFonts w:ascii="宋体" w:hAnsi="宋体"/>
                <w:sz w:val="28"/>
              </w:rPr>
            </w:pPr>
            <w:r>
              <w:rPr>
                <w:rFonts w:hint="eastAsia" w:ascii="宋体" w:hAnsi="宋体"/>
                <w:sz w:val="28"/>
              </w:rPr>
              <w:t>职务</w:t>
            </w:r>
          </w:p>
        </w:tc>
        <w:tc>
          <w:tcPr>
            <w:tcW w:w="836" w:type="dxa"/>
            <w:vAlign w:val="center"/>
          </w:tcPr>
          <w:p w14:paraId="0777D042">
            <w:pPr>
              <w:jc w:val="center"/>
              <w:rPr>
                <w:rFonts w:ascii="宋体" w:hAnsi="宋体"/>
                <w:sz w:val="28"/>
              </w:rPr>
            </w:pPr>
            <w:r>
              <w:rPr>
                <w:rFonts w:hint="eastAsia" w:ascii="宋体" w:hAnsi="宋体"/>
                <w:sz w:val="28"/>
              </w:rPr>
              <w:t>姓名</w:t>
            </w:r>
          </w:p>
        </w:tc>
        <w:tc>
          <w:tcPr>
            <w:tcW w:w="836" w:type="dxa"/>
            <w:vAlign w:val="center"/>
          </w:tcPr>
          <w:p w14:paraId="1A7D2DAD">
            <w:pPr>
              <w:jc w:val="center"/>
              <w:rPr>
                <w:rFonts w:ascii="宋体" w:hAnsi="宋体"/>
                <w:sz w:val="28"/>
              </w:rPr>
            </w:pPr>
            <w:r>
              <w:rPr>
                <w:rFonts w:hint="eastAsia" w:ascii="宋体" w:hAnsi="宋体"/>
                <w:sz w:val="28"/>
              </w:rPr>
              <w:t>性别</w:t>
            </w:r>
          </w:p>
        </w:tc>
        <w:tc>
          <w:tcPr>
            <w:tcW w:w="836" w:type="dxa"/>
            <w:vAlign w:val="center"/>
          </w:tcPr>
          <w:p w14:paraId="4F4DF414">
            <w:pPr>
              <w:jc w:val="center"/>
              <w:rPr>
                <w:rFonts w:ascii="宋体" w:hAnsi="宋体"/>
                <w:sz w:val="28"/>
              </w:rPr>
            </w:pPr>
            <w:r>
              <w:rPr>
                <w:rFonts w:hint="eastAsia" w:ascii="宋体" w:hAnsi="宋体"/>
                <w:sz w:val="28"/>
              </w:rPr>
              <w:t>年龄</w:t>
            </w:r>
          </w:p>
        </w:tc>
        <w:tc>
          <w:tcPr>
            <w:tcW w:w="1115" w:type="dxa"/>
            <w:vAlign w:val="center"/>
          </w:tcPr>
          <w:p w14:paraId="7C997FE0">
            <w:pPr>
              <w:jc w:val="center"/>
              <w:rPr>
                <w:rFonts w:ascii="宋体" w:hAnsi="宋体"/>
                <w:sz w:val="28"/>
              </w:rPr>
            </w:pPr>
            <w:r>
              <w:rPr>
                <w:rFonts w:hint="eastAsia" w:ascii="宋体" w:hAnsi="宋体"/>
                <w:sz w:val="28"/>
              </w:rPr>
              <w:t>职称</w:t>
            </w:r>
          </w:p>
        </w:tc>
        <w:tc>
          <w:tcPr>
            <w:tcW w:w="1394" w:type="dxa"/>
            <w:vAlign w:val="center"/>
          </w:tcPr>
          <w:p w14:paraId="27CBA1B2">
            <w:pPr>
              <w:jc w:val="center"/>
              <w:rPr>
                <w:rFonts w:ascii="宋体" w:hAnsi="宋体"/>
                <w:sz w:val="28"/>
              </w:rPr>
            </w:pPr>
            <w:r>
              <w:rPr>
                <w:rFonts w:hint="eastAsia" w:ascii="宋体" w:hAnsi="宋体"/>
                <w:sz w:val="28"/>
              </w:rPr>
              <w:t>本岗工龄</w:t>
            </w:r>
          </w:p>
        </w:tc>
        <w:tc>
          <w:tcPr>
            <w:tcW w:w="1951" w:type="dxa"/>
            <w:vAlign w:val="center"/>
          </w:tcPr>
          <w:p w14:paraId="4A07041A">
            <w:pPr>
              <w:jc w:val="center"/>
              <w:rPr>
                <w:rFonts w:ascii="宋体" w:hAnsi="宋体"/>
                <w:sz w:val="28"/>
              </w:rPr>
            </w:pPr>
            <w:r>
              <w:rPr>
                <w:rFonts w:hint="eastAsia" w:ascii="宋体" w:hAnsi="宋体"/>
                <w:sz w:val="28"/>
              </w:rPr>
              <w:t>岗位证书号码</w:t>
            </w:r>
          </w:p>
        </w:tc>
        <w:tc>
          <w:tcPr>
            <w:tcW w:w="836" w:type="dxa"/>
            <w:vAlign w:val="center"/>
          </w:tcPr>
          <w:p w14:paraId="0A353C81">
            <w:pPr>
              <w:jc w:val="center"/>
              <w:rPr>
                <w:rFonts w:ascii="宋体" w:hAnsi="宋体"/>
                <w:sz w:val="28"/>
              </w:rPr>
            </w:pPr>
            <w:r>
              <w:rPr>
                <w:rFonts w:hint="eastAsia" w:ascii="宋体" w:hAnsi="宋体"/>
                <w:sz w:val="28"/>
              </w:rPr>
              <w:t>备注</w:t>
            </w:r>
          </w:p>
        </w:tc>
      </w:tr>
      <w:tr w14:paraId="0AC845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4CC296BE">
            <w:pPr>
              <w:ind w:right="-480" w:rightChars="-200"/>
              <w:rPr>
                <w:rFonts w:ascii="宋体" w:hAnsi="宋体"/>
                <w:b/>
                <w:bCs/>
              </w:rPr>
            </w:pPr>
          </w:p>
        </w:tc>
        <w:tc>
          <w:tcPr>
            <w:tcW w:w="836" w:type="dxa"/>
            <w:vAlign w:val="center"/>
          </w:tcPr>
          <w:p w14:paraId="601DCCF7">
            <w:pPr>
              <w:jc w:val="center"/>
              <w:rPr>
                <w:rFonts w:ascii="宋体" w:hAnsi="宋体"/>
              </w:rPr>
            </w:pPr>
          </w:p>
        </w:tc>
        <w:tc>
          <w:tcPr>
            <w:tcW w:w="836" w:type="dxa"/>
            <w:vAlign w:val="center"/>
          </w:tcPr>
          <w:p w14:paraId="724D06AE">
            <w:pPr>
              <w:jc w:val="center"/>
              <w:rPr>
                <w:rFonts w:ascii="宋体" w:hAnsi="宋体"/>
              </w:rPr>
            </w:pPr>
          </w:p>
        </w:tc>
        <w:tc>
          <w:tcPr>
            <w:tcW w:w="836" w:type="dxa"/>
            <w:vAlign w:val="center"/>
          </w:tcPr>
          <w:p w14:paraId="10063115">
            <w:pPr>
              <w:jc w:val="center"/>
              <w:rPr>
                <w:rFonts w:ascii="宋体" w:hAnsi="宋体"/>
              </w:rPr>
            </w:pPr>
          </w:p>
        </w:tc>
        <w:tc>
          <w:tcPr>
            <w:tcW w:w="1115" w:type="dxa"/>
            <w:vAlign w:val="center"/>
          </w:tcPr>
          <w:p w14:paraId="5895AD72">
            <w:pPr>
              <w:jc w:val="center"/>
              <w:rPr>
                <w:rFonts w:ascii="宋体" w:hAnsi="宋体"/>
              </w:rPr>
            </w:pPr>
          </w:p>
        </w:tc>
        <w:tc>
          <w:tcPr>
            <w:tcW w:w="1394" w:type="dxa"/>
            <w:vAlign w:val="center"/>
          </w:tcPr>
          <w:p w14:paraId="012BDED0">
            <w:pPr>
              <w:jc w:val="center"/>
              <w:rPr>
                <w:rFonts w:ascii="宋体" w:hAnsi="宋体"/>
              </w:rPr>
            </w:pPr>
          </w:p>
        </w:tc>
        <w:tc>
          <w:tcPr>
            <w:tcW w:w="1951" w:type="dxa"/>
            <w:vAlign w:val="center"/>
          </w:tcPr>
          <w:p w14:paraId="0B0F705D">
            <w:pPr>
              <w:jc w:val="center"/>
              <w:rPr>
                <w:rFonts w:ascii="宋体" w:hAnsi="宋体"/>
              </w:rPr>
            </w:pPr>
          </w:p>
        </w:tc>
        <w:tc>
          <w:tcPr>
            <w:tcW w:w="836" w:type="dxa"/>
            <w:vAlign w:val="center"/>
          </w:tcPr>
          <w:p w14:paraId="6A5645FF">
            <w:pPr>
              <w:jc w:val="center"/>
              <w:rPr>
                <w:rFonts w:ascii="宋体" w:hAnsi="宋体"/>
              </w:rPr>
            </w:pPr>
          </w:p>
        </w:tc>
      </w:tr>
      <w:tr w14:paraId="093FF4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401B6905">
            <w:pPr>
              <w:rPr>
                <w:rFonts w:ascii="宋体" w:hAnsi="宋体"/>
                <w:b/>
                <w:bCs/>
              </w:rPr>
            </w:pPr>
          </w:p>
        </w:tc>
        <w:tc>
          <w:tcPr>
            <w:tcW w:w="836" w:type="dxa"/>
            <w:vAlign w:val="center"/>
          </w:tcPr>
          <w:p w14:paraId="7698AE2B">
            <w:pPr>
              <w:jc w:val="center"/>
              <w:rPr>
                <w:rFonts w:ascii="宋体" w:hAnsi="宋体"/>
              </w:rPr>
            </w:pPr>
          </w:p>
        </w:tc>
        <w:tc>
          <w:tcPr>
            <w:tcW w:w="836" w:type="dxa"/>
            <w:vAlign w:val="center"/>
          </w:tcPr>
          <w:p w14:paraId="5A5EA127">
            <w:pPr>
              <w:jc w:val="center"/>
              <w:rPr>
                <w:rFonts w:ascii="宋体" w:hAnsi="宋体"/>
              </w:rPr>
            </w:pPr>
          </w:p>
        </w:tc>
        <w:tc>
          <w:tcPr>
            <w:tcW w:w="836" w:type="dxa"/>
            <w:vAlign w:val="center"/>
          </w:tcPr>
          <w:p w14:paraId="7B5946FB">
            <w:pPr>
              <w:jc w:val="center"/>
              <w:rPr>
                <w:rFonts w:ascii="宋体" w:hAnsi="宋体"/>
              </w:rPr>
            </w:pPr>
          </w:p>
        </w:tc>
        <w:tc>
          <w:tcPr>
            <w:tcW w:w="1115" w:type="dxa"/>
            <w:vAlign w:val="center"/>
          </w:tcPr>
          <w:p w14:paraId="2B050804">
            <w:pPr>
              <w:jc w:val="center"/>
              <w:rPr>
                <w:rFonts w:ascii="宋体" w:hAnsi="宋体"/>
              </w:rPr>
            </w:pPr>
          </w:p>
        </w:tc>
        <w:tc>
          <w:tcPr>
            <w:tcW w:w="1394" w:type="dxa"/>
            <w:vAlign w:val="center"/>
          </w:tcPr>
          <w:p w14:paraId="7B114C9A">
            <w:pPr>
              <w:jc w:val="center"/>
              <w:rPr>
                <w:rFonts w:ascii="宋体" w:hAnsi="宋体"/>
              </w:rPr>
            </w:pPr>
          </w:p>
        </w:tc>
        <w:tc>
          <w:tcPr>
            <w:tcW w:w="1951" w:type="dxa"/>
            <w:vAlign w:val="center"/>
          </w:tcPr>
          <w:p w14:paraId="61B4B744">
            <w:pPr>
              <w:jc w:val="center"/>
              <w:rPr>
                <w:rFonts w:ascii="宋体" w:hAnsi="宋体"/>
              </w:rPr>
            </w:pPr>
          </w:p>
        </w:tc>
        <w:tc>
          <w:tcPr>
            <w:tcW w:w="836" w:type="dxa"/>
            <w:vAlign w:val="center"/>
          </w:tcPr>
          <w:p w14:paraId="6CE78757">
            <w:pPr>
              <w:jc w:val="center"/>
              <w:rPr>
                <w:rFonts w:ascii="宋体" w:hAnsi="宋体"/>
              </w:rPr>
            </w:pPr>
          </w:p>
        </w:tc>
      </w:tr>
      <w:tr w14:paraId="4697A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7582F389">
            <w:pPr>
              <w:rPr>
                <w:rFonts w:ascii="宋体" w:hAnsi="宋体"/>
                <w:b/>
                <w:bCs/>
              </w:rPr>
            </w:pPr>
          </w:p>
        </w:tc>
        <w:tc>
          <w:tcPr>
            <w:tcW w:w="836" w:type="dxa"/>
            <w:vAlign w:val="center"/>
          </w:tcPr>
          <w:p w14:paraId="3BC5B3EC">
            <w:pPr>
              <w:jc w:val="center"/>
              <w:rPr>
                <w:rFonts w:ascii="宋体" w:hAnsi="宋体"/>
              </w:rPr>
            </w:pPr>
          </w:p>
        </w:tc>
        <w:tc>
          <w:tcPr>
            <w:tcW w:w="836" w:type="dxa"/>
            <w:vAlign w:val="center"/>
          </w:tcPr>
          <w:p w14:paraId="2A9446F8">
            <w:pPr>
              <w:jc w:val="center"/>
              <w:rPr>
                <w:rFonts w:ascii="宋体" w:hAnsi="宋体"/>
              </w:rPr>
            </w:pPr>
          </w:p>
        </w:tc>
        <w:tc>
          <w:tcPr>
            <w:tcW w:w="836" w:type="dxa"/>
            <w:vAlign w:val="center"/>
          </w:tcPr>
          <w:p w14:paraId="15735098">
            <w:pPr>
              <w:jc w:val="center"/>
              <w:rPr>
                <w:rFonts w:ascii="宋体" w:hAnsi="宋体"/>
              </w:rPr>
            </w:pPr>
          </w:p>
        </w:tc>
        <w:tc>
          <w:tcPr>
            <w:tcW w:w="1115" w:type="dxa"/>
            <w:vAlign w:val="center"/>
          </w:tcPr>
          <w:p w14:paraId="03E7890D">
            <w:pPr>
              <w:jc w:val="center"/>
              <w:rPr>
                <w:rFonts w:ascii="宋体" w:hAnsi="宋体"/>
              </w:rPr>
            </w:pPr>
          </w:p>
        </w:tc>
        <w:tc>
          <w:tcPr>
            <w:tcW w:w="1394" w:type="dxa"/>
            <w:vAlign w:val="center"/>
          </w:tcPr>
          <w:p w14:paraId="6481632E">
            <w:pPr>
              <w:jc w:val="center"/>
              <w:rPr>
                <w:rFonts w:ascii="宋体" w:hAnsi="宋体"/>
              </w:rPr>
            </w:pPr>
          </w:p>
        </w:tc>
        <w:tc>
          <w:tcPr>
            <w:tcW w:w="1951" w:type="dxa"/>
            <w:vAlign w:val="center"/>
          </w:tcPr>
          <w:p w14:paraId="52C6C309">
            <w:pPr>
              <w:jc w:val="center"/>
              <w:rPr>
                <w:rFonts w:ascii="宋体" w:hAnsi="宋体"/>
              </w:rPr>
            </w:pPr>
          </w:p>
        </w:tc>
        <w:tc>
          <w:tcPr>
            <w:tcW w:w="836" w:type="dxa"/>
            <w:vAlign w:val="center"/>
          </w:tcPr>
          <w:p w14:paraId="2E351C9E">
            <w:pPr>
              <w:jc w:val="center"/>
              <w:rPr>
                <w:rFonts w:ascii="宋体" w:hAnsi="宋体"/>
              </w:rPr>
            </w:pPr>
          </w:p>
        </w:tc>
      </w:tr>
      <w:tr w14:paraId="3B44E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42C453DA">
            <w:pPr>
              <w:rPr>
                <w:rFonts w:ascii="宋体" w:hAnsi="宋体"/>
                <w:b/>
                <w:bCs/>
              </w:rPr>
            </w:pPr>
          </w:p>
        </w:tc>
        <w:tc>
          <w:tcPr>
            <w:tcW w:w="836" w:type="dxa"/>
            <w:vAlign w:val="center"/>
          </w:tcPr>
          <w:p w14:paraId="00D1B03C">
            <w:pPr>
              <w:jc w:val="center"/>
              <w:rPr>
                <w:rFonts w:ascii="宋体" w:hAnsi="宋体"/>
              </w:rPr>
            </w:pPr>
          </w:p>
        </w:tc>
        <w:tc>
          <w:tcPr>
            <w:tcW w:w="836" w:type="dxa"/>
            <w:vAlign w:val="center"/>
          </w:tcPr>
          <w:p w14:paraId="07629FB4">
            <w:pPr>
              <w:jc w:val="center"/>
              <w:rPr>
                <w:rFonts w:ascii="宋体" w:hAnsi="宋体"/>
              </w:rPr>
            </w:pPr>
          </w:p>
        </w:tc>
        <w:tc>
          <w:tcPr>
            <w:tcW w:w="836" w:type="dxa"/>
            <w:vAlign w:val="center"/>
          </w:tcPr>
          <w:p w14:paraId="6D956ED1">
            <w:pPr>
              <w:jc w:val="center"/>
              <w:rPr>
                <w:rFonts w:ascii="宋体" w:hAnsi="宋体"/>
              </w:rPr>
            </w:pPr>
          </w:p>
        </w:tc>
        <w:tc>
          <w:tcPr>
            <w:tcW w:w="1115" w:type="dxa"/>
            <w:vAlign w:val="center"/>
          </w:tcPr>
          <w:p w14:paraId="18C936A3">
            <w:pPr>
              <w:jc w:val="center"/>
              <w:rPr>
                <w:rFonts w:ascii="宋体" w:hAnsi="宋体"/>
              </w:rPr>
            </w:pPr>
          </w:p>
        </w:tc>
        <w:tc>
          <w:tcPr>
            <w:tcW w:w="1394" w:type="dxa"/>
            <w:vAlign w:val="center"/>
          </w:tcPr>
          <w:p w14:paraId="7A41B9E4">
            <w:pPr>
              <w:jc w:val="center"/>
              <w:rPr>
                <w:rFonts w:ascii="宋体" w:hAnsi="宋体"/>
              </w:rPr>
            </w:pPr>
          </w:p>
        </w:tc>
        <w:tc>
          <w:tcPr>
            <w:tcW w:w="1951" w:type="dxa"/>
            <w:vAlign w:val="center"/>
          </w:tcPr>
          <w:p w14:paraId="46856640">
            <w:pPr>
              <w:jc w:val="center"/>
              <w:rPr>
                <w:rFonts w:ascii="宋体" w:hAnsi="宋体"/>
              </w:rPr>
            </w:pPr>
          </w:p>
        </w:tc>
        <w:tc>
          <w:tcPr>
            <w:tcW w:w="836" w:type="dxa"/>
            <w:vAlign w:val="center"/>
          </w:tcPr>
          <w:p w14:paraId="06B079FF">
            <w:pPr>
              <w:jc w:val="center"/>
              <w:rPr>
                <w:rFonts w:ascii="宋体" w:hAnsi="宋体"/>
              </w:rPr>
            </w:pPr>
          </w:p>
        </w:tc>
      </w:tr>
      <w:tr w14:paraId="2DF04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vAlign w:val="center"/>
          </w:tcPr>
          <w:p w14:paraId="5EB1305E">
            <w:pPr>
              <w:rPr>
                <w:rFonts w:ascii="宋体" w:hAnsi="宋体"/>
                <w:b/>
                <w:bCs/>
              </w:rPr>
            </w:pPr>
          </w:p>
        </w:tc>
        <w:tc>
          <w:tcPr>
            <w:tcW w:w="836" w:type="dxa"/>
            <w:vAlign w:val="center"/>
          </w:tcPr>
          <w:p w14:paraId="4E996143">
            <w:pPr>
              <w:jc w:val="center"/>
              <w:rPr>
                <w:rFonts w:ascii="宋体" w:hAnsi="宋体"/>
              </w:rPr>
            </w:pPr>
          </w:p>
        </w:tc>
        <w:tc>
          <w:tcPr>
            <w:tcW w:w="836" w:type="dxa"/>
            <w:vAlign w:val="center"/>
          </w:tcPr>
          <w:p w14:paraId="6D351C62">
            <w:pPr>
              <w:jc w:val="center"/>
              <w:rPr>
                <w:rFonts w:ascii="宋体" w:hAnsi="宋体"/>
              </w:rPr>
            </w:pPr>
          </w:p>
        </w:tc>
        <w:tc>
          <w:tcPr>
            <w:tcW w:w="836" w:type="dxa"/>
            <w:vAlign w:val="center"/>
          </w:tcPr>
          <w:p w14:paraId="298EBBA9">
            <w:pPr>
              <w:jc w:val="center"/>
              <w:rPr>
                <w:rFonts w:ascii="宋体" w:hAnsi="宋体"/>
              </w:rPr>
            </w:pPr>
          </w:p>
        </w:tc>
        <w:tc>
          <w:tcPr>
            <w:tcW w:w="1115" w:type="dxa"/>
            <w:vAlign w:val="center"/>
          </w:tcPr>
          <w:p w14:paraId="63C21723">
            <w:pPr>
              <w:jc w:val="center"/>
              <w:rPr>
                <w:rFonts w:ascii="宋体" w:hAnsi="宋体"/>
              </w:rPr>
            </w:pPr>
          </w:p>
        </w:tc>
        <w:tc>
          <w:tcPr>
            <w:tcW w:w="1394" w:type="dxa"/>
            <w:vAlign w:val="center"/>
          </w:tcPr>
          <w:p w14:paraId="27FE8444">
            <w:pPr>
              <w:jc w:val="center"/>
              <w:rPr>
                <w:rFonts w:ascii="宋体" w:hAnsi="宋体"/>
              </w:rPr>
            </w:pPr>
          </w:p>
        </w:tc>
        <w:tc>
          <w:tcPr>
            <w:tcW w:w="1951" w:type="dxa"/>
            <w:vAlign w:val="center"/>
          </w:tcPr>
          <w:p w14:paraId="6A24E36A">
            <w:pPr>
              <w:jc w:val="center"/>
              <w:rPr>
                <w:rFonts w:ascii="宋体" w:hAnsi="宋体"/>
              </w:rPr>
            </w:pPr>
          </w:p>
        </w:tc>
        <w:tc>
          <w:tcPr>
            <w:tcW w:w="836" w:type="dxa"/>
            <w:vAlign w:val="center"/>
          </w:tcPr>
          <w:p w14:paraId="24355AFC">
            <w:pPr>
              <w:jc w:val="center"/>
              <w:rPr>
                <w:rFonts w:ascii="宋体" w:hAnsi="宋体"/>
              </w:rPr>
            </w:pPr>
          </w:p>
        </w:tc>
      </w:tr>
      <w:tr w14:paraId="4E3A81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tcPr>
          <w:p w14:paraId="766A62E9">
            <w:pPr>
              <w:rPr>
                <w:rFonts w:ascii="宋体" w:hAnsi="宋体"/>
              </w:rPr>
            </w:pPr>
          </w:p>
        </w:tc>
        <w:tc>
          <w:tcPr>
            <w:tcW w:w="836" w:type="dxa"/>
          </w:tcPr>
          <w:p w14:paraId="6A617F99">
            <w:pPr>
              <w:rPr>
                <w:rFonts w:ascii="宋体" w:hAnsi="宋体"/>
              </w:rPr>
            </w:pPr>
          </w:p>
        </w:tc>
        <w:tc>
          <w:tcPr>
            <w:tcW w:w="836" w:type="dxa"/>
          </w:tcPr>
          <w:p w14:paraId="396913A2">
            <w:pPr>
              <w:rPr>
                <w:rFonts w:ascii="宋体" w:hAnsi="宋体"/>
              </w:rPr>
            </w:pPr>
          </w:p>
        </w:tc>
        <w:tc>
          <w:tcPr>
            <w:tcW w:w="836" w:type="dxa"/>
          </w:tcPr>
          <w:p w14:paraId="0F22FBC8">
            <w:pPr>
              <w:rPr>
                <w:rFonts w:ascii="宋体" w:hAnsi="宋体"/>
              </w:rPr>
            </w:pPr>
          </w:p>
        </w:tc>
        <w:tc>
          <w:tcPr>
            <w:tcW w:w="1115" w:type="dxa"/>
          </w:tcPr>
          <w:p w14:paraId="4C21D789">
            <w:pPr>
              <w:rPr>
                <w:rFonts w:ascii="宋体" w:hAnsi="宋体"/>
              </w:rPr>
            </w:pPr>
          </w:p>
        </w:tc>
        <w:tc>
          <w:tcPr>
            <w:tcW w:w="1394" w:type="dxa"/>
          </w:tcPr>
          <w:p w14:paraId="49567F3B">
            <w:pPr>
              <w:rPr>
                <w:rFonts w:ascii="宋体" w:hAnsi="宋体"/>
              </w:rPr>
            </w:pPr>
          </w:p>
        </w:tc>
        <w:tc>
          <w:tcPr>
            <w:tcW w:w="1951" w:type="dxa"/>
          </w:tcPr>
          <w:p w14:paraId="165BD9D2">
            <w:pPr>
              <w:rPr>
                <w:rFonts w:ascii="宋体" w:hAnsi="宋体"/>
              </w:rPr>
            </w:pPr>
          </w:p>
        </w:tc>
        <w:tc>
          <w:tcPr>
            <w:tcW w:w="836" w:type="dxa"/>
          </w:tcPr>
          <w:p w14:paraId="5CC00988">
            <w:pPr>
              <w:rPr>
                <w:rFonts w:ascii="宋体" w:hAnsi="宋体"/>
              </w:rPr>
            </w:pPr>
          </w:p>
        </w:tc>
      </w:tr>
      <w:tr w14:paraId="29962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tcPr>
          <w:p w14:paraId="35903FF9">
            <w:pPr>
              <w:rPr>
                <w:rFonts w:ascii="宋体" w:hAnsi="宋体"/>
              </w:rPr>
            </w:pPr>
          </w:p>
        </w:tc>
        <w:tc>
          <w:tcPr>
            <w:tcW w:w="836" w:type="dxa"/>
          </w:tcPr>
          <w:p w14:paraId="79F30726">
            <w:pPr>
              <w:rPr>
                <w:rFonts w:ascii="宋体" w:hAnsi="宋体"/>
              </w:rPr>
            </w:pPr>
          </w:p>
        </w:tc>
        <w:tc>
          <w:tcPr>
            <w:tcW w:w="836" w:type="dxa"/>
          </w:tcPr>
          <w:p w14:paraId="7B6638E2">
            <w:pPr>
              <w:rPr>
                <w:rFonts w:ascii="宋体" w:hAnsi="宋体"/>
              </w:rPr>
            </w:pPr>
          </w:p>
        </w:tc>
        <w:tc>
          <w:tcPr>
            <w:tcW w:w="836" w:type="dxa"/>
          </w:tcPr>
          <w:p w14:paraId="1BA12E84">
            <w:pPr>
              <w:rPr>
                <w:rFonts w:ascii="宋体" w:hAnsi="宋体"/>
              </w:rPr>
            </w:pPr>
          </w:p>
        </w:tc>
        <w:tc>
          <w:tcPr>
            <w:tcW w:w="1115" w:type="dxa"/>
          </w:tcPr>
          <w:p w14:paraId="11822D89">
            <w:pPr>
              <w:rPr>
                <w:rFonts w:ascii="宋体" w:hAnsi="宋体"/>
              </w:rPr>
            </w:pPr>
          </w:p>
        </w:tc>
        <w:tc>
          <w:tcPr>
            <w:tcW w:w="1394" w:type="dxa"/>
          </w:tcPr>
          <w:p w14:paraId="4A19A15C">
            <w:pPr>
              <w:rPr>
                <w:rFonts w:ascii="宋体" w:hAnsi="宋体"/>
              </w:rPr>
            </w:pPr>
          </w:p>
        </w:tc>
        <w:tc>
          <w:tcPr>
            <w:tcW w:w="1951" w:type="dxa"/>
          </w:tcPr>
          <w:p w14:paraId="54500FED">
            <w:pPr>
              <w:rPr>
                <w:rFonts w:ascii="宋体" w:hAnsi="宋体"/>
              </w:rPr>
            </w:pPr>
          </w:p>
        </w:tc>
        <w:tc>
          <w:tcPr>
            <w:tcW w:w="836" w:type="dxa"/>
          </w:tcPr>
          <w:p w14:paraId="1E7FD835">
            <w:pPr>
              <w:rPr>
                <w:rFonts w:ascii="宋体" w:hAnsi="宋体"/>
              </w:rPr>
            </w:pPr>
          </w:p>
        </w:tc>
      </w:tr>
      <w:tr w14:paraId="2726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tcPr>
          <w:p w14:paraId="012EE8B6">
            <w:pPr>
              <w:rPr>
                <w:rFonts w:ascii="宋体" w:hAnsi="宋体"/>
              </w:rPr>
            </w:pPr>
          </w:p>
        </w:tc>
        <w:tc>
          <w:tcPr>
            <w:tcW w:w="836" w:type="dxa"/>
          </w:tcPr>
          <w:p w14:paraId="7FA233F4">
            <w:pPr>
              <w:rPr>
                <w:rFonts w:ascii="宋体" w:hAnsi="宋体"/>
              </w:rPr>
            </w:pPr>
          </w:p>
        </w:tc>
        <w:tc>
          <w:tcPr>
            <w:tcW w:w="836" w:type="dxa"/>
          </w:tcPr>
          <w:p w14:paraId="0CB00D6F">
            <w:pPr>
              <w:rPr>
                <w:rFonts w:ascii="宋体" w:hAnsi="宋体"/>
              </w:rPr>
            </w:pPr>
          </w:p>
        </w:tc>
        <w:tc>
          <w:tcPr>
            <w:tcW w:w="836" w:type="dxa"/>
          </w:tcPr>
          <w:p w14:paraId="590008A8">
            <w:pPr>
              <w:rPr>
                <w:rFonts w:ascii="宋体" w:hAnsi="宋体"/>
              </w:rPr>
            </w:pPr>
          </w:p>
        </w:tc>
        <w:tc>
          <w:tcPr>
            <w:tcW w:w="1115" w:type="dxa"/>
          </w:tcPr>
          <w:p w14:paraId="7158EABF">
            <w:pPr>
              <w:rPr>
                <w:rFonts w:ascii="宋体" w:hAnsi="宋体"/>
              </w:rPr>
            </w:pPr>
          </w:p>
        </w:tc>
        <w:tc>
          <w:tcPr>
            <w:tcW w:w="1394" w:type="dxa"/>
          </w:tcPr>
          <w:p w14:paraId="7B3299CB">
            <w:pPr>
              <w:pStyle w:val="53"/>
              <w:rPr>
                <w:rFonts w:hint="eastAsia" w:ascii="宋体" w:hAnsi="宋体"/>
                <w:szCs w:val="24"/>
              </w:rPr>
            </w:pPr>
          </w:p>
        </w:tc>
        <w:tc>
          <w:tcPr>
            <w:tcW w:w="1951" w:type="dxa"/>
          </w:tcPr>
          <w:p w14:paraId="5F42FD0D">
            <w:pPr>
              <w:rPr>
                <w:rFonts w:ascii="宋体" w:hAnsi="宋体"/>
              </w:rPr>
            </w:pPr>
          </w:p>
        </w:tc>
        <w:tc>
          <w:tcPr>
            <w:tcW w:w="836" w:type="dxa"/>
          </w:tcPr>
          <w:p w14:paraId="27F2C2C0">
            <w:pPr>
              <w:rPr>
                <w:rFonts w:ascii="宋体" w:hAnsi="宋体"/>
              </w:rPr>
            </w:pPr>
          </w:p>
        </w:tc>
      </w:tr>
      <w:tr w14:paraId="3C260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exact"/>
        </w:trPr>
        <w:tc>
          <w:tcPr>
            <w:tcW w:w="1777" w:type="dxa"/>
          </w:tcPr>
          <w:p w14:paraId="7A4937B1">
            <w:pPr>
              <w:rPr>
                <w:rFonts w:ascii="宋体" w:hAnsi="宋体"/>
              </w:rPr>
            </w:pPr>
          </w:p>
        </w:tc>
        <w:tc>
          <w:tcPr>
            <w:tcW w:w="836" w:type="dxa"/>
          </w:tcPr>
          <w:p w14:paraId="65EA6B19">
            <w:pPr>
              <w:rPr>
                <w:rFonts w:ascii="宋体" w:hAnsi="宋体"/>
              </w:rPr>
            </w:pPr>
          </w:p>
        </w:tc>
        <w:tc>
          <w:tcPr>
            <w:tcW w:w="836" w:type="dxa"/>
          </w:tcPr>
          <w:p w14:paraId="6D1B8A33">
            <w:pPr>
              <w:rPr>
                <w:rFonts w:ascii="宋体" w:hAnsi="宋体"/>
              </w:rPr>
            </w:pPr>
          </w:p>
        </w:tc>
        <w:tc>
          <w:tcPr>
            <w:tcW w:w="836" w:type="dxa"/>
          </w:tcPr>
          <w:p w14:paraId="5491CADA">
            <w:pPr>
              <w:rPr>
                <w:rFonts w:ascii="宋体" w:hAnsi="宋体"/>
              </w:rPr>
            </w:pPr>
          </w:p>
        </w:tc>
        <w:tc>
          <w:tcPr>
            <w:tcW w:w="1115" w:type="dxa"/>
          </w:tcPr>
          <w:p w14:paraId="781FDEA4">
            <w:pPr>
              <w:rPr>
                <w:rFonts w:ascii="宋体" w:hAnsi="宋体"/>
              </w:rPr>
            </w:pPr>
          </w:p>
        </w:tc>
        <w:tc>
          <w:tcPr>
            <w:tcW w:w="1394" w:type="dxa"/>
          </w:tcPr>
          <w:p w14:paraId="79AD246C">
            <w:pPr>
              <w:pStyle w:val="53"/>
              <w:rPr>
                <w:rFonts w:hint="eastAsia" w:ascii="宋体" w:hAnsi="宋体"/>
                <w:szCs w:val="24"/>
              </w:rPr>
            </w:pPr>
          </w:p>
        </w:tc>
        <w:tc>
          <w:tcPr>
            <w:tcW w:w="1951" w:type="dxa"/>
          </w:tcPr>
          <w:p w14:paraId="025B4457">
            <w:pPr>
              <w:rPr>
                <w:rFonts w:ascii="宋体" w:hAnsi="宋体"/>
              </w:rPr>
            </w:pPr>
          </w:p>
        </w:tc>
        <w:tc>
          <w:tcPr>
            <w:tcW w:w="836" w:type="dxa"/>
          </w:tcPr>
          <w:p w14:paraId="02596FE3">
            <w:pPr>
              <w:rPr>
                <w:rFonts w:ascii="宋体" w:hAnsi="宋体"/>
              </w:rPr>
            </w:pPr>
          </w:p>
        </w:tc>
      </w:tr>
    </w:tbl>
    <w:p w14:paraId="19CF501D">
      <w:pPr>
        <w:rPr>
          <w:rFonts w:hint="eastAsia" w:ascii="黑体" w:hAnsi="宋体" w:eastAsia="黑体"/>
          <w:sz w:val="28"/>
        </w:rPr>
      </w:pPr>
    </w:p>
    <w:p w14:paraId="4141200F">
      <w:pPr>
        <w:rPr>
          <w:rFonts w:ascii="宋体" w:hAnsi="宋体"/>
          <w:sz w:val="28"/>
        </w:rPr>
      </w:pPr>
    </w:p>
    <w:p w14:paraId="6EFE82DB">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2"/>
        </w:rPr>
        <w:t>投标人（单位盖章</w:t>
      </w:r>
      <w:r>
        <w:rPr>
          <w:rFonts w:ascii="宋体" w:hAnsi="宋体" w:cs="宋体"/>
          <w:color w:val="auto"/>
          <w:spacing w:val="2"/>
        </w:rPr>
        <w:t>）：</w:t>
      </w:r>
      <w:r>
        <w:rPr>
          <w:rFonts w:ascii="宋体" w:hAnsi="宋体" w:cs="宋体"/>
          <w:color w:val="auto"/>
          <w:u w:val="single"/>
        </w:rPr>
        <w:tab/>
      </w:r>
    </w:p>
    <w:p w14:paraId="50D24E6D">
      <w:pPr>
        <w:tabs>
          <w:tab w:val="left" w:pos="8719"/>
        </w:tabs>
        <w:spacing w:before="116" w:line="351" w:lineRule="auto"/>
        <w:ind w:left="5280" w:hanging="1"/>
        <w:jc w:val="both"/>
        <w:rPr>
          <w:rFonts w:ascii="宋体" w:hAnsi="宋体" w:cs="宋体"/>
          <w:color w:val="auto"/>
          <w:u w:val="single"/>
        </w:rPr>
      </w:pPr>
      <w:r>
        <w:rPr>
          <w:rFonts w:ascii="宋体" w:hAnsi="宋体" w:cs="宋体"/>
          <w:color w:val="auto"/>
          <w:spacing w:val="-1"/>
        </w:rPr>
        <w:t>法定代表人（签字或盖章</w:t>
      </w:r>
      <w:r>
        <w:rPr>
          <w:rFonts w:ascii="宋体" w:hAnsi="宋体" w:cs="宋体"/>
          <w:color w:val="auto"/>
        </w:rPr>
        <w:t>）：</w:t>
      </w:r>
      <w:r>
        <w:rPr>
          <w:rFonts w:ascii="宋体" w:hAnsi="宋体" w:cs="宋体"/>
          <w:color w:val="auto"/>
          <w:u w:val="single"/>
        </w:rPr>
        <w:tab/>
      </w:r>
    </w:p>
    <w:p w14:paraId="31B7C3D0">
      <w:pPr>
        <w:tabs>
          <w:tab w:val="left" w:pos="8719"/>
        </w:tabs>
        <w:spacing w:before="116" w:line="351" w:lineRule="auto"/>
        <w:ind w:left="5280" w:hanging="1"/>
        <w:jc w:val="both"/>
        <w:rPr>
          <w:rFonts w:ascii="宋体" w:hAnsi="宋体" w:cs="宋体"/>
          <w:color w:val="auto"/>
        </w:rPr>
      </w:pPr>
      <w:r>
        <w:rPr>
          <w:rFonts w:ascii="宋体" w:hAnsi="宋体" w:cs="宋体"/>
          <w:color w:val="auto"/>
          <w:spacing w:val="-4"/>
        </w:rPr>
        <w:t>日期：年 月 日</w:t>
      </w:r>
    </w:p>
    <w:p w14:paraId="2CD8C3FF">
      <w:pPr>
        <w:rPr>
          <w:rFonts w:ascii="宋体" w:hAnsi="宋体"/>
          <w:sz w:val="18"/>
        </w:rPr>
      </w:pPr>
    </w:p>
    <w:p w14:paraId="245BB7DF">
      <w:pPr>
        <w:spacing w:line="600" w:lineRule="exact"/>
        <w:rPr>
          <w:b/>
          <w:bCs/>
        </w:rPr>
      </w:pPr>
    </w:p>
    <w:p w14:paraId="205DABF8">
      <w:pPr>
        <w:jc w:val="center"/>
        <w:rPr>
          <w:spacing w:val="-6"/>
          <w:sz w:val="28"/>
          <w:szCs w:val="18"/>
        </w:rPr>
      </w:pPr>
      <w:bookmarkStart w:id="140" w:name="_Toc256521617"/>
      <w:bookmarkStart w:id="141" w:name="_Toc256498832"/>
      <w:bookmarkStart w:id="142" w:name="_Toc20315"/>
      <w:r>
        <w:rPr>
          <w:b w:val="0"/>
          <w:sz w:val="30"/>
          <w:szCs w:val="30"/>
        </w:rPr>
        <w:br w:type="page"/>
      </w:r>
      <w:bookmarkEnd w:id="140"/>
      <w:bookmarkEnd w:id="141"/>
      <w:bookmarkStart w:id="143" w:name="_Toc256498833"/>
      <w:bookmarkStart w:id="144" w:name="_Toc255223708"/>
      <w:bookmarkStart w:id="145" w:name="_Toc255999844"/>
      <w:bookmarkStart w:id="146" w:name="_Toc256497729"/>
    </w:p>
    <w:bookmarkEnd w:id="121"/>
    <w:bookmarkEnd w:id="124"/>
    <w:bookmarkEnd w:id="137"/>
    <w:bookmarkEnd w:id="138"/>
    <w:bookmarkEnd w:id="142"/>
    <w:bookmarkEnd w:id="143"/>
    <w:bookmarkEnd w:id="144"/>
    <w:bookmarkEnd w:id="145"/>
    <w:bookmarkEnd w:id="146"/>
    <w:p w14:paraId="39ABC8DB">
      <w:pPr>
        <w:rPr>
          <w:color w:val="auto"/>
        </w:rPr>
      </w:pPr>
      <w:r>
        <w:rPr>
          <w:rFonts w:hint="eastAsia"/>
          <w:b/>
          <w:color w:val="auto"/>
          <w:position w:val="-4"/>
        </w:rPr>
        <w:t>附录1. 递交工程保函时出具的证明文件（线下）</w:t>
      </w:r>
    </w:p>
    <w:p w14:paraId="15C92F89">
      <w:pPr>
        <w:pStyle w:val="7"/>
        <w:ind w:firstLine="480"/>
        <w:rPr>
          <w:color w:val="auto"/>
        </w:rPr>
      </w:pPr>
    </w:p>
    <w:p w14:paraId="2D8C7483">
      <w:pPr>
        <w:spacing w:line="460" w:lineRule="exact"/>
        <w:jc w:val="center"/>
        <w:rPr>
          <w:rFonts w:ascii="宋体" w:hAnsi="宋体"/>
          <w:color w:val="auto"/>
          <w:sz w:val="36"/>
        </w:rPr>
      </w:pPr>
      <w:r>
        <w:rPr>
          <w:rFonts w:ascii="宋体" w:hAnsi="宋体"/>
          <w:b/>
          <w:color w:val="auto"/>
          <w:sz w:val="36"/>
        </w:rPr>
        <w:t>法定代表人身份证明</w:t>
      </w:r>
    </w:p>
    <w:p w14:paraId="679156AF">
      <w:pPr>
        <w:snapToGrid w:val="0"/>
        <w:spacing w:line="360" w:lineRule="auto"/>
        <w:ind w:firstLine="480"/>
        <w:rPr>
          <w:rFonts w:ascii="宋体" w:hAnsi="宋体"/>
          <w:b/>
          <w:color w:val="auto"/>
          <w:szCs w:val="21"/>
        </w:rPr>
      </w:pPr>
    </w:p>
    <w:p w14:paraId="5D268C34">
      <w:pPr>
        <w:snapToGrid w:val="0"/>
        <w:spacing w:line="360" w:lineRule="auto"/>
        <w:ind w:firstLine="480"/>
        <w:rPr>
          <w:rFonts w:ascii="宋体" w:hAnsi="宋体"/>
          <w:color w:val="auto"/>
        </w:rPr>
      </w:pPr>
      <w:r>
        <w:rPr>
          <w:rFonts w:ascii="宋体" w:hAnsi="宋体"/>
          <w:color w:val="auto"/>
        </w:rPr>
        <w:t>投标人名称：</w:t>
      </w:r>
      <w:r>
        <w:rPr>
          <w:rFonts w:hint="eastAsia" w:ascii="宋体" w:hAnsi="宋体"/>
          <w:color w:val="auto"/>
          <w:u w:val="single"/>
        </w:rPr>
        <w:t xml:space="preserve">                                        </w:t>
      </w:r>
      <w:r>
        <w:rPr>
          <w:rFonts w:hint="eastAsia" w:ascii="宋体" w:hAnsi="宋体"/>
          <w:color w:val="auto"/>
        </w:rPr>
        <w:t xml:space="preserve">           </w:t>
      </w:r>
    </w:p>
    <w:p w14:paraId="36AC9A75">
      <w:pPr>
        <w:snapToGrid w:val="0"/>
        <w:spacing w:line="360" w:lineRule="auto"/>
        <w:ind w:firstLine="480"/>
        <w:rPr>
          <w:rFonts w:ascii="宋体" w:hAnsi="宋体"/>
          <w:color w:val="auto"/>
          <w:u w:val="single"/>
        </w:rPr>
      </w:pPr>
      <w:r>
        <w:rPr>
          <w:rFonts w:ascii="宋体" w:hAnsi="宋体"/>
          <w:color w:val="auto"/>
        </w:rPr>
        <w:t>单位性质：</w:t>
      </w:r>
      <w:r>
        <w:rPr>
          <w:rFonts w:hint="eastAsia" w:ascii="宋体" w:hAnsi="宋体"/>
          <w:color w:val="auto"/>
          <w:u w:val="single"/>
        </w:rPr>
        <w:t xml:space="preserve">                                          </w:t>
      </w:r>
    </w:p>
    <w:p w14:paraId="166B5F34">
      <w:pPr>
        <w:snapToGrid w:val="0"/>
        <w:spacing w:line="360" w:lineRule="auto"/>
        <w:ind w:firstLine="480"/>
        <w:rPr>
          <w:rFonts w:ascii="宋体" w:hAnsi="宋体"/>
          <w:color w:val="auto"/>
        </w:rPr>
      </w:pPr>
      <w:r>
        <w:rPr>
          <w:rFonts w:ascii="宋体" w:hAnsi="宋体"/>
          <w:color w:val="auto"/>
        </w:rPr>
        <w:t>地址：</w:t>
      </w:r>
      <w:r>
        <w:rPr>
          <w:rFonts w:hint="eastAsia" w:ascii="宋体" w:hAnsi="宋体"/>
          <w:color w:val="auto"/>
          <w:u w:val="single"/>
        </w:rPr>
        <w:t xml:space="preserve">                                              </w:t>
      </w:r>
    </w:p>
    <w:p w14:paraId="12833A2E">
      <w:pPr>
        <w:snapToGrid w:val="0"/>
        <w:spacing w:line="360" w:lineRule="auto"/>
        <w:ind w:firstLine="480"/>
        <w:rPr>
          <w:rFonts w:ascii="宋体" w:hAnsi="宋体"/>
          <w:color w:val="auto"/>
        </w:rPr>
      </w:pPr>
      <w:r>
        <w:rPr>
          <w:rFonts w:ascii="宋体" w:hAnsi="宋体"/>
          <w:color w:val="auto"/>
        </w:rPr>
        <w:t>成立时间：</w:t>
      </w:r>
      <w:r>
        <w:rPr>
          <w:rFonts w:hint="eastAsia" w:ascii="宋体" w:hAnsi="宋体"/>
          <w:color w:val="auto"/>
          <w:u w:val="single"/>
        </w:rPr>
        <w:t xml:space="preserve">      </w:t>
      </w:r>
      <w:r>
        <w:rPr>
          <w:rFonts w:ascii="宋体" w:hAnsi="宋体"/>
          <w:color w:val="auto"/>
        </w:rPr>
        <w:t>年</w:t>
      </w:r>
      <w:r>
        <w:rPr>
          <w:rFonts w:hint="eastAsia" w:ascii="宋体" w:hAnsi="宋体"/>
          <w:color w:val="auto"/>
          <w:u w:val="single"/>
        </w:rPr>
        <w:t xml:space="preserve">   </w:t>
      </w:r>
      <w:r>
        <w:rPr>
          <w:rFonts w:ascii="宋体" w:hAnsi="宋体"/>
          <w:color w:val="auto"/>
        </w:rPr>
        <w:t>月</w:t>
      </w:r>
      <w:r>
        <w:rPr>
          <w:rFonts w:hint="eastAsia" w:ascii="宋体" w:hAnsi="宋体"/>
          <w:color w:val="auto"/>
          <w:u w:val="single"/>
        </w:rPr>
        <w:t xml:space="preserve">   </w:t>
      </w:r>
      <w:r>
        <w:rPr>
          <w:rFonts w:ascii="宋体" w:hAnsi="宋体"/>
          <w:color w:val="auto"/>
        </w:rPr>
        <w:t>日</w:t>
      </w:r>
    </w:p>
    <w:p w14:paraId="11BA1120">
      <w:pPr>
        <w:snapToGrid w:val="0"/>
        <w:spacing w:line="360" w:lineRule="auto"/>
        <w:ind w:firstLine="480"/>
        <w:rPr>
          <w:rFonts w:ascii="宋体" w:hAnsi="宋体"/>
          <w:color w:val="auto"/>
        </w:rPr>
      </w:pPr>
      <w:r>
        <w:rPr>
          <w:rFonts w:ascii="宋体" w:hAnsi="宋体"/>
          <w:color w:val="auto"/>
        </w:rPr>
        <w:t>经营期限：</w:t>
      </w:r>
      <w:r>
        <w:rPr>
          <w:rFonts w:hint="eastAsia" w:ascii="宋体" w:hAnsi="宋体"/>
          <w:color w:val="auto"/>
          <w:u w:val="single"/>
        </w:rPr>
        <w:t xml:space="preserve">                                         </w:t>
      </w:r>
    </w:p>
    <w:p w14:paraId="1CB1A9C7">
      <w:pPr>
        <w:snapToGrid w:val="0"/>
        <w:spacing w:line="360" w:lineRule="auto"/>
        <w:ind w:firstLine="480"/>
        <w:rPr>
          <w:rFonts w:ascii="宋体" w:hAnsi="宋体"/>
          <w:color w:val="auto"/>
          <w:u w:val="single"/>
        </w:rPr>
      </w:pPr>
      <w:r>
        <w:rPr>
          <w:rFonts w:ascii="宋体" w:hAnsi="宋体"/>
          <w:color w:val="auto"/>
        </w:rPr>
        <w:t>姓名：</w:t>
      </w:r>
      <w:r>
        <w:rPr>
          <w:rFonts w:hint="eastAsia" w:ascii="宋体" w:hAnsi="宋体"/>
          <w:color w:val="auto"/>
          <w:u w:val="single"/>
        </w:rPr>
        <w:t xml:space="preserve">             </w:t>
      </w:r>
      <w:r>
        <w:rPr>
          <w:rFonts w:ascii="宋体" w:hAnsi="宋体"/>
          <w:color w:val="auto"/>
        </w:rPr>
        <w:t>性别：</w:t>
      </w:r>
      <w:r>
        <w:rPr>
          <w:rFonts w:hint="eastAsia" w:ascii="宋体" w:hAnsi="宋体"/>
          <w:color w:val="auto"/>
          <w:u w:val="single"/>
        </w:rPr>
        <w:t xml:space="preserve">        </w:t>
      </w:r>
      <w:r>
        <w:rPr>
          <w:rFonts w:ascii="宋体" w:hAnsi="宋体"/>
          <w:color w:val="auto"/>
        </w:rPr>
        <w:t>年龄：</w:t>
      </w:r>
      <w:r>
        <w:rPr>
          <w:rFonts w:hint="eastAsia" w:ascii="宋体" w:hAnsi="宋体"/>
          <w:color w:val="auto"/>
          <w:u w:val="single"/>
        </w:rPr>
        <w:t xml:space="preserve">               </w:t>
      </w:r>
      <w:r>
        <w:rPr>
          <w:rFonts w:ascii="宋体" w:hAnsi="宋体"/>
          <w:color w:val="auto"/>
        </w:rPr>
        <w:t>身份证号码</w:t>
      </w:r>
      <w:r>
        <w:rPr>
          <w:rFonts w:hint="eastAsia" w:ascii="宋体" w:hAnsi="宋体"/>
          <w:color w:val="auto"/>
        </w:rPr>
        <w:t>：</w:t>
      </w:r>
      <w:r>
        <w:rPr>
          <w:rFonts w:hint="eastAsia" w:ascii="宋体" w:hAnsi="宋体"/>
          <w:color w:val="auto"/>
          <w:u w:val="single"/>
        </w:rPr>
        <w:t xml:space="preserve">              </w:t>
      </w:r>
    </w:p>
    <w:p w14:paraId="60EBA2E3">
      <w:pPr>
        <w:snapToGrid w:val="0"/>
        <w:spacing w:line="360" w:lineRule="auto"/>
        <w:ind w:firstLine="480" w:firstLineChars="200"/>
        <w:rPr>
          <w:rFonts w:ascii="宋体" w:hAnsi="宋体"/>
          <w:color w:val="auto"/>
        </w:rPr>
      </w:pPr>
      <w:r>
        <w:rPr>
          <w:rFonts w:hint="eastAsia" w:ascii="宋体" w:hAnsi="宋体"/>
          <w:color w:val="auto"/>
        </w:rPr>
        <w:t>联系电话：</w:t>
      </w:r>
      <w:r>
        <w:rPr>
          <w:rFonts w:hint="eastAsia" w:ascii="宋体" w:hAnsi="宋体"/>
          <w:color w:val="auto"/>
          <w:u w:val="single"/>
        </w:rPr>
        <w:t xml:space="preserve">         </w:t>
      </w:r>
      <w:r>
        <w:rPr>
          <w:rFonts w:ascii="宋体" w:hAnsi="宋体"/>
          <w:color w:val="auto"/>
        </w:rPr>
        <w:t>职务：</w:t>
      </w:r>
      <w:r>
        <w:rPr>
          <w:rFonts w:hint="eastAsia" w:ascii="宋体" w:hAnsi="宋体"/>
          <w:color w:val="auto"/>
          <w:u w:val="single"/>
        </w:rPr>
        <w:t xml:space="preserve"> </w:t>
      </w:r>
      <w:r>
        <w:rPr>
          <w:rFonts w:ascii="宋体" w:hAnsi="宋体"/>
          <w:color w:val="auto"/>
          <w:u w:val="single"/>
        </w:rPr>
        <w:t xml:space="preserve">       </w:t>
      </w:r>
      <w:r>
        <w:rPr>
          <w:rFonts w:ascii="宋体" w:hAnsi="宋体"/>
          <w:color w:val="auto"/>
        </w:rPr>
        <w:t>系</w:t>
      </w:r>
      <w:r>
        <w:rPr>
          <w:rFonts w:hint="eastAsia" w:ascii="宋体" w:hAnsi="宋体"/>
          <w:color w:val="auto"/>
          <w:u w:val="single"/>
        </w:rPr>
        <w:t xml:space="preserve">                  </w:t>
      </w:r>
      <w:r>
        <w:rPr>
          <w:rFonts w:ascii="宋体" w:hAnsi="宋体"/>
          <w:color w:val="auto"/>
        </w:rPr>
        <w:t>（投标人名称）的法定代表人。</w:t>
      </w:r>
    </w:p>
    <w:p w14:paraId="08F049D2">
      <w:pPr>
        <w:spacing w:line="360" w:lineRule="auto"/>
        <w:rPr>
          <w:rFonts w:ascii="宋体" w:hAnsi="宋体"/>
          <w:color w:val="auto"/>
          <w:szCs w:val="21"/>
        </w:rPr>
      </w:pPr>
    </w:p>
    <w:p w14:paraId="4130DDD2">
      <w:pPr>
        <w:spacing w:line="360" w:lineRule="auto"/>
        <w:rPr>
          <w:rFonts w:ascii="宋体" w:hAnsi="宋体"/>
          <w:color w:val="auto"/>
          <w:szCs w:val="21"/>
        </w:rPr>
      </w:pPr>
    </w:p>
    <w:p w14:paraId="511D54E7">
      <w:pPr>
        <w:spacing w:line="360" w:lineRule="auto"/>
        <w:rPr>
          <w:rFonts w:ascii="宋体" w:hAnsi="宋体"/>
          <w:color w:val="auto"/>
          <w:szCs w:val="21"/>
        </w:rPr>
      </w:pPr>
      <w:r>
        <w:rPr>
          <w:rFonts w:hint="eastAsia" w:ascii="宋体" w:hAnsi="宋体"/>
          <w:color w:val="auto"/>
          <w:szCs w:val="21"/>
        </w:rPr>
        <w:t xml:space="preserve">    </w:t>
      </w:r>
      <w:r>
        <w:rPr>
          <w:rFonts w:ascii="宋体" w:hAnsi="宋体"/>
          <w:color w:val="auto"/>
          <w:szCs w:val="21"/>
        </w:rPr>
        <w:t>特此证明。</w:t>
      </w:r>
    </w:p>
    <w:p w14:paraId="7B31AC25">
      <w:pPr>
        <w:spacing w:line="360" w:lineRule="auto"/>
        <w:rPr>
          <w:rFonts w:ascii="宋体" w:hAnsi="宋体"/>
          <w:color w:val="auto"/>
          <w:szCs w:val="21"/>
        </w:rPr>
      </w:pPr>
    </w:p>
    <w:p w14:paraId="460BD2C9">
      <w:pPr>
        <w:spacing w:line="360" w:lineRule="auto"/>
        <w:rPr>
          <w:rFonts w:ascii="宋体" w:hAnsi="宋体"/>
          <w:color w:val="auto"/>
          <w:szCs w:val="21"/>
        </w:rPr>
      </w:pPr>
    </w:p>
    <w:p w14:paraId="093B34AA">
      <w:pPr>
        <w:spacing w:line="500" w:lineRule="exact"/>
        <w:ind w:firstLine="3840"/>
        <w:rPr>
          <w:rFonts w:ascii="宋体" w:hAnsi="宋体"/>
          <w:color w:val="auto"/>
        </w:rPr>
      </w:pPr>
    </w:p>
    <w:p w14:paraId="003971E3">
      <w:pPr>
        <w:spacing w:line="500" w:lineRule="exact"/>
        <w:ind w:firstLine="3840"/>
        <w:rPr>
          <w:rFonts w:ascii="宋体" w:hAnsi="宋体"/>
          <w:color w:val="auto"/>
        </w:rPr>
      </w:pPr>
      <w:r>
        <w:rPr>
          <w:rFonts w:ascii="宋体" w:hAnsi="宋体"/>
          <w:color w:val="auto"/>
        </w:rPr>
        <w:t>投 标 人（</w:t>
      </w:r>
      <w:r>
        <w:rPr>
          <w:rFonts w:ascii="宋体" w:hAnsi="宋体"/>
          <w:color w:val="auto"/>
          <w:szCs w:val="21"/>
        </w:rPr>
        <w:t>盖单位公章）</w:t>
      </w:r>
      <w:r>
        <w:rPr>
          <w:rFonts w:ascii="宋体" w:hAnsi="宋体"/>
          <w:color w:val="auto"/>
        </w:rPr>
        <w:t>：</w:t>
      </w:r>
    </w:p>
    <w:p w14:paraId="74B69A97">
      <w:pPr>
        <w:spacing w:line="360" w:lineRule="auto"/>
        <w:ind w:firstLine="5160"/>
        <w:rPr>
          <w:rFonts w:ascii="宋体" w:hAnsi="宋体"/>
          <w:color w:val="auto"/>
        </w:rPr>
      </w:pPr>
    </w:p>
    <w:p w14:paraId="1F8B45AC">
      <w:pPr>
        <w:spacing w:line="360" w:lineRule="auto"/>
        <w:jc w:val="right"/>
        <w:rPr>
          <w:rFonts w:ascii="宋体" w:hAnsi="宋体"/>
          <w:color w:val="auto"/>
        </w:rPr>
      </w:pPr>
      <w:r>
        <w:rPr>
          <w:rFonts w:ascii="宋体" w:hAnsi="宋体"/>
          <w:color w:val="auto"/>
          <w:szCs w:val="21"/>
        </w:rPr>
        <w:t>日期：</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年</w:t>
      </w:r>
      <w:r>
        <w:rPr>
          <w:rFonts w:hint="eastAsia" w:ascii="宋体" w:hAnsi="宋体"/>
          <w:color w:val="auto"/>
          <w:szCs w:val="21"/>
          <w:u w:val="single"/>
        </w:rPr>
        <w:t xml:space="preserve">      </w:t>
      </w:r>
      <w:r>
        <w:rPr>
          <w:rFonts w:ascii="宋体" w:hAnsi="宋体"/>
          <w:color w:val="auto"/>
          <w:szCs w:val="21"/>
        </w:rPr>
        <w:t>月</w:t>
      </w:r>
      <w:r>
        <w:rPr>
          <w:rFonts w:hint="eastAsia" w:ascii="宋体" w:hAnsi="宋体"/>
          <w:color w:val="auto"/>
          <w:szCs w:val="21"/>
          <w:u w:val="single"/>
        </w:rPr>
        <w:t xml:space="preserve">    </w:t>
      </w:r>
      <w:r>
        <w:rPr>
          <w:rFonts w:ascii="宋体" w:hAnsi="宋体"/>
          <w:color w:val="auto"/>
          <w:szCs w:val="21"/>
        </w:rPr>
        <w:t>日</w:t>
      </w:r>
    </w:p>
    <w:p w14:paraId="381A61E7">
      <w:pPr>
        <w:rPr>
          <w:rFonts w:ascii="宋体" w:hAnsi="宋体"/>
          <w:color w:val="auto"/>
          <w:szCs w:val="21"/>
        </w:rPr>
      </w:pPr>
    </w:p>
    <w:p w14:paraId="2C8517B4">
      <w:pPr>
        <w:spacing w:line="460" w:lineRule="exact"/>
        <w:rPr>
          <w:rFonts w:ascii="宋体" w:hAnsi="宋体"/>
          <w:b/>
          <w:color w:val="auto"/>
        </w:rPr>
      </w:pPr>
    </w:p>
    <w:p w14:paraId="777798FC">
      <w:pPr>
        <w:spacing w:line="460" w:lineRule="exact"/>
        <w:rPr>
          <w:rFonts w:ascii="宋体" w:hAnsi="宋体"/>
          <w:b/>
          <w:color w:val="auto"/>
        </w:rPr>
      </w:pPr>
    </w:p>
    <w:p w14:paraId="7FD1AA09">
      <w:pPr>
        <w:spacing w:line="460" w:lineRule="exact"/>
        <w:rPr>
          <w:rFonts w:ascii="宋体" w:hAnsi="宋体"/>
          <w:b/>
          <w:color w:val="auto"/>
        </w:rPr>
      </w:pPr>
      <w:r>
        <w:rPr>
          <w:rFonts w:hint="eastAsia" w:ascii="宋体" w:hAnsi="宋体"/>
          <w:b/>
          <w:bCs/>
          <w:color w:val="auto"/>
          <w:sz w:val="28"/>
          <w:szCs w:val="28"/>
        </w:rPr>
        <w:t>注：仅用于递交工程保函时出具，须采用线下盖章。</w:t>
      </w:r>
    </w:p>
    <w:p w14:paraId="0A136663">
      <w:pPr>
        <w:spacing w:line="460" w:lineRule="exact"/>
        <w:rPr>
          <w:rFonts w:ascii="宋体" w:hAnsi="宋体"/>
          <w:b/>
          <w:color w:val="auto"/>
        </w:rPr>
      </w:pPr>
    </w:p>
    <w:p w14:paraId="4735A773">
      <w:pPr>
        <w:spacing w:line="460" w:lineRule="exact"/>
        <w:rPr>
          <w:rFonts w:ascii="宋体" w:hAnsi="宋体"/>
          <w:b/>
          <w:color w:val="auto"/>
        </w:rPr>
      </w:pPr>
    </w:p>
    <w:p w14:paraId="5E929EAC">
      <w:pPr>
        <w:spacing w:line="460" w:lineRule="exact"/>
        <w:jc w:val="center"/>
        <w:rPr>
          <w:rFonts w:ascii="宋体" w:hAnsi="宋体"/>
          <w:b/>
          <w:color w:val="auto"/>
          <w:sz w:val="36"/>
        </w:rPr>
      </w:pPr>
      <w:r>
        <w:rPr>
          <w:rFonts w:ascii="宋体" w:hAnsi="宋体"/>
          <w:b/>
          <w:color w:val="auto"/>
        </w:rPr>
        <w:br w:type="page"/>
      </w:r>
      <w:r>
        <w:rPr>
          <w:rFonts w:ascii="宋体" w:hAnsi="宋体"/>
          <w:color w:val="auto"/>
        </w:rPr>
        <w:t xml:space="preserve"> </w:t>
      </w:r>
      <w:r>
        <w:rPr>
          <w:rFonts w:ascii="宋体" w:hAnsi="宋体"/>
          <w:b/>
          <w:color w:val="auto"/>
          <w:sz w:val="36"/>
        </w:rPr>
        <w:t>授权委托书</w:t>
      </w:r>
    </w:p>
    <w:p w14:paraId="19D1793F">
      <w:pPr>
        <w:snapToGrid w:val="0"/>
        <w:spacing w:line="360" w:lineRule="auto"/>
        <w:ind w:firstLine="480"/>
        <w:rPr>
          <w:rFonts w:ascii="宋体" w:hAnsi="宋体"/>
          <w:b/>
          <w:color w:val="auto"/>
          <w:szCs w:val="21"/>
        </w:rPr>
      </w:pPr>
    </w:p>
    <w:p w14:paraId="236D3619">
      <w:pPr>
        <w:snapToGrid w:val="0"/>
        <w:spacing w:line="360" w:lineRule="auto"/>
        <w:ind w:firstLine="480"/>
        <w:rPr>
          <w:rFonts w:ascii="宋体" w:hAnsi="宋体"/>
          <w:color w:val="auto"/>
        </w:rPr>
      </w:pPr>
      <w:r>
        <w:rPr>
          <w:rFonts w:ascii="宋体" w:hAnsi="宋体"/>
          <w:color w:val="auto"/>
          <w:szCs w:val="21"/>
        </w:rPr>
        <w:t>本人</w:t>
      </w:r>
      <w:r>
        <w:rPr>
          <w:rFonts w:hint="eastAsia" w:ascii="宋体" w:hAnsi="宋体"/>
          <w:color w:val="auto"/>
          <w:szCs w:val="21"/>
          <w:u w:val="single"/>
        </w:rPr>
        <w:t xml:space="preserve">       </w:t>
      </w:r>
      <w:r>
        <w:rPr>
          <w:rFonts w:ascii="宋体" w:hAnsi="宋体"/>
          <w:color w:val="auto"/>
          <w:szCs w:val="21"/>
          <w:u w:val="single"/>
        </w:rPr>
        <w:t>（姓名）</w:t>
      </w:r>
      <w:r>
        <w:rPr>
          <w:rFonts w:ascii="宋体" w:hAnsi="宋体"/>
          <w:color w:val="auto"/>
          <w:szCs w:val="21"/>
        </w:rPr>
        <w:t>系</w:t>
      </w:r>
      <w:r>
        <w:rPr>
          <w:rFonts w:hint="eastAsia" w:ascii="宋体" w:hAnsi="宋体"/>
          <w:color w:val="auto"/>
          <w:szCs w:val="21"/>
          <w:u w:val="single"/>
        </w:rPr>
        <w:t xml:space="preserve">       </w:t>
      </w:r>
      <w:r>
        <w:rPr>
          <w:rFonts w:ascii="宋体" w:hAnsi="宋体"/>
          <w:color w:val="auto"/>
          <w:szCs w:val="21"/>
          <w:u w:val="single"/>
        </w:rPr>
        <w:t>（投标人名称）</w:t>
      </w:r>
      <w:r>
        <w:rPr>
          <w:rFonts w:ascii="宋体" w:hAnsi="宋体"/>
          <w:color w:val="auto"/>
          <w:szCs w:val="21"/>
        </w:rPr>
        <w:t>的法定代表人，现委托</w:t>
      </w:r>
      <w:r>
        <w:rPr>
          <w:rFonts w:hint="eastAsia" w:ascii="宋体" w:hAnsi="宋体"/>
          <w:color w:val="auto"/>
          <w:szCs w:val="21"/>
          <w:u w:val="single"/>
        </w:rPr>
        <w:t xml:space="preserve">       </w:t>
      </w:r>
      <w:r>
        <w:rPr>
          <w:rFonts w:ascii="宋体" w:hAnsi="宋体"/>
          <w:color w:val="auto"/>
          <w:szCs w:val="21"/>
          <w:u w:val="single"/>
        </w:rPr>
        <w:t>（姓名）</w:t>
      </w:r>
      <w:r>
        <w:rPr>
          <w:rFonts w:ascii="宋体" w:hAnsi="宋体"/>
          <w:color w:val="auto"/>
          <w:szCs w:val="21"/>
        </w:rPr>
        <w:t>为我方代理人。代理人根据授权，在投标有效期满前以我方名义签署、澄清、说明、补正、递交</w:t>
      </w:r>
      <w:r>
        <w:rPr>
          <w:rFonts w:ascii="宋体" w:hAnsi="宋体"/>
          <w:color w:val="auto"/>
        </w:rPr>
        <w:t>、撤回、修改</w:t>
      </w:r>
      <w:r>
        <w:rPr>
          <w:rFonts w:hint="eastAsia" w:ascii="宋体" w:hAnsi="宋体"/>
          <w:color w:val="auto"/>
          <w:u w:val="single"/>
        </w:rPr>
        <w:t xml:space="preserve">             </w:t>
      </w:r>
      <w:r>
        <w:rPr>
          <w:rFonts w:ascii="宋体" w:hAnsi="宋体"/>
          <w:color w:val="auto"/>
        </w:rPr>
        <w:t>（项目名称）投标</w:t>
      </w:r>
      <w:r>
        <w:rPr>
          <w:rFonts w:ascii="宋体" w:hAnsi="宋体"/>
          <w:color w:val="auto"/>
          <w:szCs w:val="21"/>
        </w:rPr>
        <w:t>文件、</w:t>
      </w:r>
      <w:r>
        <w:rPr>
          <w:rFonts w:hint="eastAsia" w:ascii="宋体" w:hAnsi="宋体"/>
          <w:color w:val="auto"/>
          <w:szCs w:val="21"/>
        </w:rPr>
        <w:t>递交投标保证金保函等相关资料、</w:t>
      </w:r>
      <w:r>
        <w:rPr>
          <w:rFonts w:ascii="宋体" w:hAnsi="宋体"/>
          <w:color w:val="auto"/>
          <w:szCs w:val="21"/>
        </w:rPr>
        <w:t>出席开标会议、签订合同和处理有关事宜，其法律后果由我方承担。</w:t>
      </w:r>
    </w:p>
    <w:p w14:paraId="6B09FA49">
      <w:pPr>
        <w:snapToGrid w:val="0"/>
        <w:spacing w:line="360" w:lineRule="auto"/>
        <w:ind w:firstLine="480"/>
        <w:rPr>
          <w:rFonts w:ascii="宋体" w:hAnsi="宋体"/>
          <w:color w:val="auto"/>
        </w:rPr>
      </w:pPr>
      <w:r>
        <w:rPr>
          <w:rFonts w:ascii="宋体" w:hAnsi="宋体"/>
          <w:color w:val="auto"/>
          <w:szCs w:val="21"/>
        </w:rPr>
        <w:t>代理人无转委托权。</w:t>
      </w:r>
    </w:p>
    <w:p w14:paraId="01FA7EC5">
      <w:pPr>
        <w:snapToGrid w:val="0"/>
        <w:spacing w:line="360" w:lineRule="auto"/>
        <w:ind w:firstLine="480"/>
        <w:rPr>
          <w:rFonts w:ascii="宋体" w:hAnsi="宋体"/>
          <w:color w:val="auto"/>
        </w:rPr>
      </w:pPr>
      <w:r>
        <w:rPr>
          <w:rFonts w:ascii="宋体" w:hAnsi="宋体"/>
          <w:color w:val="auto"/>
          <w:szCs w:val="21"/>
        </w:rPr>
        <w:t>附：</w:t>
      </w:r>
      <w:r>
        <w:rPr>
          <w:rFonts w:hint="eastAsia" w:ascii="宋体" w:hAnsi="宋体"/>
          <w:color w:val="auto"/>
          <w:szCs w:val="21"/>
        </w:rPr>
        <w:t>法定代表人</w:t>
      </w:r>
      <w:r>
        <w:rPr>
          <w:rFonts w:ascii="宋体" w:hAnsi="宋体"/>
          <w:color w:val="auto"/>
          <w:szCs w:val="21"/>
        </w:rPr>
        <w:t>身份证明</w:t>
      </w:r>
    </w:p>
    <w:p w14:paraId="263B6903">
      <w:pPr>
        <w:snapToGrid w:val="0"/>
        <w:spacing w:line="360" w:lineRule="auto"/>
        <w:ind w:firstLine="480"/>
        <w:rPr>
          <w:rFonts w:ascii="宋体" w:hAnsi="宋体"/>
          <w:color w:val="auto"/>
          <w:szCs w:val="21"/>
        </w:rPr>
      </w:pPr>
    </w:p>
    <w:p w14:paraId="0EB6FBB3">
      <w:pPr>
        <w:snapToGrid w:val="0"/>
        <w:spacing w:line="360" w:lineRule="auto"/>
        <w:ind w:firstLine="3360" w:firstLineChars="1400"/>
        <w:rPr>
          <w:rFonts w:ascii="宋体" w:hAnsi="宋体"/>
          <w:color w:val="auto"/>
        </w:rPr>
      </w:pPr>
      <w:r>
        <w:rPr>
          <w:rFonts w:ascii="宋体" w:hAnsi="宋体"/>
          <w:color w:val="auto"/>
          <w:szCs w:val="21"/>
        </w:rPr>
        <w:t>投标人：</w:t>
      </w:r>
      <w:r>
        <w:rPr>
          <w:rFonts w:hint="eastAsia" w:ascii="宋体" w:hAnsi="宋体"/>
          <w:color w:val="auto"/>
          <w:szCs w:val="21"/>
          <w:u w:val="single"/>
        </w:rPr>
        <w:t xml:space="preserve">              </w:t>
      </w:r>
      <w:r>
        <w:rPr>
          <w:rFonts w:ascii="宋体" w:hAnsi="宋体"/>
          <w:color w:val="auto"/>
          <w:szCs w:val="21"/>
        </w:rPr>
        <w:t>（盖单位</w:t>
      </w:r>
      <w:r>
        <w:rPr>
          <w:rFonts w:ascii="宋体" w:hAnsi="宋体"/>
          <w:color w:val="auto"/>
        </w:rPr>
        <w:t>公</w:t>
      </w:r>
      <w:r>
        <w:rPr>
          <w:rFonts w:ascii="宋体" w:hAnsi="宋体"/>
          <w:color w:val="auto"/>
          <w:szCs w:val="21"/>
        </w:rPr>
        <w:t>章）</w:t>
      </w:r>
    </w:p>
    <w:p w14:paraId="303B62EA">
      <w:pPr>
        <w:snapToGrid w:val="0"/>
        <w:spacing w:line="360" w:lineRule="auto"/>
        <w:ind w:firstLine="3360"/>
        <w:rPr>
          <w:rFonts w:ascii="宋体" w:hAnsi="宋体"/>
          <w:color w:val="auto"/>
        </w:rPr>
      </w:pPr>
      <w:r>
        <w:rPr>
          <w:rFonts w:ascii="宋体" w:hAnsi="宋体"/>
          <w:color w:val="auto"/>
          <w:szCs w:val="21"/>
        </w:rPr>
        <w:t>法定代表人：</w:t>
      </w:r>
      <w:r>
        <w:rPr>
          <w:rFonts w:hint="eastAsia" w:ascii="宋体" w:hAnsi="宋体"/>
          <w:color w:val="auto"/>
          <w:szCs w:val="21"/>
          <w:u w:val="single"/>
        </w:rPr>
        <w:t xml:space="preserve">               （签字）</w:t>
      </w:r>
      <w:r>
        <w:rPr>
          <w:rFonts w:hint="eastAsia" w:ascii="宋体" w:hAnsi="宋体"/>
          <w:color w:val="auto"/>
          <w:szCs w:val="21"/>
        </w:rPr>
        <w:t xml:space="preserve"> </w:t>
      </w:r>
    </w:p>
    <w:p w14:paraId="538C67E8">
      <w:pPr>
        <w:snapToGrid w:val="0"/>
        <w:spacing w:line="360" w:lineRule="auto"/>
        <w:ind w:firstLine="3360"/>
        <w:rPr>
          <w:rFonts w:ascii="宋体" w:hAnsi="宋体"/>
          <w:color w:val="auto"/>
        </w:rPr>
      </w:pPr>
      <w:r>
        <w:rPr>
          <w:rFonts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rPr>
        <w:t xml:space="preserve"> </w:t>
      </w:r>
    </w:p>
    <w:p w14:paraId="56696B4F">
      <w:pPr>
        <w:snapToGrid w:val="0"/>
        <w:spacing w:line="360" w:lineRule="auto"/>
        <w:ind w:firstLine="3360"/>
        <w:rPr>
          <w:rFonts w:ascii="宋体" w:hAnsi="宋体"/>
          <w:color w:val="auto"/>
        </w:rPr>
      </w:pPr>
      <w:r>
        <w:rPr>
          <w:rFonts w:ascii="宋体" w:hAnsi="宋体"/>
          <w:color w:val="auto"/>
          <w:szCs w:val="21"/>
        </w:rPr>
        <w:t>委托代理人：</w:t>
      </w:r>
      <w:r>
        <w:rPr>
          <w:rFonts w:hint="eastAsia" w:ascii="宋体" w:hAnsi="宋体"/>
          <w:color w:val="auto"/>
          <w:szCs w:val="21"/>
          <w:u w:val="single"/>
        </w:rPr>
        <w:t xml:space="preserve">               （签字）</w:t>
      </w:r>
      <w:r>
        <w:rPr>
          <w:rFonts w:hint="eastAsia" w:ascii="宋体" w:hAnsi="宋体"/>
          <w:color w:val="auto"/>
          <w:szCs w:val="21"/>
        </w:rPr>
        <w:t xml:space="preserve"> </w:t>
      </w:r>
    </w:p>
    <w:p w14:paraId="231C34B6">
      <w:pPr>
        <w:snapToGrid w:val="0"/>
        <w:spacing w:line="360" w:lineRule="auto"/>
        <w:ind w:firstLine="3360"/>
        <w:rPr>
          <w:rFonts w:ascii="宋体" w:hAnsi="宋体"/>
          <w:color w:val="auto"/>
          <w:szCs w:val="21"/>
        </w:rPr>
      </w:pPr>
      <w:r>
        <w:rPr>
          <w:rFonts w:ascii="宋体" w:hAnsi="宋体"/>
          <w:color w:val="auto"/>
          <w:szCs w:val="21"/>
        </w:rPr>
        <w:t>身份证号码：</w:t>
      </w:r>
      <w:r>
        <w:rPr>
          <w:rFonts w:hint="eastAsia" w:ascii="宋体" w:hAnsi="宋体"/>
          <w:color w:val="auto"/>
          <w:szCs w:val="21"/>
          <w:u w:val="single"/>
        </w:rPr>
        <w:t xml:space="preserve">                       </w:t>
      </w:r>
      <w:r>
        <w:rPr>
          <w:rFonts w:hint="eastAsia" w:ascii="宋体" w:hAnsi="宋体"/>
          <w:color w:val="auto"/>
          <w:szCs w:val="21"/>
        </w:rPr>
        <w:t xml:space="preserve"> </w:t>
      </w:r>
    </w:p>
    <w:p w14:paraId="577E5A19">
      <w:pPr>
        <w:pStyle w:val="58"/>
        <w:ind w:firstLine="2880" w:firstLineChars="1200"/>
        <w:rPr>
          <w:color w:val="auto"/>
        </w:rPr>
      </w:pPr>
      <w:r>
        <w:rPr>
          <w:rFonts w:hint="eastAsia" w:ascii="宋体" w:hAnsi="宋体"/>
          <w:color w:val="auto"/>
          <w:szCs w:val="21"/>
        </w:rPr>
        <w:t>联系电话：</w:t>
      </w:r>
      <w:r>
        <w:rPr>
          <w:rFonts w:hint="eastAsia" w:ascii="宋体" w:hAnsi="宋体"/>
          <w:color w:val="auto"/>
          <w:u w:val="single"/>
        </w:rPr>
        <w:t xml:space="preserve">                       </w:t>
      </w:r>
    </w:p>
    <w:p w14:paraId="3930D5B3">
      <w:pPr>
        <w:snapToGrid w:val="0"/>
        <w:spacing w:line="360" w:lineRule="auto"/>
        <w:ind w:firstLine="5040"/>
        <w:rPr>
          <w:rFonts w:ascii="宋体" w:hAnsi="宋体"/>
          <w:color w:val="auto"/>
        </w:rPr>
      </w:pP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 xml:space="preserve"> </w:t>
      </w:r>
      <w:r>
        <w:rPr>
          <w:rFonts w:ascii="宋体" w:hAnsi="宋体"/>
          <w:color w:val="auto"/>
          <w:szCs w:val="21"/>
        </w:rPr>
        <w:t>日</w:t>
      </w:r>
    </w:p>
    <w:p w14:paraId="61FFA0CA">
      <w:pPr>
        <w:snapToGrid w:val="0"/>
        <w:spacing w:line="360" w:lineRule="auto"/>
        <w:ind w:firstLine="210"/>
        <w:rPr>
          <w:rFonts w:ascii="宋体" w:hAnsi="宋体"/>
          <w:color w:val="auto"/>
        </w:rPr>
      </w:pPr>
    </w:p>
    <w:p w14:paraId="2D1ECF2F">
      <w:pPr>
        <w:snapToGrid w:val="0"/>
        <w:spacing w:line="360" w:lineRule="auto"/>
        <w:ind w:firstLine="210"/>
        <w:rPr>
          <w:rFonts w:ascii="宋体" w:hAnsi="宋体"/>
          <w:color w:val="auto"/>
        </w:rPr>
      </w:pPr>
    </w:p>
    <w:p w14:paraId="3D913038">
      <w:pPr>
        <w:snapToGrid w:val="0"/>
        <w:spacing w:line="360" w:lineRule="auto"/>
        <w:ind w:firstLine="210"/>
        <w:rPr>
          <w:rFonts w:ascii="宋体" w:hAnsi="宋体"/>
          <w:color w:val="auto"/>
        </w:rPr>
      </w:pPr>
    </w:p>
    <w:p w14:paraId="4B698C22">
      <w:pPr>
        <w:snapToGrid w:val="0"/>
        <w:spacing w:line="360" w:lineRule="auto"/>
        <w:ind w:firstLine="210"/>
        <w:rPr>
          <w:rFonts w:ascii="宋体" w:hAnsi="宋体"/>
          <w:color w:val="auto"/>
        </w:rPr>
      </w:pPr>
    </w:p>
    <w:p w14:paraId="1964398E">
      <w:pPr>
        <w:snapToGrid w:val="0"/>
        <w:spacing w:line="360" w:lineRule="auto"/>
        <w:ind w:firstLine="210"/>
        <w:rPr>
          <w:rFonts w:ascii="宋体" w:hAnsi="宋体"/>
          <w:color w:val="auto"/>
        </w:rPr>
      </w:pPr>
    </w:p>
    <w:p w14:paraId="709A9164">
      <w:pPr>
        <w:pStyle w:val="58"/>
        <w:ind w:firstLine="240"/>
        <w:rPr>
          <w:rFonts w:ascii="宋体" w:hAnsi="宋体"/>
          <w:color w:val="auto"/>
        </w:rPr>
      </w:pPr>
      <w:r>
        <w:rPr>
          <w:rFonts w:ascii="宋体" w:hAnsi="宋体"/>
          <w:color w:val="auto"/>
        </w:rPr>
        <w:t>注：1.法定代表人和委托代理人均应在本授权委托书上签字，不得使用印章、签名章或其他电子制版签名。</w:t>
      </w:r>
    </w:p>
    <w:p w14:paraId="434F90E7">
      <w:pPr>
        <w:pStyle w:val="58"/>
        <w:ind w:firstLine="240"/>
        <w:rPr>
          <w:rFonts w:ascii="宋体" w:hAnsi="宋体"/>
          <w:color w:val="auto"/>
        </w:rPr>
      </w:pPr>
      <w:r>
        <w:rPr>
          <w:rFonts w:hint="eastAsia" w:ascii="宋体" w:hAnsi="宋体"/>
          <w:color w:val="auto"/>
        </w:rPr>
        <w:t>2. 仅用于递交工程保函时出具，须采用线下盖章。</w:t>
      </w:r>
    </w:p>
    <w:p w14:paraId="1F70C4B2">
      <w:pPr>
        <w:rPr>
          <w:color w:val="auto"/>
        </w:rPr>
      </w:pPr>
    </w:p>
    <w:p w14:paraId="2AD735B8">
      <w:pPr>
        <w:spacing w:line="360" w:lineRule="auto"/>
        <w:rPr>
          <w:color w:val="auto"/>
        </w:rPr>
      </w:pPr>
    </w:p>
    <w:p w14:paraId="44E65CFC">
      <w:pPr>
        <w:spacing w:line="360" w:lineRule="auto"/>
      </w:pPr>
    </w:p>
    <w:sectPr>
      <w:headerReference r:id="rId37" w:type="default"/>
      <w:footerReference r:id="rId38" w:type="default"/>
      <w:pgSz w:w="11900" w:h="16840"/>
      <w:pgMar w:top="1440" w:right="1083" w:bottom="1440" w:left="1083" w:header="1077" w:footer="1032" w:gutter="0"/>
      <w:pgNumType w:fmt="decimal"/>
      <w:cols w:space="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CE6443">
    <w:pPr>
      <w:spacing w:line="197" w:lineRule="auto"/>
      <w:ind w:left="4624"/>
      <w:rPr>
        <w:rFonts w:ascii="Times New Roman" w:hAnsi="Times New Roman" w:eastAsia="Times New Roman" w:cs="Times New Roman"/>
        <w:sz w:val="17"/>
        <w:szCs w:val="17"/>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6F9B8D">
    <w:pPr>
      <w:pStyle w:val="21"/>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770EEB9">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6770EEB9">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F06A58">
    <w:pPr>
      <w:pStyle w:val="21"/>
      <w:jc w:val="center"/>
    </w:pPr>
    <w: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02DBFE55">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CdDFM3wAEAAI0DAAAOAAAAAAAAAAEAIAAAAB4BAABkcnMvZTJvRG9jLnhtbFBLBQYA&#10;AAAABgAGAFkBAABQBQAAAAA=&#10;">
              <v:fill on="f" focussize="0,0"/>
              <v:stroke on="f"/>
              <v:imagedata o:title=""/>
              <o:lock v:ext="edit" aspectratio="f"/>
              <v:textbox inset="0mm,0mm,0mm,0mm" style="mso-fit-shape-to-text:t;">
                <w:txbxContent>
                  <w:p w14:paraId="02DBFE55">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AE70A4">
    <w:pPr>
      <w:pStyle w:val="21"/>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2EF9FB">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4E2EF9FB">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C0C00D">
    <w:pPr>
      <w:pStyle w:val="21"/>
      <w:jc w:val="center"/>
    </w:pPr>
    <w: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897CCD4">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2/IisE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JK4rjFiZ9//jj/+nP+/Z2g&#10;DwXqA9SYdxcwMw0f/IDJsx/QmXkPKtr8RUYE44h1usgrh0REfrRarlYVhgTG5gvis6fnIUL6KL0l&#10;2WhoxPkVWfnxM6QxdU7J1Zy/1caUGRr3lwMxs4fl3sces5WG3TAR2vn2hHx6HH1DHW46JeaTQ2Wx&#10;vzQbcTZ2k5FrQHh/SFi49JNRR6ipGM6pMJp2Ki/C83vJevqPNo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OqXm5zwAAAAUBAAAPAAAAAAAAAAEAIAAAACIAAABkcnMvZG93bnJldi54bWxQSwECFAAU&#10;AAAACACHTuJAP2/IisEBAACPAwAADgAAAAAAAAABACAAAAAeAQAAZHJzL2Uyb0RvYy54bWxQSwUG&#10;AAAAAAYABgBZAQAAUQUAAAAA&#10;">
              <v:fill on="f" focussize="0,0"/>
              <v:stroke on="f"/>
              <v:imagedata o:title=""/>
              <o:lock v:ext="edit" aspectratio="f"/>
              <v:textbox inset="0mm,0mm,0mm,0mm" style="mso-fit-shape-to-text:t;">
                <w:txbxContent>
                  <w:p w14:paraId="3897CCD4">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9FDD22">
    <w:pPr>
      <w:pStyle w:val="21"/>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AD4DE9">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3AD4DE9">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CDA4D1">
    <w:pPr>
      <w:pStyle w:val="21"/>
      <w:jc w:val="center"/>
    </w:pPr>
    <w: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42132783">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TIids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sKSEsctTvz888f515/z7+8E&#10;fShQH6DGvLuAmWn44AdMnv2Azsx7UNHmLzIiGEd5Txd55ZCIyI9Wy9WqwpDA2HxBfPb0PERIH6W3&#10;JBsNjTi/Iis/foY0ps4puZrzt9qYMkPj/nIgZvaw3PvYY7bSsBsmQjvfnpBPj6NvqMNNp8R8cqhs&#10;3pLZiLOxm4xcA8L7Q8LCpZ+MOkJNxXBOhdG0U3kRnt9L1tN/tHk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IkyInbCAQAAjwMAAA4AAAAAAAAAAQAgAAAAHgEAAGRycy9lMm9Eb2MueG1sUEsF&#10;BgAAAAAGAAYAWQEAAFIFAAAAAA==&#10;">
              <v:fill on="f" focussize="0,0"/>
              <v:stroke on="f"/>
              <v:imagedata o:title=""/>
              <o:lock v:ext="edit" aspectratio="f"/>
              <v:textbox inset="0mm,0mm,0mm,0mm" style="mso-fit-shape-to-text:t;">
                <w:txbxContent>
                  <w:p w14:paraId="42132783">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AEFFA0">
    <w:pPr>
      <w:pStyle w:val="21"/>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82D24D">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14:paraId="3D82D24D">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D616B">
    <w:pPr>
      <w:pStyle w:val="21"/>
      <w:jc w:val="center"/>
    </w:pPr>
    <w: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C604FA4">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tJtqMI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uAlvKHHc4sTPP3+cfz2eH74T&#10;9KFAfYAa8+4CZqbhvR8wefYDOjPvQUWbv8iIYBzlPV3klUMiIj9aLVerCkMCY/MF8dnT8xAhfZDe&#10;kmw0NOL8iqz8+AnSmDqn5GrO32pjygyN+8uBmNnDcu9jj9lKw26YCO18e0I+PY6+oQ43nRLz0aGy&#10;eUtmI87GbjJyDQjvDgkLl34y6gg1FcM5FUbTTuVF+PNesp7+o81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SbajCAQAAjwMAAA4AAAAAAAAAAQAgAAAAHgEAAGRycy9lMm9Eb2MueG1sUEsF&#10;BgAAAAAGAAYAWQEAAFIFAAAAAA==&#10;">
              <v:fill on="f" focussize="0,0"/>
              <v:stroke on="f"/>
              <v:imagedata o:title=""/>
              <o:lock v:ext="edit" aspectratio="f"/>
              <v:textbox inset="0mm,0mm,0mm,0mm" style="mso-fit-shape-to-text:t;">
                <w:txbxContent>
                  <w:p w14:paraId="1C604FA4">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ECA40A">
    <w:pPr>
      <w:pStyle w:val="21"/>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C35FB6">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15C35FB6">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61DE5">
    <w:pPr>
      <w:pStyle w:val="21"/>
      <w:jc w:val="center"/>
    </w:pPr>
    <w: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0E328D">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SPh1TCAQAAjwMAAA4AAAAAAAAAAQAgAAAAHgEAAGRycy9lMm9Eb2MueG1sUEsF&#10;BgAAAAAGAAYAWQEAAFIFAAAAAA==&#10;">
              <v:fill on="f" focussize="0,0"/>
              <v:stroke on="f"/>
              <v:imagedata o:title=""/>
              <o:lock v:ext="edit" aspectratio="f"/>
              <v:textbox inset="0mm,0mm,0mm,0mm" style="mso-fit-shape-to-text:t;">
                <w:txbxContent>
                  <w:p w14:paraId="540E328D">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5D6EE4C">
    <w:pPr>
      <w:pStyle w:val="21"/>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49CBC4">
    <w:pPr>
      <w:pStyle w:val="21"/>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7FEB72">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T72nYy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pPvadjICAABjBAAADgAAAAAAAAABACAAAAAfAQAAZHJzL2Uyb0RvYy54bWxQSwUG&#10;AAAAAAYABgBZAQAAwwUAAAAA&#10;">
              <v:fill on="f" focussize="0,0"/>
              <v:stroke on="f" weight="0.5pt"/>
              <v:imagedata o:title=""/>
              <o:lock v:ext="edit" aspectratio="f"/>
              <v:textbox inset="0mm,0mm,0mm,0mm" style="mso-fit-shape-to-text:t;">
                <w:txbxContent>
                  <w:p w14:paraId="347FEB72">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7F91A6">
    <w:pPr>
      <w:pStyle w:val="21"/>
      <w:jc w:val="center"/>
    </w:pPr>
    <w: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CA31A0E">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RWDz8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EtbgLO3XGLEz///HH+9ef8+ztB&#10;HwrUB6gx7y5gZho++AGTZz+gM/MeVLT5i4wIxlHe00VeOSQi8qPVcrWqMCQwNl8Qnz09DxHSR+kt&#10;yUZDI86vyMqPnyGNqXNKrub8rTamzNC4vxyImT0s9z72mK007IaJ0M63J+TT4+gb6nDTKTGfHCqb&#10;t2Q24mzsJiPXgPD+kLBw6SejjlBTMZxTYTTtVF6E5/eS9fQfbR4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GUVg8/CAQAAjwMAAA4AAAAAAAAAAQAgAAAAHgEAAGRycy9lMm9Eb2MueG1sUEsF&#10;BgAAAAAGAAYAWQEAAFIFAAAAAA==&#10;">
              <v:fill on="f" focussize="0,0"/>
              <v:stroke on="f"/>
              <v:imagedata o:title=""/>
              <o:lock v:ext="edit" aspectratio="f"/>
              <v:textbox inset="0mm,0mm,0mm,0mm" style="mso-fit-shape-to-text:t;">
                <w:txbxContent>
                  <w:p w14:paraId="7CA31A0E">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203ED3">
    <w:pPr>
      <w:pStyle w:val="21"/>
    </w:pPr>
    <w:r>
      <w:rPr>
        <w:sz w:val="18"/>
      </w:rPr>
      <mc:AlternateContent>
        <mc:Choice Requires="wps">
          <w:drawing>
            <wp:anchor distT="0" distB="0" distL="114300" distR="114300" simplePos="0" relativeHeight="2516848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DCDCDFD">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48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14:paraId="4DCDCDFD">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6AA564">
    <w:pPr>
      <w:pStyle w:val="21"/>
      <w:jc w:val="center"/>
    </w:pPr>
    <w:r>
      <mc:AlternateContent>
        <mc:Choice Requires="wps">
          <w:drawing>
            <wp:anchor distT="0" distB="0" distL="114300" distR="114300" simplePos="0" relativeHeight="2516858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859496B">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58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KntSbnCAQAAjwMAAA4AAAAAAAAAAQAgAAAAHgEAAGRycy9lMm9Eb2MueG1sUEsF&#10;BgAAAAAGAAYAWQEAAFIFAAAAAA==&#10;">
              <v:fill on="f" focussize="0,0"/>
              <v:stroke on="f"/>
              <v:imagedata o:title=""/>
              <o:lock v:ext="edit" aspectratio="f"/>
              <v:textbox inset="0mm,0mm,0mm,0mm" style="mso-fit-shape-to-text:t;">
                <w:txbxContent>
                  <w:p w14:paraId="7859496B">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68B08D">
    <w:pPr>
      <w:pStyle w:val="21"/>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6A72C">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14:paraId="1946A72C">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A0C5EE">
    <w:pPr>
      <w:pStyle w:val="21"/>
      <w:jc w:val="center"/>
    </w:pPr>
    <w: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7DE090E">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wo0XCAQAAjwMAAA4AAAAAAAAAAQAgAAAAHgEAAGRycy9lMm9Eb2MueG1sUEsF&#10;BgAAAAAGAAYAWQEAAFIFAAAAAA==&#10;">
              <v:fill on="f" focussize="0,0"/>
              <v:stroke on="f"/>
              <v:imagedata o:title=""/>
              <o:lock v:ext="edit" aspectratio="f"/>
              <v:textbox inset="0mm,0mm,0mm,0mm" style="mso-fit-shape-to-text:t;">
                <w:txbxContent>
                  <w:p w14:paraId="27DE090E">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132286">
    <w:pPr>
      <w:pStyle w:val="21"/>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23"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98A6F7">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JUQ0z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6/ejt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JUQ0zAgAAYwQAAA4AAAAAAAAAAQAgAAAAHwEAAGRycy9lMm9Eb2MueG1sUEsF&#10;BgAAAAAGAAYAWQEAAMQFAAAAAA==&#10;">
              <v:fill on="f" focussize="0,0"/>
              <v:stroke on="f" weight="0.5pt"/>
              <v:imagedata o:title=""/>
              <o:lock v:ext="edit" aspectratio="f"/>
              <v:textbox inset="0mm,0mm,0mm,0mm" style="mso-fit-shape-to-text:t;">
                <w:txbxContent>
                  <w:p w14:paraId="6298A6F7">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5B3D6">
    <w:pPr>
      <w:pStyle w:val="21"/>
      <w:jc w:val="center"/>
    </w:pPr>
    <w: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24"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051ED03">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M6pebnPAAAABQEAAA8AAAAAAAAAAQAgAAAAIgAAAGRycy9kb3ducmV2LnhtbFBLAQIU&#10;ABQAAAAIAIdO4kCEUOybwwEAAI8DAAAOAAAAAAAAAAEAIAAAAB4BAABkcnMvZTJvRG9jLnhtbFBL&#10;BQYAAAAABgAGAFkBAABTBQAAAAA=&#10;">
              <v:fill on="f" focussize="0,0"/>
              <v:stroke on="f"/>
              <v:imagedata o:title=""/>
              <o:lock v:ext="edit" aspectratio="f"/>
              <v:textbox inset="0mm,0mm,0mm,0mm" style="mso-fit-shape-to-text:t;">
                <w:txbxContent>
                  <w:p w14:paraId="1051ED03">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C9066F">
    <w:pPr>
      <w:pStyle w:val="21"/>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25" name="文本框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37FD72F">
                          <w:pPr>
                            <w:pStyle w:val="21"/>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xyswE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9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xyswEzAgAAYwQAAA4AAAAAAAAAAQAgAAAAHwEAAGRycy9lMm9Eb2MueG1sUEsF&#10;BgAAAAAGAAYAWQEAAMQFAAAAAA==&#10;">
              <v:fill on="f" focussize="0,0"/>
              <v:stroke on="f" weight="0.5pt"/>
              <v:imagedata o:title=""/>
              <o:lock v:ext="edit" aspectratio="f"/>
              <v:textbox inset="0mm,0mm,0mm,0mm" style="mso-fit-shape-to-text:t;">
                <w:txbxContent>
                  <w:p w14:paraId="437FD72F">
                    <w:pPr>
                      <w:pStyle w:val="21"/>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97C2EE">
    <w:pPr>
      <w:spacing w:line="194" w:lineRule="auto"/>
      <w:ind w:left="4530"/>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A95F043">
                          <w:pPr>
                            <w:pStyle w:val="21"/>
                          </w:pPr>
                          <w:r>
                            <w:fldChar w:fldCharType="begin"/>
                          </w:r>
                          <w:r>
                            <w:instrText xml:space="preserve"> PAGE  \* MERGEFORMAT </w:instrText>
                          </w:r>
                          <w:r>
                            <w:fldChar w:fldCharType="separate"/>
                          </w:r>
                          <w:r>
                            <w:t>84</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8ZWvQtAgAAVwQAAA4AAABkcnMvZTJvRG9jLnhtbK1UzY7TMBC+I/EO&#10;lu80adGuSt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D8ZWvQtAgAAVwQAAA4AAAAAAAAAAQAgAAAAHwEAAGRycy9lMm9Eb2MueG1sUEsFBgAAAAAG&#10;AAYAWQEAAL4FAAAAAA==&#10;">
              <v:fill on="f" focussize="0,0"/>
              <v:stroke on="f" weight="0.5pt"/>
              <v:imagedata o:title=""/>
              <o:lock v:ext="edit" aspectratio="f"/>
              <v:textbox inset="0mm,0mm,0mm,0mm" style="mso-fit-shape-to-text:t;">
                <w:txbxContent>
                  <w:p w14:paraId="3A95F043">
                    <w:pPr>
                      <w:pStyle w:val="21"/>
                    </w:pPr>
                    <w:r>
                      <w:fldChar w:fldCharType="begin"/>
                    </w:r>
                    <w:r>
                      <w:instrText xml:space="preserve"> PAGE  \* MERGEFORMAT </w:instrText>
                    </w:r>
                    <w:r>
                      <w:fldChar w:fldCharType="separate"/>
                    </w:r>
                    <w:r>
                      <w:t>84</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4C980">
    <w:pPr>
      <w:spacing w:line="194" w:lineRule="auto"/>
      <w:ind w:left="4610"/>
      <w:rPr>
        <w:rFonts w:ascii="Times New Roman" w:hAnsi="Times New Roman" w:eastAsia="宋体" w:cs="Times New Roman"/>
        <w:sz w:val="17"/>
        <w:szCs w:val="17"/>
      </w:rPr>
    </w:pPr>
    <w:r>
      <w:rPr>
        <w:sz w:val="17"/>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2" name="文本框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F8F660">
                          <w:pPr>
                            <w:pStyle w:val="21"/>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xmuct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PWxmuctAgAAVwQAAA4AAAAAAAAAAQAgAAAAHwEAAGRycy9lMm9Eb2MueG1sUEsFBgAAAAAG&#10;AAYAWQEAAL4FAAAAAA==&#10;">
              <v:fill on="f" focussize="0,0"/>
              <v:stroke on="f" weight="0.5pt"/>
              <v:imagedata o:title=""/>
              <o:lock v:ext="edit" aspectratio="f"/>
              <v:textbox inset="0mm,0mm,0mm,0mm" style="mso-fit-shape-to-text:t;">
                <w:txbxContent>
                  <w:p w14:paraId="50F8F660">
                    <w:pPr>
                      <w:pStyle w:val="21"/>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D0B648">
    <w:pPr>
      <w:spacing w:line="194" w:lineRule="auto"/>
      <w:ind w:left="4611"/>
      <w:rPr>
        <w:rFonts w:ascii="Times New Roman" w:hAnsi="Times New Roman" w:eastAsia="Times New Roman" w:cs="Times New Roman"/>
        <w:sz w:val="17"/>
        <w:szCs w:val="17"/>
      </w:rPr>
    </w:pPr>
    <w:r>
      <w:rPr>
        <w:sz w:val="17"/>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4" name="文本框 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B2661E">
                          <w:pPr>
                            <w:pStyle w:val="21"/>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QaAL0tAgAAVwQAAA4AAABkcnMvZTJvRG9jLnhtbK1UzY7TMBC+I/EO&#10;lu80aRd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pkQzhYqfvn87&#10;/fh1+vmV4AwCtdbPEPdgERm6t6ZD2wznHoeRd1c5Fb9gROCHvMeLvKILhMdL08l0msPF4Rs2wM8e&#10;r1vnwzthFIlGQR3ql2Rlh40PfegQErNps26kTDWUmrQFvb56k6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EQaAL0tAgAAVwQAAA4AAAAAAAAAAQAgAAAAHwEAAGRycy9lMm9Eb2MueG1sUEsFBgAAAAAG&#10;AAYAWQEAAL4FAAAAAA==&#10;">
              <v:fill on="f" focussize="0,0"/>
              <v:stroke on="f" weight="0.5pt"/>
              <v:imagedata o:title=""/>
              <o:lock v:ext="edit" aspectratio="f"/>
              <v:textbox inset="0mm,0mm,0mm,0mm" style="mso-fit-shape-to-text:t;">
                <w:txbxContent>
                  <w:p w14:paraId="6DB2661E">
                    <w:pPr>
                      <w:pStyle w:val="21"/>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6A3CC">
    <w:pPr>
      <w:pStyle w:val="21"/>
    </w:pPr>
    <w: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5" name="文本框 3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A18EB04">
                          <w:pPr>
                            <w:pStyle w:val="21"/>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OxXU/0tAgAAVwQAAA4AAAAAAAAAAQAgAAAAHwEAAGRycy9lMm9Eb2MueG1sUEsFBgAAAAAG&#10;AAYAWQEAAL4FAAAAAA==&#10;">
              <v:fill on="f" focussize="0,0"/>
              <v:stroke on="f" weight="0.5pt"/>
              <v:imagedata o:title=""/>
              <o:lock v:ext="edit" aspectratio="f"/>
              <v:textbox inset="0mm,0mm,0mm,0mm" style="mso-fit-shape-to-text:t;">
                <w:txbxContent>
                  <w:p w14:paraId="7A18EB04">
                    <w:pPr>
                      <w:pStyle w:val="21"/>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5B054D">
    <w:pPr>
      <w:spacing w:line="181" w:lineRule="auto"/>
      <w:ind w:left="4270"/>
      <w:rPr>
        <w:rFonts w:ascii="Times New Roman" w:hAnsi="Times New Roman" w:eastAsia="Times New Roman"/>
        <w:sz w:val="20"/>
        <w:szCs w:val="20"/>
      </w:rPr>
    </w:pPr>
    <w:r>
      <w:rPr>
        <w:sz w:val="20"/>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A32520">
                          <w:pPr>
                            <w:pStyle w:val="21"/>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07A32520">
                    <w:pPr>
                      <w:pStyle w:val="21"/>
                    </w:pPr>
                    <w:r>
                      <w:fldChar w:fldCharType="begin"/>
                    </w:r>
                    <w:r>
                      <w:instrText xml:space="preserve"> PAGE  \* MERGEFORMAT </w:instrText>
                    </w:r>
                    <w:r>
                      <w:fldChar w:fldCharType="separate"/>
                    </w:r>
                    <w:r>
                      <w:t>26</w:t>
                    </w:r>
                    <w:r>
                      <w:fldChar w:fldCharType="end"/>
                    </w:r>
                  </w:p>
                </w:txbxContent>
              </v:textbox>
            </v:shape>
          </w:pict>
        </mc:Fallback>
      </mc:AlternateContent>
    </w:r>
    <w:r>
      <w:rPr>
        <w:rFonts w:ascii="Times New Roman" w:hAnsi="Times New Roman" w:eastAsia="Times New Roman"/>
        <w:spacing w:val="-2"/>
        <w:sz w:val="20"/>
        <w:szCs w:val="20"/>
      </w:rPr>
      <w:t>57</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11EBBC">
    <w:pPr>
      <w:pStyle w:val="21"/>
    </w:pPr>
    <w: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6" name="文本框 3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B241F0F">
                          <w:pPr>
                            <w:pStyle w:val="21"/>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SBpj0tAgAAVwQAAA4AAABkcnMvZTJvRG9jLnhtbK1UzY7TMBC+I/EO&#10;lu80aVdU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m/epu2FqwfgUiNHJNE9Nlqh2Tc9s73J&#10;zyDmTNcb3vJNheRb5sMDc2gGPBjjEu6xFNIgiektSkrjvv7rPMajRvBSUqO5MqoxS5TIDxq1A2AY&#10;DDcY+8HQR3Vn0K1jjKHlrYkLLsjBLJxRXzBDq5gDLqY5MmU0DOZd6BocM8jFatUGodssC1u9szxC&#10;R/G8XR0DBGx1jaJ0SvRaod/ayvSzERv6z30b9fQ/WD4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BSBpj0tAgAAVwQAAA4AAAAAAAAAAQAgAAAAHwEAAGRycy9lMm9Eb2MueG1sUEsFBgAAAAAG&#10;AAYAWQEAAL4FAAAAAA==&#10;">
              <v:fill on="f" focussize="0,0"/>
              <v:stroke on="f" weight="0.5pt"/>
              <v:imagedata o:title=""/>
              <o:lock v:ext="edit" aspectratio="f"/>
              <v:textbox inset="0mm,0mm,0mm,0mm" style="mso-fit-shape-to-text:t;">
                <w:txbxContent>
                  <w:p w14:paraId="0B241F0F">
                    <w:pPr>
                      <w:pStyle w:val="21"/>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DFE316">
    <w:pPr>
      <w:spacing w:line="174" w:lineRule="auto"/>
      <w:ind w:left="4903"/>
      <w:rPr>
        <w:rFonts w:ascii="Calibri" w:hAnsi="Calibri" w:eastAsia="Calibri" w:cs="Calibri"/>
        <w:sz w:val="17"/>
        <w:szCs w:val="17"/>
      </w:rPr>
    </w:pPr>
    <w:r>
      <w:rPr>
        <w:sz w:val="17"/>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14:paraId="0935B25C">
                          <w:pPr>
                            <w:pStyle w:val="21"/>
                          </w:pPr>
                          <w:r>
                            <w:fldChar w:fldCharType="begin"/>
                          </w:r>
                          <w:r>
                            <w:instrText xml:space="preserve"> PAGE  \* MERGEFORMAT </w:instrText>
                          </w:r>
                          <w:r>
                            <w:fldChar w:fldCharType="separate"/>
                          </w:r>
                          <w:r>
                            <w:t>26</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oaYJL0wAAAAUBAAAPAAAAAAAAAAEAIAAAACIAAABk&#10;cnMvZG93bnJldi54bWxQSwECFAAUAAAACACHTuJA97vqatIBAACjAwAADgAAAAAAAAABACAAAAAi&#10;AQAAZHJzL2Uyb0RvYy54bWxQSwUGAAAAAAYABgBZAQAAZgUAAAAA&#10;">
              <v:fill on="f" focussize="0,0"/>
              <v:stroke on="f" weight="1.25pt"/>
              <v:imagedata o:title=""/>
              <o:lock v:ext="edit" aspectratio="f"/>
              <v:textbox inset="0mm,0mm,0mm,0mm" style="mso-fit-shape-to-text:t;">
                <w:txbxContent>
                  <w:p w14:paraId="0935B25C">
                    <w:pPr>
                      <w:pStyle w:val="21"/>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680B13">
    <w:pPr>
      <w:pStyle w:val="21"/>
      <w:jc w:val="center"/>
    </w:pPr>
    <w: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69A5E5">
                          <w:pPr>
                            <w:pStyle w:val="21"/>
                            <w:jc w:val="center"/>
                          </w:pPr>
                          <w:r>
                            <w:fldChar w:fldCharType="begin"/>
                          </w:r>
                          <w:r>
                            <w:rPr>
                              <w:rStyle w:val="30"/>
                            </w:rPr>
                            <w:instrText xml:space="preserve"> PAGE </w:instrText>
                          </w:r>
                          <w:r>
                            <w:fldChar w:fldCharType="separate"/>
                          </w:r>
                          <w:r>
                            <w:rPr>
                              <w:rStyle w:val="30"/>
                            </w:rPr>
                            <w:t>91</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Bl39IPCAQAAjQMAAA4AAAAAAAAAAQAgAAAAHgEAAGRycy9lMm9Eb2MueG1sUEsF&#10;BgAAAAAGAAYAWQEAAFIFAAAAAA==&#10;">
              <v:fill on="f" focussize="0,0"/>
              <v:stroke on="f"/>
              <v:imagedata o:title=""/>
              <o:lock v:ext="edit" aspectratio="f"/>
              <v:textbox inset="0mm,0mm,0mm,0mm" style="mso-fit-shape-to-text:t;">
                <w:txbxContent>
                  <w:p w14:paraId="2D69A5E5">
                    <w:pPr>
                      <w:pStyle w:val="21"/>
                      <w:jc w:val="center"/>
                    </w:pPr>
                    <w:r>
                      <w:fldChar w:fldCharType="begin"/>
                    </w:r>
                    <w:r>
                      <w:rPr>
                        <w:rStyle w:val="30"/>
                      </w:rPr>
                      <w:instrText xml:space="preserve"> PAGE </w:instrText>
                    </w:r>
                    <w:r>
                      <w:fldChar w:fldCharType="separate"/>
                    </w:r>
                    <w:r>
                      <w:rPr>
                        <w:rStyle w:val="30"/>
                      </w:rPr>
                      <w:t>91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AFCC56">
    <w:pPr>
      <w:spacing w:line="14" w:lineRule="exact"/>
      <w:rPr>
        <w:sz w:val="2"/>
      </w:rPr>
    </w:pPr>
    <w:r>
      <mc:AlternateContent>
        <mc:Choice Requires="wps">
          <w:drawing>
            <wp:anchor distT="0" distB="0" distL="114300" distR="114300" simplePos="0" relativeHeight="251659264" behindDoc="0" locked="0" layoutInCell="0" allowOverlap="1">
              <wp:simplePos x="0" y="0"/>
              <wp:positionH relativeFrom="page">
                <wp:posOffset>825500</wp:posOffset>
              </wp:positionH>
              <wp:positionV relativeFrom="page">
                <wp:posOffset>683895</wp:posOffset>
              </wp:positionV>
              <wp:extent cx="5906135" cy="9525"/>
              <wp:effectExtent l="0" t="0" r="2540" b="1905"/>
              <wp:wrapNone/>
              <wp:docPr id="75192872" name="Rectangle 1"/>
              <wp:cNvGraphicFramePr/>
              <a:graphic xmlns:a="http://schemas.openxmlformats.org/drawingml/2006/main">
                <a:graphicData uri="http://schemas.microsoft.com/office/word/2010/wordprocessingShape">
                  <wps:wsp>
                    <wps:cNvSpPr>
                      <a:spLocks noChangeArrowheads="1"/>
                    </wps:cNvSpPr>
                    <wps:spPr bwMode="auto">
                      <a:xfrm>
                        <a:off x="0" y="0"/>
                        <a:ext cx="590613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 o:spid="_x0000_s1026" o:spt="1" style="position:absolute;left:0pt;margin-left:65pt;margin-top:53.85pt;height:0.75pt;width:465.05pt;mso-position-horizontal-relative:page;mso-position-vertical-relative:page;z-index:251659264;mso-width-relative:page;mso-height-relative:page;" fillcolor="#000000" filled="t" stroked="f" coordsize="21600,21600" o:allowincell="f" o:gfxdata="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PbJtr7ZAAAADAEAAA8AAAAA&#10;AAAAAQAgAAAAIgAAAGRycy9kb3ducmV2LnhtbFBLAQIUABQAAAAIAIdO4kAqArLvEwIAAC4EAAAO&#10;AAAAAAAAAAEAIAAAACgBAABkcnMvZTJvRG9jLnhtbFBLBQYAAAAABgAGAFkBAACtBQAAAAA=&#10;">
              <v:fill on="t" focussize="0,0"/>
              <v:stroke on="f"/>
              <v:imagedata o:title=""/>
              <o:lock v:ext="edit" aspectratio="f"/>
            </v:rec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8E26BB">
    <w:pPr>
      <w:spacing w:line="14" w:lineRule="exact"/>
      <w:rPr>
        <w:sz w:val="2"/>
      </w:rPr>
    </w:pPr>
    <w:r>
      <mc:AlternateContent>
        <mc:Choice Requires="wps">
          <w:drawing>
            <wp:anchor distT="0" distB="0" distL="114300" distR="114300" simplePos="0" relativeHeight="251661312" behindDoc="0" locked="0" layoutInCell="0" allowOverlap="1">
              <wp:simplePos x="0" y="0"/>
              <wp:positionH relativeFrom="page">
                <wp:posOffset>825500</wp:posOffset>
              </wp:positionH>
              <wp:positionV relativeFrom="page">
                <wp:posOffset>683895</wp:posOffset>
              </wp:positionV>
              <wp:extent cx="5906135" cy="9525"/>
              <wp:effectExtent l="0" t="0" r="2540" b="1905"/>
              <wp:wrapNone/>
              <wp:docPr id="950701716" name="Rectangle 3"/>
              <wp:cNvGraphicFramePr/>
              <a:graphic xmlns:a="http://schemas.openxmlformats.org/drawingml/2006/main">
                <a:graphicData uri="http://schemas.microsoft.com/office/word/2010/wordprocessingShape">
                  <wps:wsp>
                    <wps:cNvSpPr>
                      <a:spLocks noChangeArrowheads="1"/>
                    </wps:cNvSpPr>
                    <wps:spPr bwMode="auto">
                      <a:xfrm>
                        <a:off x="0" y="0"/>
                        <a:ext cx="590613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65pt;margin-top:53.85pt;height:0.75pt;width:465.05pt;mso-position-horizontal-relative:page;mso-position-vertical-relative:page;z-index:251661312;mso-width-relative:page;mso-height-relative:page;" fillcolor="#000000" filled="t" stroked="f" coordsize="21600,21600" o:allowincell="f" o:gfxdata="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bJtr7ZAAAADAEAAA8A&#10;AAAAAAAAAQAgAAAAIgAAAGRycy9kb3ducmV2LnhtbFBLAQIUABQAAAAIAIdO4kChQGPEFgIAAC8E&#10;AAAOAAAAAAAAAAEAIAAAACgBAABkcnMvZTJvRG9jLnhtbFBLBQYAAAAABgAGAFkBAACwBQAAAAA=&#10;">
              <v:fill on="t" focussize="0,0"/>
              <v:stroke on="f"/>
              <v:imagedata o:title=""/>
              <o:lock v:ext="edit" aspectratio="f"/>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07E80">
    <w:pPr>
      <w:spacing w:line="14" w:lineRule="exact"/>
      <w:rPr>
        <w:sz w:val="2"/>
      </w:rPr>
    </w:pPr>
    <w:r>
      <mc:AlternateContent>
        <mc:Choice Requires="wps">
          <w:drawing>
            <wp:anchor distT="0" distB="0" distL="114300" distR="114300" simplePos="0" relativeHeight="251660288" behindDoc="0" locked="0" layoutInCell="0" allowOverlap="1">
              <wp:simplePos x="0" y="0"/>
              <wp:positionH relativeFrom="page">
                <wp:posOffset>825500</wp:posOffset>
              </wp:positionH>
              <wp:positionV relativeFrom="page">
                <wp:posOffset>683895</wp:posOffset>
              </wp:positionV>
              <wp:extent cx="5906135" cy="9525"/>
              <wp:effectExtent l="0" t="0" r="2540" b="1905"/>
              <wp:wrapNone/>
              <wp:docPr id="1185520708" name="Rectangle 4"/>
              <wp:cNvGraphicFramePr/>
              <a:graphic xmlns:a="http://schemas.openxmlformats.org/drawingml/2006/main">
                <a:graphicData uri="http://schemas.microsoft.com/office/word/2010/wordprocessingShape">
                  <wps:wsp>
                    <wps:cNvSpPr>
                      <a:spLocks noChangeArrowheads="1"/>
                    </wps:cNvSpPr>
                    <wps:spPr bwMode="auto">
                      <a:xfrm>
                        <a:off x="0" y="0"/>
                        <a:ext cx="590613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65pt;margin-top:53.85pt;height:0.75pt;width:465.05pt;mso-position-horizontal-relative:page;mso-position-vertical-relative:page;z-index:251660288;mso-width-relative:page;mso-height-relative:page;" fillcolor="#000000" filled="t" stroked="f" coordsize="21600,21600" o:allowincell="f" o:gfxdata="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PbJtr7ZAAAADAEAAA8A&#10;AAAAAAAAAQAgAAAAIgAAAGRycy9kb3ducmV2LnhtbFBLAQIUABQAAAAIAIdO4kBeag3iFgIAADAE&#10;AAAOAAAAAAAAAAEAIAAAACgBAABkcnMvZTJvRG9jLnhtbFBLBQYAAAAABgAGAFkBAACwBQAAAAA=&#10;">
              <v:fill on="t" focussize="0,0"/>
              <v:stroke on="f"/>
              <v:imagedata o:title=""/>
              <o:lock v:ext="edit" aspectratio="f"/>
            </v:rect>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7C90E">
    <w:pPr>
      <w:spacing w:line="14" w:lineRule="auto"/>
      <w:rPr>
        <w:sz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239159">
    <w:pPr>
      <w:spacing w:line="14" w:lineRule="exact"/>
      <w:rPr>
        <w:sz w:val="2"/>
      </w:rPr>
    </w:pPr>
    <w:r>
      <mc:AlternateContent>
        <mc:Choice Requires="wps">
          <w:drawing>
            <wp:anchor distT="0" distB="0" distL="114300" distR="114300" simplePos="0" relativeHeight="251662336" behindDoc="0" locked="0" layoutInCell="0" allowOverlap="1">
              <wp:simplePos x="0" y="0"/>
              <wp:positionH relativeFrom="page">
                <wp:posOffset>1139825</wp:posOffset>
              </wp:positionH>
              <wp:positionV relativeFrom="page">
                <wp:posOffset>683895</wp:posOffset>
              </wp:positionV>
              <wp:extent cx="5593715" cy="9525"/>
              <wp:effectExtent l="0" t="0" r="635" b="1905"/>
              <wp:wrapNone/>
              <wp:docPr id="1423497387" name="Rectangle 15"/>
              <wp:cNvGraphicFramePr/>
              <a:graphic xmlns:a="http://schemas.openxmlformats.org/drawingml/2006/main">
                <a:graphicData uri="http://schemas.microsoft.com/office/word/2010/wordprocessingShape">
                  <wps:wsp>
                    <wps:cNvSpPr>
                      <a:spLocks noChangeArrowheads="1"/>
                    </wps:cNvSpPr>
                    <wps:spPr bwMode="auto">
                      <a:xfrm>
                        <a:off x="0" y="0"/>
                        <a:ext cx="5593715" cy="9525"/>
                      </a:xfrm>
                      <a:prstGeom prst="rect">
                        <a:avLst/>
                      </a:prstGeom>
                      <a:solidFill>
                        <a:srgbClr val="000000"/>
                      </a:solidFill>
                      <a:ln>
                        <a:noFill/>
                      </a:ln>
                    </wps:spPr>
                    <wps:bodyPr rot="0" vert="horz" wrap="square" lIns="91440" tIns="45720" rIns="91440" bIns="45720" anchor="t" anchorCtr="0" upright="1">
                      <a:noAutofit/>
                    </wps:bodyPr>
                  </wps:wsp>
                </a:graphicData>
              </a:graphic>
            </wp:anchor>
          </w:drawing>
        </mc:Choice>
        <mc:Fallback>
          <w:pict>
            <v:rect id="Rectangle 15" o:spid="_x0000_s1026" o:spt="1" style="position:absolute;left:0pt;margin-left:89.75pt;margin-top:53.85pt;height:0.75pt;width:440.45pt;mso-position-horizontal-relative:page;mso-position-vertical-relative:page;z-index:251662336;mso-width-relative:page;mso-height-relative:page;" fillcolor="#000000" filled="t" stroked="f" coordsize="21600,21600" o:allowincell="f" o:gfxdata="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3dqE9dkAAAAMAQAA&#10;DwAAAAAAAAABACAAAAAiAAAAZHJzL2Rvd25yZXYueG1sUEsBAhQAFAAAAAgAh07iQA5mB88YAgAA&#10;MQQAAA4AAAAAAAAAAQAgAAAAKAEAAGRycy9lMm9Eb2MueG1sUEsFBgAAAAAGAAYAWQEAALIFAAAA&#10;AA==&#10;">
              <v:fill on="t" focussize="0,0"/>
              <v:stroke on="f"/>
              <v:imagedata o:title=""/>
              <o:lock v:ext="edit" aspectratio="f"/>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E917D">
    <w:pPr>
      <w:pStyle w:val="22"/>
      <w:pBdr>
        <w:bottom w:val="single" w:color="auto" w:sz="6" w:space="4"/>
      </w:pBdr>
      <w:jc w:val="right"/>
      <w:rPr>
        <w:color w:val="0000FF"/>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84C2B1">
    <w:pPr>
      <w:spacing w:line="14" w:lineRule="auto"/>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02BA8F9"/>
    <w:multiLevelType w:val="multilevel"/>
    <w:tmpl w:val="802BA8F9"/>
    <w:lvl w:ilvl="0" w:tentative="0">
      <w:start w:val="1"/>
      <w:numFmt w:val="chineseCounting"/>
      <w:suff w:val="nothing"/>
      <w:lvlText w:val="%1、"/>
      <w:lvlJc w:val="left"/>
      <w:pPr>
        <w:tabs>
          <w:tab w:val="left" w:pos="420"/>
        </w:tabs>
        <w:ind w:left="57" w:hanging="57"/>
      </w:pPr>
      <w:rPr>
        <w:rFonts w:hint="eastAsia" w:ascii="宋体" w:hAnsi="宋体" w:eastAsia="宋体" w:cs="宋体"/>
        <w:sz w:val="28"/>
      </w:rPr>
    </w:lvl>
    <w:lvl w:ilvl="1" w:tentative="0">
      <w:start w:val="1"/>
      <w:numFmt w:val="decimal"/>
      <w:isLgl/>
      <w:suff w:val="space"/>
      <w:lvlText w:val="%1.%2"/>
      <w:lvlJc w:val="left"/>
      <w:pPr>
        <w:tabs>
          <w:tab w:val="left" w:pos="420"/>
        </w:tabs>
        <w:ind w:left="850" w:hanging="850"/>
      </w:pPr>
      <w:rPr>
        <w:rFonts w:hint="eastAsia" w:ascii="宋体" w:hAnsi="宋体" w:eastAsia="宋体" w:cs="宋体"/>
        <w:sz w:val="28"/>
      </w:rPr>
    </w:lvl>
    <w:lvl w:ilvl="2" w:tentative="0">
      <w:start w:val="1"/>
      <w:numFmt w:val="decimal"/>
      <w:isLgl/>
      <w:suff w:val="space"/>
      <w:lvlText w:val="%1.%2.%3"/>
      <w:lvlJc w:val="left"/>
      <w:pPr>
        <w:tabs>
          <w:tab w:val="left" w:pos="0"/>
        </w:tabs>
        <w:ind w:left="0" w:firstLine="0"/>
      </w:pPr>
      <w:rPr>
        <w:rFonts w:hint="eastAsia" w:ascii="宋体" w:hAnsi="宋体" w:eastAsia="宋体" w:cs="宋体"/>
        <w:sz w:val="24"/>
      </w:rPr>
    </w:lvl>
    <w:lvl w:ilvl="3" w:tentative="0">
      <w:start w:val="1"/>
      <w:numFmt w:val="decimal"/>
      <w:isLgl/>
      <w:suff w:val="space"/>
      <w:lvlText w:val="%1.%2.%3.%4"/>
      <w:lvlJc w:val="left"/>
      <w:pPr>
        <w:tabs>
          <w:tab w:val="left" w:pos="420"/>
        </w:tabs>
        <w:ind w:left="510" w:hanging="510"/>
      </w:pPr>
      <w:rPr>
        <w:rFonts w:hint="eastAsia" w:ascii="宋体" w:hAnsi="宋体" w:eastAsia="宋体" w:cs="宋体"/>
      </w:rPr>
    </w:lvl>
    <w:lvl w:ilvl="4" w:tentative="0">
      <w:start w:val="1"/>
      <w:numFmt w:val="decimal"/>
      <w:pStyle w:val="6"/>
      <w:isLgl/>
      <w:suff w:val="space"/>
      <w:lvlText w:val="%1.%2.%3.%4.%5"/>
      <w:lvlJc w:val="left"/>
      <w:pPr>
        <w:tabs>
          <w:tab w:val="left" w:pos="420"/>
        </w:tabs>
        <w:ind w:left="737" w:hanging="737"/>
      </w:pPr>
      <w:rPr>
        <w:rFonts w:hint="eastAsia" w:ascii="宋体" w:hAnsi="宋体" w:eastAsia="宋体" w:cs="宋体"/>
      </w:rPr>
    </w:lvl>
    <w:lvl w:ilvl="5" w:tentative="0">
      <w:start w:val="1"/>
      <w:numFmt w:val="none"/>
      <w:isLgl/>
      <w:lvlText w:val="%1.%2.%3.%4.%5.%6"/>
      <w:lvlJc w:val="left"/>
      <w:pPr>
        <w:tabs>
          <w:tab w:val="left" w:pos="420"/>
        </w:tabs>
        <w:ind w:left="1020" w:hanging="1020"/>
      </w:pPr>
      <w:rPr>
        <w:rFonts w:hint="eastAsia" w:ascii="宋体" w:hAnsi="宋体" w:eastAsia="宋体" w:cs="宋体"/>
      </w:rPr>
    </w:lvl>
    <w:lvl w:ilvl="6" w:tentative="0">
      <w:start w:val="1"/>
      <w:numFmt w:val="decimal"/>
      <w:isLgl/>
      <w:suff w:val="space"/>
      <w:lvlText w:val="%1.%2.%3.%4.%5.%6.%7"/>
      <w:lvlJc w:val="left"/>
      <w:pPr>
        <w:tabs>
          <w:tab w:val="left" w:pos="420"/>
        </w:tabs>
        <w:ind w:left="1219" w:hanging="1219"/>
      </w:pPr>
      <w:rPr>
        <w:rFonts w:hint="eastAsia" w:ascii="宋体" w:hAnsi="宋体" w:eastAsia="宋体" w:cs="宋体"/>
      </w:rPr>
    </w:lvl>
    <w:lvl w:ilvl="7" w:tentative="0">
      <w:start w:val="1"/>
      <w:numFmt w:val="decimal"/>
      <w:lvlText w:val="%1.%2.%3.%4.%5.%6.%7.%8."/>
      <w:lvlJc w:val="left"/>
      <w:pPr>
        <w:ind w:left="1440" w:hanging="1440"/>
      </w:pPr>
      <w:rPr>
        <w:rFonts w:hint="eastAsia" w:ascii="宋体" w:hAnsi="宋体" w:eastAsia="宋体" w:cs="宋体"/>
      </w:rPr>
    </w:lvl>
    <w:lvl w:ilvl="8" w:tentative="0">
      <w:start w:val="1"/>
      <w:numFmt w:val="decimal"/>
      <w:lvlText w:val="%1.%2.%3.%4.%5.%6.%7.%8.%9."/>
      <w:lvlJc w:val="left"/>
      <w:pPr>
        <w:ind w:left="1583" w:hanging="1583"/>
      </w:pPr>
      <w:rPr>
        <w:rFonts w:hint="eastAsia" w:ascii="宋体" w:hAnsi="宋体" w:eastAsia="宋体" w:cs="宋体"/>
      </w:rPr>
    </w:lvl>
  </w:abstractNum>
  <w:abstractNum w:abstractNumId="1">
    <w:nsid w:val="906E10C2"/>
    <w:multiLevelType w:val="singleLevel"/>
    <w:tmpl w:val="906E10C2"/>
    <w:lvl w:ilvl="0" w:tentative="0">
      <w:start w:val="1"/>
      <w:numFmt w:val="decimal"/>
      <w:lvlText w:val="%1."/>
      <w:lvlJc w:val="left"/>
      <w:pPr>
        <w:tabs>
          <w:tab w:val="left" w:pos="312"/>
        </w:tabs>
        <w:ind w:left="188"/>
      </w:pPr>
    </w:lvl>
  </w:abstractNum>
  <w:abstractNum w:abstractNumId="2">
    <w:nsid w:val="960EDC08"/>
    <w:multiLevelType w:val="singleLevel"/>
    <w:tmpl w:val="960EDC08"/>
    <w:lvl w:ilvl="0" w:tentative="0">
      <w:start w:val="1"/>
      <w:numFmt w:val="decimal"/>
      <w:suff w:val="nothing"/>
      <w:lvlText w:val="%1、"/>
      <w:lvlJc w:val="left"/>
    </w:lvl>
  </w:abstractNum>
  <w:abstractNum w:abstractNumId="3">
    <w:nsid w:val="A09D382C"/>
    <w:multiLevelType w:val="multilevel"/>
    <w:tmpl w:val="A09D382C"/>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4">
    <w:nsid w:val="ACE54B6F"/>
    <w:multiLevelType w:val="singleLevel"/>
    <w:tmpl w:val="ACE54B6F"/>
    <w:lvl w:ilvl="0" w:tentative="0">
      <w:start w:val="1"/>
      <w:numFmt w:val="decimal"/>
      <w:lvlText w:val="(%1)"/>
      <w:lvlJc w:val="left"/>
      <w:pPr>
        <w:ind w:left="425" w:hanging="425"/>
      </w:pPr>
      <w:rPr>
        <w:rFonts w:hint="default"/>
      </w:rPr>
    </w:lvl>
  </w:abstractNum>
  <w:abstractNum w:abstractNumId="5">
    <w:nsid w:val="C1A693D6"/>
    <w:multiLevelType w:val="singleLevel"/>
    <w:tmpl w:val="C1A693D6"/>
    <w:lvl w:ilvl="0" w:tentative="0">
      <w:start w:val="1"/>
      <w:numFmt w:val="chineseCounting"/>
      <w:suff w:val="nothing"/>
      <w:lvlText w:val="%1、"/>
      <w:lvlJc w:val="left"/>
      <w:pPr>
        <w:ind w:left="0" w:firstLine="420"/>
      </w:pPr>
      <w:rPr>
        <w:rFonts w:hint="eastAsia"/>
      </w:rPr>
    </w:lvl>
  </w:abstractNum>
  <w:abstractNum w:abstractNumId="6">
    <w:nsid w:val="C4BDA9A2"/>
    <w:multiLevelType w:val="singleLevel"/>
    <w:tmpl w:val="C4BDA9A2"/>
    <w:lvl w:ilvl="0" w:tentative="0">
      <w:start w:val="1"/>
      <w:numFmt w:val="decimal"/>
      <w:lvlText w:val="%1."/>
      <w:lvlJc w:val="left"/>
      <w:pPr>
        <w:ind w:left="425" w:hanging="425"/>
      </w:pPr>
      <w:rPr>
        <w:rFonts w:hint="default"/>
      </w:rPr>
    </w:lvl>
  </w:abstractNum>
  <w:abstractNum w:abstractNumId="7">
    <w:nsid w:val="C58B29F8"/>
    <w:multiLevelType w:val="singleLevel"/>
    <w:tmpl w:val="C58B29F8"/>
    <w:lvl w:ilvl="0" w:tentative="0">
      <w:start w:val="1"/>
      <w:numFmt w:val="decimal"/>
      <w:lvlText w:val="(%1)"/>
      <w:lvlJc w:val="left"/>
      <w:pPr>
        <w:tabs>
          <w:tab w:val="left" w:pos="312"/>
        </w:tabs>
      </w:pPr>
    </w:lvl>
  </w:abstractNum>
  <w:abstractNum w:abstractNumId="8">
    <w:nsid w:val="D1C1F751"/>
    <w:multiLevelType w:val="singleLevel"/>
    <w:tmpl w:val="D1C1F751"/>
    <w:lvl w:ilvl="0" w:tentative="0">
      <w:start w:val="1"/>
      <w:numFmt w:val="decimal"/>
      <w:lvlText w:val="(%1)"/>
      <w:lvlJc w:val="left"/>
      <w:pPr>
        <w:ind w:left="425" w:hanging="425"/>
      </w:pPr>
      <w:rPr>
        <w:rFonts w:hint="default"/>
      </w:rPr>
    </w:lvl>
  </w:abstractNum>
  <w:abstractNum w:abstractNumId="9">
    <w:nsid w:val="D824CE35"/>
    <w:multiLevelType w:val="singleLevel"/>
    <w:tmpl w:val="D824CE35"/>
    <w:lvl w:ilvl="0" w:tentative="0">
      <w:start w:val="1"/>
      <w:numFmt w:val="decimal"/>
      <w:lvlText w:val="(%1)"/>
      <w:lvlJc w:val="left"/>
      <w:pPr>
        <w:ind w:left="425" w:hanging="425"/>
      </w:pPr>
      <w:rPr>
        <w:rFonts w:hint="default"/>
      </w:rPr>
    </w:lvl>
  </w:abstractNum>
  <w:abstractNum w:abstractNumId="10">
    <w:nsid w:val="FD8BCF51"/>
    <w:multiLevelType w:val="singleLevel"/>
    <w:tmpl w:val="FD8BCF51"/>
    <w:lvl w:ilvl="0" w:tentative="0">
      <w:start w:val="1"/>
      <w:numFmt w:val="chineseCounting"/>
      <w:suff w:val="nothing"/>
      <w:lvlText w:val="%1、"/>
      <w:lvlJc w:val="left"/>
      <w:pPr>
        <w:ind w:left="0" w:firstLine="420"/>
      </w:pPr>
      <w:rPr>
        <w:rFonts w:hint="eastAsia"/>
      </w:rPr>
    </w:lvl>
  </w:abstractNum>
  <w:abstractNum w:abstractNumId="11">
    <w:nsid w:val="00000005"/>
    <w:multiLevelType w:val="singleLevel"/>
    <w:tmpl w:val="00000005"/>
    <w:lvl w:ilvl="0" w:tentative="0">
      <w:start w:val="1"/>
      <w:numFmt w:val="decimal"/>
      <w:lvlText w:val="%1)"/>
      <w:lvlJc w:val="left"/>
      <w:pPr>
        <w:ind w:left="425" w:hanging="425"/>
      </w:pPr>
      <w:rPr>
        <w:rFonts w:hint="default"/>
      </w:rPr>
    </w:lvl>
  </w:abstractNum>
  <w:abstractNum w:abstractNumId="12">
    <w:nsid w:val="00000007"/>
    <w:multiLevelType w:val="singleLevel"/>
    <w:tmpl w:val="00000007"/>
    <w:lvl w:ilvl="0" w:tentative="0">
      <w:start w:val="1"/>
      <w:numFmt w:val="decimal"/>
      <w:lvlText w:val="%1."/>
      <w:lvlJc w:val="left"/>
      <w:pPr>
        <w:ind w:left="425" w:hanging="425"/>
      </w:pPr>
      <w:rPr>
        <w:rFonts w:hint="default"/>
      </w:rPr>
    </w:lvl>
  </w:abstractNum>
  <w:abstractNum w:abstractNumId="13">
    <w:nsid w:val="00000008"/>
    <w:multiLevelType w:val="singleLevel"/>
    <w:tmpl w:val="00000008"/>
    <w:lvl w:ilvl="0" w:tentative="0">
      <w:start w:val="1"/>
      <w:numFmt w:val="decimal"/>
      <w:lvlText w:val="%1."/>
      <w:lvlJc w:val="left"/>
      <w:pPr>
        <w:ind w:left="425" w:hanging="425"/>
      </w:pPr>
      <w:rPr>
        <w:rFonts w:hint="default"/>
      </w:rPr>
    </w:lvl>
  </w:abstractNum>
  <w:abstractNum w:abstractNumId="14">
    <w:nsid w:val="00000009"/>
    <w:multiLevelType w:val="singleLevel"/>
    <w:tmpl w:val="00000009"/>
    <w:lvl w:ilvl="0" w:tentative="0">
      <w:start w:val="1"/>
      <w:numFmt w:val="decimal"/>
      <w:suff w:val="nothing"/>
      <w:lvlText w:val="（%1）"/>
      <w:lvlJc w:val="left"/>
    </w:lvl>
  </w:abstractNum>
  <w:abstractNum w:abstractNumId="15">
    <w:nsid w:val="0000000A"/>
    <w:multiLevelType w:val="singleLevel"/>
    <w:tmpl w:val="0000000A"/>
    <w:lvl w:ilvl="0" w:tentative="0">
      <w:start w:val="1"/>
      <w:numFmt w:val="decimalEnclosedCircleChinese"/>
      <w:suff w:val="nothing"/>
      <w:lvlText w:val="%1　"/>
      <w:lvlJc w:val="left"/>
      <w:pPr>
        <w:ind w:left="0" w:firstLine="400"/>
      </w:pPr>
      <w:rPr>
        <w:rFonts w:hint="eastAsia"/>
      </w:rPr>
    </w:lvl>
  </w:abstractNum>
  <w:abstractNum w:abstractNumId="16">
    <w:nsid w:val="0000000B"/>
    <w:multiLevelType w:val="singleLevel"/>
    <w:tmpl w:val="0000000B"/>
    <w:lvl w:ilvl="0" w:tentative="0">
      <w:start w:val="1"/>
      <w:numFmt w:val="decimalEnclosedCircleChinese"/>
      <w:suff w:val="nothing"/>
      <w:lvlText w:val="%1　"/>
      <w:lvlJc w:val="left"/>
      <w:pPr>
        <w:ind w:left="0" w:firstLine="400"/>
      </w:pPr>
      <w:rPr>
        <w:rFonts w:hint="eastAsia"/>
      </w:rPr>
    </w:lvl>
  </w:abstractNum>
  <w:abstractNum w:abstractNumId="17">
    <w:nsid w:val="00000014"/>
    <w:multiLevelType w:val="singleLevel"/>
    <w:tmpl w:val="00000014"/>
    <w:lvl w:ilvl="0" w:tentative="0">
      <w:start w:val="1"/>
      <w:numFmt w:val="decimal"/>
      <w:lvlText w:val="(%1)"/>
      <w:lvlJc w:val="left"/>
      <w:pPr>
        <w:ind w:left="425" w:hanging="425"/>
      </w:pPr>
      <w:rPr>
        <w:rFonts w:hint="default"/>
      </w:rPr>
    </w:lvl>
  </w:abstractNum>
  <w:abstractNum w:abstractNumId="18">
    <w:nsid w:val="00000017"/>
    <w:multiLevelType w:val="singleLevel"/>
    <w:tmpl w:val="00000017"/>
    <w:lvl w:ilvl="0" w:tentative="0">
      <w:start w:val="1"/>
      <w:numFmt w:val="decimal"/>
      <w:lvlText w:val="(%1)"/>
      <w:lvlJc w:val="left"/>
      <w:pPr>
        <w:ind w:left="425" w:hanging="425"/>
      </w:pPr>
      <w:rPr>
        <w:rFonts w:hint="default"/>
      </w:rPr>
    </w:lvl>
  </w:abstractNum>
  <w:abstractNum w:abstractNumId="19">
    <w:nsid w:val="00000024"/>
    <w:multiLevelType w:val="singleLevel"/>
    <w:tmpl w:val="00000024"/>
    <w:lvl w:ilvl="0" w:tentative="0">
      <w:start w:val="1"/>
      <w:numFmt w:val="decimalEnclosedCircleChinese"/>
      <w:suff w:val="nothing"/>
      <w:lvlText w:val="%1　"/>
      <w:lvlJc w:val="left"/>
      <w:pPr>
        <w:ind w:left="0" w:firstLine="400"/>
      </w:pPr>
      <w:rPr>
        <w:rFonts w:hint="eastAsia"/>
      </w:rPr>
    </w:lvl>
  </w:abstractNum>
  <w:abstractNum w:abstractNumId="20">
    <w:nsid w:val="00000025"/>
    <w:multiLevelType w:val="singleLevel"/>
    <w:tmpl w:val="00000025"/>
    <w:lvl w:ilvl="0" w:tentative="0">
      <w:start w:val="1"/>
      <w:numFmt w:val="decimal"/>
      <w:suff w:val="nothing"/>
      <w:lvlText w:val="%1．"/>
      <w:lvlJc w:val="left"/>
      <w:pPr>
        <w:ind w:left="0" w:firstLine="400"/>
      </w:pPr>
      <w:rPr>
        <w:rFonts w:hint="default"/>
      </w:rPr>
    </w:lvl>
  </w:abstractNum>
  <w:abstractNum w:abstractNumId="21">
    <w:nsid w:val="00000028"/>
    <w:multiLevelType w:val="singleLevel"/>
    <w:tmpl w:val="00000028"/>
    <w:lvl w:ilvl="0" w:tentative="0">
      <w:start w:val="1"/>
      <w:numFmt w:val="decimalEnclosedCircleChinese"/>
      <w:suff w:val="nothing"/>
      <w:lvlText w:val="%1　"/>
      <w:lvlJc w:val="left"/>
      <w:pPr>
        <w:ind w:left="0" w:firstLine="400"/>
      </w:pPr>
      <w:rPr>
        <w:rFonts w:hint="eastAsia"/>
      </w:rPr>
    </w:lvl>
  </w:abstractNum>
  <w:abstractNum w:abstractNumId="22">
    <w:nsid w:val="0000002B"/>
    <w:multiLevelType w:val="singleLevel"/>
    <w:tmpl w:val="0000002B"/>
    <w:lvl w:ilvl="0" w:tentative="0">
      <w:start w:val="1"/>
      <w:numFmt w:val="decimal"/>
      <w:lvlText w:val="%1."/>
      <w:lvlJc w:val="left"/>
      <w:pPr>
        <w:ind w:left="425" w:hanging="425"/>
      </w:pPr>
      <w:rPr>
        <w:rFonts w:hint="default"/>
      </w:rPr>
    </w:lvl>
  </w:abstractNum>
  <w:abstractNum w:abstractNumId="23">
    <w:nsid w:val="0CDC0835"/>
    <w:multiLevelType w:val="singleLevel"/>
    <w:tmpl w:val="0CDC0835"/>
    <w:lvl w:ilvl="0" w:tentative="0">
      <w:start w:val="1"/>
      <w:numFmt w:val="lowerLetter"/>
      <w:lvlText w:val="%1."/>
      <w:lvlJc w:val="left"/>
      <w:pPr>
        <w:ind w:left="425" w:hanging="425"/>
      </w:pPr>
      <w:rPr>
        <w:rFonts w:hint="default"/>
      </w:rPr>
    </w:lvl>
  </w:abstractNum>
  <w:abstractNum w:abstractNumId="24">
    <w:nsid w:val="10FE7404"/>
    <w:multiLevelType w:val="singleLevel"/>
    <w:tmpl w:val="10FE7404"/>
    <w:lvl w:ilvl="0" w:tentative="0">
      <w:start w:val="1"/>
      <w:numFmt w:val="decimal"/>
      <w:lvlText w:val="%1."/>
      <w:lvlJc w:val="left"/>
      <w:pPr>
        <w:ind w:left="425" w:hanging="425"/>
      </w:pPr>
      <w:rPr>
        <w:rFonts w:hint="default"/>
      </w:rPr>
    </w:lvl>
  </w:abstractNum>
  <w:abstractNum w:abstractNumId="25">
    <w:nsid w:val="1D3C4B95"/>
    <w:multiLevelType w:val="multilevel"/>
    <w:tmpl w:val="1D3C4B95"/>
    <w:lvl w:ilvl="0" w:tentative="0">
      <w:start w:val="1"/>
      <w:numFmt w:val="decimal"/>
      <w:suff w:val="nothing"/>
      <w:lvlText w:val="（%1）"/>
      <w:lvlJc w:val="left"/>
      <w:pPr>
        <w:ind w:left="420" w:hanging="420"/>
      </w:pPr>
      <w:rPr>
        <w:rFonts w:hint="eastAsia"/>
        <w:lang w:val="en-US"/>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6">
    <w:nsid w:val="26C106DD"/>
    <w:multiLevelType w:val="singleLevel"/>
    <w:tmpl w:val="26C106DD"/>
    <w:lvl w:ilvl="0" w:tentative="0">
      <w:start w:val="1"/>
      <w:numFmt w:val="decimal"/>
      <w:suff w:val="nothing"/>
      <w:lvlText w:val="%1、"/>
      <w:lvlJc w:val="left"/>
    </w:lvl>
  </w:abstractNum>
  <w:abstractNum w:abstractNumId="27">
    <w:nsid w:val="2B5CE06B"/>
    <w:multiLevelType w:val="singleLevel"/>
    <w:tmpl w:val="2B5CE06B"/>
    <w:lvl w:ilvl="0" w:tentative="0">
      <w:start w:val="1"/>
      <w:numFmt w:val="decimal"/>
      <w:suff w:val="nothing"/>
      <w:lvlText w:val="（%1）"/>
      <w:lvlJc w:val="left"/>
    </w:lvl>
  </w:abstractNum>
  <w:abstractNum w:abstractNumId="28">
    <w:nsid w:val="3A4FCC19"/>
    <w:multiLevelType w:val="singleLevel"/>
    <w:tmpl w:val="3A4FCC19"/>
    <w:lvl w:ilvl="0" w:tentative="0">
      <w:start w:val="1"/>
      <w:numFmt w:val="decimal"/>
      <w:lvlText w:val="(%1)"/>
      <w:lvlJc w:val="left"/>
      <w:pPr>
        <w:ind w:left="425" w:hanging="425"/>
      </w:pPr>
      <w:rPr>
        <w:rFonts w:hint="default" w:ascii="宋体" w:hAnsi="宋体" w:eastAsia="宋体" w:cs="宋体"/>
        <w:sz w:val="21"/>
        <w:szCs w:val="21"/>
      </w:rPr>
    </w:lvl>
  </w:abstractNum>
  <w:abstractNum w:abstractNumId="29">
    <w:nsid w:val="43A1B824"/>
    <w:multiLevelType w:val="multilevel"/>
    <w:tmpl w:val="43A1B824"/>
    <w:lvl w:ilvl="0" w:tentative="0">
      <w:start w:val="1"/>
      <w:numFmt w:val="chineseCounting"/>
      <w:pStyle w:val="3"/>
      <w:suff w:val="nothing"/>
      <w:lvlText w:val="第%1章 "/>
      <w:lvlJc w:val="left"/>
      <w:pPr>
        <w:tabs>
          <w:tab w:val="left" w:pos="0"/>
        </w:tabs>
        <w:ind w:left="0" w:firstLine="402"/>
      </w:pPr>
      <w:rPr>
        <w:rFonts w:hint="eastAsia"/>
      </w:rPr>
    </w:lvl>
    <w:lvl w:ilvl="1" w:tentative="0">
      <w:start w:val="1"/>
      <w:numFmt w:val="chineseCounting"/>
      <w:suff w:val="nothing"/>
      <w:lvlText w:val="%2、"/>
      <w:lvlJc w:val="left"/>
      <w:pPr>
        <w:ind w:left="0" w:firstLine="402"/>
      </w:pPr>
      <w:rPr>
        <w:rFonts w:hint="eastAsia"/>
      </w:rPr>
    </w:lvl>
    <w:lvl w:ilvl="2" w:tentative="0">
      <w:start w:val="1"/>
      <w:numFmt w:val="decimal"/>
      <w:suff w:val="nothing"/>
      <w:lvlText w:val="%3．"/>
      <w:lvlJc w:val="left"/>
      <w:pPr>
        <w:ind w:left="0" w:firstLine="402"/>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30">
    <w:nsid w:val="5257194D"/>
    <w:multiLevelType w:val="singleLevel"/>
    <w:tmpl w:val="5257194D"/>
    <w:lvl w:ilvl="0" w:tentative="0">
      <w:start w:val="1"/>
      <w:numFmt w:val="decimal"/>
      <w:lvlText w:val="%1."/>
      <w:lvlJc w:val="left"/>
      <w:pPr>
        <w:ind w:left="425" w:hanging="425"/>
      </w:pPr>
      <w:rPr>
        <w:rFonts w:hint="default"/>
      </w:rPr>
    </w:lvl>
  </w:abstractNum>
  <w:abstractNum w:abstractNumId="31">
    <w:nsid w:val="5CFD4187"/>
    <w:multiLevelType w:val="singleLevel"/>
    <w:tmpl w:val="5CFD4187"/>
    <w:lvl w:ilvl="0" w:tentative="0">
      <w:start w:val="1"/>
      <w:numFmt w:val="decimal"/>
      <w:lvlText w:val="(%1)"/>
      <w:lvlJc w:val="left"/>
      <w:pPr>
        <w:ind w:left="425" w:hanging="425"/>
      </w:pPr>
      <w:rPr>
        <w:rFonts w:hint="default"/>
      </w:rPr>
    </w:lvl>
  </w:abstractNum>
  <w:abstractNum w:abstractNumId="32">
    <w:nsid w:val="67BB465B"/>
    <w:multiLevelType w:val="singleLevel"/>
    <w:tmpl w:val="67BB465B"/>
    <w:lvl w:ilvl="0" w:tentative="0">
      <w:start w:val="1"/>
      <w:numFmt w:val="decimal"/>
      <w:lvlText w:val="%1."/>
      <w:lvlJc w:val="left"/>
      <w:pPr>
        <w:ind w:left="425" w:hanging="425"/>
      </w:pPr>
      <w:rPr>
        <w:rFonts w:hint="default"/>
      </w:rPr>
    </w:lvl>
  </w:abstractNum>
  <w:abstractNum w:abstractNumId="33">
    <w:nsid w:val="6B236D4B"/>
    <w:multiLevelType w:val="multilevel"/>
    <w:tmpl w:val="6B236D4B"/>
    <w:lvl w:ilvl="0" w:tentative="0">
      <w:start w:val="1"/>
      <w:numFmt w:val="japaneseCounting"/>
      <w:lvlText w:val="第%1节"/>
      <w:lvlJc w:val="left"/>
      <w:pPr>
        <w:tabs>
          <w:tab w:val="left" w:pos="1125"/>
        </w:tabs>
        <w:ind w:left="1125" w:hanging="1125"/>
      </w:pPr>
      <w:rPr>
        <w:rFonts w:hint="eastAsia"/>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29"/>
  </w:num>
  <w:num w:numId="2">
    <w:abstractNumId w:val="0"/>
  </w:num>
  <w:num w:numId="3">
    <w:abstractNumId w:val="20"/>
  </w:num>
  <w:num w:numId="4">
    <w:abstractNumId w:val="18"/>
  </w:num>
  <w:num w:numId="5">
    <w:abstractNumId w:val="32"/>
  </w:num>
  <w:num w:numId="6">
    <w:abstractNumId w:val="4"/>
  </w:num>
  <w:num w:numId="7">
    <w:abstractNumId w:val="2"/>
  </w:num>
  <w:num w:numId="8">
    <w:abstractNumId w:val="31"/>
  </w:num>
  <w:num w:numId="9">
    <w:abstractNumId w:val="8"/>
  </w:num>
  <w:num w:numId="10">
    <w:abstractNumId w:val="23"/>
  </w:num>
  <w:num w:numId="11">
    <w:abstractNumId w:val="12"/>
  </w:num>
  <w:num w:numId="12">
    <w:abstractNumId w:val="17"/>
  </w:num>
  <w:num w:numId="13">
    <w:abstractNumId w:val="16"/>
  </w:num>
  <w:num w:numId="14">
    <w:abstractNumId w:val="15"/>
  </w:num>
  <w:num w:numId="15">
    <w:abstractNumId w:val="21"/>
  </w:num>
  <w:num w:numId="16">
    <w:abstractNumId w:val="19"/>
  </w:num>
  <w:num w:numId="17">
    <w:abstractNumId w:val="22"/>
  </w:num>
  <w:num w:numId="18">
    <w:abstractNumId w:val="11"/>
  </w:num>
  <w:num w:numId="19">
    <w:abstractNumId w:val="13"/>
  </w:num>
  <w:num w:numId="20">
    <w:abstractNumId w:val="14"/>
  </w:num>
  <w:num w:numId="21">
    <w:abstractNumId w:val="1"/>
  </w:num>
  <w:num w:numId="22">
    <w:abstractNumId w:val="30"/>
  </w:num>
  <w:num w:numId="23">
    <w:abstractNumId w:val="26"/>
  </w:num>
  <w:num w:numId="24">
    <w:abstractNumId w:val="6"/>
  </w:num>
  <w:num w:numId="25">
    <w:abstractNumId w:val="9"/>
  </w:num>
  <w:num w:numId="26">
    <w:abstractNumId w:val="25"/>
  </w:num>
  <w:num w:numId="27">
    <w:abstractNumId w:val="3"/>
  </w:num>
  <w:num w:numId="28">
    <w:abstractNumId w:val="24"/>
  </w:num>
  <w:num w:numId="29">
    <w:abstractNumId w:val="7"/>
  </w:num>
  <w:num w:numId="30">
    <w:abstractNumId w:val="27"/>
  </w:num>
  <w:num w:numId="31">
    <w:abstractNumId w:val="10"/>
  </w:num>
  <w:num w:numId="32">
    <w:abstractNumId w:val="28"/>
  </w:num>
  <w:num w:numId="33">
    <w:abstractNumId w:val="33"/>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hideSpellingErrors/>
  <w:documentProtection w:enforcement="0"/>
  <w:defaultTabStop w:val="0"/>
  <w:displayHorizontalDrawingGridEvery w:val="1"/>
  <w:displayVerticalDrawingGridEvery w:val="1"/>
  <w:noPunctuationKerning w:val="1"/>
  <w:characterSpacingControl w:val="doNotCompress"/>
  <w:hdrShapeDefaults>
    <o:shapelayout v:ext="edit">
      <o:idmap v:ext="edit" data="3"/>
    </o:shapelayout>
  </w:hdrShapeDefaults>
  <w:compat>
    <w:spaceForUL/>
    <w:ulTrailSpace/>
    <w:doNotExpandShiftReturn/>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FmNjlkYjNlOWE0YThiMTUyM2JmZTM4YTI4MWY3OWMifQ=="/>
  </w:docVars>
  <w:rsids>
    <w:rsidRoot w:val="00EE39C0"/>
    <w:rsid w:val="000006E2"/>
    <w:rsid w:val="00007D55"/>
    <w:rsid w:val="00013EAD"/>
    <w:rsid w:val="00014630"/>
    <w:rsid w:val="00016FAB"/>
    <w:rsid w:val="00017A2E"/>
    <w:rsid w:val="00021740"/>
    <w:rsid w:val="00023025"/>
    <w:rsid w:val="00025D99"/>
    <w:rsid w:val="000265B1"/>
    <w:rsid w:val="000357DF"/>
    <w:rsid w:val="0003613D"/>
    <w:rsid w:val="00042DB4"/>
    <w:rsid w:val="00044AF6"/>
    <w:rsid w:val="000503C9"/>
    <w:rsid w:val="000507B7"/>
    <w:rsid w:val="00061B15"/>
    <w:rsid w:val="00063AB5"/>
    <w:rsid w:val="0006546D"/>
    <w:rsid w:val="000857FC"/>
    <w:rsid w:val="000A121E"/>
    <w:rsid w:val="000A6E2D"/>
    <w:rsid w:val="000B2EDE"/>
    <w:rsid w:val="000C21EE"/>
    <w:rsid w:val="001206D6"/>
    <w:rsid w:val="00122223"/>
    <w:rsid w:val="00154D62"/>
    <w:rsid w:val="0015562F"/>
    <w:rsid w:val="00160313"/>
    <w:rsid w:val="001842D5"/>
    <w:rsid w:val="00186719"/>
    <w:rsid w:val="00186B75"/>
    <w:rsid w:val="001A1680"/>
    <w:rsid w:val="001A6401"/>
    <w:rsid w:val="001C0405"/>
    <w:rsid w:val="001D4479"/>
    <w:rsid w:val="001D5246"/>
    <w:rsid w:val="001E14B8"/>
    <w:rsid w:val="001E2399"/>
    <w:rsid w:val="001E4A0B"/>
    <w:rsid w:val="001E7639"/>
    <w:rsid w:val="00204986"/>
    <w:rsid w:val="002076E9"/>
    <w:rsid w:val="00213FB1"/>
    <w:rsid w:val="00221910"/>
    <w:rsid w:val="00234355"/>
    <w:rsid w:val="00235F07"/>
    <w:rsid w:val="00260922"/>
    <w:rsid w:val="002617BA"/>
    <w:rsid w:val="00266204"/>
    <w:rsid w:val="00273204"/>
    <w:rsid w:val="0029390C"/>
    <w:rsid w:val="00294CEB"/>
    <w:rsid w:val="0029616D"/>
    <w:rsid w:val="002A3684"/>
    <w:rsid w:val="002A7009"/>
    <w:rsid w:val="002B71C6"/>
    <w:rsid w:val="002E6AAF"/>
    <w:rsid w:val="002E6D39"/>
    <w:rsid w:val="002F5F10"/>
    <w:rsid w:val="00300EAC"/>
    <w:rsid w:val="00300F56"/>
    <w:rsid w:val="003020BA"/>
    <w:rsid w:val="00303813"/>
    <w:rsid w:val="00314300"/>
    <w:rsid w:val="00326B3A"/>
    <w:rsid w:val="00330D88"/>
    <w:rsid w:val="00333BAB"/>
    <w:rsid w:val="003377FC"/>
    <w:rsid w:val="0034100B"/>
    <w:rsid w:val="00342B80"/>
    <w:rsid w:val="00342F9E"/>
    <w:rsid w:val="003654DD"/>
    <w:rsid w:val="00372E3C"/>
    <w:rsid w:val="003753FA"/>
    <w:rsid w:val="00377378"/>
    <w:rsid w:val="00391D0D"/>
    <w:rsid w:val="00395F1A"/>
    <w:rsid w:val="003A1C2B"/>
    <w:rsid w:val="003B0FD6"/>
    <w:rsid w:val="003B3D65"/>
    <w:rsid w:val="003B7153"/>
    <w:rsid w:val="003D6E8E"/>
    <w:rsid w:val="003D7148"/>
    <w:rsid w:val="003E0158"/>
    <w:rsid w:val="003F0813"/>
    <w:rsid w:val="003F1AB3"/>
    <w:rsid w:val="003F4D03"/>
    <w:rsid w:val="003F78CB"/>
    <w:rsid w:val="004110BB"/>
    <w:rsid w:val="004305B7"/>
    <w:rsid w:val="00430C2D"/>
    <w:rsid w:val="004363F2"/>
    <w:rsid w:val="00443B8A"/>
    <w:rsid w:val="00463351"/>
    <w:rsid w:val="00470E63"/>
    <w:rsid w:val="0047207D"/>
    <w:rsid w:val="00473395"/>
    <w:rsid w:val="00474503"/>
    <w:rsid w:val="004771F3"/>
    <w:rsid w:val="004A71DB"/>
    <w:rsid w:val="004D04AF"/>
    <w:rsid w:val="004D7092"/>
    <w:rsid w:val="004D7D85"/>
    <w:rsid w:val="004D7E79"/>
    <w:rsid w:val="004E2FFF"/>
    <w:rsid w:val="004E3545"/>
    <w:rsid w:val="004F3F1E"/>
    <w:rsid w:val="00503A3A"/>
    <w:rsid w:val="00523DE1"/>
    <w:rsid w:val="00544F9B"/>
    <w:rsid w:val="00555F29"/>
    <w:rsid w:val="00562B1D"/>
    <w:rsid w:val="005B6F33"/>
    <w:rsid w:val="005D1783"/>
    <w:rsid w:val="005D4A27"/>
    <w:rsid w:val="005F736E"/>
    <w:rsid w:val="00615BAE"/>
    <w:rsid w:val="00635B9B"/>
    <w:rsid w:val="0065434D"/>
    <w:rsid w:val="00664B42"/>
    <w:rsid w:val="0067444C"/>
    <w:rsid w:val="0068231F"/>
    <w:rsid w:val="006960B6"/>
    <w:rsid w:val="006A0B61"/>
    <w:rsid w:val="006A23E9"/>
    <w:rsid w:val="006C2664"/>
    <w:rsid w:val="006C6F27"/>
    <w:rsid w:val="006D3594"/>
    <w:rsid w:val="006D6E55"/>
    <w:rsid w:val="006E77AA"/>
    <w:rsid w:val="006F1099"/>
    <w:rsid w:val="00701FF7"/>
    <w:rsid w:val="007442CA"/>
    <w:rsid w:val="00745691"/>
    <w:rsid w:val="00766CF4"/>
    <w:rsid w:val="00773EBD"/>
    <w:rsid w:val="007914B9"/>
    <w:rsid w:val="007A70A5"/>
    <w:rsid w:val="007D3072"/>
    <w:rsid w:val="007E24C0"/>
    <w:rsid w:val="007E7D02"/>
    <w:rsid w:val="007F10C2"/>
    <w:rsid w:val="00802527"/>
    <w:rsid w:val="00806970"/>
    <w:rsid w:val="00810DFD"/>
    <w:rsid w:val="008113FF"/>
    <w:rsid w:val="00817D08"/>
    <w:rsid w:val="008221D1"/>
    <w:rsid w:val="00830A71"/>
    <w:rsid w:val="0084416B"/>
    <w:rsid w:val="0084502E"/>
    <w:rsid w:val="00854D6A"/>
    <w:rsid w:val="0086311A"/>
    <w:rsid w:val="008636A4"/>
    <w:rsid w:val="00884459"/>
    <w:rsid w:val="00896D8B"/>
    <w:rsid w:val="008C1A14"/>
    <w:rsid w:val="008D1E28"/>
    <w:rsid w:val="008D7BCB"/>
    <w:rsid w:val="008F058C"/>
    <w:rsid w:val="008F42EC"/>
    <w:rsid w:val="0091038D"/>
    <w:rsid w:val="00920033"/>
    <w:rsid w:val="009268B2"/>
    <w:rsid w:val="00935439"/>
    <w:rsid w:val="009372E3"/>
    <w:rsid w:val="00937ED7"/>
    <w:rsid w:val="009663EC"/>
    <w:rsid w:val="009666F6"/>
    <w:rsid w:val="00983174"/>
    <w:rsid w:val="0099532A"/>
    <w:rsid w:val="009A1E6B"/>
    <w:rsid w:val="009A2950"/>
    <w:rsid w:val="009D145C"/>
    <w:rsid w:val="009E338B"/>
    <w:rsid w:val="009E7E05"/>
    <w:rsid w:val="009F53DF"/>
    <w:rsid w:val="009F6514"/>
    <w:rsid w:val="00A007C4"/>
    <w:rsid w:val="00A109DD"/>
    <w:rsid w:val="00A13411"/>
    <w:rsid w:val="00A2002D"/>
    <w:rsid w:val="00A24530"/>
    <w:rsid w:val="00A30713"/>
    <w:rsid w:val="00A36BDA"/>
    <w:rsid w:val="00A372F3"/>
    <w:rsid w:val="00A415BC"/>
    <w:rsid w:val="00A42697"/>
    <w:rsid w:val="00A503AE"/>
    <w:rsid w:val="00A55D2D"/>
    <w:rsid w:val="00A61BF5"/>
    <w:rsid w:val="00A641A9"/>
    <w:rsid w:val="00A76CFA"/>
    <w:rsid w:val="00A90B5B"/>
    <w:rsid w:val="00A9390A"/>
    <w:rsid w:val="00AB71B2"/>
    <w:rsid w:val="00AE2F18"/>
    <w:rsid w:val="00AF1546"/>
    <w:rsid w:val="00B03E6C"/>
    <w:rsid w:val="00B11059"/>
    <w:rsid w:val="00B40871"/>
    <w:rsid w:val="00B45B1F"/>
    <w:rsid w:val="00B73539"/>
    <w:rsid w:val="00B860E5"/>
    <w:rsid w:val="00BB1B58"/>
    <w:rsid w:val="00BB518B"/>
    <w:rsid w:val="00BC516F"/>
    <w:rsid w:val="00BF117C"/>
    <w:rsid w:val="00C061FC"/>
    <w:rsid w:val="00C06BB3"/>
    <w:rsid w:val="00C217A3"/>
    <w:rsid w:val="00C30E10"/>
    <w:rsid w:val="00C36BEF"/>
    <w:rsid w:val="00C41B87"/>
    <w:rsid w:val="00C451F9"/>
    <w:rsid w:val="00C77DAF"/>
    <w:rsid w:val="00C863FF"/>
    <w:rsid w:val="00C8647A"/>
    <w:rsid w:val="00CB19FB"/>
    <w:rsid w:val="00CB578B"/>
    <w:rsid w:val="00CC38DE"/>
    <w:rsid w:val="00CE104E"/>
    <w:rsid w:val="00D01EE3"/>
    <w:rsid w:val="00D132AD"/>
    <w:rsid w:val="00D16288"/>
    <w:rsid w:val="00D272FA"/>
    <w:rsid w:val="00D30C1A"/>
    <w:rsid w:val="00D43C11"/>
    <w:rsid w:val="00D46440"/>
    <w:rsid w:val="00D475F5"/>
    <w:rsid w:val="00D70589"/>
    <w:rsid w:val="00D82341"/>
    <w:rsid w:val="00D93855"/>
    <w:rsid w:val="00D95490"/>
    <w:rsid w:val="00D9772B"/>
    <w:rsid w:val="00DB52EB"/>
    <w:rsid w:val="00DC5B88"/>
    <w:rsid w:val="00DD26BE"/>
    <w:rsid w:val="00DD35AF"/>
    <w:rsid w:val="00DD6932"/>
    <w:rsid w:val="00DE1F6E"/>
    <w:rsid w:val="00DF3975"/>
    <w:rsid w:val="00E03CE7"/>
    <w:rsid w:val="00E056CD"/>
    <w:rsid w:val="00E22166"/>
    <w:rsid w:val="00E41DF2"/>
    <w:rsid w:val="00E427B8"/>
    <w:rsid w:val="00E441EC"/>
    <w:rsid w:val="00E5399A"/>
    <w:rsid w:val="00E62226"/>
    <w:rsid w:val="00E80D9C"/>
    <w:rsid w:val="00E8488E"/>
    <w:rsid w:val="00E87BE8"/>
    <w:rsid w:val="00EA09A5"/>
    <w:rsid w:val="00EB5A6D"/>
    <w:rsid w:val="00EC2DDE"/>
    <w:rsid w:val="00ED03B1"/>
    <w:rsid w:val="00EE39C0"/>
    <w:rsid w:val="00EE62CC"/>
    <w:rsid w:val="00EF5FA8"/>
    <w:rsid w:val="00F15EEE"/>
    <w:rsid w:val="00F22F5F"/>
    <w:rsid w:val="00F363AF"/>
    <w:rsid w:val="00F37DB8"/>
    <w:rsid w:val="00F420AA"/>
    <w:rsid w:val="00F72CF4"/>
    <w:rsid w:val="00F7361C"/>
    <w:rsid w:val="00F93003"/>
    <w:rsid w:val="00F93103"/>
    <w:rsid w:val="00FA2734"/>
    <w:rsid w:val="00FA5F75"/>
    <w:rsid w:val="00FC3291"/>
    <w:rsid w:val="00FE01AE"/>
    <w:rsid w:val="029E0CEF"/>
    <w:rsid w:val="03526E63"/>
    <w:rsid w:val="03C76963"/>
    <w:rsid w:val="044F34D5"/>
    <w:rsid w:val="0466617C"/>
    <w:rsid w:val="05F714E4"/>
    <w:rsid w:val="07DE071F"/>
    <w:rsid w:val="08DF474E"/>
    <w:rsid w:val="0A08457A"/>
    <w:rsid w:val="0B853920"/>
    <w:rsid w:val="0F183AD3"/>
    <w:rsid w:val="115A5EE0"/>
    <w:rsid w:val="12C14EC5"/>
    <w:rsid w:val="13EB21F9"/>
    <w:rsid w:val="14333BA0"/>
    <w:rsid w:val="14EB7FD7"/>
    <w:rsid w:val="15506CEB"/>
    <w:rsid w:val="15E066CF"/>
    <w:rsid w:val="15E97B90"/>
    <w:rsid w:val="170747E4"/>
    <w:rsid w:val="171F1388"/>
    <w:rsid w:val="17DA4A5F"/>
    <w:rsid w:val="18CC7662"/>
    <w:rsid w:val="195E600B"/>
    <w:rsid w:val="1A0538E9"/>
    <w:rsid w:val="1A3A1EDA"/>
    <w:rsid w:val="1A7C004F"/>
    <w:rsid w:val="1AE548CB"/>
    <w:rsid w:val="1B045BBD"/>
    <w:rsid w:val="1C1A4869"/>
    <w:rsid w:val="1D8D4321"/>
    <w:rsid w:val="1DCA3DF9"/>
    <w:rsid w:val="1E3D6B88"/>
    <w:rsid w:val="1EF34658"/>
    <w:rsid w:val="1F1B52D3"/>
    <w:rsid w:val="1F961A97"/>
    <w:rsid w:val="1FC63B1B"/>
    <w:rsid w:val="1FD52EE6"/>
    <w:rsid w:val="2136082C"/>
    <w:rsid w:val="216D49B6"/>
    <w:rsid w:val="22543660"/>
    <w:rsid w:val="22561186"/>
    <w:rsid w:val="225B68C1"/>
    <w:rsid w:val="243279D1"/>
    <w:rsid w:val="24905F09"/>
    <w:rsid w:val="256B26CD"/>
    <w:rsid w:val="261C26E6"/>
    <w:rsid w:val="267522FD"/>
    <w:rsid w:val="2722776F"/>
    <w:rsid w:val="277F117F"/>
    <w:rsid w:val="27A6345A"/>
    <w:rsid w:val="281A7067"/>
    <w:rsid w:val="28247630"/>
    <w:rsid w:val="29930F11"/>
    <w:rsid w:val="29B30AFA"/>
    <w:rsid w:val="2A2814EA"/>
    <w:rsid w:val="2B022A53"/>
    <w:rsid w:val="2C691BFC"/>
    <w:rsid w:val="2DCB2F34"/>
    <w:rsid w:val="2E620EB2"/>
    <w:rsid w:val="2E7A444E"/>
    <w:rsid w:val="2F5A407A"/>
    <w:rsid w:val="2F7976C9"/>
    <w:rsid w:val="31927ECA"/>
    <w:rsid w:val="31D817D0"/>
    <w:rsid w:val="33562B6D"/>
    <w:rsid w:val="33BA4F95"/>
    <w:rsid w:val="357D65D2"/>
    <w:rsid w:val="363357FB"/>
    <w:rsid w:val="36CE4643"/>
    <w:rsid w:val="36F27460"/>
    <w:rsid w:val="37906A90"/>
    <w:rsid w:val="38414139"/>
    <w:rsid w:val="39777F08"/>
    <w:rsid w:val="3A267D21"/>
    <w:rsid w:val="3B612EFA"/>
    <w:rsid w:val="3B660234"/>
    <w:rsid w:val="3BCE7B87"/>
    <w:rsid w:val="3CBB7BCD"/>
    <w:rsid w:val="3DCC7E1D"/>
    <w:rsid w:val="3FB53538"/>
    <w:rsid w:val="414B5033"/>
    <w:rsid w:val="422F4519"/>
    <w:rsid w:val="42323576"/>
    <w:rsid w:val="43261E72"/>
    <w:rsid w:val="436872C2"/>
    <w:rsid w:val="43F0745E"/>
    <w:rsid w:val="450D7972"/>
    <w:rsid w:val="45CD3F07"/>
    <w:rsid w:val="463454FF"/>
    <w:rsid w:val="46FC7C9E"/>
    <w:rsid w:val="475E280C"/>
    <w:rsid w:val="477517FF"/>
    <w:rsid w:val="47D74267"/>
    <w:rsid w:val="47F46BC7"/>
    <w:rsid w:val="47FA0573"/>
    <w:rsid w:val="48893B9C"/>
    <w:rsid w:val="4A02242C"/>
    <w:rsid w:val="4AAF4BBB"/>
    <w:rsid w:val="4B1735CB"/>
    <w:rsid w:val="4B5F69AD"/>
    <w:rsid w:val="4BBB7ECB"/>
    <w:rsid w:val="4BBD3DCD"/>
    <w:rsid w:val="513E614A"/>
    <w:rsid w:val="514566E6"/>
    <w:rsid w:val="51FF6894"/>
    <w:rsid w:val="533B7DA0"/>
    <w:rsid w:val="548F2152"/>
    <w:rsid w:val="54AE1E91"/>
    <w:rsid w:val="54F06B5B"/>
    <w:rsid w:val="557D3EA4"/>
    <w:rsid w:val="557D644E"/>
    <w:rsid w:val="56217FDF"/>
    <w:rsid w:val="56DC5B9A"/>
    <w:rsid w:val="59701E26"/>
    <w:rsid w:val="5B321A89"/>
    <w:rsid w:val="5BC36B85"/>
    <w:rsid w:val="5BCA06F8"/>
    <w:rsid w:val="5C273A62"/>
    <w:rsid w:val="5EB629D1"/>
    <w:rsid w:val="5EF50B59"/>
    <w:rsid w:val="600D4F4C"/>
    <w:rsid w:val="6098413C"/>
    <w:rsid w:val="63265A0E"/>
    <w:rsid w:val="63416D0D"/>
    <w:rsid w:val="63731619"/>
    <w:rsid w:val="63D95197"/>
    <w:rsid w:val="63F54B0C"/>
    <w:rsid w:val="64296E84"/>
    <w:rsid w:val="64365F40"/>
    <w:rsid w:val="657D7DA4"/>
    <w:rsid w:val="65B945A4"/>
    <w:rsid w:val="6771795A"/>
    <w:rsid w:val="684F6460"/>
    <w:rsid w:val="692C5B3B"/>
    <w:rsid w:val="6A4D601D"/>
    <w:rsid w:val="6D5C73A1"/>
    <w:rsid w:val="6E22598D"/>
    <w:rsid w:val="6FC82564"/>
    <w:rsid w:val="701B31F2"/>
    <w:rsid w:val="70375AA4"/>
    <w:rsid w:val="712671F8"/>
    <w:rsid w:val="74AE191C"/>
    <w:rsid w:val="752A7C85"/>
    <w:rsid w:val="76A32092"/>
    <w:rsid w:val="77FA73B0"/>
    <w:rsid w:val="784722DE"/>
    <w:rsid w:val="788C46C9"/>
    <w:rsid w:val="79073F07"/>
    <w:rsid w:val="793D7B1F"/>
    <w:rsid w:val="7A8325C0"/>
    <w:rsid w:val="7AA83DA0"/>
    <w:rsid w:val="7B967672"/>
    <w:rsid w:val="7BB94B7E"/>
    <w:rsid w:val="7C0A609B"/>
    <w:rsid w:val="7CCD33BD"/>
    <w:rsid w:val="7D75433C"/>
    <w:rsid w:val="7DAA55FB"/>
    <w:rsid w:val="7DCC1E54"/>
    <w:rsid w:val="7DED1B13"/>
    <w:rsid w:val="7ED47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3" w:semiHidden="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0" w:name="toc 1"/>
    <w:lsdException w:qFormat="1" w:uiPriority="0" w:name="toc 2"/>
    <w:lsdException w:qFormat="1" w:uiPriority="0" w:name="toc 3"/>
    <w:lsdException w:uiPriority="0" w:name="toc 4"/>
    <w:lsdException w:uiPriority="0" w:name="toc 5"/>
    <w:lsdException w:uiPriority="0" w:name="toc 6"/>
    <w:lsdException w:uiPriority="0" w:name="toc 7"/>
    <w:lsdException w:qFormat="1" w:unhideWhenUsed="0" w:uiPriority="0" w:semiHidden="0" w:name="toc 8"/>
    <w:lsdException w:uiPriority="0" w:name="toc 9"/>
    <w:lsdException w:qFormat="1" w:uiPriority="0" w:name="Normal Indent"/>
    <w:lsdException w:uiPriority="0" w:name="footnote text"/>
    <w:lsdException w:qFormat="1"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qFormat="1" w:unhideWhenUsed="0" w:uiPriority="0" w:semiHidden="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qFormat="1" w:unhideWhenUsed="0" w:uiPriority="0" w:semiHidden="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qFormat="1" w:uiPriority="99"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4"/>
      <w:szCs w:val="21"/>
      <w:lang w:val="en-US" w:eastAsia="zh-CN" w:bidi="ar-SA"/>
    </w:rPr>
  </w:style>
  <w:style w:type="paragraph" w:styleId="2">
    <w:name w:val="heading 1"/>
    <w:basedOn w:val="1"/>
    <w:next w:val="1"/>
    <w:qFormat/>
    <w:uiPriority w:val="0"/>
    <w:pPr>
      <w:keepNext/>
      <w:keepLines/>
      <w:jc w:val="center"/>
      <w:outlineLvl w:val="0"/>
    </w:pPr>
    <w:rPr>
      <w:rFonts w:eastAsia="宋体" w:asciiTheme="minorHAnsi" w:hAnsiTheme="minorHAnsi" w:cstheme="minorBidi"/>
      <w:b/>
      <w:kern w:val="44"/>
      <w:sz w:val="44"/>
      <w:szCs w:val="24"/>
    </w:rPr>
  </w:style>
  <w:style w:type="paragraph" w:styleId="3">
    <w:name w:val="heading 2"/>
    <w:basedOn w:val="1"/>
    <w:next w:val="1"/>
    <w:link w:val="46"/>
    <w:unhideWhenUsed/>
    <w:qFormat/>
    <w:uiPriority w:val="0"/>
    <w:pPr>
      <w:keepNext/>
      <w:keepLines/>
      <w:numPr>
        <w:ilvl w:val="0"/>
        <w:numId w:val="1"/>
      </w:numPr>
      <w:spacing w:line="360" w:lineRule="auto"/>
      <w:ind w:firstLine="0"/>
      <w:jc w:val="center"/>
      <w:outlineLvl w:val="1"/>
    </w:pPr>
    <w:rPr>
      <w:rFonts w:cstheme="minorBidi"/>
      <w:b/>
      <w:kern w:val="2"/>
      <w:sz w:val="32"/>
      <w:szCs w:val="24"/>
    </w:rPr>
  </w:style>
  <w:style w:type="paragraph" w:styleId="4">
    <w:name w:val="heading 3"/>
    <w:basedOn w:val="1"/>
    <w:next w:val="1"/>
    <w:unhideWhenUsed/>
    <w:qFormat/>
    <w:uiPriority w:val="0"/>
    <w:pPr>
      <w:keepNext/>
      <w:keepLines/>
      <w:spacing w:before="260" w:after="260" w:line="416" w:lineRule="auto"/>
      <w:outlineLvl w:val="2"/>
    </w:pPr>
    <w:rPr>
      <w:rFonts w:ascii="Times New Roman" w:hAnsi="Times New Roman" w:eastAsia="宋体"/>
      <w:b/>
      <w:bCs/>
      <w:kern w:val="2"/>
      <w:sz w:val="28"/>
      <w:szCs w:val="32"/>
    </w:rPr>
  </w:style>
  <w:style w:type="paragraph" w:styleId="5">
    <w:name w:val="heading 4"/>
    <w:basedOn w:val="1"/>
    <w:next w:val="1"/>
    <w:semiHidden/>
    <w:unhideWhenUsed/>
    <w:qFormat/>
    <w:uiPriority w:val="0"/>
    <w:pPr>
      <w:keepNext/>
      <w:keepLines/>
      <w:spacing w:before="280" w:after="290" w:line="372" w:lineRule="auto"/>
      <w:outlineLvl w:val="3"/>
    </w:pPr>
    <w:rPr>
      <w:rFonts w:eastAsia="黑体"/>
      <w:b/>
      <w:sz w:val="28"/>
    </w:rPr>
  </w:style>
  <w:style w:type="paragraph" w:styleId="6">
    <w:name w:val="heading 5"/>
    <w:basedOn w:val="1"/>
    <w:next w:val="1"/>
    <w:unhideWhenUsed/>
    <w:qFormat/>
    <w:uiPriority w:val="3"/>
    <w:pPr>
      <w:numPr>
        <w:ilvl w:val="4"/>
        <w:numId w:val="2"/>
      </w:numPr>
      <w:ind w:left="0" w:firstLine="0"/>
      <w:outlineLvl w:val="4"/>
    </w:pPr>
    <w:rPr>
      <w:rFonts w:ascii="Times New Roman" w:hAnsi="Times New Roman" w:eastAsia="宋体"/>
      <w:b/>
      <w:bCs/>
      <w:szCs w:val="28"/>
    </w:rPr>
  </w:style>
  <w:style w:type="character" w:default="1" w:styleId="29">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7">
    <w:name w:val="Normal Indent"/>
    <w:basedOn w:val="1"/>
    <w:link w:val="43"/>
    <w:semiHidden/>
    <w:unhideWhenUsed/>
    <w:qFormat/>
    <w:uiPriority w:val="0"/>
    <w:pPr>
      <w:widowControl w:val="0"/>
      <w:kinsoku/>
      <w:autoSpaceDE/>
      <w:autoSpaceDN/>
      <w:adjustRightInd/>
      <w:snapToGrid/>
      <w:ind w:firstLine="420" w:firstLineChars="200"/>
      <w:jc w:val="both"/>
      <w:textAlignment w:val="auto"/>
    </w:pPr>
    <w:rPr>
      <w:rFonts w:ascii="Calibri" w:hAnsi="Calibri" w:eastAsia="宋体" w:cs="Times New Roman"/>
      <w:snapToGrid/>
      <w:color w:val="auto"/>
      <w:kern w:val="2"/>
      <w:szCs w:val="24"/>
    </w:rPr>
  </w:style>
  <w:style w:type="paragraph" w:styleId="8">
    <w:name w:val="toa heading"/>
    <w:basedOn w:val="1"/>
    <w:next w:val="1"/>
    <w:qFormat/>
    <w:uiPriority w:val="0"/>
    <w:pPr>
      <w:spacing w:before="120"/>
    </w:pPr>
  </w:style>
  <w:style w:type="paragraph" w:styleId="9">
    <w:name w:val="annotation text"/>
    <w:basedOn w:val="1"/>
    <w:unhideWhenUsed/>
    <w:qFormat/>
    <w:uiPriority w:val="0"/>
  </w:style>
  <w:style w:type="paragraph" w:styleId="10">
    <w:name w:val="Body Text"/>
    <w:basedOn w:val="1"/>
    <w:qFormat/>
    <w:uiPriority w:val="0"/>
    <w:pPr>
      <w:tabs>
        <w:tab w:val="left" w:pos="574"/>
      </w:tabs>
      <w:spacing w:line="288" w:lineRule="auto"/>
    </w:pPr>
    <w:rPr>
      <w:rFonts w:ascii="宋体" w:hAnsi="宋体" w:eastAsia="宋体"/>
    </w:rPr>
  </w:style>
  <w:style w:type="paragraph" w:styleId="11">
    <w:name w:val="Body Text Indent"/>
    <w:basedOn w:val="1"/>
    <w:next w:val="12"/>
    <w:qFormat/>
    <w:uiPriority w:val="0"/>
    <w:pPr>
      <w:spacing w:after="120"/>
      <w:ind w:left="420" w:leftChars="200"/>
    </w:pPr>
  </w:style>
  <w:style w:type="paragraph" w:styleId="12">
    <w:name w:val="envelope return"/>
    <w:basedOn w:val="1"/>
    <w:next w:val="13"/>
    <w:qFormat/>
    <w:uiPriority w:val="0"/>
  </w:style>
  <w:style w:type="paragraph" w:styleId="13">
    <w:name w:val="Title"/>
    <w:basedOn w:val="1"/>
    <w:next w:val="1"/>
    <w:link w:val="45"/>
    <w:qFormat/>
    <w:uiPriority w:val="0"/>
    <w:pPr>
      <w:spacing w:before="240" w:after="60"/>
      <w:jc w:val="center"/>
      <w:outlineLvl w:val="0"/>
    </w:pPr>
    <w:rPr>
      <w:rFonts w:eastAsia="宋体"/>
      <w:b/>
      <w:bCs/>
      <w:szCs w:val="32"/>
    </w:rPr>
  </w:style>
  <w:style w:type="paragraph" w:styleId="14">
    <w:name w:val="toc 3"/>
    <w:basedOn w:val="1"/>
    <w:next w:val="1"/>
    <w:semiHidden/>
    <w:unhideWhenUsed/>
    <w:qFormat/>
    <w:uiPriority w:val="0"/>
    <w:pPr>
      <w:ind w:left="840" w:leftChars="400"/>
    </w:pPr>
  </w:style>
  <w:style w:type="paragraph" w:styleId="15">
    <w:name w:val="Plain Text"/>
    <w:basedOn w:val="1"/>
    <w:link w:val="44"/>
    <w:qFormat/>
    <w:uiPriority w:val="0"/>
    <w:rPr>
      <w:rFonts w:ascii="宋体" w:hAnsi="Courier New" w:eastAsia="宋体"/>
    </w:rPr>
  </w:style>
  <w:style w:type="paragraph" w:styleId="16">
    <w:name w:val="toc 8"/>
    <w:basedOn w:val="1"/>
    <w:next w:val="1"/>
    <w:qFormat/>
    <w:uiPriority w:val="0"/>
    <w:pPr>
      <w:ind w:left="2240"/>
    </w:pPr>
  </w:style>
  <w:style w:type="paragraph" w:styleId="17">
    <w:name w:val="Date"/>
    <w:basedOn w:val="1"/>
    <w:next w:val="1"/>
    <w:qFormat/>
    <w:uiPriority w:val="0"/>
    <w:rPr>
      <w:rFonts w:ascii="Calibri" w:hAnsi="Calibri" w:eastAsia="宋体" w:cs="Times New Roman"/>
      <w:szCs w:val="20"/>
    </w:rPr>
  </w:style>
  <w:style w:type="paragraph" w:styleId="18">
    <w:name w:val="Body Text Indent 2"/>
    <w:basedOn w:val="1"/>
    <w:next w:val="19"/>
    <w:qFormat/>
    <w:uiPriority w:val="0"/>
    <w:pPr>
      <w:ind w:firstLine="600"/>
    </w:pPr>
    <w:rPr>
      <w:color w:val="000080"/>
      <w:sz w:val="30"/>
    </w:rPr>
  </w:style>
  <w:style w:type="paragraph" w:customStyle="1" w:styleId="19">
    <w:name w:val="z正文"/>
    <w:basedOn w:val="15"/>
    <w:qFormat/>
    <w:uiPriority w:val="99"/>
    <w:pPr>
      <w:tabs>
        <w:tab w:val="left" w:pos="525"/>
      </w:tabs>
      <w:spacing w:line="360" w:lineRule="auto"/>
    </w:pPr>
    <w:rPr>
      <w:rFonts w:hAnsi="宋体"/>
      <w:szCs w:val="20"/>
    </w:rPr>
  </w:style>
  <w:style w:type="paragraph" w:styleId="20">
    <w:name w:val="Balloon Text"/>
    <w:basedOn w:val="1"/>
    <w:link w:val="42"/>
    <w:qFormat/>
    <w:uiPriority w:val="0"/>
    <w:rPr>
      <w:sz w:val="18"/>
      <w:szCs w:val="18"/>
    </w:rPr>
  </w:style>
  <w:style w:type="paragraph" w:styleId="21">
    <w:name w:val="footer"/>
    <w:basedOn w:val="1"/>
    <w:qFormat/>
    <w:uiPriority w:val="99"/>
    <w:pPr>
      <w:tabs>
        <w:tab w:val="center" w:pos="4153"/>
        <w:tab w:val="right" w:pos="8306"/>
      </w:tabs>
    </w:pPr>
    <w:rPr>
      <w:sz w:val="18"/>
    </w:rPr>
  </w:style>
  <w:style w:type="paragraph" w:styleId="2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23">
    <w:name w:val="toc 1"/>
    <w:basedOn w:val="1"/>
    <w:next w:val="1"/>
    <w:semiHidden/>
    <w:unhideWhenUsed/>
    <w:qFormat/>
    <w:uiPriority w:val="0"/>
  </w:style>
  <w:style w:type="paragraph" w:styleId="24">
    <w:name w:val="toc 2"/>
    <w:basedOn w:val="1"/>
    <w:next w:val="1"/>
    <w:semiHidden/>
    <w:unhideWhenUsed/>
    <w:qFormat/>
    <w:uiPriority w:val="0"/>
    <w:pPr>
      <w:ind w:left="420" w:leftChars="200"/>
    </w:pPr>
  </w:style>
  <w:style w:type="paragraph" w:styleId="25">
    <w:name w:val="Normal (Web)"/>
    <w:basedOn w:val="1"/>
    <w:qFormat/>
    <w:uiPriority w:val="99"/>
    <w:pPr>
      <w:widowControl/>
      <w:spacing w:before="100" w:beforeAutospacing="1" w:after="100" w:afterAutospacing="1"/>
      <w:jc w:val="left"/>
    </w:pPr>
    <w:rPr>
      <w:rFonts w:ascii="宋体" w:hAnsi="宋体" w:cs="宋体"/>
      <w:color w:val="000000"/>
      <w:kern w:val="0"/>
      <w:sz w:val="24"/>
    </w:rPr>
  </w:style>
  <w:style w:type="paragraph" w:styleId="26">
    <w:name w:val="Body Text First Indent"/>
    <w:basedOn w:val="10"/>
    <w:next w:val="1"/>
    <w:unhideWhenUsed/>
    <w:qFormat/>
    <w:uiPriority w:val="99"/>
    <w:pPr>
      <w:spacing w:after="120" w:line="240" w:lineRule="auto"/>
      <w:ind w:firstLine="420" w:firstLineChars="100"/>
    </w:pPr>
    <w:rPr>
      <w:rFonts w:ascii="Times New Roman" w:hAnsi="Times New Roman" w:eastAsia="仿宋_GB2312"/>
      <w:sz w:val="32"/>
    </w:rPr>
  </w:style>
  <w:style w:type="paragraph" w:styleId="27">
    <w:name w:val="Body Text First Indent 2"/>
    <w:basedOn w:val="11"/>
    <w:next w:val="1"/>
    <w:qFormat/>
    <w:uiPriority w:val="0"/>
    <w:pPr>
      <w:ind w:firstLine="420"/>
    </w:pPr>
  </w:style>
  <w:style w:type="character" w:styleId="30">
    <w:name w:val="page number"/>
    <w:qFormat/>
    <w:uiPriority w:val="0"/>
    <w:rPr>
      <w:rFonts w:ascii="Calibri" w:hAnsi="Calibri" w:eastAsia="宋体" w:cs="Times New Roman"/>
      <w:b/>
      <w:sz w:val="32"/>
      <w:szCs w:val="32"/>
    </w:rPr>
  </w:style>
  <w:style w:type="character" w:styleId="31">
    <w:name w:val="Hyperlink"/>
    <w:basedOn w:val="29"/>
    <w:semiHidden/>
    <w:unhideWhenUsed/>
    <w:qFormat/>
    <w:uiPriority w:val="99"/>
    <w:rPr>
      <w:color w:val="0000FF"/>
      <w:u w:val="single"/>
    </w:rPr>
  </w:style>
  <w:style w:type="character" w:styleId="32">
    <w:name w:val="annotation reference"/>
    <w:unhideWhenUsed/>
    <w:qFormat/>
    <w:uiPriority w:val="99"/>
    <w:rPr>
      <w:sz w:val="21"/>
      <w:szCs w:val="21"/>
    </w:rPr>
  </w:style>
  <w:style w:type="paragraph" w:customStyle="1" w:styleId="33">
    <w:name w:val="表格文字"/>
    <w:basedOn w:val="1"/>
    <w:next w:val="10"/>
    <w:qFormat/>
    <w:uiPriority w:val="0"/>
    <w:rPr>
      <w:rFonts w:ascii="Times New Roman" w:hAnsi="Times New Roman"/>
    </w:rPr>
  </w:style>
  <w:style w:type="paragraph" w:customStyle="1" w:styleId="34">
    <w:name w:val="xl53"/>
    <w:next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rPr>
      <w:rFonts w:ascii="宋体" w:hAnsi="宋体" w:eastAsia="宋体" w:cs="Times New Roman"/>
      <w:b/>
      <w:bCs/>
      <w:lang w:val="en-US" w:eastAsia="zh-CN" w:bidi="ar-SA"/>
    </w:rPr>
  </w:style>
  <w:style w:type="table" w:customStyle="1" w:styleId="35">
    <w:name w:val="Table Normal"/>
    <w:semiHidden/>
    <w:unhideWhenUsed/>
    <w:qFormat/>
    <w:uiPriority w:val="0"/>
    <w:tblPr>
      <w:tblCellMar>
        <w:top w:w="0" w:type="dxa"/>
        <w:left w:w="0" w:type="dxa"/>
        <w:bottom w:w="0" w:type="dxa"/>
        <w:right w:w="0" w:type="dxa"/>
      </w:tblCellMar>
    </w:tblPr>
  </w:style>
  <w:style w:type="character" w:customStyle="1" w:styleId="36">
    <w:name w:val="font51"/>
    <w:basedOn w:val="29"/>
    <w:qFormat/>
    <w:uiPriority w:val="0"/>
    <w:rPr>
      <w:rFonts w:hint="default" w:ascii="Times New Roman" w:hAnsi="Times New Roman" w:cs="Times New Roman"/>
      <w:color w:val="000000"/>
      <w:sz w:val="20"/>
      <w:szCs w:val="20"/>
      <w:u w:val="none"/>
    </w:rPr>
  </w:style>
  <w:style w:type="character" w:customStyle="1" w:styleId="37">
    <w:name w:val="font11"/>
    <w:basedOn w:val="29"/>
    <w:qFormat/>
    <w:uiPriority w:val="0"/>
    <w:rPr>
      <w:rFonts w:hint="eastAsia" w:ascii="宋体" w:hAnsi="宋体" w:eastAsia="宋体" w:cs="宋体"/>
      <w:color w:val="000000"/>
      <w:sz w:val="20"/>
      <w:szCs w:val="20"/>
      <w:u w:val="none"/>
    </w:rPr>
  </w:style>
  <w:style w:type="paragraph" w:customStyle="1" w:styleId="38">
    <w:name w:val="WPSOffice手动目录 1"/>
    <w:qFormat/>
    <w:uiPriority w:val="0"/>
    <w:rPr>
      <w:rFonts w:ascii="Times New Roman" w:hAnsi="Times New Roman" w:eastAsia="宋体" w:cs="Times New Roman"/>
      <w:lang w:val="en-US" w:eastAsia="zh-CN" w:bidi="ar-SA"/>
    </w:rPr>
  </w:style>
  <w:style w:type="paragraph" w:customStyle="1" w:styleId="39">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40">
    <w:name w:val="WPSOffice手动目录 3"/>
    <w:qFormat/>
    <w:uiPriority w:val="0"/>
    <w:pPr>
      <w:ind w:left="400" w:leftChars="400"/>
    </w:pPr>
    <w:rPr>
      <w:rFonts w:ascii="Times New Roman" w:hAnsi="Times New Roman" w:eastAsia="宋体" w:cs="Times New Roman"/>
      <w:lang w:val="en-US" w:eastAsia="zh-CN" w:bidi="ar-SA"/>
    </w:rPr>
  </w:style>
  <w:style w:type="paragraph" w:styleId="41">
    <w:name w:val="List Paragraph"/>
    <w:basedOn w:val="1"/>
    <w:qFormat/>
    <w:uiPriority w:val="34"/>
    <w:pPr>
      <w:ind w:firstLine="420" w:firstLineChars="200"/>
    </w:pPr>
    <w:rPr>
      <w:rFonts w:ascii="Calibri" w:hAnsi="Calibri"/>
      <w:szCs w:val="22"/>
    </w:rPr>
  </w:style>
  <w:style w:type="character" w:customStyle="1" w:styleId="42">
    <w:name w:val="批注框文本 字符"/>
    <w:basedOn w:val="29"/>
    <w:link w:val="20"/>
    <w:qFormat/>
    <w:uiPriority w:val="0"/>
    <w:rPr>
      <w:rFonts w:ascii="Arial" w:hAnsi="Arial" w:eastAsia="Arial" w:cs="Arial"/>
      <w:snapToGrid w:val="0"/>
      <w:color w:val="000000"/>
      <w:sz w:val="18"/>
      <w:szCs w:val="18"/>
    </w:rPr>
  </w:style>
  <w:style w:type="character" w:customStyle="1" w:styleId="43">
    <w:name w:val="正文缩进 字符"/>
    <w:link w:val="7"/>
    <w:semiHidden/>
    <w:qFormat/>
    <w:locked/>
    <w:uiPriority w:val="0"/>
    <w:rPr>
      <w:rFonts w:ascii="Calibri" w:hAnsi="Calibri"/>
      <w:kern w:val="2"/>
      <w:sz w:val="21"/>
      <w:szCs w:val="24"/>
    </w:rPr>
  </w:style>
  <w:style w:type="character" w:customStyle="1" w:styleId="44">
    <w:name w:val="纯文本 字符"/>
    <w:basedOn w:val="29"/>
    <w:link w:val="15"/>
    <w:qFormat/>
    <w:uiPriority w:val="0"/>
    <w:rPr>
      <w:rFonts w:ascii="宋体" w:hAnsi="Courier New" w:cs="Arial"/>
      <w:snapToGrid w:val="0"/>
      <w:color w:val="000000"/>
      <w:sz w:val="21"/>
      <w:szCs w:val="21"/>
    </w:rPr>
  </w:style>
  <w:style w:type="character" w:customStyle="1" w:styleId="45">
    <w:name w:val="标题 字符"/>
    <w:basedOn w:val="29"/>
    <w:link w:val="13"/>
    <w:qFormat/>
    <w:uiPriority w:val="0"/>
    <w:rPr>
      <w:rFonts w:ascii="Arial" w:hAnsi="Arial" w:cs="Arial"/>
      <w:b/>
      <w:bCs/>
      <w:snapToGrid w:val="0"/>
      <w:color w:val="000000"/>
      <w:sz w:val="21"/>
      <w:szCs w:val="32"/>
    </w:rPr>
  </w:style>
  <w:style w:type="character" w:customStyle="1" w:styleId="46">
    <w:name w:val="标题 2 字符"/>
    <w:link w:val="3"/>
    <w:qFormat/>
    <w:uiPriority w:val="0"/>
    <w:rPr>
      <w:rFonts w:eastAsia="宋体" w:cstheme="minorBidi"/>
      <w:b/>
      <w:kern w:val="2"/>
      <w:sz w:val="32"/>
      <w:szCs w:val="24"/>
    </w:rPr>
  </w:style>
  <w:style w:type="paragraph" w:customStyle="1" w:styleId="47">
    <w:name w:val="样式 标题 2 + Times New Roman 四号 非加粗 段前: 5 磅 段后: 0 磅 行距: 固定值 20..."/>
    <w:basedOn w:val="3"/>
    <w:qFormat/>
    <w:uiPriority w:val="0"/>
    <w:pPr>
      <w:spacing w:before="100" w:line="400" w:lineRule="exact"/>
    </w:pPr>
    <w:rPr>
      <w:rFonts w:ascii="Times New Roman" w:hAnsi="Times New Roman" w:cs="宋体"/>
      <w:b w:val="0"/>
      <w:sz w:val="28"/>
      <w:szCs w:val="20"/>
    </w:rPr>
  </w:style>
  <w:style w:type="paragraph" w:customStyle="1" w:styleId="48">
    <w:name w:val="样式 样式1 + 首行缩进:  2 字符"/>
    <w:basedOn w:val="1"/>
    <w:qFormat/>
    <w:uiPriority w:val="0"/>
    <w:pPr>
      <w:spacing w:line="360" w:lineRule="exact"/>
      <w:ind w:firstLine="420" w:firstLineChars="200"/>
    </w:pPr>
    <w:rPr>
      <w:rFonts w:eastAsia="宋体" w:cs="宋体"/>
      <w:szCs w:val="20"/>
    </w:rPr>
  </w:style>
  <w:style w:type="paragraph" w:customStyle="1" w:styleId="49">
    <w:name w:val="+正文"/>
    <w:basedOn w:val="1"/>
    <w:qFormat/>
    <w:uiPriority w:val="0"/>
    <w:pPr>
      <w:spacing w:line="360" w:lineRule="auto"/>
      <w:ind w:firstLine="200" w:firstLineChars="200"/>
    </w:pPr>
    <w:rPr>
      <w:b/>
      <w:szCs w:val="28"/>
    </w:rPr>
  </w:style>
  <w:style w:type="paragraph" w:customStyle="1" w:styleId="50">
    <w:name w:val="Default"/>
    <w:qFormat/>
    <w:uiPriority w:val="0"/>
    <w:pPr>
      <w:widowControl w:val="0"/>
      <w:autoSpaceDE w:val="0"/>
      <w:autoSpaceDN w:val="0"/>
      <w:adjustRightInd w:val="0"/>
    </w:pPr>
    <w:rPr>
      <w:rFonts w:ascii="宋体" w:hAnsi="等线" w:eastAsia="宋体" w:cs="宋体"/>
      <w:color w:val="000000"/>
      <w:sz w:val="24"/>
      <w:szCs w:val="24"/>
      <w:lang w:val="en-US" w:eastAsia="zh-CN" w:bidi="ar-SA"/>
    </w:rPr>
  </w:style>
  <w:style w:type="paragraph" w:customStyle="1" w:styleId="51">
    <w:name w:val="！正文"/>
    <w:basedOn w:val="1"/>
    <w:qFormat/>
    <w:uiPriority w:val="0"/>
    <w:pPr>
      <w:widowControl w:val="0"/>
      <w:autoSpaceDE/>
      <w:autoSpaceDN/>
      <w:adjustRightInd/>
      <w:ind w:firstLine="200" w:firstLineChars="200"/>
      <w:jc w:val="both"/>
      <w:textAlignment w:val="auto"/>
    </w:pPr>
    <w:rPr>
      <w:rFonts w:ascii="Times New Roman" w:eastAsia="宋体"/>
      <w:kern w:val="2"/>
      <w:szCs w:val="22"/>
    </w:rPr>
  </w:style>
  <w:style w:type="paragraph" w:customStyle="1" w:styleId="52">
    <w:name w:val="技术要求正文"/>
    <w:basedOn w:val="1"/>
    <w:qFormat/>
    <w:uiPriority w:val="0"/>
    <w:rPr>
      <w:sz w:val="20"/>
    </w:rPr>
  </w:style>
  <w:style w:type="paragraph" w:customStyle="1" w:styleId="53">
    <w:name w:val="标题4"/>
    <w:basedOn w:val="1"/>
    <w:qFormat/>
    <w:uiPriority w:val="0"/>
    <w:rPr>
      <w:rFonts w:eastAsia="仿宋_GB2312"/>
      <w:sz w:val="32"/>
      <w:szCs w:val="20"/>
    </w:rPr>
  </w:style>
  <w:style w:type="character" w:customStyle="1" w:styleId="54">
    <w:name w:val="font31"/>
    <w:basedOn w:val="29"/>
    <w:qFormat/>
    <w:uiPriority w:val="0"/>
    <w:rPr>
      <w:rFonts w:hint="default" w:ascii="Times New Roman" w:hAnsi="Times New Roman" w:cs="Times New Roman"/>
      <w:color w:val="000000"/>
      <w:sz w:val="22"/>
      <w:szCs w:val="22"/>
      <w:u w:val="none"/>
    </w:rPr>
  </w:style>
  <w:style w:type="character" w:customStyle="1" w:styleId="55">
    <w:name w:val="font01"/>
    <w:basedOn w:val="29"/>
    <w:qFormat/>
    <w:uiPriority w:val="0"/>
    <w:rPr>
      <w:rFonts w:hint="eastAsia" w:ascii="宋体" w:hAnsi="宋体" w:eastAsia="宋体" w:cs="宋体"/>
      <w:color w:val="000000"/>
      <w:sz w:val="22"/>
      <w:szCs w:val="22"/>
      <w:u w:val="none"/>
    </w:rPr>
  </w:style>
  <w:style w:type="character" w:customStyle="1" w:styleId="56">
    <w:name w:val="font41"/>
    <w:basedOn w:val="29"/>
    <w:qFormat/>
    <w:uiPriority w:val="0"/>
    <w:rPr>
      <w:rFonts w:hint="default" w:ascii="Times New Roman" w:hAnsi="Times New Roman" w:cs="Times New Roman"/>
      <w:b/>
      <w:bCs/>
      <w:color w:val="000000"/>
      <w:sz w:val="22"/>
      <w:szCs w:val="22"/>
      <w:u w:val="none"/>
    </w:rPr>
  </w:style>
  <w:style w:type="paragraph" w:customStyle="1" w:styleId="57">
    <w:name w:val="Table Text"/>
    <w:basedOn w:val="1"/>
    <w:qFormat/>
    <w:uiPriority w:val="0"/>
    <w:rPr>
      <w:rFonts w:ascii="宋体" w:hAnsi="宋体" w:cs="宋体"/>
    </w:rPr>
  </w:style>
  <w:style w:type="paragraph" w:customStyle="1" w:styleId="58">
    <w:name w:val="正文文本首行缩进"/>
    <w:basedOn w:val="10"/>
    <w:qFormat/>
    <w:uiPriority w:val="0"/>
    <w:pPr>
      <w:ind w:firstLine="100" w:firstLineChars="100"/>
    </w:pPr>
  </w:style>
  <w:style w:type="paragraph" w:customStyle="1" w:styleId="59">
    <w:name w:val="Table Paragraph"/>
    <w:basedOn w:val="1"/>
    <w:qFormat/>
    <w:uiPriority w:val="0"/>
  </w:style>
  <w:style w:type="paragraph" w:customStyle="1" w:styleId="60">
    <w:name w:val="[Normal]"/>
    <w:qFormat/>
    <w:uiPriority w:val="0"/>
    <w:rPr>
      <w:rFonts w:ascii="宋体" w:hAnsi="宋体" w:eastAsia="宋体" w:cs="Times New Roman"/>
      <w:sz w:val="24"/>
      <w:szCs w:val="22"/>
      <w:lang w:val="zh-CN"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7" Type="http://schemas.openxmlformats.org/officeDocument/2006/relationships/fontTable" Target="fontTable.xml"/><Relationship Id="rId46" Type="http://schemas.openxmlformats.org/officeDocument/2006/relationships/customXml" Target="../customXml/item2.xml"/><Relationship Id="rId45" Type="http://schemas.openxmlformats.org/officeDocument/2006/relationships/numbering" Target="numbering.xml"/><Relationship Id="rId44" Type="http://schemas.openxmlformats.org/officeDocument/2006/relationships/customXml" Target="../customXml/item1.xml"/><Relationship Id="rId43" Type="http://schemas.openxmlformats.org/officeDocument/2006/relationships/image" Target="media/image2.wmf"/><Relationship Id="rId42" Type="http://schemas.openxmlformats.org/officeDocument/2006/relationships/oleObject" Target="embeddings/oleObject2.bin"/><Relationship Id="rId41" Type="http://schemas.openxmlformats.org/officeDocument/2006/relationships/image" Target="media/image1.wmf"/><Relationship Id="rId40" Type="http://schemas.openxmlformats.org/officeDocument/2006/relationships/oleObject" Target="embeddings/oleObject1.bin"/><Relationship Id="rId4" Type="http://schemas.openxmlformats.org/officeDocument/2006/relationships/footer" Target="footer1.xml"/><Relationship Id="rId39" Type="http://schemas.openxmlformats.org/officeDocument/2006/relationships/theme" Target="theme/theme1.xml"/><Relationship Id="rId38" Type="http://schemas.openxmlformats.org/officeDocument/2006/relationships/footer" Target="footer29.xml"/><Relationship Id="rId37" Type="http://schemas.openxmlformats.org/officeDocument/2006/relationships/header" Target="header7.xml"/><Relationship Id="rId36" Type="http://schemas.openxmlformats.org/officeDocument/2006/relationships/footer" Target="footer28.xml"/><Relationship Id="rId35" Type="http://schemas.openxmlformats.org/officeDocument/2006/relationships/footer" Target="footer27.xml"/><Relationship Id="rId34" Type="http://schemas.openxmlformats.org/officeDocument/2006/relationships/footer" Target="footer26.xml"/><Relationship Id="rId33" Type="http://schemas.openxmlformats.org/officeDocument/2006/relationships/footer" Target="footer25.xml"/><Relationship Id="rId32" Type="http://schemas.openxmlformats.org/officeDocument/2006/relationships/footer" Target="footer24.xml"/><Relationship Id="rId31" Type="http://schemas.openxmlformats.org/officeDocument/2006/relationships/footer" Target="footer23.xml"/><Relationship Id="rId30" Type="http://schemas.openxmlformats.org/officeDocument/2006/relationships/footer" Target="footer22.xml"/><Relationship Id="rId3" Type="http://schemas.openxmlformats.org/officeDocument/2006/relationships/header" Target="header1.xml"/><Relationship Id="rId29" Type="http://schemas.openxmlformats.org/officeDocument/2006/relationships/footer" Target="footer21.xml"/><Relationship Id="rId28" Type="http://schemas.openxmlformats.org/officeDocument/2006/relationships/footer" Target="footer20.xml"/><Relationship Id="rId27" Type="http://schemas.openxmlformats.org/officeDocument/2006/relationships/footer" Target="footer19.xml"/><Relationship Id="rId26" Type="http://schemas.openxmlformats.org/officeDocument/2006/relationships/footer" Target="footer18.xml"/><Relationship Id="rId25" Type="http://schemas.openxmlformats.org/officeDocument/2006/relationships/footer" Target="footer17.xml"/><Relationship Id="rId24" Type="http://schemas.openxmlformats.org/officeDocument/2006/relationships/footer" Target="footer16.xml"/><Relationship Id="rId23" Type="http://schemas.openxmlformats.org/officeDocument/2006/relationships/footer" Target="footer15.xml"/><Relationship Id="rId22" Type="http://schemas.openxmlformats.org/officeDocument/2006/relationships/footer" Target="footer14.xml"/><Relationship Id="rId21" Type="http://schemas.openxmlformats.org/officeDocument/2006/relationships/footer" Target="footer13.xml"/><Relationship Id="rId20" Type="http://schemas.openxmlformats.org/officeDocument/2006/relationships/footer" Target="footer12.xml"/><Relationship Id="rId2" Type="http://schemas.openxmlformats.org/officeDocument/2006/relationships/settings" Target="settings.xml"/><Relationship Id="rId19" Type="http://schemas.openxmlformats.org/officeDocument/2006/relationships/footer" Target="footer11.xml"/><Relationship Id="rId18" Type="http://schemas.openxmlformats.org/officeDocument/2006/relationships/footer" Target="footer10.xml"/><Relationship Id="rId17" Type="http://schemas.openxmlformats.org/officeDocument/2006/relationships/footer" Target="footer9.xml"/><Relationship Id="rId16" Type="http://schemas.openxmlformats.org/officeDocument/2006/relationships/header" Target="header6.xml"/><Relationship Id="rId15" Type="http://schemas.openxmlformats.org/officeDocument/2006/relationships/footer" Target="footer8.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0A912CD-9DB2-494F-98A1-A627E74E2422}">
  <ds:schemaRefs/>
</ds:datastoreItem>
</file>

<file path=docProps/app.xml><?xml version="1.0" encoding="utf-8"?>
<Properties xmlns="http://schemas.openxmlformats.org/officeDocument/2006/extended-properties" xmlns:vt="http://schemas.openxmlformats.org/officeDocument/2006/docPropsVTypes">
  <Template>Normal.dotm</Template>
  <Pages>68</Pages>
  <Words>6384</Words>
  <Characters>7089</Characters>
  <Lines>675</Lines>
  <Paragraphs>190</Paragraphs>
  <TotalTime>1</TotalTime>
  <ScaleCrop>false</ScaleCrop>
  <LinksUpToDate>false</LinksUpToDate>
  <CharactersWithSpaces>7394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2025-03-20T02:42:00Z</dcterms:created>
  <dc:creator>ASUS</dc:creator>
  <cp:keywords>()</cp:keywords>
  <cp:lastModifiedBy>FY</cp:lastModifiedBy>
  <cp:lastPrinted>2025-04-30T06:05:00Z</cp:lastPrinted>
  <dcterms:modified xsi:type="dcterms:W3CDTF">2025-04-30T06:54:18Z</dcterms:modified>
  <dc:title>(NTKOOFFICE???? ????????)</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2023-06-23T11:09:00Z</vt:filetime>
  </property>
  <property fmtid="{D5CDD505-2E9C-101B-9397-08002B2CF9AE}" pid="4" name="KSOProductBuildVer">
    <vt:lpwstr>2052-12.1.0.20305</vt:lpwstr>
  </property>
  <property fmtid="{D5CDD505-2E9C-101B-9397-08002B2CF9AE}" pid="5" name="ICV">
    <vt:lpwstr>62D5AB8B10B04ADE98A996D88327960C_13</vt:lpwstr>
  </property>
  <property fmtid="{D5CDD505-2E9C-101B-9397-08002B2CF9AE}" pid="6" name="KSOTemplateDocerSaveRecord">
    <vt:lpwstr>eyJoZGlkIjoiY2NiODQ3ODBjMDYwMGFhZTczMWUzMmIzODUxMzg0YWMiLCJ1c2VySWQiOiI2MjcwODMwMTAifQ==</vt:lpwstr>
  </property>
</Properties>
</file>