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A07A6">
      <w:pPr>
        <w:pStyle w:val="28"/>
        <w:tabs>
          <w:tab w:val="left" w:pos="3839"/>
        </w:tabs>
        <w:kinsoku w:val="0"/>
        <w:snapToGrid w:val="0"/>
        <w:spacing w:before="174" w:line="360" w:lineRule="auto"/>
        <w:ind w:right="175"/>
        <w:jc w:val="center"/>
        <w:rPr>
          <w:rFonts w:hint="eastAsia" w:asciiTheme="minorEastAsia" w:hAnsiTheme="minorEastAsia" w:eastAsiaTheme="minorEastAsia"/>
          <w:sz w:val="44"/>
          <w:szCs w:val="44"/>
          <w:highlight w:val="none"/>
          <w:lang w:eastAsia="zh-CN"/>
        </w:rPr>
      </w:pPr>
      <w:bookmarkStart w:id="0" w:name="_Toc22828050"/>
      <w:bookmarkStart w:id="1" w:name="_Toc13432"/>
    </w:p>
    <w:p w14:paraId="540F7E00">
      <w:pPr>
        <w:pStyle w:val="28"/>
        <w:tabs>
          <w:tab w:val="left" w:pos="3839"/>
        </w:tabs>
        <w:kinsoku w:val="0"/>
        <w:snapToGrid w:val="0"/>
        <w:spacing w:before="174" w:line="360" w:lineRule="auto"/>
        <w:ind w:right="175"/>
        <w:jc w:val="center"/>
        <w:rPr>
          <w:rFonts w:hint="eastAsia" w:asciiTheme="minorEastAsia" w:hAnsiTheme="minorEastAsia" w:eastAsiaTheme="minorEastAsia"/>
          <w:sz w:val="44"/>
          <w:szCs w:val="44"/>
          <w:highlight w:val="none"/>
          <w:lang w:eastAsia="zh-CN"/>
        </w:rPr>
      </w:pPr>
      <w:r>
        <w:rPr>
          <w:rFonts w:hint="eastAsia" w:asciiTheme="minorEastAsia" w:hAnsiTheme="minorEastAsia" w:eastAsiaTheme="minorEastAsia"/>
          <w:sz w:val="44"/>
          <w:szCs w:val="44"/>
          <w:highlight w:val="none"/>
          <w:lang w:eastAsia="zh-CN"/>
        </w:rPr>
        <w:t>三门县东部新区泰康路周边提升工程</w:t>
      </w:r>
    </w:p>
    <w:p w14:paraId="6C519316">
      <w:pPr>
        <w:pStyle w:val="8"/>
        <w:kinsoku w:val="0"/>
        <w:spacing w:before="2"/>
        <w:ind w:left="0"/>
        <w:rPr>
          <w:sz w:val="23"/>
          <w:szCs w:val="23"/>
          <w:highlight w:val="none"/>
        </w:rPr>
      </w:pPr>
    </w:p>
    <w:p w14:paraId="12311160">
      <w:pPr>
        <w:pStyle w:val="20"/>
        <w:ind w:firstLine="210"/>
        <w:rPr>
          <w:highlight w:val="none"/>
        </w:rPr>
      </w:pPr>
    </w:p>
    <w:p w14:paraId="0EDCCB30">
      <w:pPr>
        <w:rPr>
          <w:highlight w:val="none"/>
        </w:rPr>
      </w:pPr>
    </w:p>
    <w:p w14:paraId="11048AA4">
      <w:pPr>
        <w:pStyle w:val="8"/>
        <w:tabs>
          <w:tab w:val="left" w:pos="5834"/>
        </w:tabs>
        <w:kinsoku w:val="0"/>
        <w:spacing w:before="14"/>
        <w:ind w:left="0" w:right="175"/>
        <w:jc w:val="center"/>
        <w:rPr>
          <w:sz w:val="28"/>
          <w:szCs w:val="28"/>
          <w:highlight w:val="none"/>
        </w:rPr>
      </w:pPr>
      <w:r>
        <w:rPr>
          <w:rFonts w:hint="eastAsia"/>
          <w:spacing w:val="-1"/>
          <w:sz w:val="28"/>
          <w:szCs w:val="28"/>
          <w:highlight w:val="none"/>
        </w:rPr>
        <w:t>（招标编号：</w:t>
      </w:r>
      <w:r>
        <w:rPr>
          <w:rFonts w:hint="eastAsia"/>
          <w:spacing w:val="-1"/>
          <w:sz w:val="28"/>
          <w:szCs w:val="28"/>
          <w:highlight w:val="none"/>
          <w:lang w:eastAsia="zh-CN"/>
        </w:rPr>
        <w:t>三招建备</w:t>
      </w:r>
      <w:r>
        <w:rPr>
          <w:rFonts w:hint="eastAsia"/>
          <w:spacing w:val="-1"/>
          <w:sz w:val="28"/>
          <w:szCs w:val="28"/>
          <w:highlight w:val="none"/>
          <w:lang w:val="en-US" w:eastAsia="zh-CN"/>
        </w:rPr>
        <w:t>2024-089</w:t>
      </w:r>
      <w:r>
        <w:rPr>
          <w:rFonts w:hint="eastAsia"/>
          <w:spacing w:val="-1"/>
          <w:sz w:val="28"/>
          <w:szCs w:val="28"/>
          <w:highlight w:val="none"/>
          <w:lang w:eastAsia="zh-CN"/>
        </w:rPr>
        <w:t>号</w:t>
      </w:r>
      <w:r>
        <w:rPr>
          <w:rFonts w:hint="eastAsia"/>
          <w:sz w:val="28"/>
          <w:szCs w:val="28"/>
          <w:highlight w:val="none"/>
        </w:rPr>
        <w:t>）</w:t>
      </w:r>
    </w:p>
    <w:p w14:paraId="56DAFC9D">
      <w:pPr>
        <w:pStyle w:val="8"/>
        <w:kinsoku w:val="0"/>
        <w:ind w:left="0"/>
        <w:rPr>
          <w:sz w:val="20"/>
          <w:szCs w:val="20"/>
          <w:highlight w:val="none"/>
        </w:rPr>
      </w:pPr>
    </w:p>
    <w:p w14:paraId="7FB7E3AD">
      <w:pPr>
        <w:pStyle w:val="8"/>
        <w:kinsoku w:val="0"/>
        <w:ind w:left="0"/>
        <w:rPr>
          <w:sz w:val="20"/>
          <w:szCs w:val="20"/>
          <w:highlight w:val="none"/>
        </w:rPr>
      </w:pPr>
    </w:p>
    <w:p w14:paraId="44DBD3F2">
      <w:pPr>
        <w:pStyle w:val="8"/>
        <w:kinsoku w:val="0"/>
        <w:ind w:left="0"/>
        <w:rPr>
          <w:sz w:val="20"/>
          <w:szCs w:val="20"/>
          <w:highlight w:val="none"/>
        </w:rPr>
      </w:pPr>
    </w:p>
    <w:p w14:paraId="0443C5CA">
      <w:pPr>
        <w:pStyle w:val="8"/>
        <w:kinsoku w:val="0"/>
        <w:ind w:left="0"/>
        <w:rPr>
          <w:sz w:val="20"/>
          <w:szCs w:val="20"/>
          <w:highlight w:val="none"/>
        </w:rPr>
      </w:pPr>
    </w:p>
    <w:p w14:paraId="2F55B3D4">
      <w:pPr>
        <w:pStyle w:val="8"/>
        <w:kinsoku w:val="0"/>
        <w:ind w:left="0"/>
        <w:rPr>
          <w:sz w:val="20"/>
          <w:szCs w:val="20"/>
          <w:highlight w:val="none"/>
        </w:rPr>
      </w:pPr>
    </w:p>
    <w:p w14:paraId="1383034F">
      <w:pPr>
        <w:pStyle w:val="8"/>
        <w:kinsoku w:val="0"/>
        <w:spacing w:before="106"/>
        <w:ind w:right="4"/>
        <w:jc w:val="center"/>
        <w:rPr>
          <w:b/>
          <w:bCs/>
          <w:kern w:val="2"/>
          <w:sz w:val="96"/>
          <w:highlight w:val="none"/>
        </w:rPr>
      </w:pPr>
    </w:p>
    <w:p w14:paraId="784D29D6">
      <w:pPr>
        <w:pStyle w:val="8"/>
        <w:kinsoku w:val="0"/>
        <w:spacing w:before="106"/>
        <w:ind w:right="4"/>
        <w:jc w:val="center"/>
        <w:rPr>
          <w:b/>
          <w:bCs/>
          <w:kern w:val="2"/>
          <w:sz w:val="96"/>
          <w:highlight w:val="none"/>
        </w:rPr>
      </w:pPr>
      <w:r>
        <w:rPr>
          <w:rFonts w:hint="eastAsia"/>
          <w:b/>
          <w:bCs/>
          <w:kern w:val="2"/>
          <w:sz w:val="96"/>
          <w:highlight w:val="none"/>
        </w:rPr>
        <w:t>招标文件</w:t>
      </w:r>
    </w:p>
    <w:p w14:paraId="3229E735">
      <w:pPr>
        <w:pStyle w:val="20"/>
        <w:ind w:firstLine="210"/>
        <w:rPr>
          <w:highlight w:val="none"/>
        </w:rPr>
      </w:pPr>
    </w:p>
    <w:p w14:paraId="3A330744">
      <w:pPr>
        <w:pStyle w:val="20"/>
        <w:ind w:firstLine="210"/>
        <w:rPr>
          <w:highlight w:val="none"/>
        </w:rPr>
      </w:pPr>
    </w:p>
    <w:p w14:paraId="038D5836">
      <w:pPr>
        <w:pStyle w:val="8"/>
        <w:kinsoku w:val="0"/>
        <w:ind w:left="0"/>
        <w:rPr>
          <w:sz w:val="44"/>
          <w:szCs w:val="44"/>
          <w:highlight w:val="none"/>
        </w:rPr>
      </w:pPr>
    </w:p>
    <w:p w14:paraId="60045FB1">
      <w:pPr>
        <w:pStyle w:val="20"/>
        <w:ind w:firstLine="440"/>
        <w:rPr>
          <w:sz w:val="44"/>
          <w:szCs w:val="44"/>
          <w:highlight w:val="none"/>
        </w:rPr>
      </w:pPr>
    </w:p>
    <w:p w14:paraId="275C9670">
      <w:pPr>
        <w:pStyle w:val="17"/>
        <w:ind w:left="2400"/>
        <w:rPr>
          <w:sz w:val="44"/>
          <w:szCs w:val="44"/>
          <w:highlight w:val="none"/>
        </w:rPr>
      </w:pPr>
    </w:p>
    <w:p w14:paraId="46B2BFC9">
      <w:pPr>
        <w:pStyle w:val="8"/>
        <w:tabs>
          <w:tab w:val="left" w:pos="2593"/>
        </w:tabs>
        <w:kinsoku w:val="0"/>
        <w:spacing w:line="360" w:lineRule="auto"/>
        <w:ind w:left="0" w:firstLine="1120" w:firstLineChars="400"/>
        <w:jc w:val="distribute"/>
        <w:rPr>
          <w:rFonts w:hint="eastAsia" w:eastAsia="宋体"/>
          <w:sz w:val="28"/>
          <w:szCs w:val="28"/>
          <w:highlight w:val="none"/>
          <w:lang w:eastAsia="zh-CN"/>
        </w:rPr>
      </w:pPr>
      <w:r>
        <w:rPr>
          <w:rFonts w:hint="eastAsia"/>
          <w:sz w:val="28"/>
          <w:szCs w:val="28"/>
          <w:highlight w:val="none"/>
        </w:rPr>
        <w:t>招标人：</w:t>
      </w:r>
      <w:r>
        <w:rPr>
          <w:rFonts w:hint="eastAsia"/>
          <w:sz w:val="28"/>
          <w:szCs w:val="28"/>
          <w:highlight w:val="none"/>
          <w:lang w:eastAsia="zh-CN"/>
        </w:rPr>
        <w:t>浙江三门经济开发区管理委员会</w:t>
      </w:r>
    </w:p>
    <w:p w14:paraId="64741864">
      <w:pPr>
        <w:ind w:firstLine="1120" w:firstLineChars="400"/>
        <w:jc w:val="distribute"/>
        <w:rPr>
          <w:sz w:val="28"/>
          <w:szCs w:val="28"/>
          <w:highlight w:val="none"/>
        </w:rPr>
      </w:pPr>
    </w:p>
    <w:p w14:paraId="16290C33">
      <w:pPr>
        <w:pStyle w:val="8"/>
        <w:tabs>
          <w:tab w:val="left" w:pos="2593"/>
        </w:tabs>
        <w:kinsoku w:val="0"/>
        <w:spacing w:line="360" w:lineRule="auto"/>
        <w:ind w:left="0" w:firstLine="1120" w:firstLineChars="400"/>
        <w:jc w:val="distribute"/>
        <w:rPr>
          <w:rFonts w:hint="eastAsia" w:eastAsia="宋体"/>
          <w:sz w:val="28"/>
          <w:szCs w:val="28"/>
          <w:highlight w:val="none"/>
          <w:u w:val="single"/>
          <w:lang w:eastAsia="zh-CN"/>
        </w:rPr>
      </w:pPr>
      <w:r>
        <w:rPr>
          <w:rFonts w:hint="eastAsia"/>
          <w:sz w:val="28"/>
          <w:szCs w:val="28"/>
          <w:highlight w:val="none"/>
        </w:rPr>
        <w:t>招标代理机构：</w:t>
      </w:r>
      <w:r>
        <w:rPr>
          <w:rFonts w:hint="eastAsia"/>
          <w:sz w:val="28"/>
          <w:szCs w:val="28"/>
          <w:highlight w:val="none"/>
          <w:lang w:eastAsia="zh-CN"/>
        </w:rPr>
        <w:t>浙江衡达工程咨询有限公司</w:t>
      </w:r>
    </w:p>
    <w:p w14:paraId="3D6826C9">
      <w:pPr>
        <w:pStyle w:val="20"/>
        <w:ind w:firstLine="840" w:firstLineChars="400"/>
        <w:jc w:val="distribute"/>
        <w:rPr>
          <w:highlight w:val="none"/>
        </w:rPr>
      </w:pPr>
    </w:p>
    <w:p w14:paraId="24A22D53">
      <w:pPr>
        <w:pStyle w:val="20"/>
        <w:ind w:left="0" w:firstLine="1120" w:firstLineChars="400"/>
        <w:jc w:val="distribute"/>
        <w:rPr>
          <w:rFonts w:hint="eastAsia" w:eastAsia="宋体"/>
          <w:highlight w:val="none"/>
          <w:lang w:eastAsia="zh-CN"/>
        </w:rPr>
      </w:pPr>
      <w:r>
        <w:rPr>
          <w:sz w:val="28"/>
          <w:szCs w:val="28"/>
          <w:highlight w:val="none"/>
        </w:rPr>
        <w:t>行业</w:t>
      </w:r>
      <w:r>
        <w:rPr>
          <w:rFonts w:hint="eastAsia"/>
          <w:sz w:val="28"/>
          <w:szCs w:val="28"/>
          <w:highlight w:val="none"/>
        </w:rPr>
        <w:t>主</w:t>
      </w:r>
      <w:r>
        <w:rPr>
          <w:sz w:val="28"/>
          <w:szCs w:val="28"/>
          <w:highlight w:val="none"/>
        </w:rPr>
        <w:t>管部门</w:t>
      </w:r>
      <w:r>
        <w:rPr>
          <w:rFonts w:hint="eastAsia"/>
          <w:sz w:val="28"/>
          <w:szCs w:val="28"/>
          <w:highlight w:val="none"/>
        </w:rPr>
        <w:t>：</w:t>
      </w:r>
      <w:r>
        <w:rPr>
          <w:rFonts w:hint="eastAsia"/>
          <w:sz w:val="28"/>
          <w:szCs w:val="28"/>
          <w:highlight w:val="none"/>
          <w:lang w:eastAsia="zh-CN"/>
        </w:rPr>
        <w:t>三门县住房和城乡建设局</w:t>
      </w:r>
    </w:p>
    <w:p w14:paraId="78F6AB50">
      <w:pPr>
        <w:pStyle w:val="8"/>
        <w:tabs>
          <w:tab w:val="left" w:pos="3611"/>
          <w:tab w:val="left" w:pos="4626"/>
          <w:tab w:val="left" w:pos="5642"/>
        </w:tabs>
        <w:kinsoku w:val="0"/>
        <w:spacing w:before="14" w:line="360" w:lineRule="auto"/>
        <w:ind w:left="0" w:right="175"/>
        <w:rPr>
          <w:color w:val="0000FF"/>
          <w:sz w:val="28"/>
          <w:szCs w:val="28"/>
          <w:highlight w:val="none"/>
          <w:u w:val="single"/>
        </w:rPr>
      </w:pPr>
    </w:p>
    <w:p w14:paraId="46469C33">
      <w:pPr>
        <w:spacing w:line="400" w:lineRule="exact"/>
        <w:jc w:val="center"/>
        <w:rPr>
          <w:rFonts w:hint="eastAsia" w:ascii="Times New Roman" w:hAnsi="Times New Roman" w:eastAsia="宋体" w:cs="Times New Roman"/>
          <w:sz w:val="28"/>
          <w:szCs w:val="28"/>
          <w:highlight w:val="none"/>
          <w:lang w:val="en-US" w:eastAsia="zh-CN" w:bidi="ar-SA"/>
        </w:rPr>
      </w:pPr>
      <w:r>
        <w:rPr>
          <w:rFonts w:hint="eastAsia" w:ascii="Times New Roman" w:hAnsi="Times New Roman" w:eastAsia="宋体" w:cs="Times New Roman"/>
          <w:sz w:val="28"/>
          <w:szCs w:val="28"/>
          <w:highlight w:val="none"/>
          <w:lang w:val="en-US" w:eastAsia="zh-CN" w:bidi="ar-SA"/>
        </w:rPr>
        <w:fldChar w:fldCharType="begin"/>
      </w:r>
      <w:r>
        <w:rPr>
          <w:rFonts w:hint="eastAsia" w:ascii="Times New Roman" w:hAnsi="Times New Roman" w:eastAsia="宋体" w:cs="Times New Roman"/>
          <w:sz w:val="28"/>
          <w:szCs w:val="28"/>
          <w:highlight w:val="none"/>
          <w:lang w:val="en-US" w:eastAsia="zh-CN" w:bidi="ar-SA"/>
        </w:rPr>
        <w:instrText xml:space="preserve">DATE \@ "EEEE年O月"</w:instrText>
      </w:r>
      <w:r>
        <w:rPr>
          <w:rFonts w:hint="eastAsia" w:ascii="Times New Roman" w:hAnsi="Times New Roman" w:eastAsia="宋体" w:cs="Times New Roman"/>
          <w:sz w:val="28"/>
          <w:szCs w:val="28"/>
          <w:highlight w:val="none"/>
          <w:lang w:val="en-US" w:eastAsia="zh-CN" w:bidi="ar-SA"/>
        </w:rPr>
        <w:fldChar w:fldCharType="separate"/>
      </w:r>
      <w:r>
        <w:rPr>
          <w:rFonts w:hint="eastAsia" w:ascii="Times New Roman" w:hAnsi="Times New Roman" w:eastAsia="宋体" w:cs="Times New Roman"/>
          <w:sz w:val="28"/>
          <w:szCs w:val="28"/>
          <w:highlight w:val="none"/>
          <w:lang w:val="en-US" w:eastAsia="zh-CN" w:bidi="ar-SA"/>
        </w:rPr>
        <w:t>二〇二四年十一月</w:t>
      </w:r>
      <w:r>
        <w:rPr>
          <w:rFonts w:hint="eastAsia" w:ascii="Times New Roman" w:hAnsi="Times New Roman" w:eastAsia="宋体" w:cs="Times New Roman"/>
          <w:sz w:val="28"/>
          <w:szCs w:val="28"/>
          <w:highlight w:val="none"/>
          <w:lang w:val="en-US" w:eastAsia="zh-CN" w:bidi="ar-SA"/>
        </w:rPr>
        <w:fldChar w:fldCharType="end"/>
      </w:r>
    </w:p>
    <w:p w14:paraId="47BFE9D0">
      <w:pPr>
        <w:rPr>
          <w:rFonts w:hint="eastAsia" w:ascii="宋体" w:hAnsi="宋体"/>
          <w:b/>
          <w:bCs/>
          <w:sz w:val="48"/>
          <w:szCs w:val="48"/>
          <w:highlight w:val="none"/>
        </w:rPr>
      </w:pPr>
      <w:r>
        <w:rPr>
          <w:rFonts w:hint="eastAsia" w:ascii="宋体" w:hAnsi="宋体"/>
          <w:b/>
          <w:bCs/>
          <w:sz w:val="48"/>
          <w:szCs w:val="48"/>
          <w:highlight w:val="none"/>
        </w:rPr>
        <w:br w:type="page"/>
      </w:r>
    </w:p>
    <w:tbl>
      <w:tblPr>
        <w:tblStyle w:val="21"/>
        <w:tblpPr w:leftFromText="180" w:rightFromText="180" w:vertAnchor="page" w:horzAnchor="margin" w:tblpXSpec="center" w:tblpY="160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14:paraId="6542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8" w:hRule="atLeast"/>
        </w:trPr>
        <w:tc>
          <w:tcPr>
            <w:tcW w:w="9180" w:type="dxa"/>
            <w:noWrap w:val="0"/>
            <w:vAlign w:val="top"/>
          </w:tcPr>
          <w:p w14:paraId="425A200E">
            <w:pPr>
              <w:spacing w:line="400" w:lineRule="exact"/>
              <w:jc w:val="center"/>
              <w:rPr>
                <w:rFonts w:hint="eastAsia" w:ascii="宋体" w:hAnsi="宋体" w:cs="宋体"/>
                <w:bCs/>
                <w:color w:val="000000"/>
                <w:sz w:val="44"/>
                <w:szCs w:val="20"/>
              </w:rPr>
            </w:pPr>
          </w:p>
          <w:p w14:paraId="2F9FAD07">
            <w:pPr>
              <w:spacing w:line="640" w:lineRule="exact"/>
              <w:jc w:val="center"/>
              <w:rPr>
                <w:rFonts w:hint="eastAsia" w:ascii="宋体" w:hAnsi="宋体" w:cs="宋体"/>
                <w:color w:val="000000"/>
                <w:sz w:val="32"/>
                <w:szCs w:val="32"/>
              </w:rPr>
            </w:pPr>
            <w:r>
              <w:rPr>
                <w:rFonts w:hint="eastAsia" w:ascii="宋体" w:hAnsi="宋体" w:cs="宋体"/>
                <w:bCs/>
                <w:color w:val="000000"/>
                <w:sz w:val="44"/>
                <w:szCs w:val="20"/>
              </w:rPr>
              <w:t>三   门   县</w:t>
            </w:r>
          </w:p>
          <w:p w14:paraId="50E73298">
            <w:pPr>
              <w:spacing w:line="1100" w:lineRule="exact"/>
              <w:jc w:val="center"/>
              <w:rPr>
                <w:rFonts w:hint="eastAsia" w:ascii="宋体" w:hAnsi="宋体" w:cs="宋体"/>
                <w:bCs/>
                <w:color w:val="000000"/>
                <w:spacing w:val="120"/>
                <w:sz w:val="44"/>
                <w:szCs w:val="20"/>
              </w:rPr>
            </w:pPr>
            <w:r>
              <w:rPr>
                <w:rFonts w:hint="eastAsia" w:ascii="宋体" w:hAnsi="宋体" w:cs="宋体"/>
                <w:bCs/>
                <w:color w:val="000000"/>
                <w:spacing w:val="120"/>
                <w:sz w:val="44"/>
                <w:szCs w:val="20"/>
              </w:rPr>
              <w:t>建设工程招标文件</w:t>
            </w:r>
          </w:p>
          <w:p w14:paraId="07D7A859">
            <w:pPr>
              <w:spacing w:before="240" w:beforeLines="100" w:line="440" w:lineRule="exact"/>
              <w:jc w:val="center"/>
              <w:rPr>
                <w:rFonts w:hint="eastAsia" w:ascii="宋体" w:hAnsi="宋体" w:cs="宋体"/>
                <w:bCs/>
                <w:color w:val="000000"/>
                <w:sz w:val="32"/>
                <w:szCs w:val="20"/>
              </w:rPr>
            </w:pPr>
            <w:r>
              <w:rPr>
                <w:rFonts w:hint="eastAsia" w:ascii="宋体" w:hAnsi="宋体" w:cs="宋体"/>
                <w:bCs/>
                <w:color w:val="000000"/>
                <w:sz w:val="32"/>
                <w:szCs w:val="20"/>
              </w:rPr>
              <w:t>备案登记号：</w:t>
            </w:r>
            <w:r>
              <w:rPr>
                <w:rFonts w:hint="eastAsia" w:ascii="宋体" w:hAnsi="宋体" w:cs="宋体"/>
                <w:bCs/>
                <w:color w:val="000000"/>
                <w:sz w:val="32"/>
                <w:szCs w:val="20"/>
                <w:lang w:eastAsia="zh-CN"/>
              </w:rPr>
              <w:t>三招建备</w:t>
            </w:r>
            <w:r>
              <w:rPr>
                <w:rFonts w:hint="eastAsia" w:ascii="宋体" w:hAnsi="宋体" w:cs="宋体"/>
                <w:bCs/>
                <w:color w:val="000000"/>
                <w:sz w:val="32"/>
                <w:szCs w:val="20"/>
                <w:lang w:val="en-US" w:eastAsia="zh-CN"/>
              </w:rPr>
              <w:t>2024-089</w:t>
            </w:r>
            <w:r>
              <w:rPr>
                <w:rFonts w:hint="eastAsia" w:ascii="宋体" w:hAnsi="宋体" w:cs="宋体"/>
                <w:bCs/>
                <w:color w:val="000000"/>
                <w:sz w:val="32"/>
                <w:szCs w:val="20"/>
                <w:lang w:eastAsia="zh-CN"/>
              </w:rPr>
              <w:t>号</w:t>
            </w:r>
          </w:p>
          <w:p w14:paraId="4E9BB724">
            <w:pPr>
              <w:spacing w:line="640" w:lineRule="exact"/>
              <w:ind w:left="210" w:firstLine="645" w:firstLineChars="269"/>
              <w:rPr>
                <w:rFonts w:hint="eastAsia" w:ascii="宋体" w:hAnsi="宋体" w:cs="宋体"/>
                <w:bCs/>
                <w:color w:val="000000"/>
              </w:rPr>
            </w:pPr>
          </w:p>
          <w:p w14:paraId="748458DD">
            <w:pPr>
              <w:pStyle w:val="28"/>
              <w:tabs>
                <w:tab w:val="left" w:pos="3839"/>
              </w:tabs>
              <w:kinsoku w:val="0"/>
              <w:snapToGrid w:val="0"/>
              <w:spacing w:before="174" w:line="360" w:lineRule="auto"/>
              <w:ind w:right="175"/>
              <w:jc w:val="center"/>
              <w:rPr>
                <w:rFonts w:hint="eastAsia" w:asciiTheme="minorEastAsia" w:hAnsiTheme="minorEastAsia" w:eastAsiaTheme="minorEastAsia"/>
                <w:sz w:val="44"/>
                <w:szCs w:val="44"/>
                <w:highlight w:val="none"/>
                <w:lang w:eastAsia="zh-CN"/>
              </w:rPr>
            </w:pPr>
            <w:r>
              <w:rPr>
                <w:rFonts w:hint="eastAsia" w:ascii="宋体" w:hAnsi="宋体" w:cs="宋体"/>
                <w:b/>
                <w:bCs/>
                <w:color w:val="000000"/>
                <w:sz w:val="36"/>
                <w:szCs w:val="36"/>
              </w:rPr>
              <w:t xml:space="preserve">     </w:t>
            </w:r>
            <w:r>
              <w:rPr>
                <w:rFonts w:hint="eastAsia" w:ascii="宋体" w:hAnsi="宋体" w:cs="宋体"/>
                <w:b/>
                <w:bCs/>
                <w:color w:val="000000"/>
                <w:sz w:val="32"/>
                <w:szCs w:val="32"/>
              </w:rPr>
              <w:t>项目名称：</w:t>
            </w:r>
            <w:r>
              <w:rPr>
                <w:rFonts w:hint="eastAsia" w:ascii="宋体" w:hAnsi="宋体" w:cs="宋体"/>
                <w:b/>
                <w:bCs/>
                <w:color w:val="000000"/>
                <w:sz w:val="32"/>
                <w:szCs w:val="32"/>
                <w:lang w:eastAsia="zh-CN"/>
              </w:rPr>
              <w:t>三门县东部新区泰康路周边提升工程</w:t>
            </w:r>
          </w:p>
          <w:p w14:paraId="0EB68F18">
            <w:pPr>
              <w:spacing w:line="640" w:lineRule="exact"/>
              <w:rPr>
                <w:rFonts w:hint="eastAsia" w:ascii="宋体" w:hAnsi="宋体" w:cs="宋体"/>
                <w:bCs/>
                <w:color w:val="000000"/>
                <w:sz w:val="32"/>
                <w:szCs w:val="20"/>
              </w:rPr>
            </w:pPr>
          </w:p>
          <w:p w14:paraId="6F115E97">
            <w:pPr>
              <w:spacing w:line="640" w:lineRule="exact"/>
              <w:ind w:left="210" w:firstLine="860" w:firstLineChars="269"/>
              <w:rPr>
                <w:rFonts w:hint="eastAsia" w:ascii="宋体" w:hAnsi="宋体" w:cs="宋体"/>
                <w:bCs/>
                <w:color w:val="000000"/>
                <w:sz w:val="32"/>
                <w:szCs w:val="20"/>
              </w:rPr>
            </w:pPr>
            <w:r>
              <w:rPr>
                <w:rFonts w:hint="eastAsia" w:ascii="宋体" w:hAnsi="宋体" w:cs="宋体"/>
                <w:bCs/>
                <w:color w:val="000000"/>
                <w:sz w:val="32"/>
                <w:szCs w:val="20"/>
              </w:rPr>
              <w:t>招 标 人：浙江三门经济开发区管理委员会</w:t>
            </w:r>
            <w:r>
              <w:rPr>
                <w:rFonts w:hint="eastAsia" w:ascii="宋体" w:hAnsi="宋体" w:cs="宋体"/>
                <w:bCs/>
                <w:sz w:val="32"/>
                <w:szCs w:val="20"/>
              </w:rPr>
              <w:t>（</w:t>
            </w:r>
            <w:r>
              <w:rPr>
                <w:rFonts w:hint="eastAsia" w:ascii="宋体" w:hAnsi="宋体" w:cs="宋体"/>
                <w:bCs/>
                <w:color w:val="000000"/>
                <w:sz w:val="32"/>
                <w:szCs w:val="20"/>
              </w:rPr>
              <w:t>盖章）</w:t>
            </w:r>
          </w:p>
          <w:p w14:paraId="533FEEF6">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王陈</w:t>
            </w:r>
          </w:p>
          <w:p w14:paraId="59785217">
            <w:pPr>
              <w:spacing w:line="640" w:lineRule="exact"/>
              <w:ind w:left="210" w:firstLine="860" w:firstLineChars="269"/>
              <w:rPr>
                <w:rFonts w:hint="eastAsia" w:ascii="宋体" w:hAnsi="宋体" w:cs="宋体"/>
                <w:bCs/>
                <w:color w:val="000000"/>
                <w:sz w:val="32"/>
                <w:szCs w:val="20"/>
              </w:rPr>
            </w:pPr>
            <w:r>
              <w:rPr>
                <w:rFonts w:hint="eastAsia" w:ascii="宋体" w:hAnsi="宋体" w:cs="宋体"/>
                <w:bCs/>
                <w:color w:val="000000"/>
                <w:sz w:val="32"/>
                <w:szCs w:val="20"/>
              </w:rPr>
              <w:t>联系电话</w:t>
            </w:r>
            <w:r>
              <w:rPr>
                <w:rFonts w:hint="eastAsia" w:ascii="宋体" w:hAnsi="宋体" w:eastAsia="宋体" w:cs="宋体"/>
                <w:bCs/>
                <w:color w:val="000000"/>
                <w:sz w:val="32"/>
                <w:szCs w:val="20"/>
              </w:rPr>
              <w:t>：</w:t>
            </w:r>
            <w:r>
              <w:rPr>
                <w:rFonts w:hint="eastAsia" w:ascii="宋体" w:hAnsi="宋体" w:eastAsia="宋体" w:cs="宋体"/>
                <w:bCs/>
                <w:color w:val="000000"/>
                <w:sz w:val="32"/>
                <w:szCs w:val="20"/>
                <w:lang w:eastAsia="zh-CN"/>
              </w:rPr>
              <w:t>15207676575</w:t>
            </w:r>
          </w:p>
          <w:p w14:paraId="221FF863">
            <w:pPr>
              <w:spacing w:line="640" w:lineRule="exact"/>
              <w:ind w:left="210" w:firstLine="860" w:firstLineChars="269"/>
              <w:rPr>
                <w:rFonts w:hint="eastAsia" w:ascii="宋体" w:hAnsi="宋体" w:cs="宋体"/>
                <w:bCs/>
                <w:color w:val="000000"/>
                <w:sz w:val="32"/>
                <w:szCs w:val="20"/>
              </w:rPr>
            </w:pPr>
          </w:p>
          <w:p w14:paraId="0EC227B8">
            <w:pPr>
              <w:spacing w:line="640" w:lineRule="exact"/>
              <w:ind w:left="210" w:firstLine="860" w:firstLineChars="269"/>
              <w:rPr>
                <w:rFonts w:hint="eastAsia" w:ascii="宋体" w:hAnsi="宋体" w:cs="宋体"/>
                <w:bCs/>
                <w:color w:val="000000"/>
                <w:sz w:val="32"/>
                <w:szCs w:val="20"/>
              </w:rPr>
            </w:pPr>
            <w:r>
              <w:rPr>
                <w:rFonts w:hint="eastAsia" w:ascii="宋体" w:hAnsi="宋体" w:cs="宋体"/>
                <w:bCs/>
                <w:color w:val="000000"/>
                <w:sz w:val="32"/>
                <w:szCs w:val="20"/>
              </w:rPr>
              <w:t>招标代理：浙江衡达工程咨询有限公司（盖章）</w:t>
            </w:r>
          </w:p>
          <w:p w14:paraId="130A126E">
            <w:pPr>
              <w:spacing w:line="640" w:lineRule="exact"/>
              <w:ind w:left="210" w:firstLine="860" w:firstLineChars="269"/>
              <w:rPr>
                <w:rFonts w:hint="eastAsia" w:ascii="宋体" w:hAnsi="宋体" w:cs="宋体"/>
                <w:bCs/>
                <w:color w:val="000000"/>
                <w:sz w:val="32"/>
                <w:szCs w:val="20"/>
              </w:rPr>
            </w:pPr>
            <w:r>
              <w:rPr>
                <w:rFonts w:hint="eastAsia" w:ascii="宋体" w:hAnsi="宋体" w:cs="宋体"/>
                <w:bCs/>
                <w:color w:val="000000"/>
                <w:sz w:val="32"/>
                <w:szCs w:val="20"/>
              </w:rPr>
              <w:t>联 系 人：陈娟娟</w:t>
            </w:r>
          </w:p>
          <w:p w14:paraId="626402D0">
            <w:pPr>
              <w:spacing w:line="640" w:lineRule="exact"/>
              <w:ind w:left="210" w:firstLine="860" w:firstLineChars="269"/>
              <w:rPr>
                <w:rFonts w:hint="eastAsia" w:ascii="宋体" w:hAnsi="宋体" w:cs="宋体"/>
                <w:bCs/>
                <w:color w:val="000000"/>
                <w:sz w:val="32"/>
                <w:szCs w:val="20"/>
              </w:rPr>
            </w:pPr>
            <w:r>
              <w:rPr>
                <w:rFonts w:hint="eastAsia" w:ascii="宋体" w:hAnsi="宋体" w:cs="宋体"/>
                <w:bCs/>
                <w:color w:val="000000"/>
                <w:sz w:val="32"/>
                <w:szCs w:val="20"/>
              </w:rPr>
              <w:t>联系电话：0576-89300193</w:t>
            </w:r>
          </w:p>
          <w:p w14:paraId="0A4E4F6A">
            <w:pPr>
              <w:pStyle w:val="14"/>
              <w:rPr>
                <w:rFonts w:hint="eastAsia"/>
              </w:rPr>
            </w:pPr>
          </w:p>
          <w:p w14:paraId="367921D9">
            <w:pPr>
              <w:spacing w:line="640" w:lineRule="exact"/>
              <w:ind w:left="210" w:firstLine="860" w:firstLineChars="269"/>
              <w:rPr>
                <w:rFonts w:hint="eastAsia" w:ascii="宋体" w:hAnsi="宋体" w:cs="宋体"/>
                <w:bCs/>
                <w:color w:val="000000"/>
              </w:rPr>
            </w:pPr>
            <w:r>
              <w:rPr>
                <w:rFonts w:hint="eastAsia" w:ascii="宋体" w:hAnsi="宋体" w:cs="宋体"/>
                <w:bCs/>
                <w:color w:val="000000"/>
                <w:sz w:val="32"/>
                <w:szCs w:val="20"/>
              </w:rPr>
              <w:t>行业主管部门：三门县住房和城乡建设局（盖章）</w:t>
            </w:r>
          </w:p>
          <w:p w14:paraId="7EF9B32B">
            <w:pPr>
              <w:spacing w:line="640" w:lineRule="exact"/>
              <w:rPr>
                <w:rFonts w:hint="eastAsia" w:ascii="宋体" w:hAnsi="宋体" w:cs="宋体"/>
                <w:bCs/>
                <w:color w:val="000000"/>
              </w:rPr>
            </w:pPr>
          </w:p>
          <w:p w14:paraId="61160900">
            <w:pPr>
              <w:adjustRightInd w:val="0"/>
              <w:snapToGrid w:val="0"/>
              <w:spacing w:line="440" w:lineRule="exact"/>
              <w:jc w:val="center"/>
              <w:rPr>
                <w:rFonts w:hint="eastAsia" w:ascii="宋体" w:hAnsi="宋体" w:cs="宋体"/>
                <w:sz w:val="28"/>
                <w:szCs w:val="28"/>
              </w:rPr>
            </w:pPr>
            <w:r>
              <w:rPr>
                <w:rFonts w:hint="eastAsia"/>
                <w:sz w:val="28"/>
                <w:szCs w:val="28"/>
              </w:rPr>
              <w:t>二〇二</w:t>
            </w:r>
            <w:r>
              <w:rPr>
                <w:rFonts w:hint="eastAsia"/>
                <w:sz w:val="28"/>
                <w:szCs w:val="28"/>
                <w:lang w:val="en-US" w:eastAsia="zh-CN"/>
              </w:rPr>
              <w:t>四</w:t>
            </w:r>
            <w:r>
              <w:rPr>
                <w:rFonts w:hint="eastAsia"/>
                <w:sz w:val="28"/>
                <w:szCs w:val="28"/>
              </w:rPr>
              <w:t>年十</w:t>
            </w:r>
            <w:r>
              <w:rPr>
                <w:rFonts w:hint="eastAsia"/>
                <w:sz w:val="28"/>
                <w:szCs w:val="28"/>
                <w:lang w:val="en-US" w:eastAsia="zh-CN"/>
              </w:rPr>
              <w:t>一</w:t>
            </w:r>
            <w:r>
              <w:rPr>
                <w:rFonts w:hint="eastAsia"/>
                <w:sz w:val="28"/>
                <w:szCs w:val="28"/>
              </w:rPr>
              <w:t>月</w:t>
            </w:r>
          </w:p>
          <w:p w14:paraId="2B7D176C">
            <w:pPr>
              <w:jc w:val="center"/>
              <w:rPr>
                <w:rFonts w:hint="eastAsia" w:ascii="宋体" w:hAnsi="宋体" w:cs="宋体"/>
                <w:bCs/>
                <w:color w:val="000000"/>
                <w:sz w:val="32"/>
                <w:szCs w:val="20"/>
              </w:rPr>
            </w:pPr>
          </w:p>
        </w:tc>
      </w:tr>
    </w:tbl>
    <w:p w14:paraId="5C0F8273">
      <w:pPr>
        <w:adjustRightInd w:val="0"/>
        <w:snapToGrid w:val="0"/>
        <w:spacing w:line="240" w:lineRule="exact"/>
        <w:rPr>
          <w:rFonts w:hint="eastAsia" w:ascii="宋体" w:hAnsi="宋体" w:cs="宋体"/>
          <w:sz w:val="15"/>
          <w:szCs w:val="15"/>
        </w:rPr>
      </w:pPr>
    </w:p>
    <w:p w14:paraId="1C87E3AF">
      <w:pPr>
        <w:pStyle w:val="29"/>
        <w:jc w:val="center"/>
        <w:rPr>
          <w:rFonts w:ascii="黑体" w:hAnsi="黑体" w:eastAsia="黑体"/>
          <w:color w:val="auto"/>
          <w:sz w:val="44"/>
          <w:szCs w:val="44"/>
          <w:highlight w:val="none"/>
        </w:rPr>
      </w:pPr>
      <w:r>
        <w:rPr>
          <w:rFonts w:ascii="黑体" w:hAnsi="黑体" w:eastAsia="黑体"/>
          <w:color w:val="auto"/>
          <w:sz w:val="44"/>
          <w:szCs w:val="44"/>
          <w:highlight w:val="none"/>
          <w:lang w:val="zh-CN"/>
        </w:rPr>
        <w:t>目  录</w:t>
      </w:r>
    </w:p>
    <w:p w14:paraId="4203A1C8">
      <w:pPr>
        <w:pStyle w:val="14"/>
        <w:tabs>
          <w:tab w:val="right" w:leader="dot" w:pos="9560"/>
        </w:tabs>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_Toc374 </w:instrText>
      </w:r>
      <w:r>
        <w:rPr>
          <w:highlight w:val="none"/>
        </w:rPr>
        <w:fldChar w:fldCharType="separate"/>
      </w:r>
      <w:r>
        <w:rPr>
          <w:rFonts w:hint="eastAsia"/>
        </w:rPr>
        <w:t xml:space="preserve">第一章 </w:t>
      </w:r>
      <w:r>
        <w:rPr>
          <w:rFonts w:hint="eastAsia"/>
          <w:highlight w:val="none"/>
        </w:rPr>
        <w:t>招标公告</w:t>
      </w:r>
      <w:r>
        <w:tab/>
      </w:r>
      <w:r>
        <w:fldChar w:fldCharType="begin"/>
      </w:r>
      <w:r>
        <w:instrText xml:space="preserve"> PAGEREF _Toc374 \h </w:instrText>
      </w:r>
      <w:r>
        <w:fldChar w:fldCharType="separate"/>
      </w:r>
      <w:r>
        <w:t>6</w:t>
      </w:r>
      <w:r>
        <w:fldChar w:fldCharType="end"/>
      </w:r>
      <w:r>
        <w:rPr>
          <w:highlight w:val="none"/>
        </w:rPr>
        <w:fldChar w:fldCharType="end"/>
      </w:r>
    </w:p>
    <w:p w14:paraId="3A53884E">
      <w:pPr>
        <w:pStyle w:val="14"/>
        <w:tabs>
          <w:tab w:val="right" w:leader="dot" w:pos="9560"/>
        </w:tabs>
      </w:pPr>
      <w:r>
        <w:rPr>
          <w:bCs/>
          <w:highlight w:val="none"/>
          <w:lang w:val="zh-CN"/>
        </w:rPr>
        <w:fldChar w:fldCharType="begin"/>
      </w:r>
      <w:r>
        <w:rPr>
          <w:bCs/>
          <w:highlight w:val="none"/>
          <w:lang w:val="zh-CN"/>
        </w:rPr>
        <w:instrText xml:space="preserve"> HYPERLINK \l _Toc15777 </w:instrText>
      </w:r>
      <w:r>
        <w:rPr>
          <w:bCs/>
          <w:highlight w:val="none"/>
          <w:lang w:val="zh-CN"/>
        </w:rPr>
        <w:fldChar w:fldCharType="separate"/>
      </w:r>
      <w:r>
        <w:rPr>
          <w:rFonts w:hint="eastAsia"/>
        </w:rPr>
        <w:t xml:space="preserve">第二章 </w:t>
      </w:r>
      <w:r>
        <w:rPr>
          <w:rFonts w:hint="eastAsia"/>
          <w:highlight w:val="none"/>
        </w:rPr>
        <w:t>投标人须知</w:t>
      </w:r>
      <w:r>
        <w:tab/>
      </w:r>
      <w:r>
        <w:fldChar w:fldCharType="begin"/>
      </w:r>
      <w:r>
        <w:instrText xml:space="preserve"> PAGEREF _Toc15777 \h </w:instrText>
      </w:r>
      <w:r>
        <w:fldChar w:fldCharType="separate"/>
      </w:r>
      <w:r>
        <w:t>9</w:t>
      </w:r>
      <w:r>
        <w:fldChar w:fldCharType="end"/>
      </w:r>
      <w:r>
        <w:rPr>
          <w:bCs/>
          <w:highlight w:val="none"/>
          <w:lang w:val="zh-CN"/>
        </w:rPr>
        <w:fldChar w:fldCharType="end"/>
      </w:r>
    </w:p>
    <w:p w14:paraId="6250B5BC">
      <w:pPr>
        <w:pStyle w:val="14"/>
        <w:tabs>
          <w:tab w:val="right" w:leader="dot" w:pos="9560"/>
        </w:tabs>
      </w:pPr>
      <w:r>
        <w:rPr>
          <w:bCs/>
          <w:highlight w:val="none"/>
          <w:lang w:val="zh-CN"/>
        </w:rPr>
        <w:fldChar w:fldCharType="begin"/>
      </w:r>
      <w:r>
        <w:rPr>
          <w:bCs/>
          <w:highlight w:val="none"/>
          <w:lang w:val="zh-CN"/>
        </w:rPr>
        <w:instrText xml:space="preserve"> HYPERLINK \l _Toc13518 </w:instrText>
      </w:r>
      <w:r>
        <w:rPr>
          <w:bCs/>
          <w:highlight w:val="none"/>
          <w:lang w:val="zh-CN"/>
        </w:rPr>
        <w:fldChar w:fldCharType="separate"/>
      </w:r>
      <w:r>
        <w:rPr>
          <w:rFonts w:hint="eastAsia"/>
        </w:rPr>
        <w:t xml:space="preserve">第三章 </w:t>
      </w:r>
      <w:r>
        <w:rPr>
          <w:rFonts w:hint="eastAsia"/>
          <w:highlight w:val="none"/>
        </w:rPr>
        <w:t>评标办法</w:t>
      </w:r>
      <w:r>
        <w:tab/>
      </w:r>
      <w:r>
        <w:fldChar w:fldCharType="begin"/>
      </w:r>
      <w:r>
        <w:instrText xml:space="preserve"> PAGEREF _Toc13518 \h </w:instrText>
      </w:r>
      <w:r>
        <w:fldChar w:fldCharType="separate"/>
      </w:r>
      <w:r>
        <w:t>35</w:t>
      </w:r>
      <w:r>
        <w:fldChar w:fldCharType="end"/>
      </w:r>
      <w:r>
        <w:rPr>
          <w:bCs/>
          <w:highlight w:val="none"/>
          <w:lang w:val="zh-CN"/>
        </w:rPr>
        <w:fldChar w:fldCharType="end"/>
      </w:r>
    </w:p>
    <w:p w14:paraId="088672CF">
      <w:pPr>
        <w:pStyle w:val="14"/>
        <w:tabs>
          <w:tab w:val="right" w:leader="dot" w:pos="9560"/>
        </w:tabs>
      </w:pPr>
      <w:r>
        <w:rPr>
          <w:bCs/>
          <w:highlight w:val="none"/>
          <w:lang w:val="zh-CN"/>
        </w:rPr>
        <w:fldChar w:fldCharType="begin"/>
      </w:r>
      <w:r>
        <w:rPr>
          <w:bCs/>
          <w:highlight w:val="none"/>
          <w:lang w:val="zh-CN"/>
        </w:rPr>
        <w:instrText xml:space="preserve"> HYPERLINK \l _Toc9131 </w:instrText>
      </w:r>
      <w:r>
        <w:rPr>
          <w:bCs/>
          <w:highlight w:val="none"/>
          <w:lang w:val="zh-CN"/>
        </w:rPr>
        <w:fldChar w:fldCharType="separate"/>
      </w:r>
      <w:r>
        <w:rPr>
          <w:rFonts w:hint="eastAsia"/>
        </w:rPr>
        <w:t xml:space="preserve">第四章 </w:t>
      </w:r>
      <w:r>
        <w:rPr>
          <w:rFonts w:hint="eastAsia"/>
          <w:highlight w:val="none"/>
        </w:rPr>
        <w:t>合同条款及格式</w:t>
      </w:r>
      <w:r>
        <w:tab/>
      </w:r>
      <w:r>
        <w:fldChar w:fldCharType="begin"/>
      </w:r>
      <w:r>
        <w:instrText xml:space="preserve"> PAGEREF _Toc9131 \h </w:instrText>
      </w:r>
      <w:r>
        <w:fldChar w:fldCharType="separate"/>
      </w:r>
      <w:r>
        <w:t>38</w:t>
      </w:r>
      <w:r>
        <w:fldChar w:fldCharType="end"/>
      </w:r>
      <w:r>
        <w:rPr>
          <w:bCs/>
          <w:highlight w:val="none"/>
          <w:lang w:val="zh-CN"/>
        </w:rPr>
        <w:fldChar w:fldCharType="end"/>
      </w:r>
    </w:p>
    <w:p w14:paraId="08A39BF7">
      <w:pPr>
        <w:pStyle w:val="18"/>
        <w:tabs>
          <w:tab w:val="right" w:leader="dot" w:pos="9560"/>
        </w:tabs>
      </w:pPr>
      <w:r>
        <w:rPr>
          <w:bCs/>
          <w:highlight w:val="none"/>
          <w:lang w:val="zh-CN"/>
        </w:rPr>
        <w:fldChar w:fldCharType="begin"/>
      </w:r>
      <w:r>
        <w:rPr>
          <w:bCs/>
          <w:highlight w:val="none"/>
          <w:lang w:val="zh-CN"/>
        </w:rPr>
        <w:instrText xml:space="preserve"> HYPERLINK \l _Toc5019 </w:instrText>
      </w:r>
      <w:r>
        <w:rPr>
          <w:bCs/>
          <w:highlight w:val="none"/>
          <w:lang w:val="zh-CN"/>
        </w:rPr>
        <w:fldChar w:fldCharType="separate"/>
      </w:r>
      <w:r>
        <w:rPr>
          <w:szCs w:val="32"/>
          <w:highlight w:val="none"/>
        </w:rPr>
        <w:t>第一部分</w:t>
      </w:r>
      <w:r>
        <w:rPr>
          <w:rFonts w:hint="eastAsia"/>
          <w:szCs w:val="32"/>
          <w:highlight w:val="none"/>
          <w:lang w:val="en-US" w:eastAsia="zh-CN"/>
        </w:rPr>
        <w:t xml:space="preserve"> </w:t>
      </w:r>
      <w:r>
        <w:rPr>
          <w:szCs w:val="32"/>
          <w:highlight w:val="none"/>
        </w:rPr>
        <w:t>合同协议书</w:t>
      </w:r>
      <w:r>
        <w:tab/>
      </w:r>
      <w:r>
        <w:fldChar w:fldCharType="begin"/>
      </w:r>
      <w:r>
        <w:instrText xml:space="preserve"> PAGEREF _Toc5019 \h </w:instrText>
      </w:r>
      <w:r>
        <w:fldChar w:fldCharType="separate"/>
      </w:r>
      <w:r>
        <w:t>39</w:t>
      </w:r>
      <w:r>
        <w:fldChar w:fldCharType="end"/>
      </w:r>
      <w:r>
        <w:rPr>
          <w:bCs/>
          <w:highlight w:val="none"/>
          <w:lang w:val="zh-CN"/>
        </w:rPr>
        <w:fldChar w:fldCharType="end"/>
      </w:r>
    </w:p>
    <w:p w14:paraId="0EAFE26C">
      <w:pPr>
        <w:pStyle w:val="18"/>
        <w:tabs>
          <w:tab w:val="right" w:leader="dot" w:pos="9560"/>
        </w:tabs>
      </w:pPr>
      <w:r>
        <w:rPr>
          <w:bCs/>
          <w:highlight w:val="none"/>
          <w:lang w:val="zh-CN"/>
        </w:rPr>
        <w:fldChar w:fldCharType="begin"/>
      </w:r>
      <w:r>
        <w:rPr>
          <w:bCs/>
          <w:highlight w:val="none"/>
          <w:lang w:val="zh-CN"/>
        </w:rPr>
        <w:instrText xml:space="preserve"> HYPERLINK \l _Toc8482 </w:instrText>
      </w:r>
      <w:r>
        <w:rPr>
          <w:bCs/>
          <w:highlight w:val="none"/>
          <w:lang w:val="zh-CN"/>
        </w:rPr>
        <w:fldChar w:fldCharType="separate"/>
      </w:r>
      <w:r>
        <w:rPr>
          <w:rFonts w:hint="eastAsia"/>
          <w:szCs w:val="32"/>
          <w:highlight w:val="none"/>
        </w:rPr>
        <w:t>第二部分</w:t>
      </w:r>
      <w:r>
        <w:rPr>
          <w:rFonts w:hint="eastAsia"/>
          <w:szCs w:val="32"/>
          <w:highlight w:val="none"/>
          <w:lang w:val="en-US" w:eastAsia="zh-CN"/>
        </w:rPr>
        <w:t xml:space="preserve"> </w:t>
      </w:r>
      <w:r>
        <w:rPr>
          <w:rFonts w:hint="eastAsia"/>
          <w:szCs w:val="32"/>
          <w:highlight w:val="none"/>
        </w:rPr>
        <w:t>通用合同条款</w:t>
      </w:r>
      <w:r>
        <w:tab/>
      </w:r>
      <w:r>
        <w:fldChar w:fldCharType="begin"/>
      </w:r>
      <w:r>
        <w:instrText xml:space="preserve"> PAGEREF _Toc8482 \h </w:instrText>
      </w:r>
      <w:r>
        <w:fldChar w:fldCharType="separate"/>
      </w:r>
      <w:r>
        <w:t>42</w:t>
      </w:r>
      <w:r>
        <w:fldChar w:fldCharType="end"/>
      </w:r>
      <w:r>
        <w:rPr>
          <w:bCs/>
          <w:highlight w:val="none"/>
          <w:lang w:val="zh-CN"/>
        </w:rPr>
        <w:fldChar w:fldCharType="end"/>
      </w:r>
    </w:p>
    <w:p w14:paraId="33C02E7B">
      <w:pPr>
        <w:pStyle w:val="18"/>
        <w:tabs>
          <w:tab w:val="right" w:leader="dot" w:pos="9560"/>
        </w:tabs>
      </w:pPr>
      <w:r>
        <w:rPr>
          <w:bCs/>
          <w:highlight w:val="none"/>
          <w:lang w:val="zh-CN"/>
        </w:rPr>
        <w:fldChar w:fldCharType="begin"/>
      </w:r>
      <w:r>
        <w:rPr>
          <w:bCs/>
          <w:highlight w:val="none"/>
          <w:lang w:val="zh-CN"/>
        </w:rPr>
        <w:instrText xml:space="preserve"> HYPERLINK \l _Toc26550 </w:instrText>
      </w:r>
      <w:r>
        <w:rPr>
          <w:bCs/>
          <w:highlight w:val="none"/>
          <w:lang w:val="zh-CN"/>
        </w:rPr>
        <w:fldChar w:fldCharType="separate"/>
      </w:r>
      <w:r>
        <w:rPr>
          <w:rFonts w:hint="eastAsia"/>
          <w:szCs w:val="32"/>
          <w:highlight w:val="none"/>
        </w:rPr>
        <w:t>第三部分</w:t>
      </w:r>
      <w:r>
        <w:rPr>
          <w:rFonts w:hint="eastAsia"/>
          <w:szCs w:val="32"/>
          <w:highlight w:val="none"/>
          <w:lang w:val="en-US" w:eastAsia="zh-CN"/>
        </w:rPr>
        <w:t xml:space="preserve"> 专</w:t>
      </w:r>
      <w:r>
        <w:rPr>
          <w:rFonts w:hint="eastAsia"/>
          <w:szCs w:val="32"/>
          <w:highlight w:val="none"/>
        </w:rPr>
        <w:t>用合同条款</w:t>
      </w:r>
      <w:r>
        <w:tab/>
      </w:r>
      <w:r>
        <w:fldChar w:fldCharType="begin"/>
      </w:r>
      <w:r>
        <w:instrText xml:space="preserve"> PAGEREF _Toc26550 \h </w:instrText>
      </w:r>
      <w:r>
        <w:fldChar w:fldCharType="separate"/>
      </w:r>
      <w:r>
        <w:t>42</w:t>
      </w:r>
      <w:r>
        <w:fldChar w:fldCharType="end"/>
      </w:r>
      <w:r>
        <w:rPr>
          <w:bCs/>
          <w:highlight w:val="none"/>
          <w:lang w:val="zh-CN"/>
        </w:rPr>
        <w:fldChar w:fldCharType="end"/>
      </w:r>
    </w:p>
    <w:p w14:paraId="05C75BEF">
      <w:pPr>
        <w:pStyle w:val="18"/>
        <w:tabs>
          <w:tab w:val="right" w:leader="dot" w:pos="9560"/>
        </w:tabs>
      </w:pPr>
      <w:r>
        <w:rPr>
          <w:bCs/>
          <w:highlight w:val="none"/>
          <w:lang w:val="zh-CN"/>
        </w:rPr>
        <w:fldChar w:fldCharType="begin"/>
      </w:r>
      <w:r>
        <w:rPr>
          <w:bCs/>
          <w:highlight w:val="none"/>
          <w:lang w:val="zh-CN"/>
        </w:rPr>
        <w:instrText xml:space="preserve"> HYPERLINK \l _Toc28914 </w:instrText>
      </w:r>
      <w:r>
        <w:rPr>
          <w:bCs/>
          <w:highlight w:val="none"/>
          <w:lang w:val="zh-CN"/>
        </w:rPr>
        <w:fldChar w:fldCharType="separate"/>
      </w:r>
      <w:r>
        <w:rPr>
          <w:rFonts w:hint="eastAsia"/>
          <w:szCs w:val="32"/>
          <w:highlight w:val="none"/>
        </w:rPr>
        <w:t>第四部分</w:t>
      </w:r>
      <w:r>
        <w:rPr>
          <w:rFonts w:hint="eastAsia"/>
          <w:szCs w:val="32"/>
          <w:highlight w:val="none"/>
          <w:lang w:val="en-US" w:eastAsia="zh-CN"/>
        </w:rPr>
        <w:t xml:space="preserve"> </w:t>
      </w:r>
      <w:r>
        <w:rPr>
          <w:rFonts w:hint="eastAsia"/>
          <w:szCs w:val="32"/>
          <w:highlight w:val="none"/>
        </w:rPr>
        <w:t>工程建设项目廉政责任书</w:t>
      </w:r>
      <w:r>
        <w:tab/>
      </w:r>
      <w:r>
        <w:fldChar w:fldCharType="begin"/>
      </w:r>
      <w:r>
        <w:instrText xml:space="preserve"> PAGEREF _Toc28914 \h </w:instrText>
      </w:r>
      <w:r>
        <w:fldChar w:fldCharType="separate"/>
      </w:r>
      <w:r>
        <w:t>70</w:t>
      </w:r>
      <w:r>
        <w:fldChar w:fldCharType="end"/>
      </w:r>
      <w:r>
        <w:rPr>
          <w:bCs/>
          <w:highlight w:val="none"/>
          <w:lang w:val="zh-CN"/>
        </w:rPr>
        <w:fldChar w:fldCharType="end"/>
      </w:r>
    </w:p>
    <w:p w14:paraId="5B95B22B">
      <w:pPr>
        <w:pStyle w:val="18"/>
        <w:tabs>
          <w:tab w:val="right" w:leader="dot" w:pos="9560"/>
        </w:tabs>
      </w:pPr>
      <w:r>
        <w:rPr>
          <w:bCs/>
          <w:highlight w:val="none"/>
          <w:lang w:val="zh-CN"/>
        </w:rPr>
        <w:fldChar w:fldCharType="begin"/>
      </w:r>
      <w:r>
        <w:rPr>
          <w:bCs/>
          <w:highlight w:val="none"/>
          <w:lang w:val="zh-CN"/>
        </w:rPr>
        <w:instrText xml:space="preserve"> HYPERLINK \l _Toc32517 </w:instrText>
      </w:r>
      <w:r>
        <w:rPr>
          <w:bCs/>
          <w:highlight w:val="none"/>
          <w:lang w:val="zh-CN"/>
        </w:rPr>
        <w:fldChar w:fldCharType="separate"/>
      </w:r>
      <w:r>
        <w:rPr>
          <w:rFonts w:hint="eastAsia"/>
          <w:szCs w:val="32"/>
          <w:highlight w:val="none"/>
        </w:rPr>
        <w:t>第五部分</w:t>
      </w:r>
      <w:r>
        <w:rPr>
          <w:rFonts w:hint="eastAsia"/>
          <w:szCs w:val="32"/>
          <w:highlight w:val="none"/>
          <w:lang w:val="en-US" w:eastAsia="zh-CN"/>
        </w:rPr>
        <w:t xml:space="preserve"> </w:t>
      </w:r>
      <w:r>
        <w:rPr>
          <w:rFonts w:hint="eastAsia"/>
          <w:szCs w:val="32"/>
          <w:highlight w:val="none"/>
        </w:rPr>
        <w:t>安全生产协议书</w:t>
      </w:r>
      <w:r>
        <w:tab/>
      </w:r>
      <w:r>
        <w:fldChar w:fldCharType="begin"/>
      </w:r>
      <w:r>
        <w:instrText xml:space="preserve"> PAGEREF _Toc32517 \h </w:instrText>
      </w:r>
      <w:r>
        <w:fldChar w:fldCharType="separate"/>
      </w:r>
      <w:r>
        <w:t>73</w:t>
      </w:r>
      <w:r>
        <w:fldChar w:fldCharType="end"/>
      </w:r>
      <w:r>
        <w:rPr>
          <w:bCs/>
          <w:highlight w:val="none"/>
          <w:lang w:val="zh-CN"/>
        </w:rPr>
        <w:fldChar w:fldCharType="end"/>
      </w:r>
    </w:p>
    <w:p w14:paraId="64CAD235">
      <w:pPr>
        <w:pStyle w:val="14"/>
        <w:tabs>
          <w:tab w:val="right" w:leader="dot" w:pos="9560"/>
        </w:tabs>
      </w:pPr>
      <w:r>
        <w:rPr>
          <w:bCs/>
          <w:highlight w:val="none"/>
          <w:lang w:val="zh-CN"/>
        </w:rPr>
        <w:fldChar w:fldCharType="begin"/>
      </w:r>
      <w:r>
        <w:rPr>
          <w:bCs/>
          <w:highlight w:val="none"/>
          <w:lang w:val="zh-CN"/>
        </w:rPr>
        <w:instrText xml:space="preserve"> HYPERLINK \l _Toc21864 </w:instrText>
      </w:r>
      <w:r>
        <w:rPr>
          <w:bCs/>
          <w:highlight w:val="none"/>
          <w:lang w:val="zh-CN"/>
        </w:rPr>
        <w:fldChar w:fldCharType="separate"/>
      </w:r>
      <w:r>
        <w:rPr>
          <w:rFonts w:hint="eastAsia"/>
        </w:rPr>
        <w:t xml:space="preserve">第五章 </w:t>
      </w:r>
      <w:r>
        <w:rPr>
          <w:rFonts w:hint="eastAsia"/>
          <w:highlight w:val="none"/>
        </w:rPr>
        <w:t>工程量清单编制</w:t>
      </w:r>
      <w:r>
        <w:tab/>
      </w:r>
      <w:r>
        <w:fldChar w:fldCharType="begin"/>
      </w:r>
      <w:r>
        <w:instrText xml:space="preserve"> PAGEREF _Toc21864 \h </w:instrText>
      </w:r>
      <w:r>
        <w:fldChar w:fldCharType="separate"/>
      </w:r>
      <w:r>
        <w:t>76</w:t>
      </w:r>
      <w:r>
        <w:fldChar w:fldCharType="end"/>
      </w:r>
      <w:r>
        <w:rPr>
          <w:bCs/>
          <w:highlight w:val="none"/>
          <w:lang w:val="zh-CN"/>
        </w:rPr>
        <w:fldChar w:fldCharType="end"/>
      </w:r>
    </w:p>
    <w:p w14:paraId="64F9563A">
      <w:pPr>
        <w:pStyle w:val="14"/>
        <w:tabs>
          <w:tab w:val="right" w:leader="dot" w:pos="9560"/>
        </w:tabs>
      </w:pPr>
      <w:r>
        <w:rPr>
          <w:bCs/>
          <w:highlight w:val="none"/>
          <w:lang w:val="zh-CN"/>
        </w:rPr>
        <w:fldChar w:fldCharType="begin"/>
      </w:r>
      <w:r>
        <w:rPr>
          <w:bCs/>
          <w:highlight w:val="none"/>
          <w:lang w:val="zh-CN"/>
        </w:rPr>
        <w:instrText xml:space="preserve"> HYPERLINK \l _Toc5788 </w:instrText>
      </w:r>
      <w:r>
        <w:rPr>
          <w:bCs/>
          <w:highlight w:val="none"/>
          <w:lang w:val="zh-CN"/>
        </w:rPr>
        <w:fldChar w:fldCharType="separate"/>
      </w:r>
      <w:r>
        <w:rPr>
          <w:rFonts w:hint="eastAsia"/>
        </w:rPr>
        <w:t xml:space="preserve">第六章 </w:t>
      </w:r>
      <w:r>
        <w:rPr>
          <w:rFonts w:hint="eastAsia"/>
          <w:highlight w:val="none"/>
        </w:rPr>
        <w:t>图纸</w:t>
      </w:r>
      <w:r>
        <w:tab/>
      </w:r>
      <w:r>
        <w:fldChar w:fldCharType="begin"/>
      </w:r>
      <w:r>
        <w:instrText xml:space="preserve"> PAGEREF _Toc5788 \h </w:instrText>
      </w:r>
      <w:r>
        <w:fldChar w:fldCharType="separate"/>
      </w:r>
      <w:r>
        <w:t>80</w:t>
      </w:r>
      <w:r>
        <w:fldChar w:fldCharType="end"/>
      </w:r>
      <w:r>
        <w:rPr>
          <w:bCs/>
          <w:highlight w:val="none"/>
          <w:lang w:val="zh-CN"/>
        </w:rPr>
        <w:fldChar w:fldCharType="end"/>
      </w:r>
    </w:p>
    <w:p w14:paraId="2D4B7BDA">
      <w:pPr>
        <w:pStyle w:val="14"/>
        <w:tabs>
          <w:tab w:val="right" w:leader="dot" w:pos="9560"/>
        </w:tabs>
      </w:pPr>
      <w:r>
        <w:rPr>
          <w:bCs/>
          <w:highlight w:val="none"/>
          <w:lang w:val="zh-CN"/>
        </w:rPr>
        <w:fldChar w:fldCharType="begin"/>
      </w:r>
      <w:r>
        <w:rPr>
          <w:bCs/>
          <w:highlight w:val="none"/>
          <w:lang w:val="zh-CN"/>
        </w:rPr>
        <w:instrText xml:space="preserve"> HYPERLINK \l _Toc29530 </w:instrText>
      </w:r>
      <w:r>
        <w:rPr>
          <w:bCs/>
          <w:highlight w:val="none"/>
          <w:lang w:val="zh-CN"/>
        </w:rPr>
        <w:fldChar w:fldCharType="separate"/>
      </w:r>
      <w:r>
        <w:rPr>
          <w:rFonts w:hint="eastAsia"/>
        </w:rPr>
        <w:t xml:space="preserve">第七章 </w:t>
      </w:r>
      <w:r>
        <w:rPr>
          <w:rFonts w:hint="eastAsia"/>
          <w:highlight w:val="none"/>
        </w:rPr>
        <w:t>技术标准和要求</w:t>
      </w:r>
      <w:r>
        <w:tab/>
      </w:r>
      <w:r>
        <w:fldChar w:fldCharType="begin"/>
      </w:r>
      <w:r>
        <w:instrText xml:space="preserve"> PAGEREF _Toc29530 \h </w:instrText>
      </w:r>
      <w:r>
        <w:fldChar w:fldCharType="separate"/>
      </w:r>
      <w:r>
        <w:t>81</w:t>
      </w:r>
      <w:r>
        <w:fldChar w:fldCharType="end"/>
      </w:r>
      <w:r>
        <w:rPr>
          <w:bCs/>
          <w:highlight w:val="none"/>
          <w:lang w:val="zh-CN"/>
        </w:rPr>
        <w:fldChar w:fldCharType="end"/>
      </w:r>
    </w:p>
    <w:p w14:paraId="02086A82">
      <w:pPr>
        <w:pStyle w:val="14"/>
        <w:tabs>
          <w:tab w:val="right" w:leader="dot" w:pos="9560"/>
        </w:tabs>
      </w:pPr>
      <w:r>
        <w:rPr>
          <w:bCs/>
          <w:highlight w:val="none"/>
          <w:lang w:val="zh-CN"/>
        </w:rPr>
        <w:fldChar w:fldCharType="begin"/>
      </w:r>
      <w:r>
        <w:rPr>
          <w:bCs/>
          <w:highlight w:val="none"/>
          <w:lang w:val="zh-CN"/>
        </w:rPr>
        <w:instrText xml:space="preserve"> HYPERLINK \l _Toc29634 </w:instrText>
      </w:r>
      <w:r>
        <w:rPr>
          <w:bCs/>
          <w:highlight w:val="none"/>
          <w:lang w:val="zh-CN"/>
        </w:rPr>
        <w:fldChar w:fldCharType="separate"/>
      </w:r>
      <w:r>
        <w:rPr>
          <w:rFonts w:hint="eastAsia"/>
        </w:rPr>
        <w:t xml:space="preserve">第八章 </w:t>
      </w:r>
      <w:r>
        <w:rPr>
          <w:rFonts w:hint="eastAsia"/>
          <w:highlight w:val="none"/>
        </w:rPr>
        <w:t>投标文件格式</w:t>
      </w:r>
      <w:r>
        <w:tab/>
      </w:r>
      <w:r>
        <w:fldChar w:fldCharType="begin"/>
      </w:r>
      <w:r>
        <w:instrText xml:space="preserve"> PAGEREF _Toc29634 \h </w:instrText>
      </w:r>
      <w:r>
        <w:fldChar w:fldCharType="separate"/>
      </w:r>
      <w:r>
        <w:t>85</w:t>
      </w:r>
      <w:r>
        <w:fldChar w:fldCharType="end"/>
      </w:r>
      <w:r>
        <w:rPr>
          <w:bCs/>
          <w:highlight w:val="none"/>
          <w:lang w:val="zh-CN"/>
        </w:rPr>
        <w:fldChar w:fldCharType="end"/>
      </w:r>
    </w:p>
    <w:p w14:paraId="0F06181D">
      <w:pPr>
        <w:pStyle w:val="18"/>
        <w:tabs>
          <w:tab w:val="right" w:leader="dot" w:pos="9560"/>
        </w:tabs>
      </w:pPr>
      <w:r>
        <w:rPr>
          <w:bCs/>
          <w:highlight w:val="none"/>
          <w:lang w:val="zh-CN"/>
        </w:rPr>
        <w:fldChar w:fldCharType="begin"/>
      </w:r>
      <w:r>
        <w:rPr>
          <w:bCs/>
          <w:highlight w:val="none"/>
          <w:lang w:val="zh-CN"/>
        </w:rPr>
        <w:instrText xml:space="preserve"> HYPERLINK \l _Toc1942 </w:instrText>
      </w:r>
      <w:r>
        <w:rPr>
          <w:bCs/>
          <w:highlight w:val="none"/>
          <w:lang w:val="zh-CN"/>
        </w:rPr>
        <w:fldChar w:fldCharType="separate"/>
      </w:r>
      <w:r>
        <w:rPr>
          <w:rFonts w:hint="eastAsia"/>
          <w:szCs w:val="28"/>
          <w:highlight w:val="none"/>
        </w:rPr>
        <w:t>一、项目负责人简历表</w:t>
      </w:r>
      <w:r>
        <w:tab/>
      </w:r>
      <w:r>
        <w:fldChar w:fldCharType="begin"/>
      </w:r>
      <w:r>
        <w:instrText xml:space="preserve"> PAGEREF _Toc1942 \h </w:instrText>
      </w:r>
      <w:r>
        <w:fldChar w:fldCharType="separate"/>
      </w:r>
      <w:r>
        <w:t>86</w:t>
      </w:r>
      <w:r>
        <w:fldChar w:fldCharType="end"/>
      </w:r>
      <w:r>
        <w:rPr>
          <w:bCs/>
          <w:highlight w:val="none"/>
          <w:lang w:val="zh-CN"/>
        </w:rPr>
        <w:fldChar w:fldCharType="end"/>
      </w:r>
    </w:p>
    <w:p w14:paraId="1B94A498">
      <w:pPr>
        <w:pStyle w:val="18"/>
        <w:tabs>
          <w:tab w:val="right" w:leader="dot" w:pos="9560"/>
        </w:tabs>
      </w:pPr>
      <w:r>
        <w:rPr>
          <w:bCs/>
          <w:highlight w:val="none"/>
          <w:lang w:val="zh-CN"/>
        </w:rPr>
        <w:fldChar w:fldCharType="begin"/>
      </w:r>
      <w:r>
        <w:rPr>
          <w:bCs/>
          <w:highlight w:val="none"/>
          <w:lang w:val="zh-CN"/>
        </w:rPr>
        <w:instrText xml:space="preserve"> HYPERLINK \l _Toc16935 </w:instrText>
      </w:r>
      <w:r>
        <w:rPr>
          <w:bCs/>
          <w:highlight w:val="none"/>
          <w:lang w:val="zh-CN"/>
        </w:rPr>
        <w:fldChar w:fldCharType="separate"/>
      </w:r>
      <w:r>
        <w:rPr>
          <w:rFonts w:hint="eastAsia"/>
          <w:szCs w:val="28"/>
          <w:highlight w:val="none"/>
        </w:rPr>
        <w:t>二、技术负责人简历表</w:t>
      </w:r>
      <w:r>
        <w:tab/>
      </w:r>
      <w:r>
        <w:fldChar w:fldCharType="begin"/>
      </w:r>
      <w:r>
        <w:instrText xml:space="preserve"> PAGEREF _Toc16935 \h </w:instrText>
      </w:r>
      <w:r>
        <w:fldChar w:fldCharType="separate"/>
      </w:r>
      <w:r>
        <w:t>87</w:t>
      </w:r>
      <w:r>
        <w:fldChar w:fldCharType="end"/>
      </w:r>
      <w:r>
        <w:rPr>
          <w:bCs/>
          <w:highlight w:val="none"/>
          <w:lang w:val="zh-CN"/>
        </w:rPr>
        <w:fldChar w:fldCharType="end"/>
      </w:r>
    </w:p>
    <w:p w14:paraId="1DB1586E">
      <w:pPr>
        <w:pStyle w:val="18"/>
        <w:tabs>
          <w:tab w:val="right" w:leader="dot" w:pos="9560"/>
        </w:tabs>
      </w:pPr>
      <w:r>
        <w:rPr>
          <w:bCs/>
          <w:highlight w:val="none"/>
          <w:lang w:val="zh-CN"/>
        </w:rPr>
        <w:fldChar w:fldCharType="begin"/>
      </w:r>
      <w:r>
        <w:rPr>
          <w:bCs/>
          <w:highlight w:val="none"/>
          <w:lang w:val="zh-CN"/>
        </w:rPr>
        <w:instrText xml:space="preserve"> HYPERLINK \l _Toc20667 </w:instrText>
      </w:r>
      <w:r>
        <w:rPr>
          <w:bCs/>
          <w:highlight w:val="none"/>
          <w:lang w:val="zh-CN"/>
        </w:rPr>
        <w:fldChar w:fldCharType="separate"/>
      </w:r>
      <w:r>
        <w:rPr>
          <w:rFonts w:hint="eastAsia"/>
          <w:szCs w:val="28"/>
          <w:highlight w:val="none"/>
        </w:rPr>
        <w:t>三、主要施工机械设备表</w:t>
      </w:r>
      <w:r>
        <w:tab/>
      </w:r>
      <w:r>
        <w:fldChar w:fldCharType="begin"/>
      </w:r>
      <w:r>
        <w:instrText xml:space="preserve"> PAGEREF _Toc20667 \h </w:instrText>
      </w:r>
      <w:r>
        <w:fldChar w:fldCharType="separate"/>
      </w:r>
      <w:r>
        <w:t>88</w:t>
      </w:r>
      <w:r>
        <w:fldChar w:fldCharType="end"/>
      </w:r>
      <w:r>
        <w:rPr>
          <w:bCs/>
          <w:highlight w:val="none"/>
          <w:lang w:val="zh-CN"/>
        </w:rPr>
        <w:fldChar w:fldCharType="end"/>
      </w:r>
    </w:p>
    <w:p w14:paraId="11336925">
      <w:pPr>
        <w:pStyle w:val="18"/>
        <w:tabs>
          <w:tab w:val="right" w:leader="dot" w:pos="9560"/>
        </w:tabs>
      </w:pPr>
      <w:r>
        <w:rPr>
          <w:bCs/>
          <w:highlight w:val="none"/>
          <w:lang w:val="zh-CN"/>
        </w:rPr>
        <w:fldChar w:fldCharType="begin"/>
      </w:r>
      <w:r>
        <w:rPr>
          <w:bCs/>
          <w:highlight w:val="none"/>
          <w:lang w:val="zh-CN"/>
        </w:rPr>
        <w:instrText xml:space="preserve"> HYPERLINK \l _Toc18647 </w:instrText>
      </w:r>
      <w:r>
        <w:rPr>
          <w:bCs/>
          <w:highlight w:val="none"/>
          <w:lang w:val="zh-CN"/>
        </w:rPr>
        <w:fldChar w:fldCharType="separate"/>
      </w:r>
      <w:r>
        <w:rPr>
          <w:rFonts w:hint="eastAsia"/>
          <w:szCs w:val="28"/>
          <w:highlight w:val="none"/>
        </w:rPr>
        <w:t>四、台州市建设工程投标人资格自查表</w:t>
      </w:r>
      <w:r>
        <w:tab/>
      </w:r>
      <w:r>
        <w:fldChar w:fldCharType="begin"/>
      </w:r>
      <w:r>
        <w:instrText xml:space="preserve"> PAGEREF _Toc18647 \h </w:instrText>
      </w:r>
      <w:r>
        <w:fldChar w:fldCharType="separate"/>
      </w:r>
      <w:r>
        <w:t>89</w:t>
      </w:r>
      <w:r>
        <w:fldChar w:fldCharType="end"/>
      </w:r>
      <w:r>
        <w:rPr>
          <w:bCs/>
          <w:highlight w:val="none"/>
          <w:lang w:val="zh-CN"/>
        </w:rPr>
        <w:fldChar w:fldCharType="end"/>
      </w:r>
    </w:p>
    <w:p w14:paraId="136C12CF">
      <w:pPr>
        <w:pStyle w:val="18"/>
        <w:tabs>
          <w:tab w:val="right" w:leader="dot" w:pos="9560"/>
        </w:tabs>
      </w:pPr>
      <w:r>
        <w:rPr>
          <w:bCs/>
          <w:highlight w:val="none"/>
          <w:lang w:val="zh-CN"/>
        </w:rPr>
        <w:fldChar w:fldCharType="begin"/>
      </w:r>
      <w:r>
        <w:rPr>
          <w:bCs/>
          <w:highlight w:val="none"/>
          <w:lang w:val="zh-CN"/>
        </w:rPr>
        <w:instrText xml:space="preserve"> HYPERLINK \l _Toc6379 </w:instrText>
      </w:r>
      <w:r>
        <w:rPr>
          <w:bCs/>
          <w:highlight w:val="none"/>
          <w:lang w:val="zh-CN"/>
        </w:rPr>
        <w:fldChar w:fldCharType="separate"/>
      </w:r>
      <w:r>
        <w:rPr>
          <w:rFonts w:hint="eastAsia"/>
          <w:szCs w:val="28"/>
          <w:highlight w:val="none"/>
        </w:rPr>
        <w:t>五、台州市建设工程投标项目负责人资格自查表</w:t>
      </w:r>
      <w:r>
        <w:tab/>
      </w:r>
      <w:r>
        <w:fldChar w:fldCharType="begin"/>
      </w:r>
      <w:r>
        <w:instrText xml:space="preserve"> PAGEREF _Toc6379 \h </w:instrText>
      </w:r>
      <w:r>
        <w:fldChar w:fldCharType="separate"/>
      </w:r>
      <w:r>
        <w:t>90</w:t>
      </w:r>
      <w:r>
        <w:fldChar w:fldCharType="end"/>
      </w:r>
      <w:r>
        <w:rPr>
          <w:bCs/>
          <w:highlight w:val="none"/>
          <w:lang w:val="zh-CN"/>
        </w:rPr>
        <w:fldChar w:fldCharType="end"/>
      </w:r>
    </w:p>
    <w:p w14:paraId="474F657B">
      <w:pPr>
        <w:pStyle w:val="18"/>
        <w:tabs>
          <w:tab w:val="right" w:leader="dot" w:pos="9560"/>
        </w:tabs>
      </w:pPr>
      <w:r>
        <w:rPr>
          <w:bCs/>
          <w:highlight w:val="none"/>
          <w:lang w:val="zh-CN"/>
        </w:rPr>
        <w:fldChar w:fldCharType="begin"/>
      </w:r>
      <w:r>
        <w:rPr>
          <w:bCs/>
          <w:highlight w:val="none"/>
          <w:lang w:val="zh-CN"/>
        </w:rPr>
        <w:instrText xml:space="preserve"> HYPERLINK \l _Toc21415 </w:instrText>
      </w:r>
      <w:r>
        <w:rPr>
          <w:bCs/>
          <w:highlight w:val="none"/>
          <w:lang w:val="zh-CN"/>
        </w:rPr>
        <w:fldChar w:fldCharType="separate"/>
      </w:r>
      <w:r>
        <w:rPr>
          <w:rFonts w:hint="eastAsia" w:ascii="黑体" w:hAnsi="黑体" w:eastAsia="黑体" w:cs="黑体"/>
          <w:szCs w:val="28"/>
          <w:highlight w:val="none"/>
        </w:rPr>
        <w:t>六、建设工程投标人及项目负责人资信分自查表</w:t>
      </w:r>
      <w:r>
        <w:tab/>
      </w:r>
      <w:r>
        <w:fldChar w:fldCharType="begin"/>
      </w:r>
      <w:r>
        <w:instrText xml:space="preserve"> PAGEREF _Toc21415 \h </w:instrText>
      </w:r>
      <w:r>
        <w:fldChar w:fldCharType="separate"/>
      </w:r>
      <w:r>
        <w:t>91</w:t>
      </w:r>
      <w:r>
        <w:fldChar w:fldCharType="end"/>
      </w:r>
      <w:r>
        <w:rPr>
          <w:bCs/>
          <w:highlight w:val="none"/>
          <w:lang w:val="zh-CN"/>
        </w:rPr>
        <w:fldChar w:fldCharType="end"/>
      </w:r>
    </w:p>
    <w:p w14:paraId="33281E92">
      <w:pPr>
        <w:pStyle w:val="18"/>
        <w:tabs>
          <w:tab w:val="right" w:leader="dot" w:pos="9560"/>
        </w:tabs>
      </w:pPr>
      <w:r>
        <w:rPr>
          <w:bCs/>
          <w:highlight w:val="none"/>
          <w:lang w:val="zh-CN"/>
        </w:rPr>
        <w:fldChar w:fldCharType="begin"/>
      </w:r>
      <w:r>
        <w:rPr>
          <w:bCs/>
          <w:highlight w:val="none"/>
          <w:lang w:val="zh-CN"/>
        </w:rPr>
        <w:instrText xml:space="preserve"> HYPERLINK \l _Toc26102 </w:instrText>
      </w:r>
      <w:r>
        <w:rPr>
          <w:bCs/>
          <w:highlight w:val="none"/>
          <w:lang w:val="zh-CN"/>
        </w:rPr>
        <w:fldChar w:fldCharType="separate"/>
      </w:r>
      <w:r>
        <w:rPr>
          <w:rFonts w:hint="eastAsia" w:ascii="黑体" w:hAnsi="黑体" w:eastAsia="黑体" w:cs="黑体"/>
          <w:szCs w:val="28"/>
          <w:highlight w:val="none"/>
        </w:rPr>
        <w:t>七、台州市建设工程诚信投标承诺书</w:t>
      </w:r>
      <w:r>
        <w:tab/>
      </w:r>
      <w:r>
        <w:fldChar w:fldCharType="begin"/>
      </w:r>
      <w:r>
        <w:instrText xml:space="preserve"> PAGEREF _Toc26102 \h </w:instrText>
      </w:r>
      <w:r>
        <w:fldChar w:fldCharType="separate"/>
      </w:r>
      <w:r>
        <w:t>92</w:t>
      </w:r>
      <w:r>
        <w:fldChar w:fldCharType="end"/>
      </w:r>
      <w:r>
        <w:rPr>
          <w:bCs/>
          <w:highlight w:val="none"/>
          <w:lang w:val="zh-CN"/>
        </w:rPr>
        <w:fldChar w:fldCharType="end"/>
      </w:r>
    </w:p>
    <w:p w14:paraId="410C333D">
      <w:pPr>
        <w:pStyle w:val="18"/>
        <w:tabs>
          <w:tab w:val="right" w:leader="dot" w:pos="9560"/>
        </w:tabs>
      </w:pPr>
      <w:r>
        <w:rPr>
          <w:bCs/>
          <w:highlight w:val="none"/>
          <w:lang w:val="zh-CN"/>
        </w:rPr>
        <w:fldChar w:fldCharType="begin"/>
      </w:r>
      <w:r>
        <w:rPr>
          <w:bCs/>
          <w:highlight w:val="none"/>
          <w:lang w:val="zh-CN"/>
        </w:rPr>
        <w:instrText xml:space="preserve"> HYPERLINK \l _Toc23860 </w:instrText>
      </w:r>
      <w:r>
        <w:rPr>
          <w:bCs/>
          <w:highlight w:val="none"/>
          <w:lang w:val="zh-CN"/>
        </w:rPr>
        <w:fldChar w:fldCharType="separate"/>
      </w:r>
      <w:r>
        <w:rPr>
          <w:rFonts w:hint="eastAsia"/>
          <w:szCs w:val="28"/>
          <w:highlight w:val="none"/>
        </w:rPr>
        <w:t>八、法定代表人授权委托书</w:t>
      </w:r>
      <w:r>
        <w:tab/>
      </w:r>
      <w:r>
        <w:fldChar w:fldCharType="begin"/>
      </w:r>
      <w:r>
        <w:instrText xml:space="preserve"> PAGEREF _Toc23860 \h </w:instrText>
      </w:r>
      <w:r>
        <w:fldChar w:fldCharType="separate"/>
      </w:r>
      <w:r>
        <w:t>93</w:t>
      </w:r>
      <w:r>
        <w:fldChar w:fldCharType="end"/>
      </w:r>
      <w:r>
        <w:rPr>
          <w:bCs/>
          <w:highlight w:val="none"/>
          <w:lang w:val="zh-CN"/>
        </w:rPr>
        <w:fldChar w:fldCharType="end"/>
      </w:r>
    </w:p>
    <w:p w14:paraId="701FC51D">
      <w:pPr>
        <w:pStyle w:val="18"/>
        <w:tabs>
          <w:tab w:val="right" w:leader="dot" w:pos="9560"/>
        </w:tabs>
      </w:pPr>
      <w:r>
        <w:rPr>
          <w:bCs/>
          <w:highlight w:val="none"/>
          <w:lang w:val="zh-CN"/>
        </w:rPr>
        <w:fldChar w:fldCharType="begin"/>
      </w:r>
      <w:r>
        <w:rPr>
          <w:bCs/>
          <w:highlight w:val="none"/>
          <w:lang w:val="zh-CN"/>
        </w:rPr>
        <w:instrText xml:space="preserve"> HYPERLINK \l _Toc19435 </w:instrText>
      </w:r>
      <w:r>
        <w:rPr>
          <w:bCs/>
          <w:highlight w:val="none"/>
          <w:lang w:val="zh-CN"/>
        </w:rPr>
        <w:fldChar w:fldCharType="separate"/>
      </w:r>
      <w:r>
        <w:rPr>
          <w:rFonts w:hint="eastAsia"/>
          <w:szCs w:val="28"/>
          <w:highlight w:val="none"/>
        </w:rPr>
        <w:t>九、台州市建设工程安全生产任职资格承诺书</w:t>
      </w:r>
      <w:r>
        <w:tab/>
      </w:r>
      <w:r>
        <w:fldChar w:fldCharType="begin"/>
      </w:r>
      <w:r>
        <w:instrText xml:space="preserve"> PAGEREF _Toc19435 \h </w:instrText>
      </w:r>
      <w:r>
        <w:fldChar w:fldCharType="separate"/>
      </w:r>
      <w:r>
        <w:t>94</w:t>
      </w:r>
      <w:r>
        <w:fldChar w:fldCharType="end"/>
      </w:r>
      <w:r>
        <w:rPr>
          <w:bCs/>
          <w:highlight w:val="none"/>
          <w:lang w:val="zh-CN"/>
        </w:rPr>
        <w:fldChar w:fldCharType="end"/>
      </w:r>
    </w:p>
    <w:p w14:paraId="0562A627">
      <w:pPr>
        <w:pStyle w:val="18"/>
        <w:tabs>
          <w:tab w:val="right" w:leader="dot" w:pos="9560"/>
        </w:tabs>
      </w:pPr>
      <w:r>
        <w:rPr>
          <w:bCs/>
          <w:highlight w:val="none"/>
          <w:lang w:val="zh-CN"/>
        </w:rPr>
        <w:fldChar w:fldCharType="begin"/>
      </w:r>
      <w:r>
        <w:rPr>
          <w:bCs/>
          <w:highlight w:val="none"/>
          <w:lang w:val="zh-CN"/>
        </w:rPr>
        <w:instrText xml:space="preserve"> HYPERLINK \l _Toc9640 </w:instrText>
      </w:r>
      <w:r>
        <w:rPr>
          <w:bCs/>
          <w:highlight w:val="none"/>
          <w:lang w:val="zh-CN"/>
        </w:rPr>
        <w:fldChar w:fldCharType="separate"/>
      </w:r>
      <w:r>
        <w:rPr>
          <w:rFonts w:hint="eastAsia"/>
          <w:szCs w:val="28"/>
          <w:highlight w:val="none"/>
        </w:rPr>
        <w:t>十．停工证明</w:t>
      </w:r>
      <w:r>
        <w:tab/>
      </w:r>
      <w:r>
        <w:fldChar w:fldCharType="begin"/>
      </w:r>
      <w:r>
        <w:instrText xml:space="preserve"> PAGEREF _Toc9640 \h </w:instrText>
      </w:r>
      <w:r>
        <w:fldChar w:fldCharType="separate"/>
      </w:r>
      <w:r>
        <w:t>95</w:t>
      </w:r>
      <w:r>
        <w:fldChar w:fldCharType="end"/>
      </w:r>
      <w:r>
        <w:rPr>
          <w:bCs/>
          <w:highlight w:val="none"/>
          <w:lang w:val="zh-CN"/>
        </w:rPr>
        <w:fldChar w:fldCharType="end"/>
      </w:r>
    </w:p>
    <w:p w14:paraId="0A07B266">
      <w:pPr>
        <w:pStyle w:val="18"/>
        <w:tabs>
          <w:tab w:val="right" w:leader="dot" w:pos="9560"/>
        </w:tabs>
      </w:pPr>
      <w:r>
        <w:rPr>
          <w:bCs/>
          <w:highlight w:val="none"/>
          <w:lang w:val="zh-CN"/>
        </w:rPr>
        <w:fldChar w:fldCharType="begin"/>
      </w:r>
      <w:r>
        <w:rPr>
          <w:bCs/>
          <w:highlight w:val="none"/>
          <w:lang w:val="zh-CN"/>
        </w:rPr>
        <w:instrText xml:space="preserve"> HYPERLINK \l _Toc32054 </w:instrText>
      </w:r>
      <w:r>
        <w:rPr>
          <w:bCs/>
          <w:highlight w:val="none"/>
          <w:lang w:val="zh-CN"/>
        </w:rPr>
        <w:fldChar w:fldCharType="separate"/>
      </w:r>
      <w:r>
        <w:rPr>
          <w:rFonts w:hint="eastAsia"/>
          <w:szCs w:val="28"/>
          <w:highlight w:val="none"/>
        </w:rPr>
        <w:t>十</w:t>
      </w:r>
      <w:r>
        <w:rPr>
          <w:rFonts w:hint="eastAsia"/>
          <w:szCs w:val="28"/>
          <w:highlight w:val="none"/>
          <w:lang w:eastAsia="zh-CN"/>
        </w:rPr>
        <w:t>一</w:t>
      </w:r>
      <w:r>
        <w:rPr>
          <w:rFonts w:hint="eastAsia"/>
          <w:szCs w:val="28"/>
          <w:highlight w:val="none"/>
        </w:rPr>
        <w:t>．未验收证明</w:t>
      </w:r>
      <w:r>
        <w:tab/>
      </w:r>
      <w:r>
        <w:fldChar w:fldCharType="begin"/>
      </w:r>
      <w:r>
        <w:instrText xml:space="preserve"> PAGEREF _Toc32054 \h </w:instrText>
      </w:r>
      <w:r>
        <w:fldChar w:fldCharType="separate"/>
      </w:r>
      <w:r>
        <w:t>97</w:t>
      </w:r>
      <w:r>
        <w:fldChar w:fldCharType="end"/>
      </w:r>
      <w:r>
        <w:rPr>
          <w:bCs/>
          <w:highlight w:val="none"/>
          <w:lang w:val="zh-CN"/>
        </w:rPr>
        <w:fldChar w:fldCharType="end"/>
      </w:r>
    </w:p>
    <w:p w14:paraId="64C57382">
      <w:pPr>
        <w:pStyle w:val="18"/>
        <w:tabs>
          <w:tab w:val="right" w:leader="dot" w:pos="9560"/>
        </w:tabs>
      </w:pPr>
      <w:r>
        <w:rPr>
          <w:bCs/>
          <w:highlight w:val="none"/>
          <w:lang w:val="zh-CN"/>
        </w:rPr>
        <w:fldChar w:fldCharType="begin"/>
      </w:r>
      <w:r>
        <w:rPr>
          <w:bCs/>
          <w:highlight w:val="none"/>
          <w:lang w:val="zh-CN"/>
        </w:rPr>
        <w:instrText xml:space="preserve"> HYPERLINK \l _Toc1254 </w:instrText>
      </w:r>
      <w:r>
        <w:rPr>
          <w:bCs/>
          <w:highlight w:val="none"/>
          <w:lang w:val="zh-CN"/>
        </w:rPr>
        <w:fldChar w:fldCharType="separate"/>
      </w:r>
      <w:r>
        <w:rPr>
          <w:rFonts w:hint="eastAsia"/>
          <w:szCs w:val="28"/>
          <w:highlight w:val="none"/>
        </w:rPr>
        <w:t>十</w:t>
      </w:r>
      <w:r>
        <w:rPr>
          <w:rFonts w:hint="eastAsia"/>
          <w:szCs w:val="28"/>
          <w:highlight w:val="none"/>
          <w:lang w:eastAsia="zh-CN"/>
        </w:rPr>
        <w:t>二</w:t>
      </w:r>
      <w:r>
        <w:rPr>
          <w:rFonts w:hint="eastAsia"/>
          <w:szCs w:val="28"/>
          <w:highlight w:val="none"/>
        </w:rPr>
        <w:t>．法定代表人身份证明</w:t>
      </w:r>
      <w:r>
        <w:tab/>
      </w:r>
      <w:r>
        <w:fldChar w:fldCharType="begin"/>
      </w:r>
      <w:r>
        <w:instrText xml:space="preserve"> PAGEREF _Toc1254 \h </w:instrText>
      </w:r>
      <w:r>
        <w:fldChar w:fldCharType="separate"/>
      </w:r>
      <w:r>
        <w:t>98</w:t>
      </w:r>
      <w:r>
        <w:fldChar w:fldCharType="end"/>
      </w:r>
      <w:r>
        <w:rPr>
          <w:bCs/>
          <w:highlight w:val="none"/>
          <w:lang w:val="zh-CN"/>
        </w:rPr>
        <w:fldChar w:fldCharType="end"/>
      </w:r>
    </w:p>
    <w:p w14:paraId="2AF45911">
      <w:pPr>
        <w:ind w:firstLine="480" w:firstLineChars="200"/>
        <w:rPr>
          <w:highlight w:val="none"/>
        </w:rPr>
      </w:pPr>
      <w:r>
        <w:rPr>
          <w:bCs/>
          <w:highlight w:val="none"/>
          <w:lang w:val="zh-CN"/>
        </w:rPr>
        <w:fldChar w:fldCharType="end"/>
      </w:r>
    </w:p>
    <w:p w14:paraId="2DCD0B59">
      <w:pPr>
        <w:rPr>
          <w:rFonts w:hint="eastAsia"/>
          <w:sz w:val="28"/>
          <w:szCs w:val="28"/>
          <w:highlight w:val="none"/>
        </w:rPr>
      </w:pPr>
      <w:bookmarkStart w:id="2" w:name="_Toc45697219"/>
      <w:r>
        <w:rPr>
          <w:rFonts w:hint="eastAsia"/>
          <w:sz w:val="28"/>
          <w:szCs w:val="28"/>
          <w:highlight w:val="none"/>
        </w:rPr>
        <w:br w:type="page"/>
      </w:r>
    </w:p>
    <w:p w14:paraId="4B96D384">
      <w:pPr>
        <w:widowControl/>
        <w:spacing w:line="440" w:lineRule="exact"/>
        <w:jc w:val="center"/>
        <w:rPr>
          <w:sz w:val="28"/>
          <w:szCs w:val="28"/>
          <w:highlight w:val="none"/>
        </w:rPr>
      </w:pPr>
      <w:r>
        <w:rPr>
          <w:rFonts w:hint="eastAsia"/>
          <w:sz w:val="28"/>
          <w:szCs w:val="28"/>
          <w:highlight w:val="none"/>
        </w:rPr>
        <w:t>三门县公共资源交易不见面开标大厅试运行投标人须知</w:t>
      </w:r>
    </w:p>
    <w:p w14:paraId="364AC7F3">
      <w:pPr>
        <w:numPr>
          <w:ilvl w:val="0"/>
          <w:numId w:val="2"/>
        </w:numPr>
        <w:spacing w:line="360" w:lineRule="auto"/>
        <w:ind w:left="0" w:leftChars="0" w:firstLine="480" w:firstLineChars="200"/>
        <w:rPr>
          <w:rFonts w:hint="eastAsia" w:ascii="宋体" w:hAnsi="宋体" w:eastAsia="宋体" w:cs="宋体"/>
          <w:highlight w:val="none"/>
        </w:rPr>
      </w:pPr>
      <w:r>
        <w:rPr>
          <w:rFonts w:hint="eastAsia" w:ascii="宋体" w:hAnsi="宋体" w:eastAsia="宋体" w:cs="宋体"/>
          <w:highlight w:val="none"/>
        </w:rPr>
        <w:t>三门县公共资源交易不见面开标大厅（以下简称：不见面开标系统）登录方式：插入CA锁并登录交易系统—业务办理—开评标—进入不见面开标系统。</w:t>
      </w:r>
    </w:p>
    <w:p w14:paraId="53A8FE1D">
      <w:pPr>
        <w:numPr>
          <w:ilvl w:val="0"/>
          <w:numId w:val="2"/>
        </w:numPr>
        <w:spacing w:line="360" w:lineRule="auto"/>
        <w:ind w:left="0" w:leftChars="0" w:firstLine="480" w:firstLineChars="200"/>
        <w:rPr>
          <w:rFonts w:hint="eastAsia" w:ascii="宋体" w:hAnsi="宋体" w:eastAsia="宋体" w:cs="宋体"/>
          <w:highlight w:val="none"/>
        </w:rPr>
      </w:pPr>
      <w:r>
        <w:rPr>
          <w:rFonts w:hint="eastAsia" w:ascii="宋体" w:hAnsi="宋体" w:eastAsia="宋体" w:cs="宋体"/>
          <w:highlight w:val="none"/>
        </w:rPr>
        <w:t>不见面开标系统对投标人终端要求：详见《三门县不见面开标大厅投标人操作手册》。</w:t>
      </w:r>
    </w:p>
    <w:p w14:paraId="6EBB57C7">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特别提示：IE浏览器需安装插件，请按提示自行安装相关插件并按要求进行相关插件的设置。</w:t>
      </w:r>
    </w:p>
    <w:p w14:paraId="119098F5">
      <w:pPr>
        <w:numPr>
          <w:ilvl w:val="0"/>
          <w:numId w:val="2"/>
        </w:numPr>
        <w:spacing w:line="360" w:lineRule="auto"/>
        <w:ind w:left="0" w:leftChars="0" w:firstLine="480" w:firstLineChars="200"/>
        <w:rPr>
          <w:rFonts w:hint="eastAsia" w:ascii="宋体" w:hAnsi="宋体" w:eastAsia="宋体" w:cs="宋体"/>
          <w:highlight w:val="none"/>
        </w:rPr>
      </w:pPr>
      <w:r>
        <w:rPr>
          <w:rFonts w:hint="eastAsia" w:ascii="宋体" w:hAnsi="宋体" w:eastAsia="宋体" w:cs="宋体"/>
          <w:highlight w:val="none"/>
        </w:rPr>
        <w:t>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numPr>
          <w:ilvl w:val="0"/>
          <w:numId w:val="2"/>
        </w:numPr>
        <w:spacing w:line="360" w:lineRule="auto"/>
        <w:ind w:left="0" w:leftChars="0" w:firstLine="480" w:firstLineChars="200"/>
        <w:rPr>
          <w:rFonts w:hint="eastAsia" w:ascii="宋体" w:hAnsi="宋体" w:eastAsia="宋体" w:cs="宋体"/>
          <w:highlight w:val="none"/>
        </w:rPr>
      </w:pPr>
      <w:r>
        <w:rPr>
          <w:rFonts w:hint="eastAsia" w:ascii="宋体" w:hAnsi="宋体" w:eastAsia="宋体" w:cs="宋体"/>
          <w:highlight w:val="none"/>
        </w:rPr>
        <w:t>不见面开标系统需使用数字证书（CA）操作，未取得数字证书（CA）的，请前往“三门县公共资源交易专用数字证书用户自助申报系统”自助办理（网址：http://www.tseal.cn/tcloud/smxztb。</w:t>
      </w:r>
    </w:p>
    <w:p w14:paraId="0050A24F">
      <w:pPr>
        <w:numPr>
          <w:ilvl w:val="0"/>
          <w:numId w:val="2"/>
        </w:numPr>
        <w:spacing w:line="360" w:lineRule="auto"/>
        <w:ind w:left="0" w:leftChars="0" w:firstLine="472" w:firstLineChars="200"/>
        <w:rPr>
          <w:rFonts w:hint="eastAsia" w:ascii="宋体" w:hAnsi="宋体" w:eastAsia="宋体" w:cs="宋体"/>
          <w:highlight w:val="none"/>
        </w:rPr>
      </w:pPr>
      <w:r>
        <w:rPr>
          <w:rFonts w:hint="eastAsia" w:ascii="宋体" w:hAnsi="宋体" w:eastAsia="宋体" w:cs="宋体"/>
          <w:spacing w:val="-2"/>
          <w:highlight w:val="none"/>
        </w:rPr>
        <w:t>不见面开标项目投标文件均用专用招投标工具软件编制，软件下载地址见网站下载中心，</w:t>
      </w:r>
      <w:r>
        <w:rPr>
          <w:rFonts w:hint="eastAsia" w:ascii="宋体" w:hAnsi="宋体" w:eastAsia="宋体" w:cs="宋体"/>
          <w:highlight w:val="none"/>
        </w:rPr>
        <w:t>投标工具锁申请地址：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"http://commkey.pminfo.cn/RegisterRockey/Login/Login.aspx" </w:instrText>
      </w:r>
      <w:r>
        <w:rPr>
          <w:rFonts w:hint="eastAsia" w:ascii="宋体" w:hAnsi="宋体" w:eastAsia="宋体" w:cs="宋体"/>
          <w:highlight w:val="none"/>
        </w:rPr>
        <w:fldChar w:fldCharType="separate"/>
      </w:r>
      <w:r>
        <w:rPr>
          <w:rStyle w:val="25"/>
          <w:rFonts w:hint="eastAsia" w:ascii="宋体" w:hAnsi="宋体" w:eastAsia="宋体" w:cs="宋体"/>
          <w:color w:val="auto"/>
          <w:highlight w:val="none"/>
        </w:rPr>
        <w:t>http://commkey.pminfo.cn/R</w:t>
      </w:r>
      <w:bookmarkStart w:id="3" w:name="_Hlt44403250"/>
      <w:bookmarkStart w:id="4" w:name="_Hlt44403249"/>
      <w:r>
        <w:rPr>
          <w:rStyle w:val="25"/>
          <w:rFonts w:hint="eastAsia" w:ascii="宋体" w:hAnsi="宋体" w:eastAsia="宋体" w:cs="宋体"/>
          <w:color w:val="auto"/>
          <w:highlight w:val="none"/>
        </w:rPr>
        <w:t>e</w:t>
      </w:r>
      <w:bookmarkEnd w:id="3"/>
      <w:bookmarkEnd w:id="4"/>
      <w:r>
        <w:rPr>
          <w:rStyle w:val="25"/>
          <w:rFonts w:hint="eastAsia" w:ascii="宋体" w:hAnsi="宋体" w:eastAsia="宋体" w:cs="宋体"/>
          <w:color w:val="auto"/>
          <w:highlight w:val="none"/>
        </w:rPr>
        <w:t>gisterRockey/Login/Login.aspx</w:t>
      </w:r>
      <w:r>
        <w:rPr>
          <w:rStyle w:val="25"/>
          <w:rFonts w:hint="eastAsia" w:ascii="宋体" w:hAnsi="宋体" w:eastAsia="宋体" w:cs="宋体"/>
          <w:color w:val="auto"/>
          <w:highlight w:val="none"/>
        </w:rPr>
        <w:fldChar w:fldCharType="end"/>
      </w:r>
      <w:r>
        <w:rPr>
          <w:rFonts w:hint="eastAsia" w:ascii="宋体" w:hAnsi="宋体" w:eastAsia="宋体" w:cs="宋体"/>
          <w:spacing w:val="-2"/>
          <w:highlight w:val="none"/>
        </w:rPr>
        <w:t>。</w:t>
      </w:r>
    </w:p>
    <w:p w14:paraId="0F1E6136">
      <w:pPr>
        <w:numPr>
          <w:ilvl w:val="0"/>
          <w:numId w:val="2"/>
        </w:numPr>
        <w:spacing w:line="360" w:lineRule="auto"/>
        <w:ind w:left="0" w:leftChars="0" w:firstLine="480" w:firstLineChars="200"/>
        <w:rPr>
          <w:rFonts w:hint="eastAsia" w:ascii="宋体" w:hAnsi="宋体" w:eastAsia="宋体" w:cs="宋体"/>
          <w:highlight w:val="none"/>
        </w:rPr>
      </w:pPr>
      <w:r>
        <w:rPr>
          <w:rFonts w:hint="eastAsia" w:ascii="宋体" w:hAnsi="宋体" w:eastAsia="宋体" w:cs="宋体"/>
          <w:highlight w:val="none"/>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numPr>
          <w:ilvl w:val="0"/>
          <w:numId w:val="2"/>
        </w:numPr>
        <w:spacing w:line="360" w:lineRule="auto"/>
        <w:ind w:left="0" w:leftChars="0" w:firstLine="480" w:firstLineChars="200"/>
        <w:rPr>
          <w:rFonts w:hint="eastAsia" w:ascii="宋体" w:hAnsi="宋体" w:eastAsia="宋体" w:cs="宋体"/>
          <w:highlight w:val="none"/>
        </w:rPr>
      </w:pPr>
      <w:r>
        <w:rPr>
          <w:rFonts w:hint="eastAsia" w:ascii="宋体" w:hAnsi="宋体" w:eastAsia="宋体" w:cs="宋体"/>
          <w:highlight w:val="none"/>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numPr>
          <w:ilvl w:val="0"/>
          <w:numId w:val="2"/>
        </w:numPr>
        <w:spacing w:line="360" w:lineRule="auto"/>
        <w:ind w:left="0" w:leftChars="0" w:firstLine="480" w:firstLineChars="200"/>
        <w:rPr>
          <w:rFonts w:hint="eastAsia" w:ascii="宋体" w:hAnsi="宋体" w:eastAsia="宋体" w:cs="宋体"/>
          <w:highlight w:val="none"/>
        </w:rPr>
      </w:pPr>
      <w:r>
        <w:rPr>
          <w:rFonts w:hint="eastAsia" w:ascii="宋体" w:hAnsi="宋体" w:eastAsia="宋体" w:cs="宋体"/>
          <w:highlight w:val="none"/>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重要事项说明：</w:t>
      </w:r>
    </w:p>
    <w:p w14:paraId="485E1FF0">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开标项目的时间均以国家授时中心发布的时间为准。</w:t>
      </w:r>
    </w:p>
    <w:p w14:paraId="2777BA76">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投标文件递交截止时间前，各投标人的授权委托人或法人代表应提前进入不见面交易系统进行在线签到，</w:t>
      </w:r>
      <w:r>
        <w:rPr>
          <w:rFonts w:hint="eastAsia" w:ascii="宋体" w:hAnsi="宋体" w:eastAsia="宋体" w:cs="宋体"/>
          <w:b/>
          <w:highlight w:val="none"/>
        </w:rPr>
        <w:t>未完成签到的，将无法解密投标文件，并视为放弃投标</w:t>
      </w:r>
      <w:r>
        <w:rPr>
          <w:rFonts w:hint="eastAsia" w:ascii="宋体" w:hAnsi="宋体" w:eastAsia="宋体" w:cs="宋体"/>
          <w:highlight w:val="none"/>
        </w:rPr>
        <w:t>。</w:t>
      </w:r>
    </w:p>
    <w:p w14:paraId="06F33DA3">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投标人未在规定时间内解密、解密失败或解密超时，视为放弃投标。</w:t>
      </w:r>
    </w:p>
    <w:p w14:paraId="6D562F6C">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若投标人已申请多把CA锁，请注意使用差别，确保制作上传加密投标文件和开标解密时使用的CA锁是一致的，否则造成解密失败的，由投标人负责。</w:t>
      </w:r>
    </w:p>
    <w:p w14:paraId="27918A9B">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如有疑问，请咨询品茗公司技术服务电话，技术服务电话：章宏涛  13968512856。QQ“三门交易平台交流群”（群号：146117595），进行业务咨询。此群也将作为不见面开标的备用远程交互群。</w:t>
      </w:r>
    </w:p>
    <w:p w14:paraId="36D8A65F">
      <w:pPr>
        <w:rPr>
          <w:highlight w:val="none"/>
        </w:rPr>
      </w:pPr>
      <w:r>
        <w:rPr>
          <w:rFonts w:hint="eastAsia"/>
          <w:highlight w:val="none"/>
        </w:rPr>
        <w:br w:type="page"/>
      </w:r>
    </w:p>
    <w:p w14:paraId="71B41B7B">
      <w:pPr>
        <w:pStyle w:val="2"/>
        <w:keepNext/>
        <w:keepLines/>
        <w:pageBreakBefore w:val="0"/>
        <w:numPr>
          <w:ilvl w:val="0"/>
          <w:numId w:val="4"/>
        </w:numPr>
        <w:overflowPunct/>
        <w:topLinePunct w:val="0"/>
        <w:bidi w:val="0"/>
        <w:snapToGrid/>
        <w:ind w:left="0" w:leftChars="0" w:firstLine="402" w:firstLineChars="0"/>
        <w:textAlignment w:val="auto"/>
        <w:outlineLvl w:val="0"/>
        <w:rPr>
          <w:highlight w:val="none"/>
        </w:rPr>
      </w:pPr>
      <w:bookmarkStart w:id="5" w:name="_Toc374"/>
      <w:r>
        <w:rPr>
          <w:rFonts w:hint="eastAsia"/>
          <w:highlight w:val="none"/>
        </w:rPr>
        <w:t>招标公告</w:t>
      </w:r>
      <w:bookmarkEnd w:id="5"/>
    </w:p>
    <w:p w14:paraId="676A6D25">
      <w:pPr>
        <w:keepNext/>
        <w:keepLines/>
        <w:pageBreakBefore w:val="0"/>
        <w:overflowPunct/>
        <w:topLinePunct w:val="0"/>
        <w:bidi w:val="0"/>
        <w:snapToGrid/>
        <w:spacing w:line="480" w:lineRule="exact"/>
        <w:ind w:firstLine="562" w:firstLineChars="200"/>
        <w:jc w:val="center"/>
        <w:textAlignment w:val="auto"/>
        <w:rPr>
          <w:rFonts w:hint="eastAsia" w:eastAsia="宋体"/>
          <w:b/>
          <w:sz w:val="28"/>
          <w:szCs w:val="28"/>
          <w:highlight w:val="none"/>
          <w:lang w:eastAsia="zh-CN"/>
        </w:rPr>
      </w:pPr>
      <w:r>
        <w:rPr>
          <w:rFonts w:hint="eastAsia"/>
          <w:b/>
          <w:sz w:val="28"/>
          <w:szCs w:val="28"/>
          <w:highlight w:val="none"/>
          <w:lang w:eastAsia="zh-CN"/>
        </w:rPr>
        <w:t>三门县东部新区泰康路周边提升工程</w:t>
      </w:r>
    </w:p>
    <w:p w14:paraId="03D7B4E4">
      <w:pPr>
        <w:keepNext/>
        <w:keepLines/>
        <w:pageBreakBefore w:val="0"/>
        <w:overflowPunct/>
        <w:topLinePunct w:val="0"/>
        <w:bidi w:val="0"/>
        <w:snapToGrid/>
        <w:spacing w:line="480" w:lineRule="exact"/>
        <w:ind w:firstLine="562" w:firstLineChars="200"/>
        <w:jc w:val="center"/>
        <w:textAlignment w:val="auto"/>
        <w:rPr>
          <w:b/>
          <w:sz w:val="28"/>
          <w:szCs w:val="28"/>
          <w:highlight w:val="none"/>
        </w:rPr>
      </w:pPr>
      <w:r>
        <w:rPr>
          <w:rFonts w:hint="eastAsia"/>
          <w:b/>
          <w:sz w:val="28"/>
          <w:szCs w:val="28"/>
          <w:highlight w:val="none"/>
        </w:rPr>
        <w:t>招标公告</w:t>
      </w:r>
    </w:p>
    <w:p w14:paraId="5A18090A">
      <w:pPr>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425" w:leftChars="0" w:hanging="425"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招标条件</w:t>
      </w:r>
    </w:p>
    <w:p w14:paraId="66D2E8C4">
      <w:pPr>
        <w:pStyle w:val="8"/>
        <w:keepNext/>
        <w:keepLines/>
        <w:pageBreakBefore w:val="0"/>
        <w:tabs>
          <w:tab w:val="left" w:pos="1343"/>
          <w:tab w:val="left" w:pos="2697"/>
          <w:tab w:val="left" w:pos="3264"/>
          <w:tab w:val="left" w:pos="4896"/>
          <w:tab w:val="left" w:pos="6005"/>
          <w:tab w:val="left" w:pos="7085"/>
          <w:tab w:val="left" w:pos="7498"/>
        </w:tabs>
        <w:kinsoku w:val="0"/>
        <w:overflowPunct/>
        <w:topLinePunct w:val="0"/>
        <w:bidi w:val="0"/>
        <w:snapToGrid/>
        <w:spacing w:line="360" w:lineRule="auto"/>
        <w:ind w:left="0" w:firstLine="476" w:firstLineChars="200"/>
        <w:jc w:val="both"/>
        <w:textAlignment w:val="auto"/>
        <w:rPr>
          <w:rFonts w:hint="eastAsia" w:ascii="宋体" w:hAnsi="宋体" w:eastAsia="宋体" w:cs="宋体"/>
          <w:sz w:val="24"/>
          <w:szCs w:val="24"/>
          <w:highlight w:val="none"/>
        </w:rPr>
      </w:pPr>
      <w:r>
        <w:rPr>
          <w:rFonts w:hint="eastAsia" w:ascii="宋体" w:hAnsi="宋体" w:cs="宋体"/>
          <w:spacing w:val="-1"/>
          <w:sz w:val="24"/>
          <w:szCs w:val="24"/>
          <w:highlight w:val="none"/>
          <w:u w:val="single"/>
          <w:lang w:eastAsia="zh-CN"/>
        </w:rPr>
        <w:t>三门县东部新区泰康路周边提升工程</w:t>
      </w:r>
      <w:r>
        <w:rPr>
          <w:rFonts w:hint="eastAsia" w:ascii="宋体" w:hAnsi="宋体" w:eastAsia="宋体" w:cs="宋体"/>
          <w:spacing w:val="-1"/>
          <w:sz w:val="24"/>
          <w:szCs w:val="24"/>
          <w:highlight w:val="none"/>
        </w:rPr>
        <w:t>已</w:t>
      </w:r>
      <w:r>
        <w:rPr>
          <w:rFonts w:hint="eastAsia" w:ascii="宋体" w:hAnsi="宋体" w:eastAsia="宋体" w:cs="宋体"/>
          <w:spacing w:val="-1"/>
          <w:sz w:val="24"/>
          <w:szCs w:val="24"/>
          <w:highlight w:val="none"/>
          <w:u w:val="single"/>
        </w:rPr>
        <w:t xml:space="preserve"> 三门县发展和改</w:t>
      </w:r>
      <w:r>
        <w:rPr>
          <w:rFonts w:hint="eastAsia" w:ascii="宋体" w:hAnsi="宋体" w:eastAsia="宋体" w:cs="宋体"/>
          <w:color w:val="auto"/>
          <w:spacing w:val="-1"/>
          <w:sz w:val="24"/>
          <w:szCs w:val="24"/>
          <w:highlight w:val="none"/>
          <w:u w:val="single"/>
        </w:rPr>
        <w:t>革局</w:t>
      </w:r>
      <w:r>
        <w:rPr>
          <w:rFonts w:hint="eastAsia" w:ascii="宋体" w:hAnsi="宋体" w:cs="宋体"/>
          <w:color w:val="auto"/>
          <w:spacing w:val="-1"/>
          <w:sz w:val="24"/>
          <w:szCs w:val="24"/>
          <w:highlight w:val="none"/>
          <w:u w:val="single"/>
          <w:lang w:val="en-US" w:eastAsia="zh-CN"/>
        </w:rPr>
        <w:t xml:space="preserve"> </w:t>
      </w:r>
      <w:r>
        <w:rPr>
          <w:rFonts w:hint="eastAsia" w:ascii="宋体" w:hAnsi="宋体" w:eastAsia="宋体" w:cs="宋体"/>
          <w:color w:val="auto"/>
          <w:spacing w:val="-5"/>
          <w:sz w:val="24"/>
          <w:szCs w:val="24"/>
          <w:highlight w:val="none"/>
        </w:rPr>
        <w:t>以</w:t>
      </w:r>
      <w:r>
        <w:rPr>
          <w:rFonts w:hint="eastAsia" w:ascii="宋体" w:hAnsi="宋体" w:cs="宋体"/>
          <w:color w:val="auto"/>
          <w:spacing w:val="-4"/>
          <w:sz w:val="24"/>
          <w:szCs w:val="24"/>
          <w:highlight w:val="none"/>
          <w:u w:val="single"/>
          <w:lang w:val="en-US" w:eastAsia="zh-CN"/>
        </w:rPr>
        <w:t xml:space="preserve"> 三发改审【2024】178号 </w:t>
      </w:r>
      <w:r>
        <w:rPr>
          <w:rFonts w:hint="eastAsia" w:ascii="宋体" w:hAnsi="宋体" w:eastAsia="宋体" w:cs="宋体"/>
          <w:color w:val="auto"/>
          <w:spacing w:val="-4"/>
          <w:sz w:val="24"/>
          <w:szCs w:val="24"/>
          <w:highlight w:val="none"/>
        </w:rPr>
        <w:t>批准建设，</w:t>
      </w:r>
      <w:r>
        <w:rPr>
          <w:rFonts w:hint="eastAsia" w:ascii="宋体" w:hAnsi="宋体" w:eastAsia="宋体" w:cs="宋体"/>
          <w:spacing w:val="-4"/>
          <w:sz w:val="24"/>
          <w:szCs w:val="24"/>
          <w:highlight w:val="none"/>
        </w:rPr>
        <w:t>建设资金来</w:t>
      </w:r>
      <w:r>
        <w:rPr>
          <w:rFonts w:hint="eastAsia" w:ascii="宋体" w:hAnsi="宋体" w:eastAsia="宋体" w:cs="宋体"/>
          <w:spacing w:val="-97"/>
          <w:sz w:val="24"/>
          <w:szCs w:val="24"/>
          <w:highlight w:val="none"/>
        </w:rPr>
        <w:t xml:space="preserve"> </w:t>
      </w:r>
      <w:r>
        <w:rPr>
          <w:rFonts w:hint="eastAsia" w:ascii="宋体" w:hAnsi="宋体" w:eastAsia="宋体" w:cs="宋体"/>
          <w:spacing w:val="-1"/>
          <w:sz w:val="24"/>
          <w:szCs w:val="24"/>
          <w:highlight w:val="none"/>
        </w:rPr>
        <w:t>自</w:t>
      </w:r>
      <w:r>
        <w:rPr>
          <w:rFonts w:hint="eastAsia" w:ascii="宋体" w:hAnsi="宋体" w:cs="宋体"/>
          <w:spacing w:val="-1"/>
          <w:sz w:val="24"/>
          <w:szCs w:val="24"/>
          <w:highlight w:val="none"/>
          <w:u w:val="single"/>
          <w:lang w:val="en-US" w:eastAsia="zh-CN"/>
        </w:rPr>
        <w:t>财政拨款</w:t>
      </w:r>
      <w:r>
        <w:rPr>
          <w:rFonts w:hint="eastAsia" w:ascii="宋体" w:hAnsi="宋体" w:eastAsia="宋体" w:cs="宋体"/>
          <w:spacing w:val="-6"/>
          <w:sz w:val="24"/>
          <w:szCs w:val="24"/>
          <w:highlight w:val="none"/>
        </w:rPr>
        <w:t>，项目业主为</w:t>
      </w:r>
      <w:r>
        <w:rPr>
          <w:rFonts w:hint="eastAsia" w:ascii="宋体" w:hAnsi="宋体" w:eastAsia="宋体" w:cs="宋体"/>
          <w:spacing w:val="-6"/>
          <w:sz w:val="24"/>
          <w:szCs w:val="24"/>
          <w:highlight w:val="none"/>
          <w:u w:val="single"/>
        </w:rPr>
        <w:t xml:space="preserve"> </w:t>
      </w:r>
      <w:r>
        <w:rPr>
          <w:rFonts w:hint="eastAsia" w:ascii="宋体" w:hAnsi="宋体" w:cs="宋体"/>
          <w:sz w:val="24"/>
          <w:szCs w:val="24"/>
          <w:highlight w:val="none"/>
          <w:u w:val="single"/>
          <w:lang w:eastAsia="zh-CN"/>
        </w:rPr>
        <w:t>浙江三门经济开发区管理委员会</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，招标人为</w:t>
      </w:r>
      <w:r>
        <w:rPr>
          <w:rFonts w:hint="eastAsia" w:ascii="宋体" w:hAnsi="宋体" w:cs="宋体"/>
          <w:sz w:val="24"/>
          <w:szCs w:val="24"/>
          <w:highlight w:val="none"/>
          <w:u w:val="single"/>
          <w:lang w:eastAsia="zh-CN"/>
        </w:rPr>
        <w:t>浙江三门经济开发区管理委员会</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，委托代理机构为</w:t>
      </w:r>
      <w:r>
        <w:rPr>
          <w:rFonts w:hint="eastAsia" w:ascii="宋体" w:hAnsi="宋体" w:eastAsia="宋体" w:cs="宋体"/>
          <w:spacing w:val="-6"/>
          <w:sz w:val="24"/>
          <w:szCs w:val="24"/>
          <w:highlight w:val="none"/>
          <w:u w:val="single"/>
        </w:rPr>
        <w:t xml:space="preserve"> </w:t>
      </w:r>
      <w:r>
        <w:rPr>
          <w:rFonts w:hint="eastAsia" w:ascii="宋体" w:hAnsi="宋体" w:cs="宋体"/>
          <w:sz w:val="24"/>
          <w:szCs w:val="24"/>
          <w:highlight w:val="none"/>
          <w:u w:val="single"/>
          <w:lang w:eastAsia="zh-CN"/>
        </w:rPr>
        <w:t>浙江衡达工程咨询有限公司</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4"/>
          <w:sz w:val="24"/>
          <w:szCs w:val="24"/>
          <w:highlight w:val="none"/>
        </w:rPr>
        <w:t>。项目已具备招标</w:t>
      </w:r>
      <w:r>
        <w:rPr>
          <w:rFonts w:hint="eastAsia" w:ascii="宋体" w:hAnsi="宋体" w:eastAsia="宋体" w:cs="宋体"/>
          <w:spacing w:val="-95"/>
          <w:sz w:val="24"/>
          <w:szCs w:val="24"/>
          <w:highlight w:val="none"/>
        </w:rPr>
        <w:t xml:space="preserve"> </w:t>
      </w:r>
      <w:r>
        <w:rPr>
          <w:rFonts w:hint="eastAsia" w:ascii="宋体" w:hAnsi="宋体" w:eastAsia="宋体" w:cs="宋体"/>
          <w:sz w:val="24"/>
          <w:szCs w:val="24"/>
          <w:highlight w:val="none"/>
        </w:rPr>
        <w:t>条件，现对该项目的</w:t>
      </w:r>
      <w:r>
        <w:rPr>
          <w:rFonts w:hint="eastAsia" w:ascii="宋体" w:hAnsi="宋体" w:eastAsia="宋体" w:cs="宋体"/>
          <w:sz w:val="24"/>
          <w:szCs w:val="24"/>
          <w:highlight w:val="none"/>
          <w:u w:val="single"/>
        </w:rPr>
        <w:t xml:space="preserve"> </w:t>
      </w:r>
      <w:r>
        <w:rPr>
          <w:rFonts w:hint="eastAsia" w:ascii="宋体" w:hAnsi="宋体" w:cs="宋体"/>
          <w:spacing w:val="-1"/>
          <w:sz w:val="24"/>
          <w:szCs w:val="24"/>
          <w:highlight w:val="none"/>
          <w:u w:val="single"/>
          <w:lang w:eastAsia="zh-CN"/>
        </w:rPr>
        <w:t>三门县东部新区泰康路周边提升工程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的施工进行公开招标。</w:t>
      </w:r>
    </w:p>
    <w:p w14:paraId="61005A4D">
      <w:pPr>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425" w:leftChars="0" w:hanging="425"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项目概况与招标范围</w:t>
      </w:r>
    </w:p>
    <w:p w14:paraId="205645F0">
      <w:pPr>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bidi="ar-SA"/>
        </w:rPr>
        <w:t>项目概况：</w:t>
      </w:r>
      <w:r>
        <w:rPr>
          <w:rFonts w:hint="eastAsia" w:ascii="宋体" w:hAnsi="宋体" w:cs="宋体"/>
          <w:b w:val="0"/>
          <w:bCs w:val="0"/>
          <w:color w:val="auto"/>
          <w:sz w:val="24"/>
          <w:szCs w:val="24"/>
          <w:highlight w:val="none"/>
          <w:u w:val="single"/>
          <w:lang w:val="en-US" w:eastAsia="zh-CN" w:bidi="ar-SA"/>
        </w:rPr>
        <w:t>本项目</w:t>
      </w:r>
      <w:r>
        <w:rPr>
          <w:rFonts w:hint="eastAsia" w:ascii="宋体" w:hAnsi="宋体" w:eastAsia="宋体" w:cs="宋体"/>
          <w:b w:val="0"/>
          <w:bCs w:val="0"/>
          <w:color w:val="auto"/>
          <w:sz w:val="24"/>
          <w:szCs w:val="24"/>
          <w:highlight w:val="none"/>
          <w:u w:val="single"/>
          <w:lang w:val="en-US" w:eastAsia="zh-CN" w:bidi="ar-SA"/>
        </w:rPr>
        <w:t>位于三门县。</w:t>
      </w:r>
      <w:r>
        <w:rPr>
          <w:rFonts w:hint="eastAsia" w:ascii="宋体" w:hAnsi="宋体" w:cs="宋体"/>
          <w:b w:val="0"/>
          <w:bCs w:val="0"/>
          <w:color w:val="auto"/>
          <w:sz w:val="24"/>
          <w:szCs w:val="24"/>
          <w:highlight w:val="none"/>
          <w:u w:val="single"/>
          <w:lang w:val="en-US" w:eastAsia="zh-CN" w:bidi="ar-SA"/>
        </w:rPr>
        <w:t>工程建设内容为施工图范围内的绿化、景观、市政、排水、给水、景观照明等工程</w:t>
      </w:r>
      <w:r>
        <w:rPr>
          <w:rFonts w:hint="eastAsia" w:ascii="宋体" w:hAnsi="宋体" w:eastAsia="宋体" w:cs="宋体"/>
          <w:b w:val="0"/>
          <w:bCs w:val="0"/>
          <w:color w:val="auto"/>
          <w:sz w:val="24"/>
          <w:szCs w:val="24"/>
          <w:highlight w:val="none"/>
          <w:u w:val="single"/>
          <w:lang w:val="en-US" w:eastAsia="zh-CN" w:bidi="ar-SA"/>
        </w:rPr>
        <w:t>。</w:t>
      </w:r>
    </w:p>
    <w:p w14:paraId="48658AF4">
      <w:pPr>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bidi="ar-SA"/>
        </w:rPr>
        <w:t>招标范围：</w:t>
      </w:r>
      <w:r>
        <w:rPr>
          <w:rFonts w:hint="eastAsia" w:ascii="宋体" w:hAnsi="宋体" w:eastAsia="宋体" w:cs="宋体"/>
          <w:color w:val="auto"/>
          <w:sz w:val="24"/>
          <w:szCs w:val="24"/>
          <w:highlight w:val="none"/>
          <w:u w:val="single"/>
        </w:rPr>
        <w:t xml:space="preserve"> 招标人提供的施工图纸范围内及预算审核书中所包含的所有内容。具体详见施工图纸及工程量清单。</w:t>
      </w:r>
    </w:p>
    <w:p w14:paraId="3FF7C2C6">
      <w:pPr>
        <w:pStyle w:val="8"/>
        <w:keepNext/>
        <w:keepLines/>
        <w:pageBreakBefore w:val="0"/>
        <w:tabs>
          <w:tab w:val="left" w:pos="1343"/>
          <w:tab w:val="left" w:pos="2697"/>
          <w:tab w:val="left" w:pos="3264"/>
          <w:tab w:val="left" w:pos="4896"/>
          <w:tab w:val="left" w:pos="6005"/>
          <w:tab w:val="left" w:pos="7085"/>
          <w:tab w:val="left" w:pos="7498"/>
        </w:tabs>
        <w:kinsoku w:val="0"/>
        <w:overflowPunct/>
        <w:topLinePunct w:val="0"/>
        <w:bidi w:val="0"/>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本次招标建安工程造</w:t>
      </w:r>
      <w:r>
        <w:rPr>
          <w:rFonts w:hint="eastAsia" w:ascii="宋体" w:hAnsi="宋体" w:eastAsia="宋体" w:cs="宋体"/>
          <w:sz w:val="24"/>
          <w:szCs w:val="24"/>
          <w:highlight w:val="none"/>
          <w:u w:val="none"/>
        </w:rPr>
        <w:t>价</w:t>
      </w:r>
      <w:r>
        <w:rPr>
          <w:rFonts w:hint="eastAsia" w:ascii="宋体" w:hAnsi="宋体" w:cs="宋体"/>
          <w:sz w:val="24"/>
          <w:szCs w:val="24"/>
          <w:highlight w:val="none"/>
          <w:u w:val="single"/>
          <w:lang w:val="en-US" w:eastAsia="zh-CN"/>
        </w:rPr>
        <w:t>47466251</w:t>
      </w:r>
      <w:r>
        <w:rPr>
          <w:rFonts w:hint="eastAsia" w:ascii="宋体" w:hAnsi="宋体" w:eastAsia="宋体" w:cs="宋体"/>
          <w:sz w:val="24"/>
          <w:szCs w:val="24"/>
          <w:highlight w:val="none"/>
          <w:u w:val="single"/>
        </w:rPr>
        <w:t xml:space="preserve">元 </w:t>
      </w:r>
      <w:r>
        <w:rPr>
          <w:rFonts w:hint="eastAsia" w:ascii="宋体" w:hAnsi="宋体" w:eastAsia="宋体" w:cs="宋体"/>
          <w:sz w:val="24"/>
          <w:szCs w:val="24"/>
          <w:highlight w:val="none"/>
        </w:rPr>
        <w:t>。</w:t>
      </w:r>
    </w:p>
    <w:p w14:paraId="25980786">
      <w:pPr>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施工总工期：</w:t>
      </w:r>
      <w:r>
        <w:rPr>
          <w:rFonts w:hint="eastAsia" w:ascii="宋体" w:hAnsi="宋体" w:eastAsia="宋体" w:cs="宋体"/>
          <w:b w:val="0"/>
          <w:bCs w:val="0"/>
          <w:color w:val="auto"/>
          <w:sz w:val="24"/>
          <w:szCs w:val="24"/>
          <w:highlight w:val="none"/>
          <w:lang w:val="en-US" w:eastAsia="zh-CN" w:bidi="ar-SA"/>
        </w:rPr>
        <w:t>不超过</w:t>
      </w:r>
      <w:r>
        <w:rPr>
          <w:rFonts w:hint="eastAsia" w:ascii="宋体" w:hAnsi="宋体" w:eastAsia="宋体" w:cs="宋体"/>
          <w:b w:val="0"/>
          <w:bCs w:val="0"/>
          <w:color w:val="auto"/>
          <w:sz w:val="24"/>
          <w:szCs w:val="24"/>
          <w:highlight w:val="none"/>
          <w:u w:val="single"/>
          <w:lang w:val="en-US" w:eastAsia="zh-CN" w:bidi="ar-SA"/>
        </w:rPr>
        <w:t xml:space="preserve"> </w:t>
      </w:r>
      <w:r>
        <w:rPr>
          <w:rFonts w:hint="eastAsia" w:ascii="宋体" w:hAnsi="宋体" w:cs="宋体"/>
          <w:b w:val="0"/>
          <w:bCs w:val="0"/>
          <w:color w:val="auto"/>
          <w:sz w:val="24"/>
          <w:szCs w:val="24"/>
          <w:highlight w:val="none"/>
          <w:u w:val="single"/>
          <w:lang w:val="en-US" w:eastAsia="zh-CN" w:bidi="ar-SA"/>
        </w:rPr>
        <w:t>120</w:t>
      </w:r>
      <w:r>
        <w:rPr>
          <w:rFonts w:hint="eastAsia" w:ascii="宋体" w:hAnsi="宋体" w:eastAsia="宋体" w:cs="宋体"/>
          <w:b w:val="0"/>
          <w:bCs w:val="0"/>
          <w:color w:val="auto"/>
          <w:sz w:val="24"/>
          <w:szCs w:val="24"/>
          <w:highlight w:val="none"/>
          <w:u w:val="single"/>
          <w:lang w:val="en-US" w:eastAsia="zh-CN" w:bidi="ar-SA"/>
        </w:rPr>
        <w:t xml:space="preserve"> </w:t>
      </w:r>
      <w:r>
        <w:rPr>
          <w:rFonts w:hint="eastAsia" w:ascii="宋体" w:hAnsi="宋体" w:eastAsia="宋体" w:cs="宋体"/>
          <w:b w:val="0"/>
          <w:bCs w:val="0"/>
          <w:color w:val="auto"/>
          <w:sz w:val="24"/>
          <w:szCs w:val="24"/>
          <w:highlight w:val="none"/>
          <w:lang w:val="en-US" w:eastAsia="zh-CN" w:bidi="ar-SA"/>
        </w:rPr>
        <w:t>日历天（投标人在投标文件中必须明确工期天数）。</w:t>
      </w:r>
    </w:p>
    <w:p w14:paraId="127F278E">
      <w:pPr>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425" w:leftChars="0" w:hanging="425"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投标人资格要求</w:t>
      </w:r>
    </w:p>
    <w:p w14:paraId="7A607313">
      <w:pPr>
        <w:pStyle w:val="8"/>
        <w:keepNext/>
        <w:keepLines/>
        <w:pageBreakBefore w:val="0"/>
        <w:numPr>
          <w:ilvl w:val="0"/>
          <w:numId w:val="6"/>
        </w:numPr>
        <w:tabs>
          <w:tab w:val="left" w:pos="1343"/>
          <w:tab w:val="left" w:pos="2697"/>
          <w:tab w:val="left" w:pos="3264"/>
          <w:tab w:val="left" w:pos="4896"/>
          <w:tab w:val="left" w:pos="6005"/>
          <w:tab w:val="left" w:pos="7085"/>
          <w:tab w:val="left" w:pos="7498"/>
        </w:tabs>
        <w:kinsoku w:val="0"/>
        <w:overflowPunct/>
        <w:topLinePunct w:val="0"/>
        <w:bidi w:val="0"/>
        <w:snapToGrid/>
        <w:spacing w:line="360" w:lineRule="auto"/>
        <w:ind w:left="0" w:leftChars="0" w:firstLine="42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w:t>
      </w:r>
    </w:p>
    <w:p w14:paraId="5638E2ED">
      <w:pPr>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具备</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eastAsia="zh-CN"/>
        </w:rPr>
        <w:t>市政公用工程</w:t>
      </w:r>
      <w:r>
        <w:rPr>
          <w:rFonts w:hint="eastAsia" w:ascii="宋体" w:hAnsi="宋体" w:eastAsia="宋体" w:cs="宋体"/>
          <w:color w:val="auto"/>
          <w:sz w:val="24"/>
          <w:szCs w:val="24"/>
          <w:highlight w:val="none"/>
          <w:u w:val="single"/>
        </w:rPr>
        <w:t>施工总承包</w:t>
      </w:r>
      <w:r>
        <w:rPr>
          <w:rFonts w:hint="eastAsia" w:ascii="宋体" w:hAnsi="宋体" w:cs="宋体"/>
          <w:color w:val="auto"/>
          <w:sz w:val="24"/>
          <w:szCs w:val="24"/>
          <w:highlight w:val="none"/>
          <w:u w:val="single"/>
          <w:lang w:val="en-US" w:eastAsia="zh-CN"/>
        </w:rPr>
        <w:t>一</w:t>
      </w:r>
      <w:r>
        <w:rPr>
          <w:rFonts w:hint="eastAsia" w:ascii="宋体" w:hAnsi="宋体" w:eastAsia="宋体" w:cs="宋体"/>
          <w:color w:val="auto"/>
          <w:sz w:val="24"/>
          <w:szCs w:val="24"/>
          <w:highlight w:val="none"/>
          <w:u w:val="single"/>
        </w:rPr>
        <w:t xml:space="preserve">级及以上 </w:t>
      </w:r>
      <w:r>
        <w:rPr>
          <w:rFonts w:hint="eastAsia" w:ascii="宋体" w:hAnsi="宋体" w:eastAsia="宋体" w:cs="宋体"/>
          <w:color w:val="auto"/>
          <w:sz w:val="24"/>
          <w:szCs w:val="24"/>
          <w:highlight w:val="none"/>
        </w:rPr>
        <w:t>资</w:t>
      </w:r>
      <w:r>
        <w:rPr>
          <w:rFonts w:hint="eastAsia" w:ascii="宋体" w:hAnsi="宋体" w:eastAsia="宋体" w:cs="宋体"/>
          <w:sz w:val="24"/>
          <w:szCs w:val="24"/>
          <w:highlight w:val="none"/>
        </w:rPr>
        <w:t>质</w:t>
      </w:r>
      <w:r>
        <w:rPr>
          <w:rFonts w:hint="eastAsia" w:ascii="宋体" w:hAnsi="宋体" w:eastAsia="宋体" w:cs="宋体"/>
          <w:b/>
          <w:bCs/>
          <w:sz w:val="24"/>
          <w:szCs w:val="24"/>
          <w:highlight w:val="none"/>
          <w:lang w:eastAsia="zh-CN"/>
        </w:rPr>
        <w:t>（对应资质应在“浙江省建筑市场监管公共服务系统”上动态核查结果处于“合格”状态）</w:t>
      </w:r>
      <w:r>
        <w:rPr>
          <w:rFonts w:hint="eastAsia" w:ascii="宋体" w:hAnsi="宋体" w:eastAsia="宋体" w:cs="宋体"/>
          <w:sz w:val="24"/>
          <w:szCs w:val="24"/>
          <w:highlight w:val="none"/>
        </w:rPr>
        <w:t>；</w:t>
      </w:r>
    </w:p>
    <w:p w14:paraId="56DFB80D">
      <w:pPr>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本次招标不接受联合体投标。</w:t>
      </w:r>
    </w:p>
    <w:p w14:paraId="1B41818B">
      <w:pPr>
        <w:pStyle w:val="8"/>
        <w:keepNext/>
        <w:keepLines/>
        <w:pageBreakBefore w:val="0"/>
        <w:numPr>
          <w:ilvl w:val="0"/>
          <w:numId w:val="6"/>
        </w:numPr>
        <w:tabs>
          <w:tab w:val="left" w:pos="1343"/>
          <w:tab w:val="left" w:pos="2697"/>
          <w:tab w:val="left" w:pos="3264"/>
          <w:tab w:val="left" w:pos="4896"/>
          <w:tab w:val="left" w:pos="6005"/>
          <w:tab w:val="left" w:pos="7085"/>
          <w:tab w:val="left" w:pos="7498"/>
        </w:tabs>
        <w:kinsoku w:val="0"/>
        <w:overflowPunct/>
        <w:topLinePunct w:val="0"/>
        <w:bidi w:val="0"/>
        <w:snapToGrid/>
        <w:spacing w:line="360" w:lineRule="auto"/>
        <w:ind w:left="0" w:leftChars="0" w:firstLine="42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拟派项目负责人：</w:t>
      </w:r>
    </w:p>
    <w:p w14:paraId="13F809D0">
      <w:pPr>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拟派项目负责人具有注册在投标人单位的</w:t>
      </w:r>
      <w:r>
        <w:rPr>
          <w:rFonts w:hint="eastAsia" w:ascii="宋体" w:hAnsi="宋体" w:eastAsia="宋体" w:cs="宋体"/>
          <w:sz w:val="24"/>
          <w:szCs w:val="24"/>
          <w:highlight w:val="none"/>
          <w:u w:val="single"/>
          <w:lang w:eastAsia="zh-CN"/>
        </w:rPr>
        <w:t>市政</w:t>
      </w:r>
      <w:r>
        <w:rPr>
          <w:rFonts w:hint="eastAsia" w:ascii="宋体" w:hAnsi="宋体" w:eastAsia="宋体" w:cs="宋体"/>
          <w:sz w:val="24"/>
          <w:szCs w:val="24"/>
          <w:highlight w:val="none"/>
          <w:u w:val="single"/>
        </w:rPr>
        <w:t>工程专业</w:t>
      </w:r>
      <w:r>
        <w:rPr>
          <w:rFonts w:hint="eastAsia" w:ascii="宋体" w:hAnsi="宋体" w:cs="宋体"/>
          <w:sz w:val="24"/>
          <w:szCs w:val="24"/>
          <w:highlight w:val="none"/>
          <w:u w:val="single"/>
          <w:lang w:val="en-US" w:eastAsia="zh-CN"/>
        </w:rPr>
        <w:t>一</w:t>
      </w:r>
      <w:r>
        <w:rPr>
          <w:rFonts w:hint="eastAsia" w:ascii="宋体" w:hAnsi="宋体" w:eastAsia="宋体" w:cs="宋体"/>
          <w:sz w:val="24"/>
          <w:szCs w:val="24"/>
          <w:highlight w:val="none"/>
          <w:u w:val="single"/>
        </w:rPr>
        <w:t>级</w:t>
      </w:r>
      <w:r>
        <w:rPr>
          <w:rFonts w:hint="eastAsia" w:ascii="宋体" w:hAnsi="宋体" w:eastAsia="宋体" w:cs="宋体"/>
          <w:sz w:val="24"/>
          <w:szCs w:val="24"/>
          <w:highlight w:val="none"/>
        </w:rPr>
        <w:t>建造师执业资格,无在建工程。</w:t>
      </w:r>
    </w:p>
    <w:p w14:paraId="40E5DB6A">
      <w:pPr>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425" w:leftChars="0" w:hanging="425"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招投标方式</w:t>
      </w:r>
    </w:p>
    <w:p w14:paraId="1C21C259">
      <w:pPr>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公开招标。</w:t>
      </w:r>
    </w:p>
    <w:p w14:paraId="4BF314D7">
      <w:pPr>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425" w:leftChars="0" w:hanging="425"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招标文件的获取</w:t>
      </w:r>
    </w:p>
    <w:p w14:paraId="3D04FB9C">
      <w:pPr>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本项目招标文件（含图纸）和补充（答疑、澄清）、修改文件以网上下载方式发放，http://www.sanmen.gov.cn/col/col1229610743/index.html。</w:t>
      </w:r>
    </w:p>
    <w:p w14:paraId="0D362658">
      <w:pPr>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招标文件下载网址：潜在投标人登录http://www.sanmen.gov.cn/col/col1229610743/index.html自行下载招标文件、工程量清单、投标工具和施工图纸。</w:t>
      </w:r>
    </w:p>
    <w:p w14:paraId="2F511138">
      <w:pPr>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招标文件网上下载时间：公告发布之日起至投标文件递交截止时间。</w:t>
      </w:r>
    </w:p>
    <w:p w14:paraId="50E45F53">
      <w:pPr>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eastAsia="宋体" w:cs="宋体"/>
          <w:sz w:val="24"/>
          <w:szCs w:val="24"/>
          <w:highlight w:val="none"/>
          <w:u w:val="single"/>
        </w:rPr>
        <w:t>http://www.tseal.cn/tcloud/smxztb</w:t>
      </w:r>
      <w:r>
        <w:rPr>
          <w:rFonts w:hint="eastAsia" w:ascii="宋体" w:hAnsi="宋体" w:eastAsia="宋体" w:cs="宋体"/>
          <w:sz w:val="24"/>
          <w:szCs w:val="24"/>
          <w:highlight w:val="none"/>
        </w:rPr>
        <w:t>。</w:t>
      </w:r>
    </w:p>
    <w:p w14:paraId="431569C0">
      <w:pPr>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425" w:leftChars="0" w:hanging="425"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投标文件的</w:t>
      </w:r>
      <w:r>
        <w:rPr>
          <w:rFonts w:hint="eastAsia" w:ascii="宋体" w:hAnsi="宋体" w:eastAsia="宋体" w:cs="宋体"/>
          <w:b/>
          <w:bCs/>
          <w:color w:val="auto"/>
          <w:sz w:val="24"/>
          <w:szCs w:val="24"/>
          <w:highlight w:val="none"/>
          <w:lang w:val="en-US" w:eastAsia="zh-CN"/>
        </w:rPr>
        <w:t>上传</w:t>
      </w:r>
    </w:p>
    <w:p w14:paraId="547517E4">
      <w:pPr>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投标文件上传的截止时间（投标截止时间，下同）为</w:t>
      </w:r>
      <w:r>
        <w:rPr>
          <w:rFonts w:hint="eastAsia" w:ascii="宋体" w:hAnsi="宋体" w:cs="宋体"/>
          <w:b/>
          <w:bCs/>
          <w:color w:val="auto"/>
          <w:sz w:val="24"/>
          <w:szCs w:val="24"/>
          <w:highlight w:val="none"/>
          <w:u w:val="single"/>
          <w:lang w:val="en-US" w:eastAsia="zh-CN"/>
        </w:rPr>
        <w:t xml:space="preserve">2024年  月  日9时00 </w:t>
      </w:r>
      <w:r>
        <w:rPr>
          <w:rFonts w:hint="eastAsia" w:ascii="宋体" w:hAnsi="宋体" w:eastAsia="宋体" w:cs="宋体"/>
          <w:b/>
          <w:bCs/>
          <w:color w:val="auto"/>
          <w:sz w:val="24"/>
          <w:szCs w:val="24"/>
          <w:highlight w:val="none"/>
        </w:rPr>
        <w:t>分</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w:t>
      </w:r>
    </w:p>
    <w:p w14:paraId="17229479">
      <w:pPr>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逾期上传的或者未上传指定系统的，招标人不予受理。</w:t>
      </w:r>
    </w:p>
    <w:p w14:paraId="34635A43">
      <w:pPr>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425" w:leftChars="0" w:hanging="425" w:firstLineChars="0"/>
        <w:textAlignment w:val="auto"/>
        <w:outlineLvl w:val="9"/>
        <w:rPr>
          <w:rFonts w:hint="eastAsia" w:ascii="宋体" w:hAnsi="宋体" w:eastAsia="宋体" w:cs="宋体"/>
          <w:b/>
          <w:sz w:val="24"/>
          <w:szCs w:val="24"/>
          <w:highlight w:val="none"/>
        </w:rPr>
      </w:pPr>
      <w:r>
        <w:rPr>
          <w:rFonts w:hint="eastAsia" w:ascii="宋体" w:hAnsi="宋体" w:eastAsia="宋体" w:cs="宋体"/>
          <w:b/>
          <w:bCs/>
          <w:color w:val="auto"/>
          <w:sz w:val="24"/>
          <w:szCs w:val="24"/>
          <w:highlight w:val="none"/>
        </w:rPr>
        <w:t>发布公告的媒介  </w:t>
      </w:r>
      <w:r>
        <w:rPr>
          <w:rFonts w:hint="eastAsia" w:ascii="宋体" w:hAnsi="宋体" w:eastAsia="宋体" w:cs="宋体"/>
          <w:b/>
          <w:sz w:val="24"/>
          <w:szCs w:val="24"/>
          <w:highlight w:val="none"/>
        </w:rPr>
        <w:t> </w:t>
      </w:r>
    </w:p>
    <w:p w14:paraId="69B2666B">
      <w:pPr>
        <w:keepNext/>
        <w:keepLines/>
        <w:pageBreakBefore w:val="0"/>
        <w:widowControl/>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本次招标公告同时在三门县公共资源交易网（网址：http://www.sanmen.gov.cn/col/col1229610743/index.html）和浙江省公共资源交易服务平台</w:t>
      </w:r>
      <w:r>
        <w:rPr>
          <w:rFonts w:hint="eastAsia" w:ascii="宋体" w:hAnsi="宋体" w:eastAsia="宋体" w:cs="宋体"/>
          <w:sz w:val="24"/>
          <w:szCs w:val="24"/>
          <w:highlight w:val="none"/>
          <w:u w:val="single"/>
        </w:rPr>
        <w:t>https://ggzy.zj.gov.cn</w:t>
      </w:r>
      <w:r>
        <w:rPr>
          <w:rFonts w:hint="eastAsia" w:ascii="宋体" w:hAnsi="宋体" w:eastAsia="宋体" w:cs="宋体"/>
          <w:sz w:val="24"/>
          <w:szCs w:val="24"/>
          <w:highlight w:val="none"/>
        </w:rPr>
        <w:t>上发布。</w:t>
      </w:r>
    </w:p>
    <w:p w14:paraId="2FA8DD5C">
      <w:pPr>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425" w:leftChars="0" w:hanging="425"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联系方式</w:t>
      </w:r>
    </w:p>
    <w:p w14:paraId="0FE60899">
      <w:pPr>
        <w:pStyle w:val="8"/>
        <w:keepNext/>
        <w:keepLines/>
        <w:pageBreakBefore w:val="0"/>
        <w:tabs>
          <w:tab w:val="left" w:pos="4228"/>
          <w:tab w:val="left" w:pos="7975"/>
        </w:tabs>
        <w:kinsoku w:val="0"/>
        <w:overflowPunct/>
        <w:topLinePunct w:val="0"/>
        <w:bidi w:val="0"/>
        <w:snapToGrid/>
        <w:spacing w:line="360" w:lineRule="auto"/>
        <w:ind w:left="0" w:firstLine="480" w:firstLineChars="200"/>
        <w:jc w:val="both"/>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招 标</w:t>
      </w:r>
      <w:r>
        <w:rPr>
          <w:rFonts w:hint="eastAsia" w:ascii="宋体" w:hAnsi="宋体" w:eastAsia="宋体" w:cs="宋体"/>
          <w:spacing w:val="2"/>
          <w:sz w:val="24"/>
          <w:szCs w:val="24"/>
          <w:highlight w:val="none"/>
        </w:rPr>
        <w:t xml:space="preserve"> </w:t>
      </w:r>
      <w:r>
        <w:rPr>
          <w:rFonts w:hint="eastAsia" w:ascii="宋体" w:hAnsi="宋体" w:eastAsia="宋体" w:cs="宋体"/>
          <w:sz w:val="24"/>
          <w:szCs w:val="24"/>
          <w:highlight w:val="none"/>
        </w:rPr>
        <w:t>人：</w:t>
      </w:r>
      <w:r>
        <w:rPr>
          <w:rFonts w:hint="eastAsia" w:ascii="宋体" w:hAnsi="宋体" w:cs="宋体"/>
          <w:sz w:val="24"/>
          <w:szCs w:val="24"/>
          <w:highlight w:val="none"/>
          <w:lang w:eastAsia="zh-CN"/>
        </w:rPr>
        <w:t>浙江三门经济开发区管理委员会</w:t>
      </w:r>
    </w:p>
    <w:p w14:paraId="24579C1E">
      <w:pPr>
        <w:pStyle w:val="8"/>
        <w:keepNext/>
        <w:keepLines/>
        <w:pageBreakBefore w:val="0"/>
        <w:tabs>
          <w:tab w:val="left" w:pos="4228"/>
          <w:tab w:val="left" w:pos="7975"/>
        </w:tabs>
        <w:kinsoku w:val="0"/>
        <w:overflowPunct/>
        <w:topLinePunct w:val="0"/>
        <w:bidi w:val="0"/>
        <w:snapToGrid/>
        <w:spacing w:line="360" w:lineRule="auto"/>
        <w:ind w:left="0" w:firstLine="480" w:firstLineChars="200"/>
        <w:jc w:val="both"/>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地    址：</w:t>
      </w:r>
      <w:r>
        <w:rPr>
          <w:rFonts w:hint="eastAsia"/>
          <w:sz w:val="24"/>
          <w:lang w:eastAsia="zh-CN"/>
        </w:rPr>
        <w:t>三门县</w:t>
      </w:r>
      <w:r>
        <w:rPr>
          <w:rFonts w:hint="eastAsia"/>
          <w:sz w:val="24"/>
        </w:rPr>
        <w:t>三门湾大道29号</w:t>
      </w:r>
    </w:p>
    <w:p w14:paraId="6DF6B1E1">
      <w:pPr>
        <w:pStyle w:val="8"/>
        <w:keepNext/>
        <w:keepLines/>
        <w:pageBreakBefore w:val="0"/>
        <w:tabs>
          <w:tab w:val="left" w:pos="4228"/>
          <w:tab w:val="left" w:pos="7975"/>
        </w:tabs>
        <w:kinsoku w:val="0"/>
        <w:overflowPunct/>
        <w:topLinePunct w:val="0"/>
        <w:bidi w:val="0"/>
        <w:snapToGrid/>
        <w:spacing w:line="360" w:lineRule="auto"/>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 系</w:t>
      </w:r>
      <w:r>
        <w:rPr>
          <w:rFonts w:hint="eastAsia" w:ascii="宋体" w:hAnsi="宋体" w:eastAsia="宋体" w:cs="宋体"/>
          <w:spacing w:val="2"/>
          <w:sz w:val="24"/>
          <w:szCs w:val="24"/>
          <w:highlight w:val="none"/>
        </w:rPr>
        <w:t xml:space="preserve"> </w:t>
      </w:r>
      <w:r>
        <w:rPr>
          <w:rFonts w:hint="eastAsia" w:ascii="宋体" w:hAnsi="宋体" w:eastAsia="宋体" w:cs="宋体"/>
          <w:sz w:val="24"/>
          <w:szCs w:val="24"/>
          <w:highlight w:val="none"/>
        </w:rPr>
        <w:t>人：</w:t>
      </w:r>
      <w:r>
        <w:rPr>
          <w:rFonts w:hint="eastAsia" w:ascii="宋体" w:hAnsi="宋体" w:cs="宋体"/>
          <w:sz w:val="24"/>
          <w:szCs w:val="24"/>
          <w:highlight w:val="none"/>
          <w:lang w:eastAsia="zh-CN"/>
        </w:rPr>
        <w:t>王陈</w:t>
      </w:r>
    </w:p>
    <w:p w14:paraId="5F69B678">
      <w:pPr>
        <w:pStyle w:val="8"/>
        <w:keepNext/>
        <w:keepLines/>
        <w:pageBreakBefore w:val="0"/>
        <w:tabs>
          <w:tab w:val="left" w:pos="4228"/>
          <w:tab w:val="left" w:pos="7975"/>
        </w:tabs>
        <w:kinsoku w:val="0"/>
        <w:overflowPunct/>
        <w:topLinePunct w:val="0"/>
        <w:bidi w:val="0"/>
        <w:snapToGrid/>
        <w:spacing w:line="360" w:lineRule="auto"/>
        <w:ind w:left="0" w:firstLine="480" w:firstLineChars="200"/>
        <w:jc w:val="both"/>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 xml:space="preserve">电   </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话：</w:t>
      </w:r>
      <w:r>
        <w:rPr>
          <w:rFonts w:hint="eastAsia" w:ascii="宋体" w:hAnsi="宋体" w:cs="宋体"/>
          <w:sz w:val="24"/>
          <w:szCs w:val="24"/>
          <w:highlight w:val="none"/>
          <w:lang w:eastAsia="zh-CN"/>
        </w:rPr>
        <w:t>15207676575</w:t>
      </w:r>
    </w:p>
    <w:p w14:paraId="32FE6947">
      <w:pPr>
        <w:pStyle w:val="8"/>
        <w:keepNext/>
        <w:keepLines/>
        <w:pageBreakBefore w:val="0"/>
        <w:tabs>
          <w:tab w:val="left" w:pos="4228"/>
          <w:tab w:val="left" w:pos="7975"/>
        </w:tabs>
        <w:kinsoku w:val="0"/>
        <w:overflowPunct/>
        <w:topLinePunct w:val="0"/>
        <w:bidi w:val="0"/>
        <w:snapToGrid/>
        <w:spacing w:line="360" w:lineRule="auto"/>
        <w:ind w:left="0" w:right="905" w:firstLine="5520" w:firstLineChars="2300"/>
        <w:jc w:val="both"/>
        <w:textAlignment w:val="auto"/>
        <w:rPr>
          <w:rFonts w:hint="eastAsia" w:ascii="宋体" w:hAnsi="宋体" w:eastAsia="宋体" w:cs="宋体"/>
          <w:sz w:val="24"/>
          <w:szCs w:val="24"/>
          <w:highlight w:val="none"/>
        </w:rPr>
      </w:pPr>
    </w:p>
    <w:p w14:paraId="153ADFEF">
      <w:pPr>
        <w:pStyle w:val="8"/>
        <w:keepNext/>
        <w:keepLines/>
        <w:pageBreakBefore w:val="0"/>
        <w:tabs>
          <w:tab w:val="left" w:pos="4228"/>
          <w:tab w:val="left" w:pos="7975"/>
        </w:tabs>
        <w:kinsoku w:val="0"/>
        <w:overflowPunct/>
        <w:topLinePunct w:val="0"/>
        <w:bidi w:val="0"/>
        <w:snapToGrid/>
        <w:spacing w:line="360" w:lineRule="auto"/>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招标代理机构：</w:t>
      </w:r>
      <w:r>
        <w:rPr>
          <w:rFonts w:hint="eastAsia" w:ascii="宋体" w:hAnsi="宋体" w:cs="宋体"/>
          <w:sz w:val="24"/>
          <w:szCs w:val="24"/>
          <w:highlight w:val="none"/>
          <w:lang w:eastAsia="zh-CN"/>
        </w:rPr>
        <w:t>浙江衡达工程咨询有限公司</w:t>
      </w:r>
    </w:p>
    <w:p w14:paraId="78E7FC37">
      <w:pPr>
        <w:pStyle w:val="8"/>
        <w:keepNext/>
        <w:keepLines/>
        <w:pageBreakBefore w:val="0"/>
        <w:tabs>
          <w:tab w:val="left" w:pos="4228"/>
          <w:tab w:val="left" w:pos="7975"/>
        </w:tabs>
        <w:kinsoku w:val="0"/>
        <w:overflowPunct/>
        <w:topLinePunct w:val="0"/>
        <w:bidi w:val="0"/>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地     </w:t>
      </w:r>
      <w:r>
        <w:rPr>
          <w:rFonts w:hint="eastAsia" w:ascii="宋体" w:hAnsi="宋体" w:eastAsia="宋体" w:cs="宋体"/>
          <w:spacing w:val="5"/>
          <w:sz w:val="24"/>
          <w:szCs w:val="24"/>
          <w:highlight w:val="none"/>
        </w:rPr>
        <w:t xml:space="preserve"> </w:t>
      </w:r>
      <w:r>
        <w:rPr>
          <w:rFonts w:hint="eastAsia" w:ascii="宋体" w:hAnsi="宋体" w:eastAsia="宋体" w:cs="宋体"/>
          <w:sz w:val="24"/>
          <w:szCs w:val="24"/>
          <w:highlight w:val="none"/>
        </w:rPr>
        <w:t>址：</w:t>
      </w:r>
      <w:r>
        <w:rPr>
          <w:rFonts w:hint="eastAsia"/>
        </w:rPr>
        <w:t>三门县海游街道梧桐路19号金茂大厦A幢2楼</w:t>
      </w:r>
    </w:p>
    <w:p w14:paraId="09876D48">
      <w:pPr>
        <w:pStyle w:val="8"/>
        <w:keepNext/>
        <w:keepLines/>
        <w:pageBreakBefore w:val="0"/>
        <w:tabs>
          <w:tab w:val="left" w:pos="4228"/>
          <w:tab w:val="left" w:pos="7975"/>
        </w:tabs>
        <w:kinsoku w:val="0"/>
        <w:overflowPunct/>
        <w:topLinePunct w:val="0"/>
        <w:bidi w:val="0"/>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 系</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人：</w:t>
      </w:r>
      <w:r>
        <w:rPr>
          <w:rFonts w:hint="eastAsia" w:ascii="宋体" w:hAnsi="宋体" w:cs="宋体"/>
          <w:sz w:val="24"/>
          <w:szCs w:val="24"/>
          <w:highlight w:val="none"/>
          <w:lang w:eastAsia="zh-CN"/>
        </w:rPr>
        <w:t>陈娟娟</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 xml:space="preserve"> </w:t>
      </w:r>
    </w:p>
    <w:p w14:paraId="19F822B9">
      <w:pPr>
        <w:pStyle w:val="8"/>
        <w:keepNext/>
        <w:keepLines/>
        <w:pageBreakBefore w:val="0"/>
        <w:tabs>
          <w:tab w:val="left" w:pos="4228"/>
          <w:tab w:val="left" w:pos="7975"/>
        </w:tabs>
        <w:kinsoku w:val="0"/>
        <w:overflowPunct/>
        <w:topLinePunct w:val="0"/>
        <w:bidi w:val="0"/>
        <w:snapToGrid/>
        <w:spacing w:line="360" w:lineRule="auto"/>
        <w:ind w:left="0" w:firstLine="480" w:firstLineChars="200"/>
        <w:jc w:val="both"/>
        <w:textAlignment w:val="auto"/>
        <w:rPr>
          <w:rFonts w:hint="eastAsia" w:ascii="宋体" w:hAnsi="宋体" w:eastAsia="宋体" w:cs="宋体"/>
          <w:w w:val="28"/>
          <w:sz w:val="24"/>
          <w:szCs w:val="24"/>
          <w:highlight w:val="none"/>
          <w:u w:val="single"/>
          <w:lang w:val="en-US" w:eastAsia="zh-CN"/>
        </w:rPr>
      </w:pPr>
      <w:r>
        <w:rPr>
          <w:rFonts w:hint="eastAsia" w:ascii="宋体" w:hAnsi="宋体" w:eastAsia="宋体" w:cs="宋体"/>
          <w:sz w:val="24"/>
          <w:szCs w:val="24"/>
          <w:highlight w:val="none"/>
        </w:rPr>
        <w:t>电     话：</w:t>
      </w:r>
      <w:r>
        <w:rPr>
          <w:rFonts w:hint="eastAsia" w:ascii="宋体" w:hAnsi="宋体" w:cs="宋体"/>
          <w:sz w:val="24"/>
          <w:szCs w:val="24"/>
          <w:highlight w:val="none"/>
          <w:lang w:eastAsia="zh-CN"/>
        </w:rPr>
        <w:t>0576-89300193</w:t>
      </w:r>
    </w:p>
    <w:p w14:paraId="25F7B7AE">
      <w:pPr>
        <w:pStyle w:val="8"/>
        <w:keepNext/>
        <w:keepLines/>
        <w:pageBreakBefore w:val="0"/>
        <w:tabs>
          <w:tab w:val="left" w:pos="4228"/>
          <w:tab w:val="left" w:pos="7975"/>
        </w:tabs>
        <w:kinsoku w:val="0"/>
        <w:overflowPunct/>
        <w:topLinePunct w:val="0"/>
        <w:bidi w:val="0"/>
        <w:snapToGrid/>
        <w:spacing w:line="360" w:lineRule="auto"/>
        <w:ind w:left="0" w:leftChars="0" w:right="905" w:firstLine="0" w:firstLineChars="0"/>
        <w:jc w:val="both"/>
        <w:textAlignment w:val="auto"/>
        <w:rPr>
          <w:rFonts w:hint="eastAsia" w:ascii="宋体" w:hAnsi="宋体" w:eastAsia="宋体" w:cs="宋体"/>
          <w:sz w:val="24"/>
          <w:szCs w:val="24"/>
          <w:highlight w:val="none"/>
        </w:rPr>
      </w:pPr>
    </w:p>
    <w:p w14:paraId="228644C9">
      <w:pPr>
        <w:keepNext/>
        <w:keepLines/>
        <w:pageBreakBefore w:val="0"/>
        <w:widowControl/>
        <w:overflowPunct/>
        <w:topLinePunct w:val="0"/>
        <w:autoSpaceDE/>
        <w:autoSpaceDN/>
        <w:bidi w:val="0"/>
        <w:adjustRightInd/>
        <w:snapToGrid/>
        <w:spacing w:line="360" w:lineRule="auto"/>
        <w:jc w:val="righ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浙江三门经济开发区管理委员会</w:t>
      </w:r>
      <w:r>
        <w:rPr>
          <w:rFonts w:hint="eastAsia" w:ascii="宋体" w:hAnsi="宋体" w:eastAsia="宋体" w:cs="宋体"/>
          <w:sz w:val="24"/>
          <w:szCs w:val="24"/>
          <w:highlight w:val="none"/>
          <w:lang w:eastAsia="zh-CN"/>
        </w:rPr>
        <w:t xml:space="preserve"> </w:t>
      </w:r>
    </w:p>
    <w:p w14:paraId="6172A69B">
      <w:pPr>
        <w:keepNext/>
        <w:keepLines/>
        <w:pageBreakBefore w:val="0"/>
        <w:widowControl/>
        <w:overflowPunct/>
        <w:topLinePunct w:val="0"/>
        <w:autoSpaceDE/>
        <w:autoSpaceDN/>
        <w:bidi w:val="0"/>
        <w:adjustRightInd/>
        <w:snapToGrid/>
        <w:spacing w:line="360" w:lineRule="auto"/>
        <w:jc w:val="righ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浙江衡达工程咨询有限公司</w:t>
      </w:r>
    </w:p>
    <w:p w14:paraId="2D55205B">
      <w:pPr>
        <w:keepNext/>
        <w:keepLines/>
        <w:pageBreakBefore w:val="0"/>
        <w:widowControl/>
        <w:overflowPunct/>
        <w:topLinePunct w:val="0"/>
        <w:autoSpaceDE/>
        <w:autoSpaceDN/>
        <w:bidi w:val="0"/>
        <w:adjustRightInd/>
        <w:snapToGrid/>
        <w:spacing w:line="360" w:lineRule="auto"/>
        <w:jc w:val="righ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三门县住房和城乡建设局</w:t>
      </w:r>
    </w:p>
    <w:p w14:paraId="7010F62E">
      <w:pPr>
        <w:keepNext/>
        <w:keepLines/>
        <w:pageBreakBefore w:val="0"/>
        <w:widowControl/>
        <w:overflowPunct/>
        <w:topLinePunct w:val="0"/>
        <w:autoSpaceDE/>
        <w:autoSpaceDN/>
        <w:bidi w:val="0"/>
        <w:adjustRightInd/>
        <w:snapToGrid/>
        <w:spacing w:line="360" w:lineRule="auto"/>
        <w:jc w:val="right"/>
        <w:textAlignment w:val="auto"/>
        <w:rPr>
          <w:highlight w:val="none"/>
        </w:rPr>
      </w:pP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日 </w:t>
      </w:r>
      <w:r>
        <w:rPr>
          <w:highlight w:val="none"/>
        </w:rPr>
        <w:br w:type="page"/>
      </w:r>
    </w:p>
    <w:bookmarkEnd w:id="0"/>
    <w:bookmarkEnd w:id="1"/>
    <w:bookmarkEnd w:id="2"/>
    <w:p w14:paraId="3A2E3FFF">
      <w:pPr>
        <w:pStyle w:val="2"/>
        <w:keepNext/>
        <w:keepLines/>
        <w:pageBreakBefore w:val="0"/>
        <w:numPr>
          <w:ilvl w:val="0"/>
          <w:numId w:val="4"/>
        </w:numPr>
        <w:overflowPunct/>
        <w:topLinePunct w:val="0"/>
        <w:bidi w:val="0"/>
        <w:snapToGrid/>
        <w:ind w:left="0" w:leftChars="0" w:firstLine="402" w:firstLineChars="0"/>
        <w:textAlignment w:val="auto"/>
        <w:outlineLvl w:val="0"/>
        <w:rPr>
          <w:rFonts w:hint="eastAsia"/>
          <w:highlight w:val="none"/>
        </w:rPr>
      </w:pPr>
      <w:bookmarkStart w:id="6" w:name="bookmark20"/>
      <w:bookmarkEnd w:id="6"/>
      <w:bookmarkStart w:id="7" w:name="_Toc15777"/>
      <w:bookmarkStart w:id="8" w:name="_Toc45697229"/>
      <w:bookmarkStart w:id="9" w:name="_Toc22828066"/>
      <w:bookmarkStart w:id="10" w:name="_Toc1035"/>
      <w:r>
        <w:rPr>
          <w:rFonts w:hint="eastAsia"/>
          <w:highlight w:val="none"/>
        </w:rPr>
        <w:t>投标人须知</w:t>
      </w:r>
      <w:bookmarkEnd w:id="7"/>
      <w:bookmarkEnd w:id="8"/>
      <w:bookmarkEnd w:id="9"/>
      <w:bookmarkEnd w:id="10"/>
    </w:p>
    <w:p w14:paraId="4554484F">
      <w:pPr>
        <w:jc w:val="center"/>
        <w:rPr>
          <w:b/>
          <w:sz w:val="32"/>
          <w:szCs w:val="32"/>
          <w:highlight w:val="none"/>
        </w:rPr>
      </w:pPr>
      <w:bookmarkStart w:id="11" w:name="bookmark21"/>
      <w:bookmarkEnd w:id="11"/>
      <w:bookmarkStart w:id="12" w:name="_Toc45697230"/>
      <w:bookmarkStart w:id="13" w:name="_Toc22828067"/>
      <w:bookmarkStart w:id="14" w:name="_Toc17203"/>
      <w:r>
        <w:rPr>
          <w:rFonts w:hint="eastAsia"/>
          <w:b/>
          <w:sz w:val="32"/>
          <w:szCs w:val="32"/>
          <w:highlight w:val="none"/>
        </w:rPr>
        <w:t>投标人须知前附表</w:t>
      </w:r>
      <w:bookmarkEnd w:id="12"/>
      <w:bookmarkEnd w:id="13"/>
      <w:bookmarkEnd w:id="14"/>
    </w:p>
    <w:p w14:paraId="63AD7B03">
      <w:pPr>
        <w:pStyle w:val="8"/>
        <w:kinsoku w:val="0"/>
        <w:spacing w:before="12"/>
        <w:ind w:left="0"/>
        <w:rPr>
          <w:rFonts w:ascii="Microsoft JhengHei" w:eastAsia="Microsoft JhengHei" w:cs="Microsoft JhengHei"/>
          <w:b/>
          <w:bCs/>
          <w:sz w:val="12"/>
          <w:szCs w:val="12"/>
          <w:highlight w:val="none"/>
        </w:rPr>
      </w:pPr>
    </w:p>
    <w:tbl>
      <w:tblPr>
        <w:tblStyle w:val="21"/>
        <w:tblW w:w="10001" w:type="dxa"/>
        <w:jc w:val="center"/>
        <w:tblLayout w:type="fixed"/>
        <w:tblCellMar>
          <w:top w:w="0" w:type="dxa"/>
          <w:left w:w="57" w:type="dxa"/>
          <w:bottom w:w="0" w:type="dxa"/>
          <w:right w:w="57" w:type="dxa"/>
        </w:tblCellMar>
      </w:tblPr>
      <w:tblGrid>
        <w:gridCol w:w="1305"/>
        <w:gridCol w:w="1697"/>
        <w:gridCol w:w="6999"/>
      </w:tblGrid>
      <w:tr w14:paraId="25CE15E5">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B619F7E">
            <w:pPr>
              <w:pStyle w:val="32"/>
              <w:keepNext w:val="0"/>
              <w:keepLines w:val="0"/>
              <w:pageBreakBefore w:val="0"/>
              <w:kinsoku w:val="0"/>
              <w:wordWrap/>
              <w:topLinePunct w:val="0"/>
              <w:bidi w:val="0"/>
              <w:snapToGrid/>
              <w:spacing w:line="440" w:lineRule="exact"/>
              <w:ind w:left="259"/>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条款号</w:t>
            </w:r>
          </w:p>
        </w:tc>
        <w:tc>
          <w:tcPr>
            <w:tcW w:w="1697" w:type="dxa"/>
            <w:tcBorders>
              <w:top w:val="single" w:color="000000" w:sz="4" w:space="0"/>
              <w:left w:val="single" w:color="000000" w:sz="4" w:space="0"/>
              <w:bottom w:val="single" w:color="000000" w:sz="4" w:space="0"/>
              <w:right w:val="single" w:color="000000" w:sz="4" w:space="0"/>
            </w:tcBorders>
            <w:vAlign w:val="center"/>
          </w:tcPr>
          <w:p w14:paraId="61FE0975">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条款名称</w:t>
            </w:r>
          </w:p>
        </w:tc>
        <w:tc>
          <w:tcPr>
            <w:tcW w:w="6999" w:type="dxa"/>
            <w:tcBorders>
              <w:top w:val="single" w:color="000000" w:sz="4" w:space="0"/>
              <w:left w:val="single" w:color="000000" w:sz="4" w:space="0"/>
              <w:bottom w:val="single" w:color="000000" w:sz="4" w:space="0"/>
              <w:right w:val="single" w:color="000000" w:sz="4" w:space="0"/>
            </w:tcBorders>
            <w:vAlign w:val="center"/>
          </w:tcPr>
          <w:p w14:paraId="67DE35AF">
            <w:pPr>
              <w:pStyle w:val="32"/>
              <w:keepNext w:val="0"/>
              <w:keepLines w:val="0"/>
              <w:pageBreakBefore w:val="0"/>
              <w:kinsoku w:val="0"/>
              <w:wordWrap/>
              <w:topLinePunct w:val="0"/>
              <w:bidi w:val="0"/>
              <w:snapToGrid/>
              <w:spacing w:line="440" w:lineRule="exact"/>
              <w:ind w:left="2"/>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编列内容</w:t>
            </w:r>
          </w:p>
        </w:tc>
      </w:tr>
      <w:tr w14:paraId="790AECA5">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315B7A3">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w:t>
            </w:r>
          </w:p>
        </w:tc>
        <w:tc>
          <w:tcPr>
            <w:tcW w:w="1697" w:type="dxa"/>
            <w:tcBorders>
              <w:top w:val="single" w:color="000000" w:sz="4" w:space="0"/>
              <w:left w:val="single" w:color="000000" w:sz="4" w:space="0"/>
              <w:bottom w:val="single" w:color="000000" w:sz="4" w:space="0"/>
              <w:right w:val="single" w:color="000000" w:sz="4" w:space="0"/>
            </w:tcBorders>
            <w:vAlign w:val="center"/>
          </w:tcPr>
          <w:p w14:paraId="4E3D38D3">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招标人</w:t>
            </w:r>
          </w:p>
        </w:tc>
        <w:tc>
          <w:tcPr>
            <w:tcW w:w="6999" w:type="dxa"/>
            <w:tcBorders>
              <w:top w:val="single" w:color="000000" w:sz="4" w:space="0"/>
              <w:left w:val="single" w:color="000000" w:sz="4" w:space="0"/>
              <w:bottom w:val="single" w:color="000000" w:sz="4" w:space="0"/>
              <w:right w:val="single" w:color="000000" w:sz="4" w:space="0"/>
            </w:tcBorders>
          </w:tcPr>
          <w:p w14:paraId="1AB607F2">
            <w:pPr>
              <w:keepNext w:val="0"/>
              <w:keepLines w:val="0"/>
              <w:pageBreakBefore w:val="0"/>
              <w:wordWrap/>
              <w:topLinePunct w:val="0"/>
              <w:bidi w:val="0"/>
              <w:snapToGrid/>
              <w:spacing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cs="宋体"/>
                <w:sz w:val="24"/>
                <w:szCs w:val="24"/>
                <w:highlight w:val="none"/>
                <w:lang w:eastAsia="zh-CN"/>
              </w:rPr>
              <w:t>浙江三门经济开发区管理委员会</w:t>
            </w:r>
          </w:p>
          <w:p w14:paraId="07C99CA9">
            <w:pPr>
              <w:keepNext w:val="0"/>
              <w:keepLines w:val="0"/>
              <w:pageBreakBefore w:val="0"/>
              <w:wordWrap/>
              <w:topLinePunct w:val="0"/>
              <w:bidi w:val="0"/>
              <w:snapToGrid/>
              <w:spacing w:line="440" w:lineRule="exact"/>
              <w:textAlignment w:val="auto"/>
              <w:rPr>
                <w:rFonts w:hint="eastAsia" w:ascii="宋体" w:hAnsi="宋体" w:eastAsia="宋体" w:cs="宋体"/>
                <w:bCs/>
                <w:sz w:val="24"/>
                <w:szCs w:val="24"/>
                <w:highlight w:val="none"/>
                <w:lang w:eastAsia="zh-CN"/>
              </w:rPr>
            </w:pPr>
            <w:r>
              <w:rPr>
                <w:rFonts w:hint="eastAsia" w:ascii="宋体" w:hAnsi="宋体" w:eastAsia="宋体" w:cs="宋体"/>
                <w:sz w:val="24"/>
                <w:szCs w:val="24"/>
                <w:highlight w:val="none"/>
              </w:rPr>
              <w:t>地址：</w:t>
            </w:r>
            <w:r>
              <w:rPr>
                <w:rFonts w:hint="eastAsia"/>
                <w:sz w:val="24"/>
                <w:lang w:eastAsia="zh-CN"/>
              </w:rPr>
              <w:t>三门县</w:t>
            </w:r>
            <w:r>
              <w:rPr>
                <w:rFonts w:hint="eastAsia"/>
                <w:sz w:val="24"/>
              </w:rPr>
              <w:t>三门湾大道29号</w:t>
            </w:r>
          </w:p>
          <w:p w14:paraId="45E48DD2">
            <w:pPr>
              <w:keepNext w:val="0"/>
              <w:keepLines w:val="0"/>
              <w:pageBreakBefore w:val="0"/>
              <w:wordWrap/>
              <w:topLinePunct w:val="0"/>
              <w:bidi w:val="0"/>
              <w:snapToGrid/>
              <w:spacing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cs="宋体"/>
                <w:sz w:val="24"/>
                <w:szCs w:val="24"/>
                <w:highlight w:val="none"/>
                <w:lang w:eastAsia="zh-CN"/>
              </w:rPr>
              <w:t>王陈</w:t>
            </w:r>
          </w:p>
          <w:p w14:paraId="2386DDF8">
            <w:pPr>
              <w:pStyle w:val="32"/>
              <w:keepNext w:val="0"/>
              <w:keepLines w:val="0"/>
              <w:pageBreakBefore w:val="0"/>
              <w:kinsoku w:val="0"/>
              <w:wordWrap/>
              <w:topLinePunct w:val="0"/>
              <w:bidi w:val="0"/>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cs="宋体"/>
                <w:sz w:val="24"/>
                <w:szCs w:val="24"/>
                <w:highlight w:val="none"/>
                <w:lang w:eastAsia="zh-CN"/>
              </w:rPr>
              <w:t>15207676575</w:t>
            </w:r>
            <w:r>
              <w:rPr>
                <w:rFonts w:hint="eastAsia" w:ascii="宋体" w:hAnsi="宋体" w:eastAsia="宋体" w:cs="宋体"/>
                <w:bCs/>
                <w:sz w:val="24"/>
                <w:szCs w:val="24"/>
                <w:highlight w:val="none"/>
              </w:rPr>
              <w:t xml:space="preserve"> </w:t>
            </w:r>
          </w:p>
        </w:tc>
      </w:tr>
      <w:tr w14:paraId="4C43F7F7">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85CC220">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w:t>
            </w:r>
          </w:p>
        </w:tc>
        <w:tc>
          <w:tcPr>
            <w:tcW w:w="1697" w:type="dxa"/>
            <w:tcBorders>
              <w:top w:val="single" w:color="000000" w:sz="4" w:space="0"/>
              <w:left w:val="single" w:color="000000" w:sz="4" w:space="0"/>
              <w:bottom w:val="single" w:color="000000" w:sz="4" w:space="0"/>
              <w:right w:val="single" w:color="000000" w:sz="4" w:space="0"/>
            </w:tcBorders>
            <w:vAlign w:val="center"/>
          </w:tcPr>
          <w:p w14:paraId="0415A442">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招标代理机构</w:t>
            </w:r>
          </w:p>
        </w:tc>
        <w:tc>
          <w:tcPr>
            <w:tcW w:w="6999" w:type="dxa"/>
            <w:tcBorders>
              <w:top w:val="single" w:color="000000" w:sz="4" w:space="0"/>
              <w:left w:val="single" w:color="000000" w:sz="4" w:space="0"/>
              <w:bottom w:val="single" w:color="000000" w:sz="4" w:space="0"/>
              <w:right w:val="single" w:color="000000" w:sz="4" w:space="0"/>
            </w:tcBorders>
          </w:tcPr>
          <w:p w14:paraId="5EDF8FFE">
            <w:pPr>
              <w:keepNext w:val="0"/>
              <w:keepLines w:val="0"/>
              <w:pageBreakBefore w:val="0"/>
              <w:wordWrap/>
              <w:topLinePunct w:val="0"/>
              <w:bidi w:val="0"/>
              <w:snapToGrid/>
              <w:spacing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cs="宋体"/>
                <w:sz w:val="24"/>
                <w:szCs w:val="24"/>
                <w:highlight w:val="none"/>
                <w:lang w:eastAsia="zh-CN"/>
              </w:rPr>
              <w:t>浙江衡达工程咨询有限公司</w:t>
            </w:r>
          </w:p>
          <w:p w14:paraId="5E26F18D">
            <w:pPr>
              <w:pStyle w:val="8"/>
              <w:keepNext w:val="0"/>
              <w:keepLines w:val="0"/>
              <w:pageBreakBefore w:val="0"/>
              <w:tabs>
                <w:tab w:val="left" w:pos="4228"/>
                <w:tab w:val="left" w:pos="7975"/>
              </w:tabs>
              <w:kinsoku w:val="0"/>
              <w:wordWrap/>
              <w:topLinePunct w:val="0"/>
              <w:bidi w:val="0"/>
              <w:snapToGrid/>
              <w:spacing w:line="440" w:lineRule="exact"/>
              <w:ind w:left="0"/>
              <w:jc w:val="both"/>
              <w:textAlignment w:val="auto"/>
              <w:rPr>
                <w:rFonts w:hint="eastAsia" w:ascii="宋体" w:hAnsi="宋体" w:eastAsia="宋体" w:cs="宋体"/>
                <w:w w:val="28"/>
                <w:sz w:val="24"/>
                <w:szCs w:val="24"/>
                <w:highlight w:val="none"/>
                <w:u w:val="single"/>
                <w:lang w:eastAsia="zh-CN"/>
              </w:rPr>
            </w:pPr>
            <w:r>
              <w:rPr>
                <w:rFonts w:hint="eastAsia" w:ascii="宋体" w:hAnsi="宋体" w:eastAsia="宋体" w:cs="宋体"/>
                <w:sz w:val="24"/>
                <w:szCs w:val="24"/>
                <w:highlight w:val="none"/>
              </w:rPr>
              <w:t>地址：</w:t>
            </w:r>
            <w:r>
              <w:rPr>
                <w:rFonts w:hint="eastAsia"/>
              </w:rPr>
              <w:t>三门县海游街道梧桐路19号金茂大厦A幢2楼</w:t>
            </w:r>
          </w:p>
          <w:p w14:paraId="374187AB">
            <w:pPr>
              <w:pStyle w:val="32"/>
              <w:keepNext w:val="0"/>
              <w:keepLines w:val="0"/>
              <w:pageBreakBefore w:val="0"/>
              <w:kinsoku w:val="0"/>
              <w:wordWrap/>
              <w:topLinePunct w:val="0"/>
              <w:bidi w:val="0"/>
              <w:snapToGrid/>
              <w:spacing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cs="宋体"/>
                <w:sz w:val="24"/>
                <w:szCs w:val="24"/>
                <w:highlight w:val="none"/>
                <w:lang w:eastAsia="zh-CN"/>
              </w:rPr>
              <w:t>陈娟娟</w:t>
            </w:r>
          </w:p>
          <w:p w14:paraId="0FDDF968">
            <w:pPr>
              <w:pStyle w:val="32"/>
              <w:keepNext w:val="0"/>
              <w:keepLines w:val="0"/>
              <w:pageBreakBefore w:val="0"/>
              <w:kinsoku w:val="0"/>
              <w:wordWrap/>
              <w:topLinePunct w:val="0"/>
              <w:bidi w:val="0"/>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cs="宋体"/>
                <w:sz w:val="24"/>
                <w:szCs w:val="24"/>
                <w:highlight w:val="none"/>
                <w:lang w:eastAsia="zh-CN"/>
              </w:rPr>
              <w:t>0576-89300193</w:t>
            </w:r>
          </w:p>
        </w:tc>
      </w:tr>
      <w:tr w14:paraId="2A71275C">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28960A4">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1.1.4</w:t>
            </w:r>
          </w:p>
        </w:tc>
        <w:tc>
          <w:tcPr>
            <w:tcW w:w="1697" w:type="dxa"/>
            <w:tcBorders>
              <w:top w:val="single" w:color="000000" w:sz="4" w:space="0"/>
              <w:left w:val="single" w:color="000000" w:sz="4" w:space="0"/>
              <w:bottom w:val="single" w:color="000000" w:sz="4" w:space="0"/>
              <w:right w:val="single" w:color="000000" w:sz="4" w:space="0"/>
            </w:tcBorders>
            <w:vAlign w:val="center"/>
          </w:tcPr>
          <w:p w14:paraId="0053476F">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工程名称</w:t>
            </w:r>
          </w:p>
        </w:tc>
        <w:tc>
          <w:tcPr>
            <w:tcW w:w="6999" w:type="dxa"/>
            <w:tcBorders>
              <w:top w:val="single" w:color="000000" w:sz="4" w:space="0"/>
              <w:left w:val="single" w:color="000000" w:sz="4" w:space="0"/>
              <w:bottom w:val="single" w:color="000000" w:sz="4" w:space="0"/>
              <w:right w:val="single" w:color="000000" w:sz="4" w:space="0"/>
            </w:tcBorders>
            <w:vAlign w:val="center"/>
          </w:tcPr>
          <w:p w14:paraId="16E1231D">
            <w:pPr>
              <w:keepNext w:val="0"/>
              <w:keepLines w:val="0"/>
              <w:pageBreakBefore w:val="0"/>
              <w:wordWrap/>
              <w:topLinePunct w:val="0"/>
              <w:bidi w:val="0"/>
              <w:snapToGrid/>
              <w:spacing w:line="440" w:lineRule="exac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三门县东部新区泰康路周边提升工程</w:t>
            </w:r>
          </w:p>
        </w:tc>
      </w:tr>
      <w:tr w14:paraId="23E63D86">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EB5BFC3">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1.1.5</w:t>
            </w:r>
          </w:p>
        </w:tc>
        <w:tc>
          <w:tcPr>
            <w:tcW w:w="1697" w:type="dxa"/>
            <w:tcBorders>
              <w:top w:val="single" w:color="000000" w:sz="4" w:space="0"/>
              <w:left w:val="single" w:color="000000" w:sz="4" w:space="0"/>
              <w:bottom w:val="single" w:color="000000" w:sz="4" w:space="0"/>
              <w:right w:val="single" w:color="000000" w:sz="4" w:space="0"/>
            </w:tcBorders>
            <w:vAlign w:val="center"/>
          </w:tcPr>
          <w:p w14:paraId="3EB4F71A">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建设地点</w:t>
            </w:r>
          </w:p>
        </w:tc>
        <w:tc>
          <w:tcPr>
            <w:tcW w:w="6999" w:type="dxa"/>
            <w:tcBorders>
              <w:top w:val="single" w:color="000000" w:sz="4" w:space="0"/>
              <w:left w:val="single" w:color="000000" w:sz="4" w:space="0"/>
              <w:bottom w:val="single" w:color="000000" w:sz="4" w:space="0"/>
              <w:right w:val="single" w:color="000000" w:sz="4" w:space="0"/>
            </w:tcBorders>
            <w:vAlign w:val="center"/>
          </w:tcPr>
          <w:p w14:paraId="4E0F8EAF">
            <w:pPr>
              <w:keepNext w:val="0"/>
              <w:keepLines w:val="0"/>
              <w:pageBreakBefore w:val="0"/>
              <w:wordWrap/>
              <w:topLinePunct w:val="0"/>
              <w:bidi w:val="0"/>
              <w:snapToGrid/>
              <w:spacing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三门县</w:t>
            </w:r>
          </w:p>
        </w:tc>
      </w:tr>
      <w:tr w14:paraId="2FC057FE">
        <w:tblPrEx>
          <w:tblCellMar>
            <w:top w:w="0" w:type="dxa"/>
            <w:left w:w="57" w:type="dxa"/>
            <w:bottom w:w="0" w:type="dxa"/>
            <w:right w:w="57" w:type="dxa"/>
          </w:tblCellMar>
        </w:tblPrEx>
        <w:trPr>
          <w:trHeight w:val="6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E98ED32">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w:t>
            </w:r>
          </w:p>
        </w:tc>
        <w:tc>
          <w:tcPr>
            <w:tcW w:w="1697" w:type="dxa"/>
            <w:tcBorders>
              <w:top w:val="single" w:color="000000" w:sz="4" w:space="0"/>
              <w:left w:val="single" w:color="000000" w:sz="4" w:space="0"/>
              <w:bottom w:val="single" w:color="000000" w:sz="4" w:space="0"/>
              <w:right w:val="single" w:color="000000" w:sz="4" w:space="0"/>
            </w:tcBorders>
            <w:vAlign w:val="center"/>
          </w:tcPr>
          <w:p w14:paraId="6C09E3A4">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资金来源及</w:t>
            </w:r>
          </w:p>
          <w:p w14:paraId="2B313C5A">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比例</w:t>
            </w:r>
          </w:p>
        </w:tc>
        <w:tc>
          <w:tcPr>
            <w:tcW w:w="6999" w:type="dxa"/>
            <w:tcBorders>
              <w:top w:val="single" w:color="000000" w:sz="4" w:space="0"/>
              <w:left w:val="single" w:color="000000" w:sz="4" w:space="0"/>
              <w:bottom w:val="single" w:color="000000" w:sz="4" w:space="0"/>
              <w:right w:val="single" w:color="000000" w:sz="4" w:space="0"/>
            </w:tcBorders>
            <w:vAlign w:val="center"/>
          </w:tcPr>
          <w:p w14:paraId="229D3AAB">
            <w:pPr>
              <w:keepNext w:val="0"/>
              <w:keepLines w:val="0"/>
              <w:pageBreakBefore w:val="0"/>
              <w:wordWrap/>
              <w:topLinePunct w:val="0"/>
              <w:bidi w:val="0"/>
              <w:snapToGrid/>
              <w:spacing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pacing w:val="-4"/>
                <w:sz w:val="24"/>
                <w:szCs w:val="24"/>
                <w:highlight w:val="none"/>
              </w:rPr>
              <w:t>建设资金来</w:t>
            </w:r>
            <w:r>
              <w:rPr>
                <w:rFonts w:hint="eastAsia" w:ascii="宋体" w:hAnsi="宋体" w:eastAsia="宋体" w:cs="宋体"/>
                <w:spacing w:val="-97"/>
                <w:sz w:val="24"/>
                <w:szCs w:val="24"/>
                <w:highlight w:val="none"/>
              </w:rPr>
              <w:t xml:space="preserve"> </w:t>
            </w:r>
            <w:r>
              <w:rPr>
                <w:rFonts w:hint="eastAsia" w:ascii="宋体" w:hAnsi="宋体" w:eastAsia="宋体" w:cs="宋体"/>
                <w:spacing w:val="-1"/>
                <w:sz w:val="24"/>
                <w:szCs w:val="24"/>
                <w:highlight w:val="none"/>
              </w:rPr>
              <w:t>自</w:t>
            </w:r>
            <w:r>
              <w:rPr>
                <w:rFonts w:hint="eastAsia" w:ascii="宋体" w:hAnsi="宋体" w:eastAsia="宋体" w:cs="宋体"/>
                <w:spacing w:val="-1"/>
                <w:sz w:val="24"/>
                <w:szCs w:val="24"/>
                <w:highlight w:val="none"/>
                <w:u w:val="single"/>
                <w:lang w:val="en-US" w:eastAsia="zh-CN"/>
              </w:rPr>
              <w:t xml:space="preserve"> </w:t>
            </w:r>
            <w:r>
              <w:rPr>
                <w:rFonts w:hint="eastAsia" w:ascii="宋体" w:hAnsi="宋体" w:cs="宋体"/>
                <w:spacing w:val="-12"/>
                <w:sz w:val="24"/>
                <w:szCs w:val="24"/>
                <w:highlight w:val="none"/>
                <w:u w:val="single"/>
                <w:lang w:val="en-US" w:eastAsia="zh-CN"/>
              </w:rPr>
              <w:t>财政拨款</w:t>
            </w:r>
            <w:r>
              <w:rPr>
                <w:rFonts w:hint="eastAsia" w:ascii="宋体" w:hAnsi="宋体" w:eastAsia="宋体" w:cs="宋体"/>
                <w:spacing w:val="-12"/>
                <w:sz w:val="24"/>
                <w:szCs w:val="24"/>
                <w:highlight w:val="none"/>
                <w:u w:val="single"/>
                <w:lang w:val="en-US" w:eastAsia="zh-CN"/>
              </w:rPr>
              <w:t xml:space="preserve"> </w:t>
            </w:r>
          </w:p>
        </w:tc>
      </w:tr>
      <w:tr w14:paraId="351E42A1">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205C6A9">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66279508">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资金落实情况</w:t>
            </w:r>
          </w:p>
        </w:tc>
        <w:tc>
          <w:tcPr>
            <w:tcW w:w="6999" w:type="dxa"/>
            <w:tcBorders>
              <w:top w:val="single" w:color="000000" w:sz="4" w:space="0"/>
              <w:left w:val="single" w:color="000000" w:sz="4" w:space="0"/>
              <w:bottom w:val="single" w:color="000000" w:sz="4" w:space="0"/>
              <w:right w:val="single" w:color="000000" w:sz="4" w:space="0"/>
            </w:tcBorders>
            <w:vAlign w:val="center"/>
          </w:tcPr>
          <w:p w14:paraId="183FF3D1">
            <w:pPr>
              <w:keepNext w:val="0"/>
              <w:keepLines w:val="0"/>
              <w:pageBreakBefore w:val="0"/>
              <w:wordWrap/>
              <w:topLinePunct w:val="0"/>
              <w:bidi w:val="0"/>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已落实</w:t>
            </w:r>
          </w:p>
        </w:tc>
      </w:tr>
      <w:tr w14:paraId="0683CA42">
        <w:tblPrEx>
          <w:tblCellMar>
            <w:top w:w="0" w:type="dxa"/>
            <w:left w:w="57" w:type="dxa"/>
            <w:bottom w:w="0" w:type="dxa"/>
            <w:right w:w="57" w:type="dxa"/>
          </w:tblCellMar>
        </w:tblPrEx>
        <w:trPr>
          <w:trHeight w:val="6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500AE66">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w:t>
            </w:r>
          </w:p>
        </w:tc>
        <w:tc>
          <w:tcPr>
            <w:tcW w:w="1697" w:type="dxa"/>
            <w:tcBorders>
              <w:top w:val="single" w:color="000000" w:sz="4" w:space="0"/>
              <w:left w:val="single" w:color="000000" w:sz="4" w:space="0"/>
              <w:bottom w:val="single" w:color="000000" w:sz="4" w:space="0"/>
              <w:right w:val="single" w:color="000000" w:sz="4" w:space="0"/>
            </w:tcBorders>
            <w:vAlign w:val="center"/>
          </w:tcPr>
          <w:p w14:paraId="23D2150C">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招标范围</w:t>
            </w:r>
          </w:p>
        </w:tc>
        <w:tc>
          <w:tcPr>
            <w:tcW w:w="6999" w:type="dxa"/>
            <w:tcBorders>
              <w:top w:val="single" w:color="000000" w:sz="4" w:space="0"/>
              <w:left w:val="single" w:color="000000" w:sz="4" w:space="0"/>
              <w:bottom w:val="single" w:color="000000" w:sz="4" w:space="0"/>
              <w:right w:val="single" w:color="000000" w:sz="4" w:space="0"/>
            </w:tcBorders>
            <w:vAlign w:val="center"/>
          </w:tcPr>
          <w:p w14:paraId="6C6EA408">
            <w:pPr>
              <w:keepNext w:val="0"/>
              <w:keepLines w:val="0"/>
              <w:pageBreakBefore w:val="0"/>
              <w:wordWrap/>
              <w:topLinePunct w:val="0"/>
              <w:bidi w:val="0"/>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招标人提供的施工图纸范围内及预算审核书中所包含的所有内容。具体详见施工图纸及工程量清单。</w:t>
            </w:r>
          </w:p>
        </w:tc>
      </w:tr>
      <w:tr w14:paraId="4918DA93">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D658CB1">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w:t>
            </w:r>
          </w:p>
        </w:tc>
        <w:tc>
          <w:tcPr>
            <w:tcW w:w="1697" w:type="dxa"/>
            <w:tcBorders>
              <w:top w:val="single" w:color="000000" w:sz="4" w:space="0"/>
              <w:left w:val="single" w:color="000000" w:sz="4" w:space="0"/>
              <w:bottom w:val="single" w:color="000000" w:sz="4" w:space="0"/>
              <w:right w:val="single" w:color="000000" w:sz="4" w:space="0"/>
            </w:tcBorders>
            <w:vAlign w:val="center"/>
          </w:tcPr>
          <w:p w14:paraId="3337E680">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计划工期要求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045A73DF">
            <w:pPr>
              <w:keepNext w:val="0"/>
              <w:keepLines w:val="0"/>
              <w:pageBreakBefore w:val="0"/>
              <w:wordWrap/>
              <w:topLinePunct w:val="0"/>
              <w:bidi w:val="0"/>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不超过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120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日历天（投标人在投标文件中必须明确工期天数）</w:t>
            </w:r>
          </w:p>
        </w:tc>
      </w:tr>
      <w:tr w14:paraId="7D68BCB8">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791E6A91">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1.3.3</w:t>
            </w:r>
          </w:p>
        </w:tc>
        <w:tc>
          <w:tcPr>
            <w:tcW w:w="1697" w:type="dxa"/>
            <w:tcBorders>
              <w:top w:val="single" w:color="000000" w:sz="4" w:space="0"/>
              <w:left w:val="single" w:color="000000" w:sz="4" w:space="0"/>
              <w:bottom w:val="single" w:color="auto" w:sz="4" w:space="0"/>
              <w:right w:val="single" w:color="000000" w:sz="4" w:space="0"/>
            </w:tcBorders>
            <w:vAlign w:val="center"/>
          </w:tcPr>
          <w:p w14:paraId="5A9F6CAF">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6999" w:type="dxa"/>
            <w:tcBorders>
              <w:top w:val="single" w:color="000000" w:sz="4" w:space="0"/>
              <w:left w:val="single" w:color="000000" w:sz="4" w:space="0"/>
              <w:bottom w:val="single" w:color="auto" w:sz="4" w:space="0"/>
              <w:right w:val="single" w:color="000000" w:sz="4" w:space="0"/>
            </w:tcBorders>
            <w:vAlign w:val="center"/>
          </w:tcPr>
          <w:p w14:paraId="6FC149B9">
            <w:pPr>
              <w:keepNext w:val="0"/>
              <w:keepLines w:val="0"/>
              <w:pageBreakBefore w:val="0"/>
              <w:wordWrap/>
              <w:topLinePunct w:val="0"/>
              <w:bidi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合格</w:t>
            </w:r>
          </w:p>
        </w:tc>
      </w:tr>
      <w:tr w14:paraId="7B158DF1">
        <w:tblPrEx>
          <w:tblCellMar>
            <w:top w:w="0" w:type="dxa"/>
            <w:left w:w="57" w:type="dxa"/>
            <w:bottom w:w="0" w:type="dxa"/>
            <w:right w:w="57" w:type="dxa"/>
          </w:tblCellMar>
        </w:tblPrEx>
        <w:trPr>
          <w:jc w:val="center"/>
        </w:trPr>
        <w:tc>
          <w:tcPr>
            <w:tcW w:w="1305" w:type="dxa"/>
            <w:tcBorders>
              <w:top w:val="single" w:color="auto" w:sz="4" w:space="0"/>
              <w:left w:val="single" w:color="000000" w:sz="4" w:space="0"/>
              <w:bottom w:val="single" w:color="auto" w:sz="4" w:space="0"/>
              <w:right w:val="single" w:color="000000" w:sz="4" w:space="0"/>
            </w:tcBorders>
            <w:vAlign w:val="center"/>
          </w:tcPr>
          <w:p w14:paraId="3E8EEA70">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w:t>
            </w:r>
          </w:p>
        </w:tc>
        <w:tc>
          <w:tcPr>
            <w:tcW w:w="1697" w:type="dxa"/>
            <w:tcBorders>
              <w:top w:val="single" w:color="auto" w:sz="4" w:space="0"/>
              <w:left w:val="single" w:color="000000" w:sz="4" w:space="0"/>
              <w:bottom w:val="single" w:color="auto" w:sz="4" w:space="0"/>
              <w:right w:val="single" w:color="000000" w:sz="4" w:space="0"/>
            </w:tcBorders>
            <w:vAlign w:val="center"/>
          </w:tcPr>
          <w:p w14:paraId="5E7EF521">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投标人资格及要求</w:t>
            </w:r>
          </w:p>
        </w:tc>
        <w:tc>
          <w:tcPr>
            <w:tcW w:w="6999" w:type="dxa"/>
            <w:tcBorders>
              <w:top w:val="single" w:color="auto" w:sz="4" w:space="0"/>
              <w:left w:val="single" w:color="000000" w:sz="4" w:space="0"/>
              <w:bottom w:val="single" w:color="auto" w:sz="4" w:space="0"/>
              <w:right w:val="single" w:color="000000" w:sz="4" w:space="0"/>
            </w:tcBorders>
            <w:vAlign w:val="center"/>
          </w:tcPr>
          <w:p w14:paraId="63393417">
            <w:pPr>
              <w:pStyle w:val="32"/>
              <w:keepNext w:val="0"/>
              <w:keepLines w:val="0"/>
              <w:pageBreakBefore w:val="0"/>
              <w:kinsoku w:val="0"/>
              <w:wordWrap/>
              <w:topLinePunct w:val="0"/>
              <w:bidi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见招标公告</w:t>
            </w:r>
          </w:p>
        </w:tc>
      </w:tr>
      <w:tr w14:paraId="3507428A">
        <w:tblPrEx>
          <w:tblCellMar>
            <w:top w:w="0" w:type="dxa"/>
            <w:left w:w="57" w:type="dxa"/>
            <w:bottom w:w="0" w:type="dxa"/>
            <w:right w:w="57" w:type="dxa"/>
          </w:tblCellMar>
        </w:tblPrEx>
        <w:trPr>
          <w:trHeight w:val="1066"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CB98188">
            <w:pPr>
              <w:keepNext w:val="0"/>
              <w:keepLines w:val="0"/>
              <w:pageBreakBefore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1.4.1（4）</w:t>
            </w:r>
          </w:p>
        </w:tc>
        <w:tc>
          <w:tcPr>
            <w:tcW w:w="1697" w:type="dxa"/>
            <w:tcBorders>
              <w:top w:val="single" w:color="000000" w:sz="4" w:space="0"/>
              <w:left w:val="single" w:color="000000" w:sz="4" w:space="0"/>
              <w:bottom w:val="single" w:color="000000" w:sz="4" w:space="0"/>
              <w:right w:val="single" w:color="000000" w:sz="4" w:space="0"/>
            </w:tcBorders>
            <w:vAlign w:val="center"/>
          </w:tcPr>
          <w:p w14:paraId="5F20C62E">
            <w:pPr>
              <w:keepNext w:val="0"/>
              <w:keepLines w:val="0"/>
              <w:pageBreakBefore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3FECC67A">
            <w:pPr>
              <w:keepNext w:val="0"/>
              <w:keepLines w:val="0"/>
              <w:pageBreakBefore w:val="0"/>
              <w:wordWrap/>
              <w:topLinePunct w:val="0"/>
              <w:bidi w:val="0"/>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项目负责人不得同时在两个或者两个以上单位受聘或者执业（仅指项目负责人不得同时是其他单位的公务员或者事业单位在编人员，涉及到其他情形的，投标资格不受影响）。</w:t>
            </w:r>
          </w:p>
        </w:tc>
      </w:tr>
      <w:tr w14:paraId="6464AE3D">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1E6F01A">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1.4.2</w:t>
            </w:r>
          </w:p>
        </w:tc>
        <w:tc>
          <w:tcPr>
            <w:tcW w:w="1697" w:type="dxa"/>
            <w:tcBorders>
              <w:top w:val="single" w:color="000000" w:sz="4" w:space="0"/>
              <w:left w:val="single" w:color="000000" w:sz="4" w:space="0"/>
              <w:bottom w:val="single" w:color="000000" w:sz="4" w:space="0"/>
              <w:right w:val="single" w:color="000000" w:sz="4" w:space="0"/>
            </w:tcBorders>
            <w:vAlign w:val="center"/>
          </w:tcPr>
          <w:p w14:paraId="3558E4C9">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是否接受联合体投标</w:t>
            </w:r>
          </w:p>
        </w:tc>
        <w:tc>
          <w:tcPr>
            <w:tcW w:w="6999" w:type="dxa"/>
            <w:tcBorders>
              <w:top w:val="single" w:color="000000" w:sz="4" w:space="0"/>
              <w:left w:val="single" w:color="000000" w:sz="4" w:space="0"/>
              <w:bottom w:val="single" w:color="000000" w:sz="4" w:space="0"/>
              <w:right w:val="single" w:color="000000" w:sz="4" w:space="0"/>
            </w:tcBorders>
            <w:vAlign w:val="center"/>
          </w:tcPr>
          <w:p w14:paraId="2580632F">
            <w:pPr>
              <w:pStyle w:val="7"/>
              <w:keepNext w:val="0"/>
              <w:keepLines w:val="0"/>
              <w:pageBreakBefore w:val="0"/>
              <w:wordWrap/>
              <w:topLinePunct w:val="0"/>
              <w:bidi w:val="0"/>
              <w:snapToGrid/>
              <w:spacing w:after="0" w:line="440" w:lineRule="exact"/>
              <w:textAlignment w:val="auto"/>
              <w:rPr>
                <w:rFonts w:hint="eastAsia" w:ascii="宋体" w:hAnsi="宋体" w:eastAsia="宋体" w:cs="宋体"/>
                <w:sz w:val="24"/>
                <w:szCs w:val="24"/>
                <w:highlight w:val="none"/>
                <w:u w:val="single"/>
              </w:rPr>
            </w:pPr>
            <w:r>
              <w:rPr>
                <w:rFonts w:hint="eastAsia" w:ascii="宋体" w:hAnsi="宋体" w:eastAsia="宋体" w:cs="宋体"/>
                <w:kern w:val="2"/>
                <w:sz w:val="24"/>
                <w:szCs w:val="24"/>
                <w:highlight w:val="none"/>
              </w:rPr>
              <w:t>不接受</w:t>
            </w:r>
          </w:p>
        </w:tc>
      </w:tr>
      <w:tr w14:paraId="28FD0DAE">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A42E12C">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1.4.3</w:t>
            </w:r>
          </w:p>
        </w:tc>
        <w:tc>
          <w:tcPr>
            <w:tcW w:w="1697" w:type="dxa"/>
            <w:tcBorders>
              <w:top w:val="single" w:color="000000" w:sz="4" w:space="0"/>
              <w:left w:val="single" w:color="000000" w:sz="4" w:space="0"/>
              <w:bottom w:val="single" w:color="000000" w:sz="4" w:space="0"/>
              <w:right w:val="single" w:color="000000" w:sz="4" w:space="0"/>
            </w:tcBorders>
            <w:vAlign w:val="center"/>
          </w:tcPr>
          <w:p w14:paraId="58594426">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资格审查方式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359D7E51">
            <w:pPr>
              <w:pStyle w:val="32"/>
              <w:keepNext w:val="0"/>
              <w:keepLines w:val="0"/>
              <w:pageBreakBefore w:val="0"/>
              <w:kinsoku w:val="0"/>
              <w:wordWrap/>
              <w:topLinePunct w:val="0"/>
              <w:bidi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采用资格后审</w:t>
            </w:r>
          </w:p>
        </w:tc>
      </w:tr>
      <w:tr w14:paraId="6BE38ADF">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DE74773">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1.9.1</w:t>
            </w:r>
          </w:p>
        </w:tc>
        <w:tc>
          <w:tcPr>
            <w:tcW w:w="1697" w:type="dxa"/>
            <w:tcBorders>
              <w:top w:val="single" w:color="000000" w:sz="4" w:space="0"/>
              <w:left w:val="single" w:color="000000" w:sz="4" w:space="0"/>
              <w:bottom w:val="single" w:color="000000" w:sz="4" w:space="0"/>
              <w:right w:val="single" w:color="000000" w:sz="4" w:space="0"/>
            </w:tcBorders>
            <w:vAlign w:val="center"/>
          </w:tcPr>
          <w:p w14:paraId="22A603B2">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tc>
        <w:tc>
          <w:tcPr>
            <w:tcW w:w="6999" w:type="dxa"/>
            <w:tcBorders>
              <w:top w:val="single" w:color="000000" w:sz="4" w:space="0"/>
              <w:left w:val="single" w:color="000000" w:sz="4" w:space="0"/>
              <w:bottom w:val="single" w:color="000000" w:sz="4" w:space="0"/>
              <w:right w:val="single" w:color="000000" w:sz="4" w:space="0"/>
            </w:tcBorders>
            <w:vAlign w:val="center"/>
          </w:tcPr>
          <w:p w14:paraId="39C25720">
            <w:pPr>
              <w:pStyle w:val="32"/>
              <w:keepNext w:val="0"/>
              <w:keepLines w:val="0"/>
              <w:pageBreakBefore w:val="0"/>
              <w:kinsoku w:val="0"/>
              <w:wordWrap/>
              <w:topLinePunct w:val="0"/>
              <w:bidi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投标人自行踏勘</w:t>
            </w:r>
          </w:p>
        </w:tc>
      </w:tr>
      <w:tr w14:paraId="15A84B7A">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CC13E42">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681377E3">
            <w:pPr>
              <w:pStyle w:val="32"/>
              <w:keepNext w:val="0"/>
              <w:keepLines w:val="0"/>
              <w:pageBreakBefore w:val="0"/>
              <w:kinsoku w:val="0"/>
              <w:wordWrap/>
              <w:topLinePunct w:val="0"/>
              <w:bidi w:val="0"/>
              <w:snapToGrid/>
              <w:spacing w:line="440" w:lineRule="exact"/>
              <w:ind w:right="1"/>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投标预备会</w:t>
            </w:r>
          </w:p>
        </w:tc>
        <w:tc>
          <w:tcPr>
            <w:tcW w:w="6999" w:type="dxa"/>
            <w:tcBorders>
              <w:top w:val="single" w:color="000000" w:sz="4" w:space="0"/>
              <w:left w:val="single" w:color="000000" w:sz="4" w:space="0"/>
              <w:bottom w:val="single" w:color="000000" w:sz="4" w:space="0"/>
              <w:right w:val="single" w:color="000000" w:sz="4" w:space="0"/>
            </w:tcBorders>
            <w:vAlign w:val="center"/>
          </w:tcPr>
          <w:p w14:paraId="379AA4C8">
            <w:pPr>
              <w:pStyle w:val="32"/>
              <w:keepNext w:val="0"/>
              <w:keepLines w:val="0"/>
              <w:pageBreakBefore w:val="0"/>
              <w:kinsoku w:val="0"/>
              <w:wordWrap/>
              <w:topLinePunct w:val="0"/>
              <w:bidi w:val="0"/>
              <w:snapToGrid/>
              <w:spacing w:line="440" w:lineRule="exact"/>
              <w:jc w:val="both"/>
              <w:textAlignment w:val="auto"/>
              <w:rPr>
                <w:rFonts w:hint="eastAsia" w:ascii="宋体" w:hAnsi="宋体" w:eastAsia="宋体" w:cs="宋体"/>
                <w:kern w:val="2"/>
                <w:sz w:val="24"/>
                <w:szCs w:val="24"/>
                <w:highlight w:val="none"/>
              </w:rPr>
            </w:pPr>
            <w:r>
              <w:rPr>
                <w:rFonts w:hint="eastAsia" w:ascii="宋体" w:hAnsi="宋体" w:eastAsia="宋体" w:cs="宋体"/>
                <w:sz w:val="24"/>
                <w:szCs w:val="24"/>
                <w:highlight w:val="none"/>
              </w:rPr>
              <w:t>不召开</w:t>
            </w:r>
          </w:p>
        </w:tc>
      </w:tr>
      <w:tr w14:paraId="63B223BB">
        <w:tblPrEx>
          <w:tblCellMar>
            <w:top w:w="0" w:type="dxa"/>
            <w:left w:w="57" w:type="dxa"/>
            <w:bottom w:w="0" w:type="dxa"/>
            <w:right w:w="57" w:type="dxa"/>
          </w:tblCellMar>
        </w:tblPrEx>
        <w:trPr>
          <w:trHeight w:val="185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77D7E2A">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w:t>
            </w:r>
          </w:p>
        </w:tc>
        <w:tc>
          <w:tcPr>
            <w:tcW w:w="1697" w:type="dxa"/>
            <w:tcBorders>
              <w:top w:val="single" w:color="000000" w:sz="4" w:space="0"/>
              <w:left w:val="single" w:color="000000" w:sz="4" w:space="0"/>
              <w:bottom w:val="single" w:color="000000" w:sz="4" w:space="0"/>
              <w:right w:val="single" w:color="000000" w:sz="4" w:space="0"/>
            </w:tcBorders>
            <w:vAlign w:val="center"/>
          </w:tcPr>
          <w:p w14:paraId="12BEC644">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招标工程是否允许分包</w:t>
            </w:r>
          </w:p>
        </w:tc>
        <w:tc>
          <w:tcPr>
            <w:tcW w:w="6999" w:type="dxa"/>
            <w:tcBorders>
              <w:top w:val="single" w:color="000000" w:sz="4" w:space="0"/>
              <w:left w:val="single" w:color="000000" w:sz="4" w:space="0"/>
              <w:bottom w:val="single" w:color="000000" w:sz="4" w:space="0"/>
              <w:right w:val="single" w:color="000000" w:sz="4" w:space="0"/>
            </w:tcBorders>
            <w:vAlign w:val="center"/>
          </w:tcPr>
          <w:p w14:paraId="0EA3864D">
            <w:pPr>
              <w:pStyle w:val="32"/>
              <w:keepNext w:val="0"/>
              <w:keepLines w:val="0"/>
              <w:pageBreakBefore w:val="0"/>
              <w:kinsoku w:val="0"/>
              <w:wordWrap/>
              <w:topLinePunct w:val="0"/>
              <w:bidi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不允许</w:t>
            </w:r>
          </w:p>
          <w:p w14:paraId="33F12D99">
            <w:pPr>
              <w:keepNext w:val="0"/>
              <w:keepLines w:val="0"/>
              <w:pageBreakBefore w:val="0"/>
              <w:wordWrap/>
              <w:topLinePunct w:val="0"/>
              <w:bidi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允许，分包内容要求：承包人不得将工程主体、关键性工作分包。工程的其他部分或工作如需分包，须经发包人同意。</w:t>
            </w:r>
          </w:p>
          <w:p w14:paraId="495C395B">
            <w:pPr>
              <w:pStyle w:val="32"/>
              <w:keepNext w:val="0"/>
              <w:keepLines w:val="0"/>
              <w:pageBreakBefore w:val="0"/>
              <w:kinsoku w:val="0"/>
              <w:wordWrap/>
              <w:topLinePunct w:val="0"/>
              <w:bidi w:val="0"/>
              <w:snapToGrid/>
              <w:spacing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接受分包的第三人资质要求：分包人的资格能力应与其分包工程的标准和规模相适应。</w:t>
            </w:r>
          </w:p>
        </w:tc>
      </w:tr>
      <w:tr w14:paraId="460A1DF1">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DB85D9D">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1DD31F07">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偏差</w:t>
            </w:r>
          </w:p>
        </w:tc>
        <w:tc>
          <w:tcPr>
            <w:tcW w:w="6999" w:type="dxa"/>
            <w:tcBorders>
              <w:top w:val="single" w:color="000000" w:sz="4" w:space="0"/>
              <w:left w:val="single" w:color="000000" w:sz="4" w:space="0"/>
              <w:bottom w:val="single" w:color="000000" w:sz="4" w:space="0"/>
              <w:right w:val="single" w:color="000000" w:sz="4" w:space="0"/>
            </w:tcBorders>
            <w:vAlign w:val="center"/>
          </w:tcPr>
          <w:p w14:paraId="043E9B55">
            <w:pPr>
              <w:pStyle w:val="32"/>
              <w:keepNext w:val="0"/>
              <w:keepLines w:val="0"/>
              <w:pageBreakBefore w:val="0"/>
              <w:kinsoku w:val="0"/>
              <w:wordWrap/>
              <w:topLinePunct w:val="0"/>
              <w:bidi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tc>
      </w:tr>
      <w:tr w14:paraId="6BCF9E2F">
        <w:tblPrEx>
          <w:tblCellMar>
            <w:top w:w="0" w:type="dxa"/>
            <w:left w:w="57" w:type="dxa"/>
            <w:bottom w:w="0" w:type="dxa"/>
            <w:right w:w="57" w:type="dxa"/>
          </w:tblCellMar>
        </w:tblPrEx>
        <w:trPr>
          <w:trHeight w:val="17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5F53A80">
            <w:pPr>
              <w:pStyle w:val="32"/>
              <w:keepNext w:val="0"/>
              <w:keepLines w:val="0"/>
              <w:pageBreakBefore w:val="0"/>
              <w:kinsoku w:val="0"/>
              <w:wordWrap/>
              <w:topLinePunct w:val="0"/>
              <w:bidi w:val="0"/>
              <w:snapToGrid/>
              <w:spacing w:line="440" w:lineRule="exact"/>
              <w:ind w:left="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1697" w:type="dxa"/>
            <w:tcBorders>
              <w:top w:val="single" w:color="000000" w:sz="4" w:space="0"/>
              <w:left w:val="single" w:color="000000" w:sz="4" w:space="0"/>
              <w:bottom w:val="single" w:color="000000" w:sz="4" w:space="0"/>
              <w:right w:val="single" w:color="000000" w:sz="4" w:space="0"/>
            </w:tcBorders>
            <w:vAlign w:val="center"/>
          </w:tcPr>
          <w:p w14:paraId="13F31681">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构成招标文件的其他资料</w:t>
            </w:r>
          </w:p>
        </w:tc>
        <w:tc>
          <w:tcPr>
            <w:tcW w:w="6999" w:type="dxa"/>
            <w:tcBorders>
              <w:top w:val="single" w:color="000000" w:sz="4" w:space="0"/>
              <w:left w:val="single" w:color="000000" w:sz="4" w:space="0"/>
              <w:bottom w:val="single" w:color="000000" w:sz="4" w:space="0"/>
              <w:right w:val="single" w:color="000000" w:sz="4" w:space="0"/>
            </w:tcBorders>
            <w:vAlign w:val="center"/>
          </w:tcPr>
          <w:p w14:paraId="7DFD6CCA">
            <w:pPr>
              <w:keepNext w:val="0"/>
              <w:keepLines w:val="0"/>
              <w:pageBreakBefore w:val="0"/>
              <w:wordWrap/>
              <w:topLinePunct w:val="0"/>
              <w:bidi w:val="0"/>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其他材料：</w:t>
            </w:r>
          </w:p>
          <w:p w14:paraId="409166D0">
            <w:pPr>
              <w:keepNext w:val="0"/>
              <w:keepLines w:val="0"/>
              <w:pageBreakBefore w:val="0"/>
              <w:numPr>
                <w:ilvl w:val="0"/>
                <w:numId w:val="7"/>
              </w:numPr>
              <w:wordWrap/>
              <w:topLinePunct w:val="0"/>
              <w:bidi w:val="0"/>
              <w:snapToGrid/>
              <w:spacing w:line="440" w:lineRule="exact"/>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电子招标文件（含工程量清单）及投标工具安装程序（版本号：4.0.2.8）；</w:t>
            </w:r>
          </w:p>
          <w:p w14:paraId="1D1F88A9">
            <w:pPr>
              <w:keepNext w:val="0"/>
              <w:keepLines w:val="0"/>
              <w:pageBreakBefore w:val="0"/>
              <w:numPr>
                <w:ilvl w:val="0"/>
                <w:numId w:val="7"/>
              </w:numPr>
              <w:wordWrap/>
              <w:topLinePunct w:val="0"/>
              <w:bidi w:val="0"/>
              <w:snapToGrid/>
              <w:spacing w:line="440" w:lineRule="exact"/>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施工图纸电子文档；</w:t>
            </w:r>
          </w:p>
          <w:p w14:paraId="45BC552A">
            <w:pPr>
              <w:keepNext w:val="0"/>
              <w:keepLines w:val="0"/>
              <w:pageBreakBefore w:val="0"/>
              <w:numPr>
                <w:ilvl w:val="0"/>
                <w:numId w:val="7"/>
              </w:numPr>
              <w:wordWrap/>
              <w:topLinePunct w:val="0"/>
              <w:bidi w:val="0"/>
              <w:snapToGrid/>
              <w:spacing w:line="440" w:lineRule="exact"/>
              <w:ind w:left="425" w:leftChars="0" w:hanging="425" w:firstLineChars="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其它提供的资料。</w:t>
            </w:r>
          </w:p>
        </w:tc>
      </w:tr>
      <w:tr w14:paraId="76A2B8DA">
        <w:tblPrEx>
          <w:tblCellMar>
            <w:top w:w="0" w:type="dxa"/>
            <w:left w:w="57" w:type="dxa"/>
            <w:bottom w:w="0" w:type="dxa"/>
            <w:right w:w="57" w:type="dxa"/>
          </w:tblCellMar>
        </w:tblPrEx>
        <w:trPr>
          <w:trHeight w:val="1362" w:hRule="atLeast"/>
          <w:jc w:val="center"/>
        </w:trPr>
        <w:tc>
          <w:tcPr>
            <w:tcW w:w="1305" w:type="dxa"/>
            <w:vMerge w:val="restart"/>
            <w:tcBorders>
              <w:top w:val="single" w:color="000000" w:sz="4" w:space="0"/>
              <w:left w:val="single" w:color="000000" w:sz="4" w:space="0"/>
              <w:right w:val="single" w:color="000000" w:sz="4" w:space="0"/>
            </w:tcBorders>
            <w:vAlign w:val="center"/>
          </w:tcPr>
          <w:p w14:paraId="7AB4CB38">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2.2.1</w:t>
            </w:r>
          </w:p>
        </w:tc>
        <w:tc>
          <w:tcPr>
            <w:tcW w:w="1697" w:type="dxa"/>
            <w:tcBorders>
              <w:top w:val="single" w:color="000000" w:sz="4" w:space="0"/>
              <w:left w:val="single" w:color="000000" w:sz="4" w:space="0"/>
              <w:bottom w:val="single" w:color="000000" w:sz="4" w:space="0"/>
              <w:right w:val="single" w:color="000000" w:sz="4" w:space="0"/>
            </w:tcBorders>
            <w:vAlign w:val="center"/>
          </w:tcPr>
          <w:p w14:paraId="32B8AEB1">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投标人要求澄清招标文件</w:t>
            </w:r>
          </w:p>
        </w:tc>
        <w:tc>
          <w:tcPr>
            <w:tcW w:w="6999" w:type="dxa"/>
            <w:tcBorders>
              <w:top w:val="single" w:color="000000" w:sz="4" w:space="0"/>
              <w:left w:val="single" w:color="000000" w:sz="4" w:space="0"/>
              <w:bottom w:val="single" w:color="000000" w:sz="4" w:space="0"/>
              <w:right w:val="single" w:color="000000" w:sz="4" w:space="0"/>
            </w:tcBorders>
            <w:vAlign w:val="center"/>
          </w:tcPr>
          <w:p w14:paraId="2D9F8C9C">
            <w:pPr>
              <w:keepNext w:val="0"/>
              <w:keepLines w:val="0"/>
              <w:pageBreakBefore w:val="0"/>
              <w:wordWrap/>
              <w:topLinePunct w:val="0"/>
              <w:bidi w:val="0"/>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提交方式:</w:t>
            </w:r>
            <w:r>
              <w:rPr>
                <w:rFonts w:hint="eastAsia" w:ascii="宋体" w:hAnsi="宋体" w:eastAsia="宋体" w:cs="宋体"/>
                <w:sz w:val="24"/>
                <w:szCs w:val="24"/>
                <w:highlight w:val="none"/>
                <w:u w:val="single"/>
              </w:rPr>
              <w:t>在三门县公共资源交易中心网站上在线提交</w:t>
            </w:r>
            <w:r>
              <w:rPr>
                <w:rFonts w:hint="eastAsia" w:ascii="宋体" w:hAnsi="宋体" w:eastAsia="宋体" w:cs="宋体"/>
                <w:sz w:val="24"/>
                <w:szCs w:val="24"/>
                <w:highlight w:val="none"/>
              </w:rPr>
              <w:t>http://www.sanmen.gov.cn/col/col1229610743/index.html</w:t>
            </w:r>
          </w:p>
          <w:p w14:paraId="047250D9">
            <w:pPr>
              <w:keepNext w:val="0"/>
              <w:keepLines w:val="0"/>
              <w:pageBreakBefore w:val="0"/>
              <w:wordWrap/>
              <w:topLinePunct w:val="0"/>
              <w:bidi w:val="0"/>
              <w:snapToGrid/>
              <w:spacing w:line="440" w:lineRule="exact"/>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联系方式：</w:t>
            </w:r>
            <w:r>
              <w:rPr>
                <w:rFonts w:hint="eastAsia" w:ascii="宋体" w:hAnsi="宋体" w:cs="宋体"/>
                <w:sz w:val="24"/>
                <w:szCs w:val="24"/>
                <w:highlight w:val="none"/>
                <w:lang w:eastAsia="zh-CN"/>
              </w:rPr>
              <w:t>0576-89300193</w:t>
            </w:r>
            <w:r>
              <w:rPr>
                <w:rFonts w:hint="eastAsia" w:ascii="宋体" w:hAnsi="宋体" w:eastAsia="宋体" w:cs="宋体"/>
                <w:sz w:val="24"/>
                <w:szCs w:val="24"/>
                <w:highlight w:val="none"/>
              </w:rPr>
              <w:t xml:space="preserve">    联系人：</w:t>
            </w:r>
            <w:r>
              <w:rPr>
                <w:rFonts w:hint="eastAsia" w:ascii="宋体" w:hAnsi="宋体" w:cs="宋体"/>
                <w:sz w:val="24"/>
                <w:szCs w:val="24"/>
                <w:highlight w:val="none"/>
                <w:lang w:eastAsia="zh-CN"/>
              </w:rPr>
              <w:t>陈娟娟</w:t>
            </w:r>
          </w:p>
        </w:tc>
      </w:tr>
      <w:tr w14:paraId="4FD44CBE">
        <w:tblPrEx>
          <w:tblCellMar>
            <w:top w:w="0" w:type="dxa"/>
            <w:left w:w="57" w:type="dxa"/>
            <w:bottom w:w="0" w:type="dxa"/>
            <w:right w:w="57" w:type="dxa"/>
          </w:tblCellMar>
        </w:tblPrEx>
        <w:trPr>
          <w:trHeight w:val="1766" w:hRule="atLeast"/>
          <w:jc w:val="center"/>
        </w:trPr>
        <w:tc>
          <w:tcPr>
            <w:tcW w:w="1305" w:type="dxa"/>
            <w:vMerge w:val="continue"/>
            <w:tcBorders>
              <w:left w:val="single" w:color="000000" w:sz="4" w:space="0"/>
              <w:right w:val="single" w:color="000000" w:sz="4" w:space="0"/>
            </w:tcBorders>
            <w:vAlign w:val="center"/>
          </w:tcPr>
          <w:p w14:paraId="5B319018">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700CBF28">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招标文件澄清</w:t>
            </w:r>
          </w:p>
          <w:p w14:paraId="34EB26FA">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发出的形式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182253FB">
            <w:pPr>
              <w:keepNext w:val="0"/>
              <w:keepLines w:val="0"/>
              <w:pageBreakBefore w:val="0"/>
              <w:wordWrap/>
              <w:topLinePunct w:val="0"/>
              <w:bidi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招标人对投标人疑问作出统一的解答，并以招标补充文件的形式发出。</w:t>
            </w:r>
          </w:p>
          <w:p w14:paraId="32B4D97D">
            <w:pPr>
              <w:keepNext w:val="0"/>
              <w:keepLines w:val="0"/>
              <w:pageBreakBefore w:val="0"/>
              <w:wordWrap/>
              <w:topLinePunct w:val="0"/>
              <w:bidi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在当地招投标交易平台上公开发布。在开标前，投标人须随时关注网站的最新答疑信息，自行下载。</w:t>
            </w:r>
          </w:p>
        </w:tc>
      </w:tr>
      <w:tr w14:paraId="039B10A6">
        <w:tblPrEx>
          <w:tblCellMar>
            <w:top w:w="0" w:type="dxa"/>
            <w:left w:w="57" w:type="dxa"/>
            <w:bottom w:w="0" w:type="dxa"/>
            <w:right w:w="57" w:type="dxa"/>
          </w:tblCellMar>
        </w:tblPrEx>
        <w:trPr>
          <w:trHeight w:val="1409" w:hRule="atLeast"/>
          <w:jc w:val="center"/>
        </w:trPr>
        <w:tc>
          <w:tcPr>
            <w:tcW w:w="1305" w:type="dxa"/>
            <w:vMerge w:val="continue"/>
            <w:tcBorders>
              <w:left w:val="single" w:color="000000" w:sz="4" w:space="0"/>
              <w:bottom w:val="single" w:color="000000" w:sz="4" w:space="0"/>
              <w:right w:val="single" w:color="000000" w:sz="4" w:space="0"/>
            </w:tcBorders>
            <w:vAlign w:val="center"/>
          </w:tcPr>
          <w:p w14:paraId="3B4CA8DF">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6FE3D327">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投标人确认</w:t>
            </w:r>
          </w:p>
          <w:p w14:paraId="41FD8B92">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收到招标文件</w:t>
            </w:r>
          </w:p>
          <w:p w14:paraId="397A0DA2">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澄清</w:t>
            </w:r>
          </w:p>
        </w:tc>
        <w:tc>
          <w:tcPr>
            <w:tcW w:w="6999" w:type="dxa"/>
            <w:tcBorders>
              <w:top w:val="single" w:color="000000" w:sz="4" w:space="0"/>
              <w:left w:val="single" w:color="000000" w:sz="4" w:space="0"/>
              <w:bottom w:val="single" w:color="000000" w:sz="4" w:space="0"/>
              <w:right w:val="single" w:color="000000" w:sz="4" w:space="0"/>
            </w:tcBorders>
            <w:vAlign w:val="center"/>
          </w:tcPr>
          <w:p w14:paraId="18A852C1">
            <w:pPr>
              <w:keepNext w:val="0"/>
              <w:keepLines w:val="0"/>
              <w:pageBreakBefore w:val="0"/>
              <w:wordWrap/>
              <w:topLinePunct w:val="0"/>
              <w:bidi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潜在投标人应自行关注当地招投标交易平台发布的补充文件信息，招标人不再逐一通知。投标人因自身贻误行为导致投标失败的，责任自负。</w:t>
            </w:r>
          </w:p>
        </w:tc>
      </w:tr>
      <w:tr w14:paraId="0DCEABBB">
        <w:tblPrEx>
          <w:tblCellMar>
            <w:top w:w="0" w:type="dxa"/>
            <w:left w:w="57" w:type="dxa"/>
            <w:bottom w:w="0" w:type="dxa"/>
            <w:right w:w="57" w:type="dxa"/>
          </w:tblCellMar>
        </w:tblPrEx>
        <w:trPr>
          <w:trHeight w:val="701"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460A549">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2.3.1</w:t>
            </w:r>
          </w:p>
        </w:tc>
        <w:tc>
          <w:tcPr>
            <w:tcW w:w="1697" w:type="dxa"/>
            <w:tcBorders>
              <w:top w:val="single" w:color="000000" w:sz="4" w:space="0"/>
              <w:left w:val="single" w:color="000000" w:sz="4" w:space="0"/>
              <w:bottom w:val="single" w:color="000000" w:sz="4" w:space="0"/>
              <w:right w:val="single" w:color="000000" w:sz="4" w:space="0"/>
            </w:tcBorders>
            <w:vAlign w:val="center"/>
          </w:tcPr>
          <w:p w14:paraId="49CBDD50">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招标人修改文件发出的形式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2D765FD0">
            <w:pPr>
              <w:keepNext w:val="0"/>
              <w:keepLines w:val="0"/>
              <w:pageBreakBefore w:val="0"/>
              <w:wordWrap/>
              <w:topLinePunct w:val="0"/>
              <w:bidi w:val="0"/>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同2.2.1</w:t>
            </w:r>
          </w:p>
        </w:tc>
      </w:tr>
      <w:tr w14:paraId="31170AE3">
        <w:tblPrEx>
          <w:tblCellMar>
            <w:top w:w="0" w:type="dxa"/>
            <w:left w:w="57" w:type="dxa"/>
            <w:bottom w:w="0" w:type="dxa"/>
            <w:right w:w="57" w:type="dxa"/>
          </w:tblCellMar>
        </w:tblPrEx>
        <w:trPr>
          <w:trHeight w:val="2821"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84AA817">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w:t>
            </w:r>
          </w:p>
        </w:tc>
        <w:tc>
          <w:tcPr>
            <w:tcW w:w="1697" w:type="dxa"/>
            <w:tcBorders>
              <w:top w:val="single" w:color="000000" w:sz="4" w:space="0"/>
              <w:left w:val="single" w:color="000000" w:sz="4" w:space="0"/>
              <w:bottom w:val="single" w:color="000000" w:sz="4" w:space="0"/>
              <w:right w:val="single" w:color="000000" w:sz="4" w:space="0"/>
            </w:tcBorders>
            <w:vAlign w:val="center"/>
          </w:tcPr>
          <w:p w14:paraId="40AC26BB">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w:t>
            </w:r>
          </w:p>
          <w:p w14:paraId="2CE2C687">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组成</w:t>
            </w:r>
          </w:p>
        </w:tc>
        <w:tc>
          <w:tcPr>
            <w:tcW w:w="6999" w:type="dxa"/>
            <w:tcBorders>
              <w:top w:val="single" w:color="000000" w:sz="4" w:space="0"/>
              <w:left w:val="single" w:color="000000" w:sz="4" w:space="0"/>
              <w:bottom w:val="single" w:color="000000" w:sz="4" w:space="0"/>
              <w:right w:val="single" w:color="000000" w:sz="4" w:space="0"/>
            </w:tcBorders>
            <w:vAlign w:val="center"/>
          </w:tcPr>
          <w:p w14:paraId="51053CE1">
            <w:pPr>
              <w:pStyle w:val="32"/>
              <w:keepNext w:val="0"/>
              <w:keepLines w:val="0"/>
              <w:pageBreakBefore w:val="0"/>
              <w:kinsoku w:val="0"/>
              <w:wordWrap/>
              <w:overflowPunct w:val="0"/>
              <w:topLinePunct w:val="0"/>
              <w:bidi w:val="0"/>
              <w:snapToGrid/>
              <w:spacing w:line="440" w:lineRule="exact"/>
              <w:textAlignment w:val="auto"/>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sz w:val="24"/>
                <w:szCs w:val="24"/>
                <w:highlight w:val="none"/>
              </w:rPr>
              <w:t>投</w:t>
            </w:r>
            <w:r>
              <w:rPr>
                <w:rFonts w:hint="eastAsia" w:ascii="宋体" w:hAnsi="宋体" w:eastAsia="宋体" w:cs="宋体"/>
                <w:b/>
                <w:bCs/>
                <w:snapToGrid w:val="0"/>
                <w:color w:val="auto"/>
                <w:sz w:val="24"/>
                <w:szCs w:val="24"/>
                <w:highlight w:val="none"/>
              </w:rPr>
              <w:t>标文件由资格标、资信标</w:t>
            </w:r>
            <w:r>
              <w:rPr>
                <w:rFonts w:hint="eastAsia" w:ascii="宋体" w:hAnsi="宋体" w:cs="宋体"/>
                <w:b/>
                <w:bCs/>
                <w:snapToGrid w:val="0"/>
                <w:color w:val="auto"/>
                <w:sz w:val="24"/>
                <w:szCs w:val="24"/>
                <w:highlight w:val="none"/>
                <w:lang w:eastAsia="zh-CN"/>
              </w:rPr>
              <w:t>、</w:t>
            </w:r>
            <w:r>
              <w:rPr>
                <w:rFonts w:hint="eastAsia" w:ascii="宋体" w:hAnsi="宋体" w:cs="宋体"/>
                <w:b/>
                <w:bCs/>
                <w:snapToGrid w:val="0"/>
                <w:color w:val="auto"/>
                <w:sz w:val="24"/>
                <w:szCs w:val="24"/>
                <w:highlight w:val="none"/>
                <w:lang w:val="en-US" w:eastAsia="zh-CN"/>
              </w:rPr>
              <w:t>技术标</w:t>
            </w:r>
            <w:r>
              <w:rPr>
                <w:rFonts w:hint="eastAsia" w:ascii="宋体" w:hAnsi="宋体" w:eastAsia="宋体" w:cs="宋体"/>
                <w:b/>
                <w:bCs/>
                <w:snapToGrid w:val="0"/>
                <w:color w:val="auto"/>
                <w:sz w:val="24"/>
                <w:szCs w:val="24"/>
                <w:highlight w:val="none"/>
              </w:rPr>
              <w:t>和商务标</w:t>
            </w:r>
            <w:r>
              <w:rPr>
                <w:rFonts w:hint="eastAsia" w:ascii="宋体" w:hAnsi="宋体" w:cs="宋体"/>
                <w:b/>
                <w:bCs/>
                <w:snapToGrid w:val="0"/>
                <w:color w:val="auto"/>
                <w:sz w:val="24"/>
                <w:szCs w:val="24"/>
                <w:highlight w:val="none"/>
                <w:lang w:val="en-US" w:eastAsia="zh-CN"/>
              </w:rPr>
              <w:t>四</w:t>
            </w:r>
            <w:r>
              <w:rPr>
                <w:rFonts w:hint="eastAsia" w:ascii="宋体" w:hAnsi="宋体" w:eastAsia="宋体" w:cs="宋体"/>
                <w:b/>
                <w:bCs/>
                <w:snapToGrid w:val="0"/>
                <w:color w:val="auto"/>
                <w:sz w:val="24"/>
                <w:szCs w:val="24"/>
                <w:highlight w:val="none"/>
              </w:rPr>
              <w:t>部分组成。</w:t>
            </w:r>
            <w:r>
              <w:rPr>
                <w:rFonts w:hint="eastAsia" w:ascii="宋体" w:hAnsi="宋体" w:eastAsia="宋体" w:cs="宋体"/>
                <w:b/>
                <w:bCs/>
                <w:color w:val="auto"/>
                <w:sz w:val="24"/>
                <w:szCs w:val="24"/>
                <w:highlight w:val="none"/>
              </w:rPr>
              <w:t>由三门投标编制4.0.2.8版本生成后缀名.已加密投标文件。</w:t>
            </w:r>
          </w:p>
          <w:p w14:paraId="1F64D212">
            <w:pPr>
              <w:pStyle w:val="4"/>
              <w:keepNext w:val="0"/>
              <w:keepLines w:val="0"/>
              <w:pageBreakBefore w:val="0"/>
              <w:numPr>
                <w:ilvl w:val="0"/>
                <w:numId w:val="8"/>
              </w:numPr>
              <w:wordWrap/>
              <w:topLinePunct w:val="0"/>
              <w:bidi w:val="0"/>
              <w:snapToGrid/>
              <w:spacing w:line="440" w:lineRule="exact"/>
              <w:ind w:left="425" w:leftChars="0" w:hanging="425" w:firstLineChars="0"/>
              <w:jc w:val="both"/>
              <w:textAlignment w:val="auto"/>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资</w:t>
            </w:r>
            <w:r>
              <w:rPr>
                <w:rFonts w:hint="eastAsia" w:ascii="宋体" w:hAnsi="宋体" w:eastAsia="宋体" w:cs="宋体"/>
                <w:b/>
                <w:bCs/>
                <w:snapToGrid w:val="0"/>
                <w:color w:val="auto"/>
                <w:sz w:val="24"/>
                <w:szCs w:val="24"/>
                <w:highlight w:val="none"/>
                <w:lang w:eastAsia="zh-CN"/>
              </w:rPr>
              <w:t>格</w:t>
            </w:r>
            <w:r>
              <w:rPr>
                <w:rFonts w:hint="eastAsia" w:ascii="宋体" w:hAnsi="宋体" w:eastAsia="宋体" w:cs="宋体"/>
                <w:b/>
                <w:bCs/>
                <w:snapToGrid w:val="0"/>
                <w:color w:val="auto"/>
                <w:sz w:val="24"/>
                <w:szCs w:val="24"/>
                <w:highlight w:val="none"/>
              </w:rPr>
              <w:t>标</w:t>
            </w:r>
          </w:p>
          <w:p w14:paraId="6ACFAB96">
            <w:pPr>
              <w:pStyle w:val="4"/>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由三门投标编制 4.0.2.8版本生成的资</w:t>
            </w:r>
            <w:r>
              <w:rPr>
                <w:rFonts w:hint="eastAsia" w:ascii="宋体" w:hAnsi="宋体" w:cs="宋体"/>
                <w:color w:val="auto"/>
                <w:sz w:val="24"/>
                <w:szCs w:val="24"/>
                <w:highlight w:val="none"/>
                <w:lang w:val="en-US" w:eastAsia="zh-CN"/>
              </w:rPr>
              <w:t>格</w:t>
            </w:r>
            <w:r>
              <w:rPr>
                <w:rFonts w:hint="eastAsia" w:ascii="宋体" w:hAnsi="宋体" w:eastAsia="宋体" w:cs="宋体"/>
                <w:color w:val="auto"/>
                <w:sz w:val="24"/>
                <w:szCs w:val="24"/>
                <w:highlight w:val="none"/>
              </w:rPr>
              <w:t>标电子投标文件包括：</w:t>
            </w:r>
          </w:p>
          <w:p w14:paraId="787258F2">
            <w:pPr>
              <w:pStyle w:val="4"/>
              <w:keepNext w:val="0"/>
              <w:keepLines w:val="0"/>
              <w:pageBreakBefore w:val="0"/>
              <w:numPr>
                <w:ilvl w:val="0"/>
                <w:numId w:val="9"/>
              </w:numPr>
              <w:wordWrap/>
              <w:topLinePunct w:val="0"/>
              <w:bidi w:val="0"/>
              <w:snapToGrid/>
              <w:spacing w:line="440" w:lineRule="exact"/>
              <w:ind w:left="425" w:leftChars="0" w:hanging="425"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项目负责人简历表（投标文件格式一）；</w:t>
            </w:r>
          </w:p>
          <w:p w14:paraId="06FCF229">
            <w:pPr>
              <w:pStyle w:val="4"/>
              <w:keepNext w:val="0"/>
              <w:keepLines w:val="0"/>
              <w:pageBreakBefore w:val="0"/>
              <w:numPr>
                <w:ilvl w:val="0"/>
                <w:numId w:val="9"/>
              </w:numPr>
              <w:wordWrap/>
              <w:topLinePunct w:val="0"/>
              <w:bidi w:val="0"/>
              <w:snapToGrid/>
              <w:spacing w:line="440" w:lineRule="exact"/>
              <w:ind w:left="425" w:leftChars="0" w:hanging="425"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技术负责人简历表（投标文件格式二）；</w:t>
            </w:r>
          </w:p>
          <w:p w14:paraId="4E57A439">
            <w:pPr>
              <w:pStyle w:val="4"/>
              <w:keepNext w:val="0"/>
              <w:keepLines w:val="0"/>
              <w:pageBreakBefore w:val="0"/>
              <w:numPr>
                <w:ilvl w:val="0"/>
                <w:numId w:val="9"/>
              </w:numPr>
              <w:wordWrap/>
              <w:topLinePunct w:val="0"/>
              <w:bidi w:val="0"/>
              <w:snapToGrid/>
              <w:spacing w:line="440" w:lineRule="exact"/>
              <w:ind w:left="425" w:leftChars="0" w:hanging="425"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主要施工机械设备表（投标文件格式三）；</w:t>
            </w:r>
          </w:p>
          <w:p w14:paraId="34D9EF8F">
            <w:pPr>
              <w:pStyle w:val="4"/>
              <w:keepNext w:val="0"/>
              <w:keepLines w:val="0"/>
              <w:pageBreakBefore w:val="0"/>
              <w:numPr>
                <w:ilvl w:val="0"/>
                <w:numId w:val="9"/>
              </w:numPr>
              <w:wordWrap/>
              <w:topLinePunct w:val="0"/>
              <w:bidi w:val="0"/>
              <w:snapToGrid/>
              <w:spacing w:line="440" w:lineRule="exact"/>
              <w:ind w:left="425" w:leftChars="0" w:hanging="425"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台州市建设工程投标人资格自查表（投标文件格式四）；</w:t>
            </w:r>
          </w:p>
          <w:p w14:paraId="39025FDE">
            <w:pPr>
              <w:pStyle w:val="4"/>
              <w:keepNext w:val="0"/>
              <w:keepLines w:val="0"/>
              <w:pageBreakBefore w:val="0"/>
              <w:numPr>
                <w:ilvl w:val="0"/>
                <w:numId w:val="9"/>
              </w:numPr>
              <w:wordWrap/>
              <w:topLinePunct w:val="0"/>
              <w:bidi w:val="0"/>
              <w:snapToGrid/>
              <w:spacing w:line="440" w:lineRule="exact"/>
              <w:ind w:left="425" w:leftChars="0" w:hanging="425"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台州市建设工程投标项目负责人资格自查表（投标文件格式</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w:t>
            </w:r>
          </w:p>
          <w:p w14:paraId="1DC4A6EF">
            <w:pPr>
              <w:pStyle w:val="4"/>
              <w:keepNext w:val="0"/>
              <w:keepLines w:val="0"/>
              <w:pageBreakBefore w:val="0"/>
              <w:numPr>
                <w:ilvl w:val="0"/>
                <w:numId w:val="9"/>
              </w:numPr>
              <w:wordWrap/>
              <w:topLinePunct w:val="0"/>
              <w:bidi w:val="0"/>
              <w:snapToGrid/>
              <w:spacing w:line="440" w:lineRule="exact"/>
              <w:ind w:left="425" w:leftChars="0" w:hanging="425"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台州市建设工程诚信投标承诺书（投标文件格式七）；</w:t>
            </w:r>
          </w:p>
          <w:p w14:paraId="23C968CC">
            <w:pPr>
              <w:pStyle w:val="4"/>
              <w:keepNext w:val="0"/>
              <w:keepLines w:val="0"/>
              <w:pageBreakBefore w:val="0"/>
              <w:numPr>
                <w:ilvl w:val="0"/>
                <w:numId w:val="9"/>
              </w:numPr>
              <w:wordWrap/>
              <w:topLinePunct w:val="0"/>
              <w:bidi w:val="0"/>
              <w:snapToGrid/>
              <w:spacing w:line="440" w:lineRule="exact"/>
              <w:ind w:left="425" w:leftChars="0" w:hanging="425"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台州市建设工程安全生产任职资格承诺书（投标文件格式九）；</w:t>
            </w:r>
          </w:p>
          <w:p w14:paraId="7003A9EC">
            <w:pPr>
              <w:pStyle w:val="4"/>
              <w:keepNext w:val="0"/>
              <w:keepLines w:val="0"/>
              <w:pageBreakBefore w:val="0"/>
              <w:numPr>
                <w:ilvl w:val="0"/>
                <w:numId w:val="9"/>
              </w:numPr>
              <w:wordWrap/>
              <w:topLinePunct w:val="0"/>
              <w:bidi w:val="0"/>
              <w:snapToGrid/>
              <w:spacing w:line="44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证书材料：</w:t>
            </w:r>
          </w:p>
          <w:p w14:paraId="44E30079">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i/>
                <w:color w:val="auto"/>
                <w:sz w:val="24"/>
                <w:szCs w:val="24"/>
                <w:highlight w:val="none"/>
              </w:rPr>
            </w:pP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rPr>
              <w:t>《省外企业进浙承接业务备案证明》或“浙江省建筑市场监管公共服务系统”对外发布的通过审核形成的备案信息网页截图（仅指浙江省省外企业）</w:t>
            </w:r>
            <w:r>
              <w:rPr>
                <w:rFonts w:hint="eastAsia" w:ascii="宋体" w:hAnsi="宋体" w:eastAsia="宋体" w:cs="宋体"/>
                <w:i/>
                <w:color w:val="auto"/>
                <w:sz w:val="24"/>
                <w:szCs w:val="24"/>
                <w:highlight w:val="none"/>
                <w:lang w:eastAsia="zh-CN"/>
              </w:rPr>
              <w:t>；</w:t>
            </w:r>
          </w:p>
          <w:p w14:paraId="3098D5C9">
            <w:pPr>
              <w:pStyle w:val="42"/>
              <w:keepNext w:val="0"/>
              <w:keepLines w:val="0"/>
              <w:pageBreakBefore w:val="0"/>
              <w:widowControl w:val="0"/>
              <w:kinsoku/>
              <w:wordWrap/>
              <w:overflowPunct/>
              <w:topLinePunct w:val="0"/>
              <w:autoSpaceDE w:val="0"/>
              <w:autoSpaceDN w:val="0"/>
              <w:bidi w:val="0"/>
              <w:adjustRightInd w:val="0"/>
              <w:snapToGrid/>
              <w:spacing w:before="25" w:line="400" w:lineRule="exact"/>
              <w:ind w:left="37" w:right="27" w:firstLine="475"/>
              <w:textAlignment w:val="auto"/>
            </w:pPr>
            <w:r>
              <w:rPr>
                <w:rFonts w:hint="eastAsia" w:ascii="宋体" w:hAnsi="宋体" w:eastAsia="宋体" w:cs="宋体"/>
                <w:b/>
                <w:snapToGrid w:val="0"/>
                <w:color w:val="auto"/>
                <w:sz w:val="24"/>
                <w:szCs w:val="24"/>
                <w:highlight w:val="none"/>
                <w:lang w:val="en-US" w:eastAsia="zh-CN"/>
              </w:rPr>
              <w:t>②《企业营业执照》、《安全生产许可证》和《建筑业企业资质证书》</w:t>
            </w:r>
            <w:r>
              <w:rPr>
                <w:color w:val="auto"/>
                <w:spacing w:val="3"/>
              </w:rPr>
              <w:t>（若为住房和城乡建设部</w:t>
            </w:r>
            <w:r>
              <w:rPr>
                <w:color w:val="auto"/>
                <w:spacing w:val="16"/>
              </w:rPr>
              <w:t xml:space="preserve"> </w:t>
            </w:r>
            <w:r>
              <w:rPr>
                <w:color w:val="auto"/>
                <w:spacing w:val="3"/>
              </w:rPr>
              <w:t>同意企业资质电子化试点的省、市可提供企业电子资质证</w:t>
            </w:r>
            <w:r>
              <w:rPr>
                <w:color w:val="auto"/>
                <w:spacing w:val="5"/>
              </w:rPr>
              <w:t xml:space="preserve"> </w:t>
            </w:r>
            <w:r>
              <w:rPr>
                <w:color w:val="auto"/>
                <w:spacing w:val="2"/>
              </w:rPr>
              <w:t>书</w:t>
            </w:r>
            <w:r>
              <w:rPr>
                <w:color w:val="auto"/>
                <w:spacing w:val="17"/>
              </w:rPr>
              <w:t>），</w:t>
            </w:r>
            <w:r>
              <w:rPr>
                <w:color w:val="auto"/>
                <w:spacing w:val="2"/>
              </w:rPr>
              <w:t>投标人提供</w:t>
            </w:r>
            <w:r>
              <w:rPr>
                <w:spacing w:val="2"/>
              </w:rPr>
              <w:t>的《建筑业企业资质证书》上的有关内</w:t>
            </w:r>
            <w:r>
              <w:t xml:space="preserve"> </w:t>
            </w:r>
            <w:r>
              <w:rPr>
                <w:spacing w:val="13"/>
              </w:rPr>
              <w:t>容真实性均以全国建筑市场监管公共服务平台（查询网</w:t>
            </w:r>
            <w:r>
              <w:rPr>
                <w:spacing w:val="12"/>
              </w:rPr>
              <w:t>址</w:t>
            </w:r>
            <w:r>
              <w:rPr>
                <w:spacing w:val="-55"/>
              </w:rPr>
              <w:t xml:space="preserve"> </w:t>
            </w:r>
            <w:r>
              <w:rPr>
                <w:spacing w:val="12"/>
              </w:rPr>
              <w:t>：</w:t>
            </w:r>
            <w:r>
              <w:rPr>
                <w:rFonts w:ascii="Times New Roman" w:hAnsi="Times New Roman" w:eastAsia="Times New Roman" w:cs="Times New Roman"/>
              </w:rPr>
              <w:t>http</w:t>
            </w:r>
            <w:r>
              <w:rPr>
                <w:rFonts w:ascii="Times New Roman" w:hAnsi="Times New Roman" w:eastAsia="Times New Roman" w:cs="Times New Roman"/>
                <w:spacing w:val="12"/>
              </w:rPr>
              <w:t>://</w:t>
            </w:r>
            <w:r>
              <w:rPr>
                <w:rFonts w:ascii="Times New Roman" w:hAnsi="Times New Roman" w:eastAsia="Times New Roman" w:cs="Times New Roman"/>
              </w:rPr>
              <w:t>jzsc</w:t>
            </w:r>
            <w:r>
              <w:rPr>
                <w:rFonts w:ascii="Times New Roman" w:hAnsi="Times New Roman" w:eastAsia="Times New Roman" w:cs="Times New Roman"/>
                <w:spacing w:val="12"/>
              </w:rPr>
              <w:t>.</w:t>
            </w:r>
            <w:r>
              <w:rPr>
                <w:rFonts w:ascii="Times New Roman" w:hAnsi="Times New Roman" w:eastAsia="Times New Roman" w:cs="Times New Roman"/>
              </w:rPr>
              <w:t>mohurd</w:t>
            </w:r>
            <w:r>
              <w:rPr>
                <w:rFonts w:ascii="Times New Roman" w:hAnsi="Times New Roman" w:eastAsia="Times New Roman" w:cs="Times New Roman"/>
                <w:spacing w:val="12"/>
              </w:rPr>
              <w:t>.</w:t>
            </w:r>
            <w:r>
              <w:rPr>
                <w:rFonts w:ascii="Times New Roman" w:hAnsi="Times New Roman" w:eastAsia="Times New Roman" w:cs="Times New Roman"/>
              </w:rPr>
              <w:t>gov</w:t>
            </w:r>
            <w:r>
              <w:rPr>
                <w:rFonts w:ascii="Times New Roman" w:hAnsi="Times New Roman" w:eastAsia="Times New Roman" w:cs="Times New Roman"/>
                <w:spacing w:val="12"/>
              </w:rPr>
              <w:t>.</w:t>
            </w:r>
            <w:r>
              <w:rPr>
                <w:rFonts w:ascii="Times New Roman" w:hAnsi="Times New Roman" w:eastAsia="Times New Roman" w:cs="Times New Roman"/>
              </w:rPr>
              <w:t>cn</w:t>
            </w:r>
            <w:r>
              <w:rPr>
                <w:rFonts w:ascii="Times New Roman" w:hAnsi="Times New Roman" w:eastAsia="Times New Roman" w:cs="Times New Roman"/>
                <w:spacing w:val="12"/>
              </w:rPr>
              <w:t xml:space="preserve">/ </w:t>
            </w:r>
            <w:r>
              <w:rPr>
                <w:spacing w:val="-27"/>
              </w:rPr>
              <w:t>）</w:t>
            </w:r>
            <w:r>
              <w:rPr>
                <w:spacing w:val="-87"/>
              </w:rPr>
              <w:t xml:space="preserve"> </w:t>
            </w:r>
            <w:r>
              <w:rPr>
                <w:spacing w:val="-27"/>
              </w:rPr>
              <w:t>（</w:t>
            </w:r>
            <w:r>
              <w:rPr>
                <w:spacing w:val="12"/>
              </w:rPr>
              <w:t>或省</w:t>
            </w:r>
            <w:r>
              <w:rPr>
                <w:spacing w:val="-60"/>
              </w:rPr>
              <w:t xml:space="preserve"> </w:t>
            </w:r>
            <w:r>
              <w:rPr>
                <w:spacing w:val="12"/>
              </w:rPr>
              <w:t>、直辖</w:t>
            </w:r>
            <w:r>
              <w:rPr>
                <w:spacing w:val="-68"/>
              </w:rPr>
              <w:t xml:space="preserve"> </w:t>
            </w:r>
            <w:r>
              <w:rPr>
                <w:spacing w:val="12"/>
              </w:rPr>
              <w:t>市相应平</w:t>
            </w:r>
            <w:r>
              <w:rPr>
                <w:spacing w:val="-3"/>
              </w:rPr>
              <w:t>台）中查询结果为准。</w:t>
            </w:r>
          </w:p>
          <w:p w14:paraId="122D610E">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宋体" w:hAnsi="宋体" w:eastAsia="宋体" w:cs="宋体"/>
                <w:b/>
                <w:bCs/>
                <w:sz w:val="24"/>
                <w:szCs w:val="24"/>
                <w:highlight w:val="none"/>
              </w:rPr>
            </w:pPr>
            <w:r>
              <w:rPr>
                <w:rFonts w:hint="eastAsia" w:ascii="宋体" w:hAnsi="宋体" w:cs="宋体"/>
                <w:sz w:val="24"/>
                <w:szCs w:val="24"/>
                <w:highlight w:val="none"/>
                <w:lang w:val="en-US" w:eastAsia="zh-CN"/>
              </w:rPr>
              <w:t>③</w:t>
            </w:r>
            <w:r>
              <w:rPr>
                <w:rFonts w:hint="eastAsia" w:ascii="宋体" w:hAnsi="宋体" w:eastAsia="宋体" w:cs="宋体"/>
                <w:sz w:val="24"/>
                <w:szCs w:val="24"/>
                <w:highlight w:val="none"/>
              </w:rPr>
              <w:t>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eastAsia="宋体" w:cs="宋体"/>
                <w:b/>
                <w:bCs/>
                <w:sz w:val="24"/>
                <w:szCs w:val="24"/>
                <w:highlight w:val="none"/>
              </w:rPr>
              <w:t>一级建造师电子证书打印后，应在个人签名处手写本人签名，未手写签名或与签名图像笔迹不一致的，该电子证书无效。</w:t>
            </w:r>
          </w:p>
          <w:p w14:paraId="18BA1BD4">
            <w:pPr>
              <w:pStyle w:val="4"/>
              <w:keepNext w:val="0"/>
              <w:keepLines w:val="0"/>
              <w:pageBreakBefore w:val="0"/>
              <w:widowControl w:val="0"/>
              <w:kinsoku/>
              <w:wordWrap/>
              <w:overflowPunct/>
              <w:topLinePunct w:val="0"/>
              <w:autoSpaceDE w:val="0"/>
              <w:autoSpaceDN w:val="0"/>
              <w:bidi w:val="0"/>
              <w:adjustRightInd w:val="0"/>
              <w:snapToGrid/>
              <w:spacing w:line="400" w:lineRule="exact"/>
              <w:ind w:firstLine="358" w:firstLineChars="150"/>
              <w:textAlignment w:val="auto"/>
              <w:rPr>
                <w:rFonts w:hint="eastAsia" w:ascii="宋体" w:hAnsi="宋体" w:eastAsia="宋体" w:cs="宋体"/>
                <w:b/>
                <w:bCs/>
                <w:sz w:val="24"/>
                <w:szCs w:val="24"/>
                <w:highlight w:val="none"/>
              </w:rPr>
            </w:pPr>
            <w:r>
              <w:rPr>
                <w:rFonts w:hint="eastAsia" w:ascii="宋体" w:hAnsi="宋体" w:eastAsia="宋体" w:cs="宋体"/>
                <w:b/>
                <w:bCs/>
                <w:spacing w:val="-1"/>
                <w:sz w:val="24"/>
                <w:szCs w:val="24"/>
                <w:highlight w:val="none"/>
              </w:rPr>
              <w:t>项目负责人提供投标截止时间前近</w:t>
            </w:r>
            <w:r>
              <w:rPr>
                <w:rFonts w:hint="eastAsia" w:ascii="宋体" w:hAnsi="宋体" w:eastAsia="宋体" w:cs="宋体"/>
                <w:b/>
                <w:bCs/>
                <w:sz w:val="24"/>
                <w:szCs w:val="24"/>
                <w:highlight w:val="none"/>
              </w:rPr>
              <w:t>3</w:t>
            </w:r>
            <w:r>
              <w:rPr>
                <w:rFonts w:hint="eastAsia" w:ascii="宋体" w:hAnsi="宋体" w:eastAsia="宋体" w:cs="宋体"/>
                <w:b/>
                <w:bCs/>
                <w:spacing w:val="-1"/>
                <w:sz w:val="24"/>
                <w:szCs w:val="24"/>
                <w:highlight w:val="none"/>
              </w:rPr>
              <w:t>个月内任</w:t>
            </w:r>
            <w:r>
              <w:rPr>
                <w:rFonts w:hint="eastAsia" w:ascii="宋体" w:hAnsi="宋体" w:eastAsia="宋体" w:cs="宋体"/>
                <w:b/>
                <w:bCs/>
                <w:spacing w:val="-1"/>
                <w:sz w:val="24"/>
                <w:szCs w:val="24"/>
                <w:highlight w:val="none"/>
                <w:lang w:val="en-US" w:eastAsia="zh-CN"/>
              </w:rPr>
              <w:t>1</w:t>
            </w:r>
            <w:r>
              <w:rPr>
                <w:rFonts w:hint="eastAsia" w:ascii="宋体" w:hAnsi="宋体" w:eastAsia="宋体" w:cs="宋体"/>
                <w:b/>
                <w:bCs/>
                <w:spacing w:val="-1"/>
                <w:sz w:val="24"/>
                <w:szCs w:val="24"/>
                <w:highlight w:val="none"/>
              </w:rPr>
              <w:t>个月的</w:t>
            </w:r>
            <w:r>
              <w:rPr>
                <w:rFonts w:hint="eastAsia" w:ascii="宋体" w:hAnsi="宋体" w:eastAsia="宋体" w:cs="宋体"/>
                <w:b/>
                <w:bCs/>
                <w:spacing w:val="-8"/>
                <w:sz w:val="24"/>
                <w:szCs w:val="24"/>
                <w:highlight w:val="none"/>
              </w:rPr>
              <w:t>社保缴纳证明</w:t>
            </w:r>
            <w:r>
              <w:rPr>
                <w:rFonts w:hint="eastAsia" w:ascii="宋体" w:hAnsi="宋体" w:eastAsia="宋体" w:cs="宋体"/>
                <w:b/>
                <w:bCs/>
                <w:sz w:val="24"/>
                <w:szCs w:val="24"/>
                <w:highlight w:val="none"/>
              </w:rPr>
              <w:t>（</w:t>
            </w:r>
            <w:r>
              <w:rPr>
                <w:rFonts w:hint="eastAsia" w:ascii="宋体" w:hAnsi="宋体" w:eastAsia="宋体" w:cs="宋体"/>
                <w:b/>
                <w:bCs/>
                <w:spacing w:val="-3"/>
                <w:sz w:val="24"/>
                <w:szCs w:val="24"/>
                <w:highlight w:val="none"/>
              </w:rPr>
              <w:t>提供有效证明材料</w:t>
            </w:r>
            <w:r>
              <w:rPr>
                <w:rFonts w:hint="eastAsia" w:ascii="宋体" w:hAnsi="宋体" w:eastAsia="宋体" w:cs="宋体"/>
                <w:b/>
                <w:bCs/>
                <w:spacing w:val="-73"/>
                <w:sz w:val="24"/>
                <w:szCs w:val="24"/>
                <w:highlight w:val="none"/>
              </w:rPr>
              <w:t>）</w:t>
            </w:r>
            <w:r>
              <w:rPr>
                <w:rFonts w:hint="eastAsia" w:ascii="宋体" w:hAnsi="宋体" w:eastAsia="宋体" w:cs="宋体"/>
                <w:b/>
                <w:bCs/>
                <w:spacing w:val="-10"/>
                <w:sz w:val="24"/>
                <w:szCs w:val="24"/>
                <w:highlight w:val="none"/>
              </w:rPr>
              <w:t>，若项目负责人已退休但仍可执业的，</w:t>
            </w:r>
            <w:r>
              <w:rPr>
                <w:rFonts w:hint="eastAsia" w:ascii="宋体" w:hAnsi="宋体" w:eastAsia="宋体" w:cs="宋体"/>
                <w:b/>
                <w:bCs/>
                <w:sz w:val="24"/>
                <w:szCs w:val="24"/>
                <w:highlight w:val="none"/>
              </w:rPr>
              <w:t>社保缴纳证明可凭社保部门出具的退休证明及聘用合同替代。</w:t>
            </w:r>
          </w:p>
          <w:p w14:paraId="6B2057DE">
            <w:pPr>
              <w:pStyle w:val="4"/>
              <w:keepNext w:val="0"/>
              <w:keepLines w:val="0"/>
              <w:pageBreakBefore w:val="0"/>
              <w:widowControl w:val="0"/>
              <w:kinsoku/>
              <w:wordWrap/>
              <w:overflowPunct/>
              <w:topLinePunct w:val="0"/>
              <w:autoSpaceDE w:val="0"/>
              <w:autoSpaceDN w:val="0"/>
              <w:bidi w:val="0"/>
              <w:adjustRightInd w:val="0"/>
              <w:snapToGrid/>
              <w:spacing w:line="400" w:lineRule="exact"/>
              <w:ind w:firstLine="361" w:firstLineChars="150"/>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④</w:t>
            </w:r>
            <w:r>
              <w:rPr>
                <w:rFonts w:hint="eastAsia" w:ascii="宋体" w:hAnsi="宋体" w:cs="Calibri"/>
                <w:kern w:val="0"/>
                <w:sz w:val="24"/>
                <w:szCs w:val="24"/>
              </w:rPr>
              <w:t>提供对应资质在“浙江省建筑市场监管公共服务系统”资质动态核查结果“合格”的证明（核查证明上的打印时间应在开标日所在星期的周一动态核查结果生成后）</w:t>
            </w:r>
          </w:p>
          <w:p w14:paraId="62941F93">
            <w:pPr>
              <w:pStyle w:val="4"/>
              <w:keepNext w:val="0"/>
              <w:keepLines w:val="0"/>
              <w:pageBreakBefore w:val="0"/>
              <w:numPr>
                <w:ilvl w:val="0"/>
                <w:numId w:val="9"/>
              </w:numPr>
              <w:wordWrap/>
              <w:topLinePunct w:val="0"/>
              <w:bidi w:val="0"/>
              <w:snapToGrid/>
              <w:spacing w:line="440" w:lineRule="exact"/>
              <w:ind w:left="425" w:leftChars="0" w:hanging="425" w:firstLineChars="0"/>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法定代表人授权委托书（投标文件格式八）</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法定代表人身份证明（投</w:t>
            </w:r>
            <w:r>
              <w:rPr>
                <w:rFonts w:hint="eastAsia" w:ascii="宋体" w:hAnsi="宋体" w:eastAsia="宋体" w:cs="宋体"/>
                <w:color w:val="auto"/>
                <w:sz w:val="24"/>
                <w:szCs w:val="24"/>
                <w:highlight w:val="none"/>
              </w:rPr>
              <w:t>标文件格式十</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w:t>
            </w:r>
          </w:p>
          <w:p w14:paraId="0F10B259">
            <w:pPr>
              <w:pStyle w:val="4"/>
              <w:keepNext w:val="0"/>
              <w:keepLines w:val="0"/>
              <w:pageBreakBefore w:val="0"/>
              <w:numPr>
                <w:ilvl w:val="0"/>
                <w:numId w:val="9"/>
              </w:numPr>
              <w:wordWrap/>
              <w:topLinePunct w:val="0"/>
              <w:bidi w:val="0"/>
              <w:snapToGrid/>
              <w:spacing w:line="440" w:lineRule="exact"/>
              <w:ind w:left="425" w:leftChars="0" w:hanging="425" w:firstLineChars="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bidi="ar-SA"/>
              </w:rPr>
              <w:t>投标保证金：</w:t>
            </w:r>
            <w:r>
              <w:rPr>
                <w:rFonts w:hint="eastAsia" w:ascii="宋体" w:hAnsi="宋体" w:eastAsia="宋体" w:cs="宋体"/>
                <w:color w:val="auto"/>
                <w:sz w:val="24"/>
                <w:szCs w:val="24"/>
                <w:highlight w:val="none"/>
                <w:lang w:val="en-US" w:eastAsia="zh-CN" w:bidi="ar-SA"/>
              </w:rPr>
              <w:t>提供相关凭证(以现金形式缴纳的提供银行转帐回单；以工程保函形式递交的，提供相关保函保单凭证)；</w:t>
            </w:r>
          </w:p>
          <w:p w14:paraId="76B03A57">
            <w:pPr>
              <w:pStyle w:val="4"/>
              <w:keepNext w:val="0"/>
              <w:keepLines w:val="0"/>
              <w:pageBreakBefore w:val="0"/>
              <w:numPr>
                <w:ilvl w:val="0"/>
                <w:numId w:val="9"/>
              </w:numPr>
              <w:wordWrap/>
              <w:topLinePunct w:val="0"/>
              <w:bidi w:val="0"/>
              <w:snapToGrid/>
              <w:spacing w:line="440" w:lineRule="exact"/>
              <w:ind w:left="425" w:leftChars="0" w:hanging="425"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其他证明材料（如有）</w:t>
            </w:r>
            <w:r>
              <w:rPr>
                <w:rFonts w:hint="eastAsia" w:ascii="宋体" w:hAnsi="宋体" w:eastAsia="宋体" w:cs="宋体"/>
                <w:b w:val="0"/>
                <w:bCs w:val="0"/>
                <w:sz w:val="24"/>
                <w:szCs w:val="24"/>
                <w:highlight w:val="none"/>
                <w:lang w:eastAsia="zh-CN"/>
              </w:rPr>
              <w:t>；</w:t>
            </w:r>
          </w:p>
          <w:p w14:paraId="5E4C82F7">
            <w:pPr>
              <w:pStyle w:val="4"/>
              <w:keepNext w:val="0"/>
              <w:keepLines w:val="0"/>
              <w:pageBreakBefore w:val="0"/>
              <w:wordWrap/>
              <w:topLinePunct w:val="0"/>
              <w:bidi w:val="0"/>
              <w:snapToGrid/>
              <w:spacing w:line="440" w:lineRule="exact"/>
              <w:ind w:firstLine="0" w:firstLineChars="0"/>
              <w:textAlignment w:val="auto"/>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备注：</w:t>
            </w:r>
          </w:p>
          <w:p w14:paraId="69BD50A3">
            <w:pPr>
              <w:pStyle w:val="4"/>
              <w:keepNext w:val="0"/>
              <w:keepLines w:val="0"/>
              <w:pageBreakBefore w:val="0"/>
              <w:numPr>
                <w:ilvl w:val="0"/>
                <w:numId w:val="10"/>
              </w:numPr>
              <w:wordWrap/>
              <w:topLinePunct w:val="0"/>
              <w:bidi w:val="0"/>
              <w:snapToGrid/>
              <w:spacing w:line="440" w:lineRule="exact"/>
              <w:ind w:left="425" w:leftChars="0" w:hanging="425" w:firstLineChars="0"/>
              <w:textAlignment w:val="auto"/>
              <w:rPr>
                <w:rFonts w:hint="eastAsia" w:ascii="宋体" w:hAnsi="宋体" w:eastAsia="宋体" w:cs="宋体"/>
                <w:b/>
                <w:bCs/>
                <w:sz w:val="24"/>
                <w:szCs w:val="24"/>
                <w:highlight w:val="none"/>
              </w:rPr>
            </w:pPr>
            <w:r>
              <w:rPr>
                <w:rFonts w:hint="eastAsia" w:ascii="宋体" w:hAnsi="宋体" w:eastAsia="宋体" w:cs="宋体"/>
                <w:snapToGrid w:val="0"/>
                <w:sz w:val="24"/>
                <w:szCs w:val="24"/>
                <w:highlight w:val="none"/>
              </w:rPr>
              <w:t>以上资</w:t>
            </w:r>
            <w:r>
              <w:rPr>
                <w:rFonts w:hint="eastAsia" w:ascii="宋体" w:hAnsi="宋体" w:eastAsia="宋体" w:cs="宋体"/>
                <w:snapToGrid w:val="0"/>
                <w:sz w:val="24"/>
                <w:szCs w:val="24"/>
                <w:highlight w:val="none"/>
                <w:lang w:val="en-US" w:eastAsia="zh-CN"/>
              </w:rPr>
              <w:t>格</w:t>
            </w:r>
            <w:r>
              <w:rPr>
                <w:rFonts w:hint="eastAsia" w:ascii="宋体" w:hAnsi="宋体" w:eastAsia="宋体" w:cs="宋体"/>
                <w:snapToGrid w:val="0"/>
                <w:sz w:val="24"/>
                <w:szCs w:val="24"/>
                <w:highlight w:val="none"/>
              </w:rPr>
              <w:t>标内容均需在</w:t>
            </w:r>
            <w:r>
              <w:rPr>
                <w:rFonts w:hint="eastAsia" w:ascii="宋体" w:hAnsi="宋体" w:eastAsia="宋体" w:cs="宋体"/>
                <w:bCs/>
                <w:snapToGrid w:val="0"/>
                <w:sz w:val="24"/>
                <w:szCs w:val="24"/>
                <w:highlight w:val="none"/>
              </w:rPr>
              <w:t>三门投标编制4.0.2.8版本</w:t>
            </w:r>
            <w:r>
              <w:rPr>
                <w:rFonts w:hint="eastAsia" w:ascii="宋体" w:hAnsi="宋体" w:eastAsia="宋体" w:cs="宋体"/>
                <w:snapToGrid w:val="0"/>
                <w:sz w:val="24"/>
                <w:szCs w:val="24"/>
                <w:highlight w:val="none"/>
              </w:rPr>
              <w:t>中的资</w:t>
            </w:r>
            <w:r>
              <w:rPr>
                <w:rFonts w:hint="eastAsia" w:ascii="宋体" w:hAnsi="宋体" w:eastAsia="宋体" w:cs="宋体"/>
                <w:snapToGrid w:val="0"/>
                <w:sz w:val="24"/>
                <w:szCs w:val="24"/>
                <w:highlight w:val="none"/>
                <w:lang w:val="en-US" w:eastAsia="zh-CN"/>
              </w:rPr>
              <w:t>格</w:t>
            </w:r>
            <w:r>
              <w:rPr>
                <w:rFonts w:hint="eastAsia" w:ascii="宋体" w:hAnsi="宋体" w:eastAsia="宋体" w:cs="宋体"/>
                <w:snapToGrid w:val="0"/>
                <w:sz w:val="24"/>
                <w:szCs w:val="24"/>
                <w:highlight w:val="none"/>
              </w:rPr>
              <w:t>标对应处自行添加后自动生成，添加的内容须为清晰的电子文档</w:t>
            </w:r>
            <w:r>
              <w:rPr>
                <w:rFonts w:hint="eastAsia" w:ascii="宋体" w:hAnsi="宋体" w:eastAsia="宋体" w:cs="宋体"/>
                <w:bCs/>
                <w:sz w:val="24"/>
                <w:szCs w:val="24"/>
                <w:highlight w:val="none"/>
              </w:rPr>
              <w:t>。</w:t>
            </w:r>
          </w:p>
          <w:p w14:paraId="6D0EE50D">
            <w:pPr>
              <w:pStyle w:val="4"/>
              <w:keepNext w:val="0"/>
              <w:keepLines w:val="0"/>
              <w:pageBreakBefore w:val="0"/>
              <w:numPr>
                <w:ilvl w:val="0"/>
                <w:numId w:val="10"/>
              </w:numPr>
              <w:wordWrap/>
              <w:topLinePunct w:val="0"/>
              <w:bidi w:val="0"/>
              <w:snapToGrid/>
              <w:spacing w:line="440" w:lineRule="exact"/>
              <w:ind w:left="425" w:leftChars="0" w:hanging="425" w:firstLineChars="0"/>
              <w:jc w:val="both"/>
              <w:textAlignment w:val="auto"/>
              <w:rPr>
                <w:rFonts w:hint="eastAsia" w:ascii="宋体" w:hAnsi="宋体" w:eastAsia="宋体" w:cs="宋体"/>
                <w:b/>
                <w:bCs/>
                <w:snapToGrid w:val="0"/>
                <w:sz w:val="24"/>
                <w:szCs w:val="24"/>
                <w:highlight w:val="none"/>
              </w:rPr>
            </w:pPr>
            <w:r>
              <w:rPr>
                <w:rFonts w:hint="eastAsia" w:ascii="宋体" w:hAnsi="宋体" w:eastAsia="宋体" w:cs="宋体"/>
                <w:b/>
                <w:bCs/>
                <w:snapToGrid w:val="0"/>
                <w:sz w:val="24"/>
                <w:szCs w:val="24"/>
                <w:highlight w:val="none"/>
              </w:rPr>
              <w:t>企业资质证书及项目负责人建造师注册证书未能在</w:t>
            </w:r>
            <w:r>
              <w:rPr>
                <w:rFonts w:hint="eastAsia" w:ascii="宋体" w:hAnsi="宋体" w:eastAsia="宋体" w:cs="宋体"/>
                <w:b/>
                <w:bCs/>
                <w:sz w:val="24"/>
                <w:szCs w:val="24"/>
                <w:highlight w:val="none"/>
              </w:rPr>
              <w:t>全国建筑市场监管公共服务平台和省、直辖市相应平台查询到的作无效标处理。</w:t>
            </w:r>
          </w:p>
          <w:p w14:paraId="2ADF2AFA">
            <w:pPr>
              <w:pStyle w:val="4"/>
              <w:keepNext w:val="0"/>
              <w:keepLines w:val="0"/>
              <w:pageBreakBefore w:val="0"/>
              <w:numPr>
                <w:ilvl w:val="0"/>
                <w:numId w:val="8"/>
              </w:numPr>
              <w:wordWrap/>
              <w:topLinePunct w:val="0"/>
              <w:bidi w:val="0"/>
              <w:snapToGrid/>
              <w:spacing w:line="440" w:lineRule="exact"/>
              <w:ind w:left="425" w:leftChars="0" w:hanging="425" w:firstLineChars="0"/>
              <w:jc w:val="both"/>
              <w:textAlignment w:val="auto"/>
              <w:rPr>
                <w:rFonts w:hint="eastAsia" w:ascii="宋体" w:hAnsi="宋体" w:eastAsia="宋体" w:cs="宋体"/>
                <w:b/>
                <w:sz w:val="24"/>
                <w:szCs w:val="24"/>
                <w:highlight w:val="none"/>
              </w:rPr>
            </w:pPr>
            <w:r>
              <w:rPr>
                <w:rFonts w:hint="eastAsia" w:ascii="宋体" w:hAnsi="宋体" w:eastAsia="宋体" w:cs="宋体"/>
                <w:b/>
                <w:bCs/>
                <w:snapToGrid w:val="0"/>
                <w:sz w:val="24"/>
                <w:szCs w:val="24"/>
                <w:highlight w:val="none"/>
              </w:rPr>
              <w:t>资信</w:t>
            </w:r>
            <w:r>
              <w:rPr>
                <w:rFonts w:hint="eastAsia" w:ascii="宋体" w:hAnsi="宋体" w:eastAsia="宋体" w:cs="宋体"/>
                <w:b/>
                <w:sz w:val="24"/>
                <w:szCs w:val="24"/>
                <w:highlight w:val="none"/>
              </w:rPr>
              <w:t>标</w:t>
            </w:r>
          </w:p>
          <w:p w14:paraId="0201D4D7">
            <w:pPr>
              <w:pStyle w:val="4"/>
              <w:keepNext w:val="0"/>
              <w:keepLines w:val="0"/>
              <w:pageBreakBefore w:val="0"/>
              <w:numPr>
                <w:ilvl w:val="0"/>
                <w:numId w:val="11"/>
              </w:numPr>
              <w:wordWrap/>
              <w:topLinePunct w:val="0"/>
              <w:bidi w:val="0"/>
              <w:snapToGrid/>
              <w:spacing w:line="440" w:lineRule="exact"/>
              <w:ind w:left="425" w:leftChars="0" w:hanging="425" w:firstLineChars="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投标人根据招标文件评标办法内容在三门投标编制4.0.2.8版本中资信标相对应处自行添加后自动生成。</w:t>
            </w:r>
          </w:p>
          <w:p w14:paraId="20167A72">
            <w:pPr>
              <w:pStyle w:val="4"/>
              <w:keepNext w:val="0"/>
              <w:keepLines w:val="0"/>
              <w:pageBreakBefore w:val="0"/>
              <w:numPr>
                <w:ilvl w:val="0"/>
                <w:numId w:val="11"/>
              </w:numPr>
              <w:wordWrap/>
              <w:topLinePunct w:val="0"/>
              <w:bidi w:val="0"/>
              <w:snapToGrid/>
              <w:spacing w:line="440" w:lineRule="exact"/>
              <w:ind w:left="425" w:leftChars="0" w:hanging="425" w:firstLineChars="0"/>
              <w:jc w:val="both"/>
              <w:textAlignment w:val="auto"/>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rPr>
              <w:t>建设工程投标人及项目负责人资信</w:t>
            </w:r>
            <w:r>
              <w:rPr>
                <w:rFonts w:hint="eastAsia" w:ascii="宋体" w:hAnsi="宋体" w:eastAsia="宋体" w:cs="宋体"/>
                <w:b/>
                <w:color w:val="auto"/>
                <w:sz w:val="24"/>
                <w:szCs w:val="24"/>
                <w:highlight w:val="none"/>
                <w:lang w:val="en-US" w:eastAsia="zh-CN"/>
              </w:rPr>
              <w:t>分</w:t>
            </w:r>
            <w:r>
              <w:rPr>
                <w:rFonts w:hint="eastAsia" w:ascii="宋体" w:hAnsi="宋体" w:eastAsia="宋体" w:cs="宋体"/>
                <w:b/>
                <w:color w:val="auto"/>
                <w:sz w:val="24"/>
                <w:szCs w:val="24"/>
                <w:highlight w:val="none"/>
              </w:rPr>
              <w:t>自查表（投标文件格式</w:t>
            </w:r>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w:t>
            </w:r>
            <w:r>
              <w:rPr>
                <w:rFonts w:hint="eastAsia" w:ascii="宋体" w:hAnsi="宋体" w:eastAsia="宋体" w:cs="宋体"/>
                <w:b w:val="0"/>
                <w:bCs/>
                <w:color w:val="auto"/>
                <w:sz w:val="24"/>
                <w:szCs w:val="24"/>
                <w:highlight w:val="none"/>
              </w:rPr>
              <w:t>投标人、项目负责人有信用等级得分的，投标文件中提供信用等级网页查询截图。</w:t>
            </w:r>
          </w:p>
          <w:p w14:paraId="70DB83AE">
            <w:pPr>
              <w:pStyle w:val="4"/>
              <w:keepNext w:val="0"/>
              <w:keepLines w:val="0"/>
              <w:pageBreakBefore w:val="0"/>
              <w:widowControl w:val="0"/>
              <w:numPr>
                <w:ilvl w:val="0"/>
                <w:numId w:val="8"/>
              </w:numPr>
              <w:kinsoku/>
              <w:wordWrap/>
              <w:overflowPunct/>
              <w:topLinePunct w:val="0"/>
              <w:autoSpaceDE w:val="0"/>
              <w:autoSpaceDN w:val="0"/>
              <w:bidi w:val="0"/>
              <w:adjustRightInd w:val="0"/>
              <w:snapToGrid/>
              <w:spacing w:line="440" w:lineRule="exact"/>
              <w:ind w:left="425" w:leftChars="0" w:hanging="425" w:firstLineChars="0"/>
              <w:jc w:val="both"/>
              <w:textAlignment w:val="auto"/>
              <w:rPr>
                <w:rFonts w:hint="eastAsia" w:ascii="宋体" w:hAnsi="宋体" w:eastAsia="宋体" w:cs="宋体"/>
                <w:b/>
                <w:bCs/>
                <w:snapToGrid w:val="0"/>
                <w:sz w:val="24"/>
                <w:szCs w:val="24"/>
                <w:highlight w:val="none"/>
              </w:rPr>
            </w:pPr>
            <w:r>
              <w:rPr>
                <w:rFonts w:hint="eastAsia" w:ascii="宋体" w:hAnsi="宋体" w:cs="宋体"/>
                <w:b/>
                <w:bCs/>
                <w:snapToGrid w:val="0"/>
                <w:sz w:val="24"/>
                <w:szCs w:val="24"/>
                <w:highlight w:val="none"/>
                <w:lang w:val="en-US" w:eastAsia="zh-CN"/>
              </w:rPr>
              <w:t>技术</w:t>
            </w:r>
            <w:r>
              <w:rPr>
                <w:rFonts w:hint="eastAsia" w:ascii="宋体" w:hAnsi="宋体" w:eastAsia="宋体" w:cs="宋体"/>
                <w:b/>
                <w:bCs/>
                <w:snapToGrid w:val="0"/>
                <w:sz w:val="24"/>
                <w:szCs w:val="24"/>
                <w:highlight w:val="none"/>
              </w:rPr>
              <w:t>标</w:t>
            </w:r>
          </w:p>
          <w:p w14:paraId="04374B05">
            <w:pPr>
              <w:pStyle w:val="4"/>
              <w:keepNext w:val="0"/>
              <w:keepLines w:val="0"/>
              <w:pageBreakBefore w:val="0"/>
              <w:widowControl w:val="0"/>
              <w:kinsoku/>
              <w:wordWrap/>
              <w:overflowPunct/>
              <w:topLinePunct w:val="0"/>
              <w:autoSpaceDE w:val="0"/>
              <w:autoSpaceDN w:val="0"/>
              <w:bidi w:val="0"/>
              <w:adjustRightInd w:val="0"/>
              <w:snapToGrid/>
              <w:spacing w:line="440" w:lineRule="exact"/>
              <w:ind w:firstLine="480"/>
              <w:jc w:val="both"/>
              <w:textAlignment w:val="auto"/>
              <w:rPr>
                <w:rFonts w:hint="eastAsia" w:ascii="宋体" w:hAnsi="宋体" w:eastAsia="宋体" w:cs="宋体"/>
                <w:b/>
                <w:bCs/>
                <w:snapToGrid w:val="0"/>
                <w:sz w:val="24"/>
                <w:szCs w:val="24"/>
                <w:highlight w:val="none"/>
              </w:rPr>
            </w:pPr>
            <w:r>
              <w:rPr>
                <w:spacing w:val="-1"/>
              </w:rPr>
              <w:t>（</w:t>
            </w:r>
            <w:r>
              <w:rPr>
                <w:rFonts w:ascii="Times New Roman" w:hAnsi="Times New Roman" w:eastAsia="Times New Roman" w:cs="Times New Roman"/>
                <w:spacing w:val="-1"/>
              </w:rPr>
              <w:t>1</w:t>
            </w:r>
            <w:r>
              <w:rPr>
                <w:spacing w:val="-1"/>
              </w:rPr>
              <w:t>）</w:t>
            </w:r>
            <w:r>
              <w:rPr>
                <w:rFonts w:hint="eastAsia" w:ascii="宋体" w:hAnsi="宋体" w:eastAsia="宋体" w:cs="宋体"/>
                <w:sz w:val="24"/>
                <w:szCs w:val="24"/>
                <w:highlight w:val="none"/>
              </w:rPr>
              <w:t>由三门投</w:t>
            </w:r>
            <w:r>
              <w:rPr>
                <w:rFonts w:hint="eastAsia" w:ascii="宋体" w:hAnsi="宋体" w:eastAsia="宋体" w:cs="宋体"/>
                <w:color w:val="auto"/>
                <w:sz w:val="24"/>
                <w:szCs w:val="24"/>
                <w:highlight w:val="none"/>
              </w:rPr>
              <w:t>标编制4.0.2.8版本生成的</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rPr>
              <w:t>标电子投标文件。</w:t>
            </w:r>
            <w:r>
              <w:rPr>
                <w:color w:val="auto"/>
                <w:spacing w:val="-1"/>
              </w:rPr>
              <w:t>（投标人根据招标文件评标办法内容自行编制</w:t>
            </w:r>
            <w:r>
              <w:rPr>
                <w:color w:val="auto"/>
                <w:spacing w:val="6"/>
              </w:rPr>
              <w:t>）</w:t>
            </w:r>
            <w:r>
              <w:rPr>
                <w:rFonts w:hint="eastAsia"/>
                <w:color w:val="auto"/>
                <w:spacing w:val="6"/>
                <w:lang w:eastAsia="zh-CN"/>
              </w:rPr>
              <w:t>，</w:t>
            </w:r>
            <w:r>
              <w:rPr>
                <w:color w:val="auto"/>
                <w:spacing w:val="-1"/>
              </w:rPr>
              <w:t>其中《危大工程清单及安全管理措施表》（投标文件格式十，由投标人自行添加到技术文件中）。</w:t>
            </w:r>
          </w:p>
          <w:p w14:paraId="19D37394">
            <w:pPr>
              <w:pStyle w:val="4"/>
              <w:keepNext w:val="0"/>
              <w:keepLines w:val="0"/>
              <w:pageBreakBefore w:val="0"/>
              <w:widowControl w:val="0"/>
              <w:numPr>
                <w:ilvl w:val="0"/>
                <w:numId w:val="8"/>
              </w:numPr>
              <w:kinsoku/>
              <w:wordWrap/>
              <w:overflowPunct/>
              <w:topLinePunct w:val="0"/>
              <w:autoSpaceDE w:val="0"/>
              <w:autoSpaceDN w:val="0"/>
              <w:bidi w:val="0"/>
              <w:adjustRightInd w:val="0"/>
              <w:snapToGrid/>
              <w:spacing w:line="440" w:lineRule="exact"/>
              <w:ind w:left="425" w:leftChars="0" w:hanging="425" w:firstLineChars="0"/>
              <w:jc w:val="both"/>
              <w:textAlignment w:val="auto"/>
              <w:rPr>
                <w:rFonts w:hint="eastAsia" w:ascii="宋体" w:hAnsi="宋体" w:eastAsia="宋体" w:cs="宋体"/>
                <w:b/>
                <w:bCs/>
                <w:snapToGrid w:val="0"/>
                <w:sz w:val="24"/>
                <w:szCs w:val="24"/>
                <w:highlight w:val="none"/>
              </w:rPr>
            </w:pPr>
            <w:r>
              <w:rPr>
                <w:rFonts w:hint="eastAsia" w:ascii="宋体" w:hAnsi="宋体" w:cs="宋体"/>
                <w:b/>
                <w:bCs/>
                <w:snapToGrid w:val="0"/>
                <w:sz w:val="24"/>
                <w:szCs w:val="24"/>
                <w:highlight w:val="none"/>
                <w:lang w:val="en-US" w:eastAsia="zh-CN"/>
              </w:rPr>
              <w:t>商务标</w:t>
            </w:r>
          </w:p>
          <w:p w14:paraId="6A8FB6D3">
            <w:pPr>
              <w:pStyle w:val="4"/>
              <w:keepNext w:val="0"/>
              <w:keepLines w:val="0"/>
              <w:pageBreakBefore w:val="0"/>
              <w:widowControl w:val="0"/>
              <w:kinsoku/>
              <w:wordWrap/>
              <w:overflowPunct/>
              <w:topLinePunct w:val="0"/>
              <w:autoSpaceDE w:val="0"/>
              <w:autoSpaceDN w:val="0"/>
              <w:bidi w:val="0"/>
              <w:adjustRightInd w:val="0"/>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由三门投标编制4.0.2.8版本生成的商务标电子投标文件。</w:t>
            </w:r>
          </w:p>
          <w:p w14:paraId="56CB1EEE">
            <w:pPr>
              <w:rPr>
                <w:rFonts w:hint="eastAsia" w:ascii="宋体" w:hAnsi="宋体" w:eastAsia="宋体" w:cs="宋体"/>
                <w:sz w:val="24"/>
                <w:szCs w:val="24"/>
                <w:highlight w:val="none"/>
              </w:rPr>
            </w:pPr>
            <w:r>
              <w:rPr>
                <w:rFonts w:hint="eastAsia" w:ascii="宋体" w:hAnsi="宋体" w:eastAsia="宋体" w:cs="宋体"/>
                <w:b/>
                <w:bCs/>
                <w:snapToGrid w:val="0"/>
                <w:sz w:val="24"/>
                <w:szCs w:val="24"/>
                <w:highlight w:val="none"/>
                <w:lang w:val="en-US" w:eastAsia="zh-CN" w:bidi="ar-SA"/>
              </w:rPr>
              <w:t>注：资料不全（模糊不清者视为不全），资格审查不予通过。资格审查未通过，无资格进入下阶段评审。</w:t>
            </w:r>
          </w:p>
        </w:tc>
      </w:tr>
      <w:tr w14:paraId="6491B549">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40E5E9D">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3.2.1</w:t>
            </w:r>
          </w:p>
        </w:tc>
        <w:tc>
          <w:tcPr>
            <w:tcW w:w="1697" w:type="dxa"/>
            <w:tcBorders>
              <w:top w:val="single" w:color="000000" w:sz="4" w:space="0"/>
              <w:left w:val="single" w:color="000000" w:sz="4" w:space="0"/>
              <w:bottom w:val="single" w:color="000000" w:sz="4" w:space="0"/>
              <w:right w:val="single" w:color="000000" w:sz="4" w:space="0"/>
            </w:tcBorders>
            <w:vAlign w:val="center"/>
          </w:tcPr>
          <w:p w14:paraId="31037FAC">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增值税税金的计算方法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36B0796D">
            <w:pPr>
              <w:keepNext w:val="0"/>
              <w:keepLines w:val="0"/>
              <w:pageBreakBefore w:val="0"/>
              <w:wordWrap/>
              <w:topLinePunct w:val="0"/>
              <w:bidi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一般计税法</w:t>
            </w:r>
          </w:p>
        </w:tc>
      </w:tr>
      <w:tr w14:paraId="48C7E3C6">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95F0FED">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3.2.3</w:t>
            </w:r>
          </w:p>
        </w:tc>
        <w:tc>
          <w:tcPr>
            <w:tcW w:w="1697" w:type="dxa"/>
            <w:tcBorders>
              <w:top w:val="single" w:color="000000" w:sz="4" w:space="0"/>
              <w:left w:val="single" w:color="000000" w:sz="4" w:space="0"/>
              <w:bottom w:val="single" w:color="000000" w:sz="4" w:space="0"/>
              <w:right w:val="single" w:color="000000" w:sz="4" w:space="0"/>
            </w:tcBorders>
            <w:vAlign w:val="center"/>
          </w:tcPr>
          <w:p w14:paraId="0730F72F">
            <w:pPr>
              <w:pStyle w:val="32"/>
              <w:keepNext w:val="0"/>
              <w:keepLines w:val="0"/>
              <w:pageBreakBefore w:val="0"/>
              <w:kinsoku w:val="0"/>
              <w:wordWrap/>
              <w:topLinePunct w:val="0"/>
              <w:bidi w:val="0"/>
              <w:snapToGrid/>
              <w:spacing w:line="440" w:lineRule="exact"/>
              <w:ind w:right="1"/>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工程量清单计价方式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2B59C925">
            <w:pPr>
              <w:keepNext w:val="0"/>
              <w:keepLines w:val="0"/>
              <w:pageBreakBefore w:val="0"/>
              <w:wordWrap/>
              <w:topLinePunct w:val="0"/>
              <w:bidi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综合单价法</w:t>
            </w:r>
          </w:p>
        </w:tc>
      </w:tr>
      <w:tr w14:paraId="3CE29F3E">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3A0D0E7">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3.2.4</w:t>
            </w:r>
          </w:p>
        </w:tc>
        <w:tc>
          <w:tcPr>
            <w:tcW w:w="1697" w:type="dxa"/>
            <w:tcBorders>
              <w:top w:val="single" w:color="000000" w:sz="4" w:space="0"/>
              <w:left w:val="single" w:color="000000" w:sz="4" w:space="0"/>
              <w:bottom w:val="single" w:color="000000" w:sz="4" w:space="0"/>
              <w:right w:val="single" w:color="000000" w:sz="4" w:space="0"/>
            </w:tcBorders>
            <w:vAlign w:val="center"/>
          </w:tcPr>
          <w:p w14:paraId="7B4DD6B6">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最高投标限价</w:t>
            </w:r>
          </w:p>
        </w:tc>
        <w:tc>
          <w:tcPr>
            <w:tcW w:w="6999" w:type="dxa"/>
            <w:tcBorders>
              <w:top w:val="single" w:color="000000" w:sz="4" w:space="0"/>
              <w:left w:val="single" w:color="000000" w:sz="4" w:space="0"/>
              <w:bottom w:val="single" w:color="000000" w:sz="4" w:space="0"/>
              <w:right w:val="single" w:color="000000" w:sz="4" w:space="0"/>
            </w:tcBorders>
            <w:vAlign w:val="center"/>
          </w:tcPr>
          <w:p w14:paraId="2F87B440">
            <w:pPr>
              <w:pStyle w:val="32"/>
              <w:keepNext w:val="0"/>
              <w:keepLines w:val="0"/>
              <w:pageBreakBefore w:val="0"/>
              <w:kinsoku w:val="0"/>
              <w:wordWrap/>
              <w:overflowPunct w:val="0"/>
              <w:topLinePunct w:val="0"/>
              <w:bidi w:val="0"/>
              <w:adjustRightInd/>
              <w:snapToGrid/>
              <w:spacing w:line="440" w:lineRule="exact"/>
              <w:ind w:left="0" w:right="0" w:rightChars="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本次预算审核价为人民币：</w:t>
            </w:r>
            <w:r>
              <w:rPr>
                <w:rFonts w:hint="eastAsia" w:ascii="宋体" w:hAnsi="宋体" w:cs="宋体"/>
                <w:b/>
                <w:color w:val="auto"/>
                <w:sz w:val="24"/>
                <w:szCs w:val="24"/>
                <w:highlight w:val="none"/>
                <w:u w:val="single"/>
                <w:lang w:eastAsia="zh-CN"/>
              </w:rPr>
              <w:t>47466251</w:t>
            </w:r>
            <w:r>
              <w:rPr>
                <w:rFonts w:hint="eastAsia" w:ascii="宋体" w:hAnsi="宋体" w:eastAsia="宋体" w:cs="宋体"/>
                <w:b/>
                <w:color w:val="auto"/>
                <w:sz w:val="24"/>
                <w:szCs w:val="24"/>
                <w:highlight w:val="none"/>
                <w:u w:val="single"/>
              </w:rPr>
              <w:t>元</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lang w:val="en-US" w:eastAsia="zh-CN"/>
              </w:rPr>
              <w:t>其中暂估价为</w:t>
            </w:r>
            <w:r>
              <w:rPr>
                <w:rFonts w:hint="eastAsia" w:ascii="宋体" w:hAnsi="宋体" w:cs="宋体"/>
                <w:b/>
                <w:color w:val="auto"/>
                <w:sz w:val="24"/>
                <w:szCs w:val="24"/>
                <w:highlight w:val="none"/>
                <w:u w:val="single"/>
                <w:lang w:val="en-US" w:eastAsia="zh-CN"/>
              </w:rPr>
              <w:t>470000</w:t>
            </w:r>
            <w:r>
              <w:rPr>
                <w:rFonts w:hint="eastAsia" w:ascii="宋体" w:hAnsi="宋体" w:eastAsia="宋体" w:cs="宋体"/>
                <w:b/>
                <w:color w:val="auto"/>
                <w:sz w:val="24"/>
                <w:szCs w:val="24"/>
                <w:highlight w:val="none"/>
                <w:u w:val="single"/>
                <w:lang w:val="en-US" w:eastAsia="zh-CN"/>
              </w:rPr>
              <w:t>元）</w:t>
            </w:r>
          </w:p>
          <w:p w14:paraId="58A9ADD3">
            <w:pPr>
              <w:keepNext w:val="0"/>
              <w:keepLines w:val="0"/>
              <w:pageBreakBefore w:val="0"/>
              <w:wordWrap/>
              <w:topLinePunct w:val="0"/>
              <w:bidi w:val="0"/>
              <w:snapToGrid/>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pacing w:val="-1"/>
                <w:sz w:val="24"/>
                <w:szCs w:val="24"/>
                <w:highlight w:val="none"/>
              </w:rPr>
              <w:t>最高投标限价为人民币：</w:t>
            </w:r>
            <w:r>
              <w:rPr>
                <w:rFonts w:hint="eastAsia" w:ascii="宋体" w:hAnsi="宋体" w:cs="宋体"/>
                <w:b/>
                <w:color w:val="auto"/>
                <w:kern w:val="0"/>
                <w:sz w:val="24"/>
                <w:szCs w:val="24"/>
                <w:highlight w:val="none"/>
                <w:u w:val="single"/>
                <w:lang w:val="en-US" w:eastAsia="zh-CN"/>
              </w:rPr>
              <w:t>40886776</w:t>
            </w:r>
            <w:r>
              <w:rPr>
                <w:rFonts w:hint="eastAsia" w:ascii="宋体" w:hAnsi="宋体" w:eastAsia="宋体" w:cs="宋体"/>
                <w:b/>
                <w:color w:val="auto"/>
                <w:kern w:val="0"/>
                <w:sz w:val="24"/>
                <w:szCs w:val="24"/>
                <w:highlight w:val="none"/>
                <w:u w:val="single"/>
              </w:rPr>
              <w:t>元</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eastAsia="zh-CN"/>
              </w:rPr>
              <w:t>（</w:t>
            </w:r>
            <w:r>
              <w:rPr>
                <w:rFonts w:hint="eastAsia" w:ascii="宋体" w:hAnsi="宋体" w:cs="宋体"/>
                <w:b/>
                <w:color w:val="auto"/>
                <w:kern w:val="0"/>
                <w:sz w:val="24"/>
                <w:szCs w:val="24"/>
                <w:highlight w:val="none"/>
                <w:lang w:eastAsia="zh-CN"/>
              </w:rPr>
              <w:t>47466251</w:t>
            </w:r>
            <w:r>
              <w:rPr>
                <w:rFonts w:hint="eastAsia" w:ascii="宋体" w:hAnsi="宋体" w:eastAsia="宋体" w:cs="宋体"/>
                <w:b/>
                <w:color w:val="auto"/>
                <w:kern w:val="0"/>
                <w:sz w:val="24"/>
                <w:szCs w:val="24"/>
                <w:highlight w:val="none"/>
                <w:lang w:val="en-US" w:eastAsia="zh-CN"/>
              </w:rPr>
              <w:t>-</w:t>
            </w:r>
            <w:r>
              <w:rPr>
                <w:rFonts w:hint="eastAsia" w:ascii="宋体" w:hAnsi="宋体" w:cs="宋体"/>
                <w:b/>
                <w:color w:val="auto"/>
                <w:kern w:val="0"/>
                <w:sz w:val="24"/>
                <w:szCs w:val="24"/>
                <w:highlight w:val="none"/>
                <w:lang w:val="en-US" w:eastAsia="zh-CN"/>
              </w:rPr>
              <w:t>470000</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eastAsia="zh-CN"/>
              </w:rPr>
              <w:t>*8</w:t>
            </w:r>
            <w:r>
              <w:rPr>
                <w:rFonts w:hint="eastAsia" w:ascii="宋体" w:hAnsi="宋体" w:cs="宋体"/>
                <w:b/>
                <w:color w:val="auto"/>
                <w:kern w:val="0"/>
                <w:sz w:val="24"/>
                <w:szCs w:val="24"/>
                <w:highlight w:val="none"/>
                <w:lang w:val="en-US" w:eastAsia="zh-CN"/>
              </w:rPr>
              <w:t>6</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w:t>
            </w:r>
            <w:r>
              <w:rPr>
                <w:rFonts w:hint="eastAsia" w:ascii="宋体" w:hAnsi="宋体" w:cs="宋体"/>
                <w:b/>
                <w:color w:val="auto"/>
                <w:kern w:val="0"/>
                <w:sz w:val="24"/>
                <w:szCs w:val="24"/>
                <w:highlight w:val="none"/>
                <w:lang w:val="en-US" w:eastAsia="zh-CN"/>
              </w:rPr>
              <w:t>470000</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bCs/>
                <w:color w:val="auto"/>
                <w:sz w:val="24"/>
                <w:szCs w:val="24"/>
                <w:highlight w:val="none"/>
              </w:rPr>
              <w:t>，投</w:t>
            </w:r>
            <w:r>
              <w:rPr>
                <w:rFonts w:hint="eastAsia" w:ascii="宋体" w:hAnsi="宋体" w:eastAsia="宋体" w:cs="宋体"/>
                <w:b/>
                <w:bCs/>
                <w:color w:val="auto"/>
                <w:spacing w:val="-2"/>
                <w:sz w:val="24"/>
                <w:szCs w:val="24"/>
                <w:highlight w:val="none"/>
              </w:rPr>
              <w:t>标报价高于最高投标限价的作无效标处理。</w:t>
            </w:r>
          </w:p>
        </w:tc>
      </w:tr>
      <w:tr w14:paraId="3F8CAEC8">
        <w:tblPrEx>
          <w:tblCellMar>
            <w:top w:w="0" w:type="dxa"/>
            <w:left w:w="57" w:type="dxa"/>
            <w:bottom w:w="0" w:type="dxa"/>
            <w:right w:w="57" w:type="dxa"/>
          </w:tblCellMar>
        </w:tblPrEx>
        <w:trPr>
          <w:trHeight w:val="651"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DAD17C6">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3.2.5</w:t>
            </w:r>
          </w:p>
        </w:tc>
        <w:tc>
          <w:tcPr>
            <w:tcW w:w="1697" w:type="dxa"/>
            <w:tcBorders>
              <w:top w:val="single" w:color="000000" w:sz="4" w:space="0"/>
              <w:left w:val="single" w:color="000000" w:sz="4" w:space="0"/>
              <w:bottom w:val="single" w:color="000000" w:sz="4" w:space="0"/>
              <w:right w:val="single" w:color="000000" w:sz="4" w:space="0"/>
            </w:tcBorders>
            <w:vAlign w:val="center"/>
          </w:tcPr>
          <w:p w14:paraId="25DEA79E">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投标报价的</w:t>
            </w:r>
          </w:p>
          <w:p w14:paraId="5742BD6C">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5BB723E0">
            <w:pPr>
              <w:keepNext w:val="0"/>
              <w:keepLines w:val="0"/>
              <w:pageBreakBefore w:val="0"/>
              <w:wordWrap/>
              <w:topLinePunct w:val="0"/>
              <w:bidi w:val="0"/>
              <w:snapToGrid/>
              <w:spacing w:line="44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tc>
      </w:tr>
      <w:tr w14:paraId="026B8A23">
        <w:tblPrEx>
          <w:tblCellMar>
            <w:top w:w="0" w:type="dxa"/>
            <w:left w:w="57" w:type="dxa"/>
            <w:bottom w:w="0" w:type="dxa"/>
            <w:right w:w="57" w:type="dxa"/>
          </w:tblCellMar>
        </w:tblPrEx>
        <w:trPr>
          <w:trHeight w:val="375" w:hRule="atLeast"/>
          <w:jc w:val="center"/>
        </w:trPr>
        <w:tc>
          <w:tcPr>
            <w:tcW w:w="1305" w:type="dxa"/>
            <w:tcBorders>
              <w:top w:val="single" w:color="000000" w:sz="4" w:space="0"/>
              <w:left w:val="single" w:color="000000" w:sz="4" w:space="0"/>
              <w:bottom w:val="single" w:color="000000" w:sz="4" w:space="0"/>
              <w:right w:val="single" w:color="000000" w:sz="4" w:space="0"/>
            </w:tcBorders>
          </w:tcPr>
          <w:p w14:paraId="6F575603">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3.3.1</w:t>
            </w:r>
          </w:p>
        </w:tc>
        <w:tc>
          <w:tcPr>
            <w:tcW w:w="1697" w:type="dxa"/>
            <w:tcBorders>
              <w:top w:val="single" w:color="000000" w:sz="4" w:space="0"/>
              <w:left w:val="single" w:color="000000" w:sz="4" w:space="0"/>
              <w:bottom w:val="single" w:color="000000" w:sz="4" w:space="0"/>
              <w:right w:val="single" w:color="000000" w:sz="4" w:space="0"/>
            </w:tcBorders>
            <w:vAlign w:val="center"/>
          </w:tcPr>
          <w:p w14:paraId="4071AF0B">
            <w:pPr>
              <w:pStyle w:val="32"/>
              <w:keepNext w:val="0"/>
              <w:keepLines w:val="0"/>
              <w:pageBreakBefore w:val="0"/>
              <w:kinsoku w:val="0"/>
              <w:wordWrap/>
              <w:topLinePunct w:val="0"/>
              <w:bidi w:val="0"/>
              <w:snapToGrid/>
              <w:spacing w:line="440" w:lineRule="exact"/>
              <w:ind w:right="1"/>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6999" w:type="dxa"/>
            <w:tcBorders>
              <w:top w:val="single" w:color="000000" w:sz="4" w:space="0"/>
              <w:left w:val="single" w:color="000000" w:sz="4" w:space="0"/>
              <w:bottom w:val="single" w:color="000000" w:sz="4" w:space="0"/>
              <w:right w:val="single" w:color="000000" w:sz="4" w:space="0"/>
            </w:tcBorders>
            <w:vAlign w:val="center"/>
          </w:tcPr>
          <w:p w14:paraId="6D4703D3">
            <w:pPr>
              <w:keepNext w:val="0"/>
              <w:keepLines w:val="0"/>
              <w:pageBreakBefore w:val="0"/>
              <w:wordWrap/>
              <w:topLinePunct w:val="0"/>
              <w:bidi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90  </w:t>
            </w:r>
            <w:r>
              <w:rPr>
                <w:rFonts w:hint="eastAsia" w:ascii="宋体" w:hAnsi="宋体" w:eastAsia="宋体" w:cs="宋体"/>
                <w:sz w:val="24"/>
                <w:szCs w:val="24"/>
                <w:highlight w:val="none"/>
              </w:rPr>
              <w:t>个日历天（从投标截止之日起算）。</w:t>
            </w:r>
          </w:p>
        </w:tc>
      </w:tr>
      <w:tr w14:paraId="7BFD5C0F">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ACD6B27">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3.4.1</w:t>
            </w:r>
          </w:p>
        </w:tc>
        <w:tc>
          <w:tcPr>
            <w:tcW w:w="1697" w:type="dxa"/>
            <w:tcBorders>
              <w:top w:val="single" w:color="000000" w:sz="4" w:space="0"/>
              <w:left w:val="single" w:color="000000" w:sz="4" w:space="0"/>
              <w:bottom w:val="single" w:color="000000" w:sz="4" w:space="0"/>
              <w:right w:val="single" w:color="000000" w:sz="4" w:space="0"/>
            </w:tcBorders>
            <w:vAlign w:val="center"/>
          </w:tcPr>
          <w:p w14:paraId="0BB0035F">
            <w:pPr>
              <w:pStyle w:val="32"/>
              <w:keepNext w:val="0"/>
              <w:keepLines w:val="0"/>
              <w:pageBreakBefore w:val="0"/>
              <w:kinsoku w:val="0"/>
              <w:wordWrap/>
              <w:topLinePunct w:val="0"/>
              <w:bidi w:val="0"/>
              <w:snapToGrid/>
              <w:spacing w:line="440" w:lineRule="exact"/>
              <w:ind w:right="1"/>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6999" w:type="dxa"/>
            <w:tcBorders>
              <w:top w:val="single" w:color="000000" w:sz="4" w:space="0"/>
              <w:left w:val="single" w:color="000000" w:sz="4" w:space="0"/>
              <w:bottom w:val="single" w:color="000000" w:sz="4" w:space="0"/>
              <w:right w:val="single" w:color="000000" w:sz="4" w:space="0"/>
            </w:tcBorders>
            <w:vAlign w:val="center"/>
          </w:tcPr>
          <w:p w14:paraId="252BA2E3">
            <w:pPr>
              <w:keepNext w:val="0"/>
              <w:keepLines w:val="0"/>
              <w:pageBreakBefore w:val="0"/>
              <w:wordWrap/>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sym w:font="Wingdings" w:char="00FE"/>
            </w:r>
            <w:r>
              <w:rPr>
                <w:rFonts w:hint="eastAsia" w:ascii="宋体" w:hAnsi="宋体" w:eastAsia="宋体" w:cs="宋体"/>
                <w:b/>
                <w:bCs/>
                <w:sz w:val="24"/>
                <w:szCs w:val="24"/>
                <w:highlight w:val="none"/>
              </w:rPr>
              <w:t>要求递交投标保证金。</w:t>
            </w:r>
          </w:p>
          <w:p w14:paraId="3A7D5235">
            <w:pPr>
              <w:keepNext w:val="0"/>
              <w:keepLines w:val="0"/>
              <w:pageBreakBefore w:val="0"/>
              <w:numPr>
                <w:ilvl w:val="0"/>
                <w:numId w:val="12"/>
              </w:numPr>
              <w:wordWrap/>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担保金</w:t>
            </w:r>
            <w:r>
              <w:rPr>
                <w:rFonts w:hint="eastAsia" w:ascii="宋体" w:hAnsi="宋体" w:eastAsia="宋体" w:cs="宋体"/>
                <w:b/>
                <w:bCs/>
                <w:color w:val="auto"/>
                <w:sz w:val="24"/>
                <w:szCs w:val="24"/>
                <w:highlight w:val="none"/>
              </w:rPr>
              <w:t>额：</w:t>
            </w:r>
            <w:r>
              <w:rPr>
                <w:rFonts w:hint="eastAsia" w:ascii="宋体" w:hAnsi="宋体" w:eastAsia="宋体" w:cs="宋体"/>
                <w:b/>
                <w:bCs/>
                <w:color w:val="auto"/>
                <w:sz w:val="24"/>
                <w:szCs w:val="24"/>
                <w:highlight w:val="none"/>
                <w:lang w:eastAsia="zh-CN"/>
              </w:rPr>
              <w:t>人民币</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45</w:t>
            </w:r>
            <w:r>
              <w:rPr>
                <w:rFonts w:hint="eastAsia" w:ascii="宋体" w:hAnsi="宋体" w:eastAsia="宋体" w:cs="宋体"/>
                <w:b/>
                <w:bCs/>
                <w:color w:val="auto"/>
                <w:sz w:val="24"/>
                <w:szCs w:val="24"/>
                <w:highlight w:val="none"/>
              </w:rPr>
              <w:t>万元</w:t>
            </w:r>
          </w:p>
          <w:p w14:paraId="47C8029F">
            <w:pPr>
              <w:keepNext w:val="0"/>
              <w:keepLines w:val="0"/>
              <w:pageBreakBefore w:val="0"/>
              <w:numPr>
                <w:ilvl w:val="0"/>
                <w:numId w:val="12"/>
              </w:numPr>
              <w:wordWrap/>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投标保证金缴纳方式（任选一种）：现金、银行保函、保险机构保证保险保单、融资担保公司保函。</w:t>
            </w:r>
          </w:p>
          <w:p w14:paraId="1088309C">
            <w:pPr>
              <w:keepNext w:val="0"/>
              <w:keepLines w:val="0"/>
              <w:pageBreakBefore w:val="0"/>
              <w:numPr>
                <w:ilvl w:val="0"/>
                <w:numId w:val="13"/>
              </w:numPr>
              <w:wordWrap/>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现金</w:t>
            </w:r>
          </w:p>
          <w:p w14:paraId="6E5B98AF">
            <w:pPr>
              <w:keepNext w:val="0"/>
              <w:keepLines w:val="0"/>
              <w:pageBreakBefore w:val="0"/>
              <w:numPr>
                <w:ilvl w:val="0"/>
                <w:numId w:val="14"/>
              </w:numPr>
              <w:wordWrap/>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2DF5F850">
            <w:pPr>
              <w:keepNext w:val="0"/>
              <w:keepLines w:val="0"/>
              <w:pageBreakBefore w:val="0"/>
              <w:numPr>
                <w:ilvl w:val="0"/>
                <w:numId w:val="14"/>
              </w:numPr>
              <w:wordWrap/>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投标保证金应在投标截止时间前到交易中心账户。</w:t>
            </w:r>
          </w:p>
          <w:p w14:paraId="21D85398">
            <w:pPr>
              <w:keepNext w:val="0"/>
              <w:keepLines w:val="0"/>
              <w:pageBreakBefore w:val="0"/>
              <w:numPr>
                <w:ilvl w:val="0"/>
                <w:numId w:val="13"/>
              </w:numPr>
              <w:wordWrap/>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银行保函、保险机构保证保险保单、融资担保公司保函（以下合称“工程保函”）</w:t>
            </w:r>
          </w:p>
          <w:p w14:paraId="32A213F6">
            <w:pPr>
              <w:keepNext w:val="0"/>
              <w:keepLines w:val="0"/>
              <w:pageBreakBefore w:val="0"/>
              <w:numPr>
                <w:ilvl w:val="0"/>
                <w:numId w:val="15"/>
              </w:numPr>
              <w:wordWrap/>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工程保函的受益人</w:t>
            </w:r>
            <w:r>
              <w:rPr>
                <w:rFonts w:hint="eastAsia" w:ascii="宋体" w:hAnsi="宋体" w:eastAsia="宋体" w:cs="宋体"/>
                <w:kern w:val="2"/>
                <w:sz w:val="24"/>
                <w:szCs w:val="24"/>
                <w:highlight w:val="none"/>
              </w:rPr>
              <w:t>：</w:t>
            </w:r>
            <w:r>
              <w:rPr>
                <w:rFonts w:hint="eastAsia" w:ascii="宋体" w:hAnsi="宋体" w:cs="宋体"/>
                <w:sz w:val="24"/>
                <w:szCs w:val="24"/>
                <w:highlight w:val="none"/>
                <w:u w:val="single"/>
                <w:lang w:eastAsia="zh-CN"/>
              </w:rPr>
              <w:t>浙江三门经济开发区管理委员会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（招标人名称）；</w:t>
            </w:r>
          </w:p>
          <w:p w14:paraId="56B834F9">
            <w:pPr>
              <w:keepNext w:val="0"/>
              <w:keepLines w:val="0"/>
              <w:pageBreakBefore w:val="0"/>
              <w:numPr>
                <w:ilvl w:val="0"/>
                <w:numId w:val="15"/>
              </w:numPr>
              <w:wordWrap/>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工程保函的有效期为1年</w:t>
            </w:r>
            <w:r>
              <w:rPr>
                <w:rFonts w:hint="eastAsia" w:ascii="宋体" w:hAnsi="宋体" w:eastAsia="宋体" w:cs="宋体"/>
                <w:sz w:val="24"/>
                <w:szCs w:val="24"/>
                <w:highlight w:val="none"/>
              </w:rPr>
              <w:t>；</w:t>
            </w:r>
          </w:p>
          <w:p w14:paraId="3712E183">
            <w:pPr>
              <w:keepNext w:val="0"/>
              <w:keepLines w:val="0"/>
              <w:pageBreakBefore w:val="0"/>
              <w:numPr>
                <w:ilvl w:val="0"/>
                <w:numId w:val="15"/>
              </w:numPr>
              <w:wordWrap/>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递交方式：</w:t>
            </w:r>
          </w:p>
          <w:p w14:paraId="47D552F9">
            <w:pPr>
              <w:keepNext w:val="0"/>
              <w:keepLines w:val="0"/>
              <w:pageBreakBefore w:val="0"/>
              <w:wordWrap/>
              <w:topLinePunct w:val="0"/>
              <w:autoSpaceDE/>
              <w:autoSpaceDN/>
              <w:bidi w:val="0"/>
              <w:adjustRightInd/>
              <w:snapToGrid/>
              <w:spacing w:line="440" w:lineRule="exact"/>
              <w:ind w:firstLine="311" w:firstLineChars="129"/>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递交方式一（电子保函系统）</w:t>
            </w:r>
            <w:r>
              <w:rPr>
                <w:rFonts w:hint="eastAsia" w:ascii="宋体" w:hAnsi="宋体" w:eastAsia="宋体" w:cs="宋体"/>
                <w:sz w:val="24"/>
                <w:szCs w:val="24"/>
                <w:highlight w:val="none"/>
              </w:rPr>
              <w:t>：</w:t>
            </w:r>
          </w:p>
          <w:p w14:paraId="4D6ADC4F">
            <w:pPr>
              <w:keepNext w:val="0"/>
              <w:keepLines w:val="0"/>
              <w:pageBreakBefore w:val="0"/>
              <w:wordWrap/>
              <w:topLinePunct w:val="0"/>
              <w:autoSpaceDE/>
              <w:autoSpaceDN/>
              <w:bidi w:val="0"/>
              <w:adjustRightInd/>
              <w:snapToGrid/>
              <w:spacing w:line="440" w:lineRule="exact"/>
              <w:ind w:firstLine="309" w:firstLineChars="12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通过三门县建设工程项目交易系统在“业务管理—费用管理”栏目选择“电子保函”递交方式，并按系统流程进行操作、申购电子保函。</w:t>
            </w:r>
          </w:p>
          <w:p w14:paraId="3FC7C067">
            <w:pPr>
              <w:keepNext w:val="0"/>
              <w:keepLines w:val="0"/>
              <w:pageBreakBefore w:val="0"/>
              <w:wordWrap/>
              <w:topLinePunct w:val="0"/>
              <w:autoSpaceDE/>
              <w:autoSpaceDN/>
              <w:bidi w:val="0"/>
              <w:adjustRightInd/>
              <w:snapToGrid/>
              <w:spacing w:line="440" w:lineRule="exact"/>
              <w:ind w:firstLine="309" w:firstLineChars="12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08C871FD">
            <w:pPr>
              <w:keepNext w:val="0"/>
              <w:keepLines w:val="0"/>
              <w:pageBreakBefore w:val="0"/>
              <w:wordWrap/>
              <w:topLinePunct w:val="0"/>
              <w:autoSpaceDE/>
              <w:autoSpaceDN/>
              <w:bidi w:val="0"/>
              <w:adjustRightInd/>
              <w:snapToGrid/>
              <w:spacing w:line="440" w:lineRule="exact"/>
              <w:ind w:firstLine="311" w:firstLineChars="129"/>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递交方式二（非电子保函系统）：</w:t>
            </w:r>
          </w:p>
          <w:p w14:paraId="41F1CC67">
            <w:pPr>
              <w:keepNext w:val="0"/>
              <w:keepLines w:val="0"/>
              <w:pageBreakBefore w:val="0"/>
              <w:wordWrap/>
              <w:topLinePunct w:val="0"/>
              <w:autoSpaceDE/>
              <w:autoSpaceDN/>
              <w:bidi w:val="0"/>
              <w:adjustRightInd/>
              <w:snapToGrid/>
              <w:spacing w:line="440" w:lineRule="exact"/>
              <w:ind w:firstLine="309" w:firstLineChars="129"/>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投标人须在投标截止时间前将工程保函纸质原件、基本账户证明材料复印件（加盖公章）、保费支付的银行回单一并按要求递交。</w:t>
            </w:r>
          </w:p>
          <w:p w14:paraId="633080BA">
            <w:pPr>
              <w:keepNext w:val="0"/>
              <w:keepLines w:val="0"/>
              <w:pageBreakBefore w:val="0"/>
              <w:wordWrap/>
              <w:topLinePunct w:val="0"/>
              <w:autoSpaceDE/>
              <w:autoSpaceDN/>
              <w:bidi w:val="0"/>
              <w:adjustRightInd/>
              <w:snapToGrid/>
              <w:spacing w:line="440" w:lineRule="exact"/>
              <w:ind w:firstLine="309" w:firstLineChars="129"/>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递交方式：现场递交；</w:t>
            </w:r>
          </w:p>
          <w:p w14:paraId="3E7701C2">
            <w:pPr>
              <w:keepNext w:val="0"/>
              <w:keepLines w:val="0"/>
              <w:pageBreakBefore w:val="0"/>
              <w:numPr>
                <w:ilvl w:val="0"/>
                <w:numId w:val="16"/>
              </w:numPr>
              <w:wordWrap/>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若是投标人的法定代表人递交工程保函的，应持法定代表人身份证明原件（参考格式见附录1）及身份证原件，否则工程保函不予签收。</w:t>
            </w:r>
          </w:p>
          <w:p w14:paraId="64764927">
            <w:pPr>
              <w:keepNext w:val="0"/>
              <w:keepLines w:val="0"/>
              <w:pageBreakBefore w:val="0"/>
              <w:numPr>
                <w:ilvl w:val="0"/>
                <w:numId w:val="16"/>
              </w:numPr>
              <w:wordWrap/>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若是投标人委托代理人递交工程保函的，应持针对本项目的法定代表人授权委托书原件（参考格式见附录1）及身份证原件，否则工程保函不予签收。</w:t>
            </w:r>
          </w:p>
          <w:p w14:paraId="7A66D28C">
            <w:pPr>
              <w:keepNext w:val="0"/>
              <w:keepLines w:val="0"/>
              <w:pageBreakBefore w:val="0"/>
              <w:numPr>
                <w:ilvl w:val="0"/>
                <w:numId w:val="16"/>
              </w:numPr>
              <w:wordWrap/>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递交工程保函时所要求提供的法定代表人授权委托书或法定代表人身份证明中的人员须与投标文件组成中提供的人员一致，若提供的不一致则以无效标处理。</w:t>
            </w:r>
          </w:p>
          <w:p w14:paraId="253B0FD3">
            <w:pPr>
              <w:keepNext w:val="0"/>
              <w:keepLines w:val="0"/>
              <w:pageBreakBefore w:val="0"/>
              <w:wordWrap/>
              <w:topLinePunct w:val="0"/>
              <w:autoSpaceDE/>
              <w:autoSpaceDN/>
              <w:bidi w:val="0"/>
              <w:adjustRightInd/>
              <w:snapToGrid/>
              <w:spacing w:line="440" w:lineRule="exact"/>
              <w:ind w:firstLine="309" w:firstLineChars="129"/>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递交时间：同投标文件递交截止时间；</w:t>
            </w:r>
          </w:p>
          <w:p w14:paraId="2273699E">
            <w:pPr>
              <w:keepNext w:val="0"/>
              <w:keepLines w:val="0"/>
              <w:pageBreakBefore w:val="0"/>
              <w:wordWrap/>
              <w:topLinePunct w:val="0"/>
              <w:autoSpaceDE/>
              <w:autoSpaceDN/>
              <w:bidi w:val="0"/>
              <w:adjustRightInd/>
              <w:snapToGrid/>
              <w:spacing w:line="440" w:lineRule="exact"/>
              <w:ind w:firstLine="309" w:firstLineChars="129"/>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递交地点：三门县公共资源交易中心交易大厅（一）或（二）；</w:t>
            </w:r>
          </w:p>
          <w:p w14:paraId="79804571">
            <w:pPr>
              <w:keepNext w:val="0"/>
              <w:keepLines w:val="0"/>
              <w:pageBreakBefore w:val="0"/>
              <w:wordWrap/>
              <w:topLinePunct w:val="0"/>
              <w:autoSpaceDE/>
              <w:autoSpaceDN/>
              <w:bidi w:val="0"/>
              <w:adjustRightInd/>
              <w:snapToGrid/>
              <w:spacing w:line="440" w:lineRule="exact"/>
              <w:ind w:firstLine="309" w:firstLineChars="129"/>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接收人：</w:t>
            </w:r>
            <w:r>
              <w:rPr>
                <w:rFonts w:hint="eastAsia" w:ascii="宋体" w:hAnsi="宋体" w:cs="宋体"/>
                <w:b w:val="0"/>
                <w:bCs w:val="0"/>
                <w:sz w:val="24"/>
                <w:szCs w:val="24"/>
                <w:highlight w:val="none"/>
                <w:lang w:eastAsia="zh-CN"/>
              </w:rPr>
              <w:t>浙江衡达工程咨询有限公司</w:t>
            </w:r>
            <w:r>
              <w:rPr>
                <w:rFonts w:hint="eastAsia" w:ascii="宋体" w:hAnsi="宋体" w:eastAsia="宋体" w:cs="宋体"/>
                <w:b w:val="0"/>
                <w:bCs w:val="0"/>
                <w:sz w:val="24"/>
                <w:szCs w:val="24"/>
                <w:highlight w:val="none"/>
              </w:rPr>
              <w:t>；</w:t>
            </w:r>
          </w:p>
          <w:p w14:paraId="730759E4">
            <w:pPr>
              <w:keepNext w:val="0"/>
              <w:keepLines w:val="0"/>
              <w:pageBreakBefore w:val="0"/>
              <w:wordWrap/>
              <w:topLinePunct w:val="0"/>
              <w:autoSpaceDE/>
              <w:autoSpaceDN/>
              <w:bidi w:val="0"/>
              <w:adjustRightInd/>
              <w:snapToGrid/>
              <w:spacing w:line="440" w:lineRule="exact"/>
              <w:ind w:firstLine="309" w:firstLineChars="129"/>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接收人联系方式：</w:t>
            </w:r>
            <w:r>
              <w:rPr>
                <w:rFonts w:hint="eastAsia" w:ascii="宋体" w:hAnsi="宋体" w:cs="宋体"/>
                <w:b w:val="0"/>
                <w:bCs w:val="0"/>
                <w:sz w:val="24"/>
                <w:szCs w:val="24"/>
                <w:highlight w:val="none"/>
                <w:lang w:eastAsia="zh-CN"/>
              </w:rPr>
              <w:t>陈娟娟</w:t>
            </w:r>
            <w:r>
              <w:rPr>
                <w:rFonts w:hint="eastAsia" w:ascii="宋体" w:hAnsi="宋体" w:eastAsia="宋体" w:cs="宋体"/>
                <w:b w:val="0"/>
                <w:bCs w:val="0"/>
                <w:sz w:val="24"/>
                <w:szCs w:val="24"/>
                <w:highlight w:val="none"/>
                <w:lang w:eastAsia="zh-CN"/>
              </w:rPr>
              <w:t xml:space="preserve"> </w:t>
            </w:r>
            <w:r>
              <w:rPr>
                <w:rFonts w:hint="eastAsia" w:ascii="宋体" w:hAnsi="宋体" w:cs="宋体"/>
                <w:b w:val="0"/>
                <w:bCs w:val="0"/>
                <w:sz w:val="24"/>
                <w:szCs w:val="24"/>
                <w:highlight w:val="none"/>
                <w:lang w:val="en-US" w:eastAsia="zh-CN"/>
              </w:rPr>
              <w:t>0576-89300193</w:t>
            </w:r>
            <w:r>
              <w:rPr>
                <w:rFonts w:hint="eastAsia" w:ascii="宋体" w:hAnsi="宋体" w:eastAsia="宋体" w:cs="宋体"/>
                <w:b w:val="0"/>
                <w:bCs w:val="0"/>
                <w:sz w:val="24"/>
                <w:szCs w:val="24"/>
                <w:highlight w:val="none"/>
              </w:rPr>
              <w:t>；</w:t>
            </w:r>
          </w:p>
          <w:p w14:paraId="371AC3C0">
            <w:pPr>
              <w:keepNext w:val="0"/>
              <w:keepLines w:val="0"/>
              <w:pageBreakBefore w:val="0"/>
              <w:wordWrap/>
              <w:topLinePunct w:val="0"/>
              <w:autoSpaceDE/>
              <w:autoSpaceDN/>
              <w:bidi w:val="0"/>
              <w:adjustRightInd/>
              <w:snapToGrid/>
              <w:spacing w:line="440" w:lineRule="exact"/>
              <w:ind w:firstLine="309" w:firstLineChars="129"/>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eastAsia="宋体" w:cs="宋体"/>
                <w:b/>
                <w:bCs/>
                <w:sz w:val="24"/>
                <w:szCs w:val="24"/>
                <w:highlight w:val="none"/>
              </w:rPr>
              <w:t>（工程保函的保险（保证）责任必须包括本招标文件“投标人须知 3.4.4”所列条款。）（温馨提示：请各投标单位仔细核对工程保函的保险责任所列条款。）</w:t>
            </w:r>
          </w:p>
          <w:p w14:paraId="6B92144B">
            <w:pPr>
              <w:keepNext w:val="0"/>
              <w:keepLines w:val="0"/>
              <w:pageBreakBefore w:val="0"/>
              <w:numPr>
                <w:ilvl w:val="0"/>
                <w:numId w:val="12"/>
              </w:numPr>
              <w:wordWrap/>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注意事项</w:t>
            </w:r>
          </w:p>
          <w:p w14:paraId="59F4FE83">
            <w:pPr>
              <w:keepNext w:val="0"/>
              <w:keepLines w:val="0"/>
              <w:pageBreakBefore w:val="0"/>
              <w:numPr>
                <w:ilvl w:val="0"/>
                <w:numId w:val="17"/>
              </w:numPr>
              <w:wordWrap/>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若招标文件允许联合体投标且投标人以联合体身份投标的，由联合体牵头人提交投标保证金；</w:t>
            </w:r>
          </w:p>
          <w:p w14:paraId="254AF124">
            <w:pPr>
              <w:keepNext w:val="0"/>
              <w:keepLines w:val="0"/>
              <w:pageBreakBefore w:val="0"/>
              <w:numPr>
                <w:ilvl w:val="0"/>
                <w:numId w:val="17"/>
              </w:numPr>
              <w:wordWrap/>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投标保证金收款账号根据不同工程（标段）由系统随机生成，此账号只在本工程（标段）中使用有效，请注意核对；</w:t>
            </w:r>
          </w:p>
          <w:p w14:paraId="40CCCE09">
            <w:pPr>
              <w:keepNext w:val="0"/>
              <w:keepLines w:val="0"/>
              <w:pageBreakBefore w:val="0"/>
              <w:numPr>
                <w:ilvl w:val="0"/>
                <w:numId w:val="17"/>
              </w:numPr>
              <w:wordWrap/>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因各银行系统到账时间不同，采用现金方式缴纳投标保证金的，请尽量提前缴纳，以实际到帐时间为准；</w:t>
            </w:r>
          </w:p>
          <w:p w14:paraId="412694BA">
            <w:pPr>
              <w:keepNext w:val="0"/>
              <w:keepLines w:val="0"/>
              <w:pageBreakBefore w:val="0"/>
              <w:numPr>
                <w:ilvl w:val="0"/>
                <w:numId w:val="17"/>
              </w:numPr>
              <w:wordWrap/>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以现金形式提交的投标保证金应当从投标人基本账户转出；</w:t>
            </w:r>
          </w:p>
          <w:p w14:paraId="76756336">
            <w:pPr>
              <w:keepNext w:val="0"/>
              <w:keepLines w:val="0"/>
              <w:pageBreakBefore w:val="0"/>
              <w:numPr>
                <w:ilvl w:val="0"/>
                <w:numId w:val="17"/>
              </w:numPr>
              <w:wordWrap/>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若有疑问，请咨询技术服务热线：13968512856。</w:t>
            </w:r>
          </w:p>
          <w:p w14:paraId="06A11A56">
            <w:pPr>
              <w:keepNext w:val="0"/>
              <w:keepLines w:val="0"/>
              <w:pageBreakBefore w:val="0"/>
              <w:numPr>
                <w:ilvl w:val="0"/>
                <w:numId w:val="17"/>
              </w:numPr>
              <w:wordWrap/>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以上未按要求提供或提供不清晰的，评标委员会可能做出不利于投标人的评审结果，由此造成的风险由投标人自行承担。</w:t>
            </w:r>
          </w:p>
        </w:tc>
      </w:tr>
      <w:tr w14:paraId="0FF0B5DD">
        <w:tblPrEx>
          <w:tblCellMar>
            <w:top w:w="0" w:type="dxa"/>
            <w:left w:w="57" w:type="dxa"/>
            <w:bottom w:w="0" w:type="dxa"/>
            <w:right w:w="57" w:type="dxa"/>
          </w:tblCellMar>
        </w:tblPrEx>
        <w:trPr>
          <w:trHeight w:val="695"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195075E">
            <w:pPr>
              <w:pStyle w:val="32"/>
              <w:keepNext w:val="0"/>
              <w:keepLines w:val="0"/>
              <w:pageBreakBefore w:val="0"/>
              <w:kinsoku w:val="0"/>
              <w:wordWrap/>
              <w:topLinePunct w:val="0"/>
              <w:bidi w:val="0"/>
              <w:snapToGrid/>
              <w:spacing w:line="440" w:lineRule="exact"/>
              <w:ind w:left="103"/>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3.7.3</w:t>
            </w:r>
          </w:p>
          <w:p w14:paraId="5FFFADE7">
            <w:pPr>
              <w:pStyle w:val="32"/>
              <w:keepNext w:val="0"/>
              <w:keepLines w:val="0"/>
              <w:pageBreakBefore w:val="0"/>
              <w:kinsoku w:val="0"/>
              <w:wordWrap/>
              <w:topLinePunct w:val="0"/>
              <w:bidi w:val="0"/>
              <w:snapToGrid/>
              <w:spacing w:line="440" w:lineRule="exact"/>
              <w:ind w:left="103"/>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97" w:type="dxa"/>
            <w:tcBorders>
              <w:top w:val="single" w:color="000000" w:sz="4" w:space="0"/>
              <w:left w:val="single" w:color="000000" w:sz="4" w:space="0"/>
              <w:bottom w:val="single" w:color="000000" w:sz="4" w:space="0"/>
              <w:right w:val="single" w:color="000000" w:sz="4" w:space="0"/>
            </w:tcBorders>
            <w:vAlign w:val="center"/>
          </w:tcPr>
          <w:p w14:paraId="3D45CBF7">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电子投标文件</w:t>
            </w:r>
          </w:p>
          <w:p w14:paraId="688E7391">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盖章要求</w:t>
            </w:r>
          </w:p>
        </w:tc>
        <w:tc>
          <w:tcPr>
            <w:tcW w:w="6999" w:type="dxa"/>
            <w:tcBorders>
              <w:top w:val="single" w:color="000000" w:sz="4" w:space="0"/>
              <w:left w:val="single" w:color="000000" w:sz="4" w:space="0"/>
              <w:bottom w:val="single" w:color="000000" w:sz="4" w:space="0"/>
              <w:right w:val="single" w:color="000000" w:sz="4" w:space="0"/>
            </w:tcBorders>
          </w:tcPr>
          <w:p w14:paraId="1B8BE6B3">
            <w:pPr>
              <w:pStyle w:val="32"/>
              <w:keepNext w:val="0"/>
              <w:keepLines w:val="0"/>
              <w:pageBreakBefore w:val="0"/>
              <w:numPr>
                <w:ilvl w:val="0"/>
                <w:numId w:val="18"/>
              </w:numPr>
              <w:kinsoku w:val="0"/>
              <w:wordWrap/>
              <w:topLinePunct w:val="0"/>
              <w:bidi w:val="0"/>
              <w:snapToGrid/>
              <w:spacing w:line="440" w:lineRule="exact"/>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45EC29E5">
            <w:pPr>
              <w:pStyle w:val="32"/>
              <w:keepNext w:val="0"/>
              <w:keepLines w:val="0"/>
              <w:pageBreakBefore w:val="0"/>
              <w:numPr>
                <w:ilvl w:val="0"/>
                <w:numId w:val="18"/>
              </w:numPr>
              <w:kinsoku w:val="0"/>
              <w:wordWrap/>
              <w:topLinePunct w:val="0"/>
              <w:bidi w:val="0"/>
              <w:snapToGrid/>
              <w:spacing w:line="440" w:lineRule="exact"/>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rPr>
              <w:t>投标文件所附证书证件、业绩证明文件、投标保证金等证明材料用原件扫描件并加盖投标单位电子印章；</w:t>
            </w:r>
          </w:p>
        </w:tc>
      </w:tr>
      <w:tr w14:paraId="111E9E57">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3C9D0B7">
            <w:pPr>
              <w:pStyle w:val="32"/>
              <w:keepNext w:val="0"/>
              <w:keepLines w:val="0"/>
              <w:pageBreakBefore w:val="0"/>
              <w:kinsoku w:val="0"/>
              <w:wordWrap/>
              <w:topLinePunct w:val="0"/>
              <w:bidi w:val="0"/>
              <w:snapToGrid/>
              <w:spacing w:line="440" w:lineRule="exact"/>
              <w:ind w:left="103"/>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4.1.1</w:t>
            </w:r>
          </w:p>
        </w:tc>
        <w:tc>
          <w:tcPr>
            <w:tcW w:w="1697" w:type="dxa"/>
            <w:tcBorders>
              <w:top w:val="single" w:color="000000" w:sz="4" w:space="0"/>
              <w:left w:val="single" w:color="000000" w:sz="4" w:space="0"/>
              <w:bottom w:val="single" w:color="000000" w:sz="4" w:space="0"/>
              <w:right w:val="single" w:color="000000" w:sz="4" w:space="0"/>
            </w:tcBorders>
            <w:vAlign w:val="center"/>
          </w:tcPr>
          <w:p w14:paraId="5602BE9F">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电子投标文件加密要求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09F876EB">
            <w:pPr>
              <w:pStyle w:val="32"/>
              <w:keepNext w:val="0"/>
              <w:keepLines w:val="0"/>
              <w:pageBreakBefore w:val="0"/>
              <w:kinsoku w:val="0"/>
              <w:wordWrap/>
              <w:topLinePunct w:val="0"/>
              <w:bidi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使用投标工具软件编制生成电子投标文件。</w:t>
            </w:r>
          </w:p>
        </w:tc>
      </w:tr>
      <w:tr w14:paraId="67814A15">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9DBFD8C">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4.2.1</w:t>
            </w:r>
          </w:p>
        </w:tc>
        <w:tc>
          <w:tcPr>
            <w:tcW w:w="1697" w:type="dxa"/>
            <w:tcBorders>
              <w:top w:val="single" w:color="000000" w:sz="4" w:space="0"/>
              <w:left w:val="single" w:color="000000" w:sz="4" w:space="0"/>
              <w:bottom w:val="single" w:color="000000" w:sz="4" w:space="0"/>
              <w:right w:val="single" w:color="000000" w:sz="4" w:space="0"/>
            </w:tcBorders>
            <w:vAlign w:val="center"/>
          </w:tcPr>
          <w:p w14:paraId="4BCE32F6">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投标截止时间/电子投标文件上传截止时间</w:t>
            </w:r>
          </w:p>
        </w:tc>
        <w:tc>
          <w:tcPr>
            <w:tcW w:w="6999" w:type="dxa"/>
            <w:tcBorders>
              <w:top w:val="single" w:color="000000" w:sz="4" w:space="0"/>
              <w:left w:val="single" w:color="000000" w:sz="4" w:space="0"/>
              <w:bottom w:val="single" w:color="000000" w:sz="4" w:space="0"/>
              <w:right w:val="single" w:color="000000" w:sz="4" w:space="0"/>
            </w:tcBorders>
            <w:vAlign w:val="center"/>
          </w:tcPr>
          <w:p w14:paraId="04F50714">
            <w:pPr>
              <w:keepNext w:val="0"/>
              <w:keepLines w:val="0"/>
              <w:pageBreakBefore w:val="0"/>
              <w:wordWrap/>
              <w:topLinePunct w:val="0"/>
              <w:bidi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详见本项目招标公告</w:t>
            </w:r>
          </w:p>
        </w:tc>
      </w:tr>
      <w:tr w14:paraId="420BFF68">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04A9F37">
            <w:pPr>
              <w:pStyle w:val="32"/>
              <w:keepNext w:val="0"/>
              <w:keepLines w:val="0"/>
              <w:pageBreakBefore w:val="0"/>
              <w:kinsoku w:val="0"/>
              <w:wordWrap/>
              <w:topLinePunct w:val="0"/>
              <w:bidi w:val="0"/>
              <w:snapToGrid/>
              <w:spacing w:line="440" w:lineRule="exact"/>
              <w:ind w:left="103"/>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4.2.2</w:t>
            </w:r>
          </w:p>
        </w:tc>
        <w:tc>
          <w:tcPr>
            <w:tcW w:w="1697" w:type="dxa"/>
            <w:tcBorders>
              <w:top w:val="single" w:color="000000" w:sz="4" w:space="0"/>
              <w:left w:val="single" w:color="000000" w:sz="4" w:space="0"/>
              <w:bottom w:val="single" w:color="000000" w:sz="4" w:space="0"/>
              <w:right w:val="single" w:color="000000" w:sz="4" w:space="0"/>
            </w:tcBorders>
            <w:vAlign w:val="center"/>
          </w:tcPr>
          <w:p w14:paraId="6DDEBD40">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电子投标文件上传平台</w:t>
            </w:r>
          </w:p>
        </w:tc>
        <w:tc>
          <w:tcPr>
            <w:tcW w:w="6999" w:type="dxa"/>
            <w:tcBorders>
              <w:top w:val="single" w:color="000000" w:sz="4" w:space="0"/>
              <w:left w:val="single" w:color="000000" w:sz="4" w:space="0"/>
              <w:bottom w:val="single" w:color="000000" w:sz="4" w:space="0"/>
              <w:right w:val="single" w:color="000000" w:sz="4" w:space="0"/>
            </w:tcBorders>
            <w:vAlign w:val="center"/>
          </w:tcPr>
          <w:p w14:paraId="70C6A3DE">
            <w:pPr>
              <w:pStyle w:val="4"/>
              <w:keepNext w:val="0"/>
              <w:keepLines w:val="0"/>
              <w:pageBreakBefore w:val="0"/>
              <w:numPr>
                <w:ilvl w:val="0"/>
                <w:numId w:val="19"/>
              </w:numPr>
              <w:wordWrap/>
              <w:topLinePunct w:val="0"/>
              <w:bidi w:val="0"/>
              <w:snapToGrid/>
              <w:spacing w:line="440" w:lineRule="exact"/>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1F37699">
            <w:pPr>
              <w:pStyle w:val="4"/>
              <w:keepNext w:val="0"/>
              <w:keepLines w:val="0"/>
              <w:pageBreakBefore w:val="0"/>
              <w:numPr>
                <w:ilvl w:val="0"/>
                <w:numId w:val="19"/>
              </w:numPr>
              <w:wordWrap/>
              <w:topLinePunct w:val="0"/>
              <w:bidi w:val="0"/>
              <w:snapToGrid/>
              <w:spacing w:line="440" w:lineRule="exact"/>
              <w:ind w:left="425" w:leftChars="0" w:hanging="425"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电子投标文件上传步骤：</w:t>
            </w:r>
          </w:p>
          <w:p w14:paraId="1F0065A5">
            <w:pPr>
              <w:pStyle w:val="4"/>
              <w:keepNext w:val="0"/>
              <w:keepLines w:val="0"/>
              <w:pageBreakBefore w:val="0"/>
              <w:numPr>
                <w:ilvl w:val="0"/>
                <w:numId w:val="20"/>
              </w:numPr>
              <w:wordWrap/>
              <w:topLinePunct w:val="0"/>
              <w:bidi w:val="0"/>
              <w:snapToGrid/>
              <w:spacing w:line="440" w:lineRule="exact"/>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登录三门县工程建设电子交易平台（网址：http://jyzx.sanmen.gov.cn）；</w:t>
            </w:r>
          </w:p>
          <w:p w14:paraId="7853BE9D">
            <w:pPr>
              <w:pStyle w:val="4"/>
              <w:keepNext w:val="0"/>
              <w:keepLines w:val="0"/>
              <w:pageBreakBefore w:val="0"/>
              <w:numPr>
                <w:ilvl w:val="0"/>
                <w:numId w:val="20"/>
              </w:numPr>
              <w:wordWrap/>
              <w:topLinePunct w:val="0"/>
              <w:bidi w:val="0"/>
              <w:snapToGrid/>
              <w:spacing w:line="440" w:lineRule="exact"/>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须先在电子交易系统中下载投标项目招标文件，后在 “我的待办”，</w:t>
            </w:r>
            <w:r>
              <w:rPr>
                <w:rFonts w:hint="eastAsia" w:ascii="宋体" w:hAnsi="宋体" w:eastAsia="宋体" w:cs="宋体"/>
                <w:sz w:val="24"/>
                <w:szCs w:val="24"/>
                <w:highlight w:val="none"/>
              </w:rPr>
              <w:t>选择投标项目，点击“上传标书（后缀名.已加密投标文件）” 并保存。</w:t>
            </w:r>
          </w:p>
          <w:p w14:paraId="4FB8D45C">
            <w:pPr>
              <w:keepNext w:val="0"/>
              <w:keepLines w:val="0"/>
              <w:pageBreakBefore w:val="0"/>
              <w:wordWrap/>
              <w:topLinePunct w:val="0"/>
              <w:bidi w:val="0"/>
              <w:snapToGrid/>
              <w:spacing w:line="440" w:lineRule="exact"/>
              <w:ind w:firstLine="480" w:firstLineChars="200"/>
              <w:textAlignment w:val="auto"/>
              <w:rPr>
                <w:rFonts w:hint="eastAsia" w:ascii="宋体" w:hAnsi="宋体" w:eastAsia="宋体" w:cs="宋体"/>
                <w:i/>
                <w:iCs/>
                <w:sz w:val="24"/>
                <w:szCs w:val="24"/>
                <w:highlight w:val="none"/>
                <w:u w:val="single"/>
              </w:rPr>
            </w:pPr>
            <w:r>
              <w:rPr>
                <w:rFonts w:hint="eastAsia" w:ascii="宋体" w:hAnsi="宋体" w:eastAsia="宋体" w:cs="宋体"/>
                <w:sz w:val="24"/>
                <w:szCs w:val="24"/>
                <w:highlight w:val="none"/>
              </w:rPr>
              <w:t>投标人应在投标截止时间前上传完成电子投标文件。</w:t>
            </w:r>
          </w:p>
        </w:tc>
      </w:tr>
      <w:tr w14:paraId="4A79F7C1">
        <w:tblPrEx>
          <w:tblCellMar>
            <w:top w:w="0" w:type="dxa"/>
            <w:left w:w="57" w:type="dxa"/>
            <w:bottom w:w="0" w:type="dxa"/>
            <w:right w:w="57" w:type="dxa"/>
          </w:tblCellMar>
        </w:tblPrEx>
        <w:trPr>
          <w:trHeight w:val="75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5951F77">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4.2.5</w:t>
            </w:r>
          </w:p>
        </w:tc>
        <w:tc>
          <w:tcPr>
            <w:tcW w:w="1697" w:type="dxa"/>
            <w:tcBorders>
              <w:top w:val="single" w:color="000000" w:sz="4" w:space="0"/>
              <w:left w:val="single" w:color="000000" w:sz="4" w:space="0"/>
              <w:bottom w:val="single" w:color="000000" w:sz="4" w:space="0"/>
              <w:right w:val="single" w:color="000000" w:sz="4" w:space="0"/>
            </w:tcBorders>
            <w:vAlign w:val="center"/>
          </w:tcPr>
          <w:p w14:paraId="334F0116">
            <w:pPr>
              <w:keepNext w:val="0"/>
              <w:keepLines w:val="0"/>
              <w:pageBreakBefore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电子投标文件的拒收情形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56DF76F1">
            <w:pPr>
              <w:keepNext w:val="0"/>
              <w:keepLines w:val="0"/>
              <w:pageBreakBefore w:val="0"/>
              <w:numPr>
                <w:ilvl w:val="0"/>
                <w:numId w:val="21"/>
              </w:numPr>
              <w:wordWrap/>
              <w:topLinePunct w:val="0"/>
              <w:bidi w:val="0"/>
              <w:snapToGrid/>
              <w:spacing w:line="440" w:lineRule="exact"/>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投标截止时间后送达（上传）的投标文件、未按招标文件要求上传的；</w:t>
            </w:r>
          </w:p>
          <w:p w14:paraId="3266ACB7">
            <w:pPr>
              <w:keepNext w:val="0"/>
              <w:keepLines w:val="0"/>
              <w:pageBreakBefore w:val="0"/>
              <w:numPr>
                <w:ilvl w:val="0"/>
                <w:numId w:val="21"/>
              </w:numPr>
              <w:wordWrap/>
              <w:topLinePunct w:val="0"/>
              <w:bidi w:val="0"/>
              <w:snapToGrid/>
              <w:spacing w:line="440" w:lineRule="exact"/>
              <w:ind w:left="425" w:leftChars="0" w:hanging="425" w:firstLineChars="0"/>
              <w:textAlignment w:val="auto"/>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投标人未按规定加密的投标文件，应当拒收。</w:t>
            </w:r>
          </w:p>
          <w:p w14:paraId="077617F7">
            <w:pPr>
              <w:keepNext w:val="0"/>
              <w:keepLines w:val="0"/>
              <w:pageBreakBefore w:val="0"/>
              <w:numPr>
                <w:ilvl w:val="0"/>
                <w:numId w:val="21"/>
              </w:numPr>
              <w:wordWrap/>
              <w:topLinePunct w:val="0"/>
              <w:bidi w:val="0"/>
              <w:snapToGrid/>
              <w:spacing w:line="440" w:lineRule="exact"/>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r>
              <w:rPr>
                <w:rFonts w:hint="eastAsia" w:ascii="宋体" w:hAnsi="宋体" w:eastAsia="宋体" w:cs="宋体"/>
                <w:sz w:val="24"/>
                <w:szCs w:val="24"/>
                <w:highlight w:val="none"/>
                <w:u w:val="single"/>
              </w:rPr>
              <w:t xml:space="preserve">  /</w:t>
            </w:r>
          </w:p>
        </w:tc>
      </w:tr>
      <w:tr w14:paraId="3660E38F">
        <w:tblPrEx>
          <w:tblCellMar>
            <w:top w:w="0" w:type="dxa"/>
            <w:left w:w="57" w:type="dxa"/>
            <w:bottom w:w="0" w:type="dxa"/>
            <w:right w:w="57" w:type="dxa"/>
          </w:tblCellMar>
        </w:tblPrEx>
        <w:trPr>
          <w:trHeight w:val="1113"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1D18166E">
            <w:pPr>
              <w:pStyle w:val="32"/>
              <w:keepNext w:val="0"/>
              <w:keepLines w:val="0"/>
              <w:pageBreakBefore w:val="0"/>
              <w:kinsoku w:val="0"/>
              <w:wordWrap/>
              <w:topLinePunct w:val="0"/>
              <w:bidi w:val="0"/>
              <w:snapToGrid/>
              <w:spacing w:line="440" w:lineRule="exact"/>
              <w:ind w:left="103" w:right="-5"/>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w:t>
            </w:r>
          </w:p>
        </w:tc>
        <w:tc>
          <w:tcPr>
            <w:tcW w:w="1697" w:type="dxa"/>
            <w:tcBorders>
              <w:top w:val="single" w:color="000000" w:sz="4" w:space="0"/>
              <w:left w:val="single" w:color="000000" w:sz="4" w:space="0"/>
              <w:right w:val="single" w:color="000000" w:sz="4" w:space="0"/>
            </w:tcBorders>
            <w:vAlign w:val="center"/>
          </w:tcPr>
          <w:p w14:paraId="32729A94">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开标时间</w:t>
            </w:r>
          </w:p>
          <w:p w14:paraId="54D27AE9">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和地点</w:t>
            </w:r>
          </w:p>
        </w:tc>
        <w:tc>
          <w:tcPr>
            <w:tcW w:w="6999" w:type="dxa"/>
            <w:tcBorders>
              <w:top w:val="single" w:color="000000" w:sz="4" w:space="0"/>
              <w:left w:val="single" w:color="000000" w:sz="4" w:space="0"/>
              <w:right w:val="single" w:color="000000" w:sz="4" w:space="0"/>
            </w:tcBorders>
            <w:vAlign w:val="center"/>
          </w:tcPr>
          <w:p w14:paraId="1D17CE10">
            <w:pPr>
              <w:pStyle w:val="32"/>
              <w:keepNext w:val="0"/>
              <w:keepLines w:val="0"/>
              <w:pageBreakBefore w:val="0"/>
              <w:numPr>
                <w:ilvl w:val="0"/>
                <w:numId w:val="22"/>
              </w:numPr>
              <w:kinsoku w:val="0"/>
              <w:wordWrap/>
              <w:topLinePunct w:val="0"/>
              <w:bidi w:val="0"/>
              <w:snapToGrid/>
              <w:spacing w:line="440" w:lineRule="exact"/>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开标时间：同电子投标文件上传截止时间。</w:t>
            </w:r>
          </w:p>
          <w:p w14:paraId="77F08940">
            <w:pPr>
              <w:pStyle w:val="32"/>
              <w:keepNext w:val="0"/>
              <w:keepLines w:val="0"/>
              <w:pageBreakBefore w:val="0"/>
              <w:numPr>
                <w:ilvl w:val="0"/>
                <w:numId w:val="22"/>
              </w:numPr>
              <w:kinsoku w:val="0"/>
              <w:wordWrap/>
              <w:topLinePunct w:val="0"/>
              <w:bidi w:val="0"/>
              <w:snapToGrid/>
              <w:spacing w:line="440" w:lineRule="exact"/>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开标地点：</w:t>
            </w:r>
            <w:r>
              <w:rPr>
                <w:rFonts w:hint="eastAsia" w:ascii="宋体" w:hAnsi="宋体" w:eastAsia="宋体" w:cs="宋体"/>
                <w:sz w:val="24"/>
                <w:szCs w:val="24"/>
                <w:highlight w:val="none"/>
                <w:u w:val="single"/>
              </w:rPr>
              <w:t>三门县公共资源交易中心（具体开标室见四楼电子屏幕）</w:t>
            </w:r>
            <w:r>
              <w:rPr>
                <w:rFonts w:hint="eastAsia" w:ascii="宋体" w:hAnsi="宋体" w:eastAsia="宋体" w:cs="宋体"/>
                <w:sz w:val="24"/>
                <w:szCs w:val="24"/>
                <w:highlight w:val="none"/>
              </w:rPr>
              <w:t>。</w:t>
            </w:r>
          </w:p>
          <w:p w14:paraId="07AD6300">
            <w:pPr>
              <w:keepNext w:val="0"/>
              <w:keepLines w:val="0"/>
              <w:pageBreakBefore w:val="0"/>
              <w:numPr>
                <w:ilvl w:val="0"/>
                <w:numId w:val="22"/>
              </w:numPr>
              <w:wordWrap/>
              <w:topLinePunct w:val="0"/>
              <w:bidi w:val="0"/>
              <w:snapToGrid/>
              <w:spacing w:line="440" w:lineRule="exact"/>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开标平台:不见面开标大厅</w:t>
            </w:r>
          </w:p>
          <w:p w14:paraId="7ACC5953">
            <w:pPr>
              <w:keepNext w:val="0"/>
              <w:keepLines w:val="0"/>
              <w:pageBreakBefore w:val="0"/>
              <w:numPr>
                <w:ilvl w:val="0"/>
                <w:numId w:val="22"/>
              </w:numPr>
              <w:wordWrap/>
              <w:topLinePunct w:val="0"/>
              <w:bidi w:val="0"/>
              <w:snapToGrid/>
              <w:spacing w:line="440" w:lineRule="exact"/>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tc>
      </w:tr>
      <w:tr w14:paraId="4915C56D">
        <w:tblPrEx>
          <w:tblCellMar>
            <w:top w:w="0" w:type="dxa"/>
            <w:left w:w="57" w:type="dxa"/>
            <w:bottom w:w="0" w:type="dxa"/>
            <w:right w:w="57" w:type="dxa"/>
          </w:tblCellMar>
        </w:tblPrEx>
        <w:trPr>
          <w:trHeight w:val="688" w:hRule="atLeast"/>
          <w:jc w:val="center"/>
        </w:trPr>
        <w:tc>
          <w:tcPr>
            <w:tcW w:w="1305" w:type="dxa"/>
            <w:tcBorders>
              <w:top w:val="single" w:color="auto" w:sz="4" w:space="0"/>
              <w:left w:val="single" w:color="000000" w:sz="4" w:space="0"/>
              <w:bottom w:val="single" w:color="auto" w:sz="4" w:space="0"/>
              <w:right w:val="single" w:color="000000" w:sz="4" w:space="0"/>
            </w:tcBorders>
            <w:vAlign w:val="center"/>
          </w:tcPr>
          <w:p w14:paraId="4A509673">
            <w:pPr>
              <w:pStyle w:val="32"/>
              <w:keepNext w:val="0"/>
              <w:keepLines w:val="0"/>
              <w:pageBreakBefore w:val="0"/>
              <w:kinsoku w:val="0"/>
              <w:wordWrap/>
              <w:topLinePunct w:val="0"/>
              <w:bidi w:val="0"/>
              <w:snapToGrid/>
              <w:spacing w:line="440" w:lineRule="exact"/>
              <w:ind w:left="103" w:right="-5"/>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w:t>
            </w:r>
          </w:p>
        </w:tc>
        <w:tc>
          <w:tcPr>
            <w:tcW w:w="1697" w:type="dxa"/>
            <w:tcBorders>
              <w:top w:val="single" w:color="000000" w:sz="4" w:space="0"/>
              <w:left w:val="single" w:color="000000" w:sz="4" w:space="0"/>
              <w:bottom w:val="single" w:color="auto" w:sz="4" w:space="0"/>
              <w:right w:val="single" w:color="000000" w:sz="4" w:space="0"/>
            </w:tcBorders>
            <w:vAlign w:val="center"/>
          </w:tcPr>
          <w:p w14:paraId="0C7C2781">
            <w:pPr>
              <w:pStyle w:val="32"/>
              <w:keepNext w:val="0"/>
              <w:keepLines w:val="0"/>
              <w:pageBreakBefore w:val="0"/>
              <w:kinsoku w:val="0"/>
              <w:wordWrap/>
              <w:topLinePunct w:val="0"/>
              <w:bidi w:val="0"/>
              <w:snapToGrid/>
              <w:spacing w:line="440" w:lineRule="exact"/>
              <w:ind w:right="1"/>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开标程序</w:t>
            </w:r>
          </w:p>
        </w:tc>
        <w:tc>
          <w:tcPr>
            <w:tcW w:w="6999" w:type="dxa"/>
            <w:tcBorders>
              <w:top w:val="single" w:color="000000" w:sz="4" w:space="0"/>
              <w:left w:val="single" w:color="000000" w:sz="4" w:space="0"/>
              <w:bottom w:val="single" w:color="auto" w:sz="4" w:space="0"/>
              <w:right w:val="single" w:color="000000" w:sz="4" w:space="0"/>
            </w:tcBorders>
            <w:vAlign w:val="center"/>
          </w:tcPr>
          <w:p w14:paraId="5EF347DC">
            <w:pPr>
              <w:keepNext w:val="0"/>
              <w:keepLines w:val="0"/>
              <w:pageBreakBefore w:val="0"/>
              <w:numPr>
                <w:ilvl w:val="0"/>
                <w:numId w:val="23"/>
              </w:numPr>
              <w:wordWrap/>
              <w:topLinePunct w:val="0"/>
              <w:bidi w:val="0"/>
              <w:snapToGrid/>
              <w:spacing w:line="440" w:lineRule="exact"/>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sz w:val="24"/>
                <w:szCs w:val="24"/>
                <w:highlight w:val="none"/>
              </w:rPr>
              <w:t>未完成签到的，将无法解密投标文件，并视为放弃投标</w:t>
            </w:r>
            <w:r>
              <w:rPr>
                <w:rFonts w:hint="eastAsia" w:ascii="宋体" w:hAnsi="宋体" w:eastAsia="宋体" w:cs="宋体"/>
                <w:sz w:val="24"/>
                <w:szCs w:val="24"/>
                <w:highlight w:val="none"/>
              </w:rPr>
              <w:t>。不见面开标大厅系统登录：插入CA锁并登录交易系统—业务办理—开评标—进入不见面开标系统。</w:t>
            </w:r>
          </w:p>
          <w:p w14:paraId="7852A632">
            <w:pPr>
              <w:keepNext w:val="0"/>
              <w:keepLines w:val="0"/>
              <w:pageBreakBefore w:val="0"/>
              <w:numPr>
                <w:ilvl w:val="0"/>
                <w:numId w:val="23"/>
              </w:numPr>
              <w:wordWrap/>
              <w:topLinePunct w:val="0"/>
              <w:bidi w:val="0"/>
              <w:snapToGrid/>
              <w:spacing w:line="440" w:lineRule="exact"/>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招标代理开启不见面开标系统视频直播，开标全过程录像由三门县公共资源交易中心录制保存备查。</w:t>
            </w:r>
          </w:p>
          <w:p w14:paraId="579C2B4C">
            <w:pPr>
              <w:keepNext w:val="0"/>
              <w:keepLines w:val="0"/>
              <w:pageBreakBefore w:val="0"/>
              <w:numPr>
                <w:ilvl w:val="0"/>
                <w:numId w:val="23"/>
              </w:numPr>
              <w:wordWrap/>
              <w:topLinePunct w:val="0"/>
              <w:bidi w:val="0"/>
              <w:snapToGrid/>
              <w:spacing w:line="440" w:lineRule="exact"/>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投标截止时间到达后，各投标人自行在不见面开标系统对电子投标文件进行解密，投标文件解密时间为</w:t>
            </w:r>
            <w:r>
              <w:rPr>
                <w:rFonts w:hint="eastAsia" w:ascii="宋体" w:hAnsi="宋体" w:eastAsia="宋体" w:cs="宋体"/>
                <w:b/>
                <w:bCs/>
                <w:sz w:val="24"/>
                <w:szCs w:val="24"/>
                <w:highlight w:val="none"/>
              </w:rPr>
              <w:t>40分钟</w:t>
            </w:r>
            <w:r>
              <w:rPr>
                <w:rFonts w:hint="eastAsia" w:ascii="宋体" w:hAnsi="宋体" w:eastAsia="宋体" w:cs="宋体"/>
                <w:sz w:val="24"/>
                <w:szCs w:val="24"/>
                <w:highlight w:val="none"/>
              </w:rPr>
              <w:t>（时间以招标人或招标代理机构确定“开始解密”时开始计算），逾期未解密的视为投标人放弃投标。</w:t>
            </w:r>
          </w:p>
          <w:p w14:paraId="4EE1FE5C">
            <w:pPr>
              <w:keepNext w:val="0"/>
              <w:keepLines w:val="0"/>
              <w:pageBreakBefore w:val="0"/>
              <w:numPr>
                <w:ilvl w:val="0"/>
                <w:numId w:val="23"/>
              </w:numPr>
              <w:wordWrap/>
              <w:topLinePunct w:val="0"/>
              <w:bidi w:val="0"/>
              <w:snapToGrid/>
              <w:spacing w:line="440" w:lineRule="exact"/>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招标代理现场公布解密投标人投标文件情况。</w:t>
            </w:r>
          </w:p>
          <w:p w14:paraId="0A27A6C4">
            <w:pPr>
              <w:keepNext w:val="0"/>
              <w:keepLines w:val="0"/>
              <w:pageBreakBefore w:val="0"/>
              <w:numPr>
                <w:ilvl w:val="0"/>
                <w:numId w:val="23"/>
              </w:numPr>
              <w:wordWrap/>
              <w:topLinePunct w:val="0"/>
              <w:bidi w:val="0"/>
              <w:snapToGrid/>
              <w:spacing w:line="440" w:lineRule="exact"/>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评标委员会根据招标文件规定的程序及方法对投标文件进行评审。每个环节评审结果招标代理均在不见面开标大厅宣布。</w:t>
            </w:r>
          </w:p>
          <w:p w14:paraId="7B31C2C6">
            <w:pPr>
              <w:keepNext w:val="0"/>
              <w:keepLines w:val="0"/>
              <w:pageBreakBefore w:val="0"/>
              <w:numPr>
                <w:ilvl w:val="0"/>
                <w:numId w:val="23"/>
              </w:numPr>
              <w:wordWrap/>
              <w:topLinePunct w:val="0"/>
              <w:bidi w:val="0"/>
              <w:snapToGrid/>
              <w:spacing w:line="440" w:lineRule="exact"/>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招标人代表现场抽取调整系数，抽取过程在不见面开标系统同步直播，接受招标监管机构人员监管。</w:t>
            </w:r>
          </w:p>
          <w:p w14:paraId="3BC96A83">
            <w:pPr>
              <w:keepNext w:val="0"/>
              <w:keepLines w:val="0"/>
              <w:pageBreakBefore w:val="0"/>
              <w:numPr>
                <w:ilvl w:val="0"/>
                <w:numId w:val="23"/>
              </w:numPr>
              <w:wordWrap/>
              <w:topLinePunct w:val="0"/>
              <w:bidi w:val="0"/>
              <w:snapToGrid/>
              <w:spacing w:line="440" w:lineRule="exact"/>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7560C3D">
            <w:pPr>
              <w:pStyle w:val="32"/>
              <w:keepNext w:val="0"/>
              <w:keepLines w:val="0"/>
              <w:pageBreakBefore w:val="0"/>
              <w:tabs>
                <w:tab w:val="left" w:pos="2309"/>
                <w:tab w:val="left" w:pos="2729"/>
                <w:tab w:val="left" w:pos="3826"/>
              </w:tabs>
              <w:kinsoku w:val="0"/>
              <w:wordWrap/>
              <w:topLinePunct w:val="0"/>
              <w:bidi w:val="0"/>
              <w:snapToGrid/>
              <w:spacing w:line="440" w:lineRule="exact"/>
              <w:ind w:firstLine="240" w:firstLine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54B173C0">
        <w:tblPrEx>
          <w:tblCellMar>
            <w:top w:w="0" w:type="dxa"/>
            <w:left w:w="57" w:type="dxa"/>
            <w:bottom w:w="0" w:type="dxa"/>
            <w:right w:w="57" w:type="dxa"/>
          </w:tblCellMar>
        </w:tblPrEx>
        <w:trPr>
          <w:trHeight w:val="104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B26B900">
            <w:pPr>
              <w:pStyle w:val="32"/>
              <w:keepNext w:val="0"/>
              <w:keepLines w:val="0"/>
              <w:pageBreakBefore w:val="0"/>
              <w:kinsoku w:val="0"/>
              <w:wordWrap/>
              <w:topLinePunct w:val="0"/>
              <w:bidi w:val="0"/>
              <w:snapToGrid/>
              <w:spacing w:line="440" w:lineRule="exact"/>
              <w:ind w:left="103" w:right="-5"/>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w:t>
            </w:r>
          </w:p>
        </w:tc>
        <w:tc>
          <w:tcPr>
            <w:tcW w:w="1697" w:type="dxa"/>
            <w:tcBorders>
              <w:top w:val="single" w:color="000000" w:sz="4" w:space="0"/>
              <w:left w:val="single" w:color="000000" w:sz="4" w:space="0"/>
              <w:bottom w:val="single" w:color="000000" w:sz="4" w:space="0"/>
              <w:right w:val="single" w:color="000000" w:sz="4" w:space="0"/>
            </w:tcBorders>
            <w:vAlign w:val="center"/>
          </w:tcPr>
          <w:p w14:paraId="18EAB6EC">
            <w:pPr>
              <w:pStyle w:val="32"/>
              <w:keepNext w:val="0"/>
              <w:keepLines w:val="0"/>
              <w:pageBreakBefore w:val="0"/>
              <w:kinsoku w:val="0"/>
              <w:wordWrap/>
              <w:topLinePunct w:val="0"/>
              <w:bidi w:val="0"/>
              <w:snapToGrid/>
              <w:spacing w:line="440" w:lineRule="exact"/>
              <w:ind w:right="1"/>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特殊情况处置</w:t>
            </w:r>
          </w:p>
        </w:tc>
        <w:tc>
          <w:tcPr>
            <w:tcW w:w="6999" w:type="dxa"/>
            <w:tcBorders>
              <w:top w:val="single" w:color="000000" w:sz="4" w:space="0"/>
              <w:left w:val="single" w:color="000000" w:sz="4" w:space="0"/>
              <w:bottom w:val="single" w:color="000000" w:sz="4" w:space="0"/>
              <w:right w:val="single" w:color="000000" w:sz="4" w:space="0"/>
            </w:tcBorders>
            <w:vAlign w:val="center"/>
          </w:tcPr>
          <w:p w14:paraId="4D2DB3EC">
            <w:pPr>
              <w:keepNext w:val="0"/>
              <w:keepLines w:val="0"/>
              <w:pageBreakBefore w:val="0"/>
              <w:numPr>
                <w:ilvl w:val="0"/>
                <w:numId w:val="24"/>
              </w:numPr>
              <w:wordWrap/>
              <w:topLinePunct w:val="0"/>
              <w:bidi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因电力等不可抗力因素延期开标的，需更新制作投标文件并按招标文件要求重新递交。</w:t>
            </w:r>
          </w:p>
          <w:p w14:paraId="11309977">
            <w:pPr>
              <w:keepNext w:val="0"/>
              <w:keepLines w:val="0"/>
              <w:pageBreakBefore w:val="0"/>
              <w:numPr>
                <w:ilvl w:val="0"/>
                <w:numId w:val="24"/>
              </w:numPr>
              <w:wordWrap/>
              <w:topLinePunct w:val="0"/>
              <w:bidi w:val="0"/>
              <w:snapToGrid/>
              <w:spacing w:line="44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rPr>
              <w:t>因投标人原因造成其电子投标文件未解密的，视为撤销其投标文件；投标截止时间前未完成投标文件传输的，视为撤回投标文件；因投标人之外的原因造成电子投标文件未解密的，视为撤回其投标文件。</w:t>
            </w:r>
          </w:p>
        </w:tc>
      </w:tr>
      <w:tr w14:paraId="331CC9B3">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C0F13CA">
            <w:pPr>
              <w:pStyle w:val="32"/>
              <w:keepNext w:val="0"/>
              <w:keepLines w:val="0"/>
              <w:pageBreakBefore w:val="0"/>
              <w:kinsoku w:val="0"/>
              <w:wordWrap/>
              <w:topLinePunct w:val="0"/>
              <w:bidi w:val="0"/>
              <w:snapToGrid/>
              <w:spacing w:line="440" w:lineRule="exact"/>
              <w:ind w:left="367"/>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6.1.1</w:t>
            </w:r>
          </w:p>
        </w:tc>
        <w:tc>
          <w:tcPr>
            <w:tcW w:w="1697" w:type="dxa"/>
            <w:tcBorders>
              <w:top w:val="single" w:color="000000" w:sz="4" w:space="0"/>
              <w:left w:val="single" w:color="000000" w:sz="4" w:space="0"/>
              <w:bottom w:val="single" w:color="000000" w:sz="4" w:space="0"/>
              <w:right w:val="single" w:color="000000" w:sz="4" w:space="0"/>
            </w:tcBorders>
            <w:vAlign w:val="center"/>
          </w:tcPr>
          <w:p w14:paraId="5A7E6C14">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评标委员会的组建</w:t>
            </w:r>
          </w:p>
        </w:tc>
        <w:tc>
          <w:tcPr>
            <w:tcW w:w="6999" w:type="dxa"/>
            <w:tcBorders>
              <w:top w:val="single" w:color="000000" w:sz="4" w:space="0"/>
              <w:left w:val="single" w:color="000000" w:sz="4" w:space="0"/>
              <w:bottom w:val="single" w:color="000000" w:sz="4" w:space="0"/>
              <w:right w:val="single" w:color="000000" w:sz="4" w:space="0"/>
            </w:tcBorders>
            <w:vAlign w:val="center"/>
          </w:tcPr>
          <w:p w14:paraId="79B3D899">
            <w:pPr>
              <w:pStyle w:val="33"/>
              <w:keepNext w:val="0"/>
              <w:keepLines w:val="0"/>
              <w:pageBreakBefore w:val="0"/>
              <w:kinsoku w:val="0"/>
              <w:wordWrap/>
              <w:topLinePunct w:val="0"/>
              <w:bidi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评标委员会构成：</w:t>
            </w:r>
            <w:r>
              <w:rPr>
                <w:rFonts w:hint="eastAsia" w:ascii="宋体" w:hAnsi="宋体" w:eastAsia="宋体" w:cs="宋体"/>
                <w:color w:val="000000"/>
                <w:sz w:val="24"/>
                <w:szCs w:val="24"/>
                <w:highlight w:val="none"/>
                <w:lang w:val="en-US"/>
              </w:rPr>
              <w:t>执行《浙江省综合性评标专家库管理办法实施细则》相关规定。</w:t>
            </w:r>
          </w:p>
        </w:tc>
      </w:tr>
      <w:tr w14:paraId="407A5C8D">
        <w:tblPrEx>
          <w:tblCellMar>
            <w:top w:w="0" w:type="dxa"/>
            <w:left w:w="57" w:type="dxa"/>
            <w:bottom w:w="0" w:type="dxa"/>
            <w:right w:w="57" w:type="dxa"/>
          </w:tblCellMar>
        </w:tblPrEx>
        <w:trPr>
          <w:trHeight w:val="90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1983917">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w:t>
            </w:r>
          </w:p>
        </w:tc>
        <w:tc>
          <w:tcPr>
            <w:tcW w:w="1697" w:type="dxa"/>
            <w:tcBorders>
              <w:top w:val="single" w:color="000000" w:sz="4" w:space="0"/>
              <w:left w:val="single" w:color="000000" w:sz="4" w:space="0"/>
              <w:bottom w:val="single" w:color="000000" w:sz="4" w:space="0"/>
              <w:right w:val="single" w:color="000000" w:sz="4" w:space="0"/>
            </w:tcBorders>
            <w:vAlign w:val="center"/>
          </w:tcPr>
          <w:p w14:paraId="217CFFE0">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73506764">
            <w:pPr>
              <w:pStyle w:val="32"/>
              <w:keepNext w:val="0"/>
              <w:keepLines w:val="0"/>
              <w:pageBreakBefore w:val="0"/>
              <w:tabs>
                <w:tab w:val="left" w:pos="2309"/>
                <w:tab w:val="left" w:pos="2729"/>
                <w:tab w:val="left" w:pos="3826"/>
              </w:tabs>
              <w:kinsoku w:val="0"/>
              <w:wordWrap/>
              <w:topLinePunct w:val="0"/>
              <w:bidi w:val="0"/>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cs="宋体"/>
                <w:sz w:val="24"/>
                <w:szCs w:val="24"/>
                <w:highlight w:val="none"/>
                <w:lang w:val="en-US" w:eastAsia="zh-CN"/>
              </w:rPr>
              <w:t>技术标通过制的综合</w:t>
            </w:r>
            <w:r>
              <w:rPr>
                <w:rFonts w:hint="eastAsia" w:ascii="宋体" w:hAnsi="宋体" w:eastAsia="宋体" w:cs="宋体"/>
                <w:sz w:val="24"/>
                <w:szCs w:val="24"/>
                <w:highlight w:val="none"/>
              </w:rPr>
              <w:t>评</w:t>
            </w:r>
            <w:r>
              <w:rPr>
                <w:rFonts w:hint="eastAsia" w:ascii="宋体" w:hAnsi="宋体" w:eastAsia="宋体" w:cs="宋体"/>
                <w:color w:val="auto"/>
                <w:sz w:val="24"/>
                <w:szCs w:val="24"/>
                <w:highlight w:val="none"/>
              </w:rPr>
              <w:t>估法：资信标评分（</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商务标评分（9</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0F804B52">
        <w:tblPrEx>
          <w:tblCellMar>
            <w:top w:w="0" w:type="dxa"/>
            <w:left w:w="57" w:type="dxa"/>
            <w:bottom w:w="0" w:type="dxa"/>
            <w:right w:w="57" w:type="dxa"/>
          </w:tblCellMar>
        </w:tblPrEx>
        <w:trPr>
          <w:trHeight w:val="4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3B32A3A">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Times New Roman" w:char="0000"/>
            </w:r>
            <w:r>
              <w:rPr>
                <w:rFonts w:hint="eastAsia" w:ascii="宋体" w:hAnsi="宋体" w:eastAsia="宋体" w:cs="宋体"/>
                <w:sz w:val="24"/>
                <w:szCs w:val="24"/>
                <w:highlight w:val="none"/>
              </w:rPr>
              <w:t>6.3.1</w:t>
            </w:r>
          </w:p>
        </w:tc>
        <w:tc>
          <w:tcPr>
            <w:tcW w:w="1697" w:type="dxa"/>
            <w:tcBorders>
              <w:top w:val="single" w:color="000000" w:sz="4" w:space="0"/>
              <w:left w:val="single" w:color="000000" w:sz="4" w:space="0"/>
              <w:bottom w:val="single" w:color="000000" w:sz="4" w:space="0"/>
              <w:right w:val="single" w:color="000000" w:sz="4" w:space="0"/>
            </w:tcBorders>
            <w:vAlign w:val="center"/>
          </w:tcPr>
          <w:p w14:paraId="34179044">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评标基准价的确定方法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659F58D0">
            <w:pPr>
              <w:keepNext w:val="0"/>
              <w:keepLines w:val="0"/>
              <w:pageBreakBefore w:val="0"/>
              <w:kinsoku w:val="0"/>
              <w:wordWrap/>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抽签法：评标基准价＝最高投标限价×调整系数,调整系数＝（100－D）%，D值在0.00～0.99范围内随机抽取产生。</w:t>
            </w:r>
          </w:p>
        </w:tc>
      </w:tr>
      <w:tr w14:paraId="5E19C9F9">
        <w:tblPrEx>
          <w:tblCellMar>
            <w:top w:w="0" w:type="dxa"/>
            <w:left w:w="57" w:type="dxa"/>
            <w:bottom w:w="0" w:type="dxa"/>
            <w:right w:w="57" w:type="dxa"/>
          </w:tblCellMar>
        </w:tblPrEx>
        <w:trPr>
          <w:trHeight w:val="852"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003AF974">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6.3.2</w:t>
            </w:r>
          </w:p>
        </w:tc>
        <w:tc>
          <w:tcPr>
            <w:tcW w:w="1697" w:type="dxa"/>
            <w:tcBorders>
              <w:top w:val="single" w:color="000000" w:sz="4" w:space="0"/>
              <w:left w:val="single" w:color="000000" w:sz="4" w:space="0"/>
              <w:bottom w:val="single" w:color="auto" w:sz="4" w:space="0"/>
              <w:right w:val="single" w:color="000000" w:sz="4" w:space="0"/>
            </w:tcBorders>
            <w:vAlign w:val="center"/>
          </w:tcPr>
          <w:p w14:paraId="29B701E4">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评标委员会推荐中标候选人的人数</w:t>
            </w:r>
          </w:p>
        </w:tc>
        <w:tc>
          <w:tcPr>
            <w:tcW w:w="6999" w:type="dxa"/>
            <w:tcBorders>
              <w:top w:val="single" w:color="000000" w:sz="4" w:space="0"/>
              <w:left w:val="single" w:color="000000" w:sz="4" w:space="0"/>
              <w:bottom w:val="single" w:color="auto" w:sz="4" w:space="0"/>
              <w:right w:val="single" w:color="000000" w:sz="4" w:space="0"/>
            </w:tcBorders>
            <w:vAlign w:val="center"/>
          </w:tcPr>
          <w:p w14:paraId="6FA69652">
            <w:pPr>
              <w:pStyle w:val="14"/>
              <w:keepNext w:val="0"/>
              <w:keepLines w:val="0"/>
              <w:pageBreakBefore w:val="0"/>
              <w:wordWrap/>
              <w:topLinePunct w:val="0"/>
              <w:bidi w:val="0"/>
              <w:snapToGrid/>
              <w:spacing w:after="0"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推荐一名中标候选人。</w:t>
            </w:r>
          </w:p>
        </w:tc>
      </w:tr>
      <w:tr w14:paraId="2781C63B">
        <w:tblPrEx>
          <w:tblCellMar>
            <w:top w:w="0" w:type="dxa"/>
            <w:left w:w="57" w:type="dxa"/>
            <w:bottom w:w="0" w:type="dxa"/>
            <w:right w:w="57" w:type="dxa"/>
          </w:tblCellMar>
        </w:tblPrEx>
        <w:trPr>
          <w:trHeight w:val="823" w:hRule="atLeast"/>
          <w:jc w:val="center"/>
        </w:trPr>
        <w:tc>
          <w:tcPr>
            <w:tcW w:w="1305" w:type="dxa"/>
            <w:tcBorders>
              <w:top w:val="single" w:color="auto" w:sz="4" w:space="0"/>
              <w:left w:val="single" w:color="000000" w:sz="4" w:space="0"/>
              <w:bottom w:val="single" w:color="000000" w:sz="4" w:space="0"/>
              <w:right w:val="single" w:color="000000" w:sz="4" w:space="0"/>
            </w:tcBorders>
            <w:vAlign w:val="center"/>
          </w:tcPr>
          <w:p w14:paraId="06A0A624">
            <w:pPr>
              <w:pStyle w:val="32"/>
              <w:keepNext w:val="0"/>
              <w:keepLines w:val="0"/>
              <w:pageBreakBefore w:val="0"/>
              <w:kinsoku w:val="0"/>
              <w:wordWrap/>
              <w:topLinePunct w:val="0"/>
              <w:bidi w:val="0"/>
              <w:snapToGrid/>
              <w:spacing w:line="440" w:lineRule="exact"/>
              <w:ind w:left="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7.1.1</w:t>
            </w:r>
          </w:p>
        </w:tc>
        <w:tc>
          <w:tcPr>
            <w:tcW w:w="1697" w:type="dxa"/>
            <w:tcBorders>
              <w:top w:val="single" w:color="auto" w:sz="4" w:space="0"/>
              <w:left w:val="single" w:color="000000" w:sz="4" w:space="0"/>
              <w:bottom w:val="single" w:color="000000" w:sz="4" w:space="0"/>
              <w:right w:val="single" w:color="000000" w:sz="4" w:space="0"/>
            </w:tcBorders>
            <w:vAlign w:val="center"/>
          </w:tcPr>
          <w:p w14:paraId="384B6427">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中标候选人公示媒介及期限</w:t>
            </w:r>
          </w:p>
        </w:tc>
        <w:tc>
          <w:tcPr>
            <w:tcW w:w="6999" w:type="dxa"/>
            <w:tcBorders>
              <w:top w:val="single" w:color="auto" w:sz="4" w:space="0"/>
              <w:left w:val="single" w:color="000000" w:sz="4" w:space="0"/>
              <w:bottom w:val="single" w:color="000000" w:sz="4" w:space="0"/>
              <w:right w:val="single" w:color="000000" w:sz="4" w:space="0"/>
            </w:tcBorders>
            <w:vAlign w:val="center"/>
          </w:tcPr>
          <w:p w14:paraId="59A090E9">
            <w:pPr>
              <w:keepNext w:val="0"/>
              <w:keepLines w:val="0"/>
              <w:pageBreakBefore w:val="0"/>
              <w:widowControl/>
              <w:wordWrap/>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公示媒介：三门县公共资源交易网（网址：http://www.sanmen.gov.cn/col/col1229610743/index.html）和浙江省公共资源交易服务平台</w:t>
            </w:r>
            <w:r>
              <w:rPr>
                <w:rFonts w:hint="eastAsia" w:ascii="宋体" w:hAnsi="宋体" w:eastAsia="宋体" w:cs="宋体"/>
                <w:sz w:val="24"/>
                <w:szCs w:val="24"/>
                <w:highlight w:val="none"/>
                <w:u w:val="single"/>
              </w:rPr>
              <w:t>https://ggzy.zj.gov.cn</w:t>
            </w:r>
            <w:r>
              <w:rPr>
                <w:rFonts w:hint="eastAsia" w:ascii="宋体" w:hAnsi="宋体" w:eastAsia="宋体" w:cs="宋体"/>
                <w:sz w:val="24"/>
                <w:szCs w:val="24"/>
                <w:highlight w:val="none"/>
              </w:rPr>
              <w:t>上发布。</w:t>
            </w:r>
          </w:p>
          <w:p w14:paraId="2E58F1D5">
            <w:pPr>
              <w:pStyle w:val="32"/>
              <w:keepNext w:val="0"/>
              <w:keepLines w:val="0"/>
              <w:pageBreakBefore w:val="0"/>
              <w:tabs>
                <w:tab w:val="left" w:pos="2100"/>
              </w:tabs>
              <w:kinsoku w:val="0"/>
              <w:wordWrap/>
              <w:topLinePunct w:val="0"/>
              <w:bidi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公示期限：不少于3日。如遇国家法定休假日，应顺延至法定休假日后第一个工作日。</w:t>
            </w:r>
          </w:p>
        </w:tc>
      </w:tr>
      <w:tr w14:paraId="6017DB2F">
        <w:tblPrEx>
          <w:tblCellMar>
            <w:top w:w="0" w:type="dxa"/>
            <w:left w:w="57" w:type="dxa"/>
            <w:bottom w:w="0" w:type="dxa"/>
            <w:right w:w="57" w:type="dxa"/>
          </w:tblCellMar>
        </w:tblPrEx>
        <w:trPr>
          <w:trHeight w:val="823" w:hRule="atLeast"/>
          <w:jc w:val="center"/>
        </w:trPr>
        <w:tc>
          <w:tcPr>
            <w:tcW w:w="1305" w:type="dxa"/>
            <w:tcBorders>
              <w:top w:val="single" w:color="auto" w:sz="4" w:space="0"/>
              <w:left w:val="single" w:color="000000" w:sz="4" w:space="0"/>
              <w:bottom w:val="single" w:color="000000" w:sz="4" w:space="0"/>
              <w:right w:val="single" w:color="000000" w:sz="4" w:space="0"/>
            </w:tcBorders>
            <w:vAlign w:val="center"/>
          </w:tcPr>
          <w:p w14:paraId="6EC44EB2">
            <w:pPr>
              <w:pStyle w:val="32"/>
              <w:keepNext w:val="0"/>
              <w:keepLines w:val="0"/>
              <w:pageBreakBefore w:val="0"/>
              <w:kinsoku w:val="0"/>
              <w:wordWrap/>
              <w:topLinePunct w:val="0"/>
              <w:bidi w:val="0"/>
              <w:snapToGrid/>
              <w:spacing w:line="440" w:lineRule="exact"/>
              <w:ind w:left="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7.1.2</w:t>
            </w:r>
          </w:p>
        </w:tc>
        <w:tc>
          <w:tcPr>
            <w:tcW w:w="1697" w:type="dxa"/>
            <w:tcBorders>
              <w:top w:val="single" w:color="auto" w:sz="4" w:space="0"/>
              <w:left w:val="single" w:color="000000" w:sz="4" w:space="0"/>
              <w:bottom w:val="single" w:color="000000" w:sz="4" w:space="0"/>
              <w:right w:val="single" w:color="000000" w:sz="4" w:space="0"/>
            </w:tcBorders>
            <w:vAlign w:val="center"/>
          </w:tcPr>
          <w:p w14:paraId="4D2D3311">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中标候选人公示的其他内容</w:t>
            </w:r>
          </w:p>
        </w:tc>
        <w:tc>
          <w:tcPr>
            <w:tcW w:w="6999" w:type="dxa"/>
            <w:tcBorders>
              <w:top w:val="single" w:color="auto" w:sz="4" w:space="0"/>
              <w:left w:val="single" w:color="000000" w:sz="4" w:space="0"/>
              <w:bottom w:val="single" w:color="000000" w:sz="4" w:space="0"/>
              <w:right w:val="single" w:color="000000" w:sz="4" w:space="0"/>
            </w:tcBorders>
            <w:vAlign w:val="center"/>
          </w:tcPr>
          <w:p w14:paraId="1B15ADA0">
            <w:pPr>
              <w:pStyle w:val="32"/>
              <w:keepNext w:val="0"/>
              <w:keepLines w:val="0"/>
              <w:pageBreakBefore w:val="0"/>
              <w:tabs>
                <w:tab w:val="left" w:pos="2100"/>
              </w:tabs>
              <w:kinsoku w:val="0"/>
              <w:wordWrap/>
              <w:topLinePunct w:val="0"/>
              <w:bidi w:val="0"/>
              <w:snapToGrid/>
              <w:spacing w:line="440" w:lineRule="exact"/>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被否决的投标及否决原因。</w:t>
            </w:r>
          </w:p>
        </w:tc>
      </w:tr>
      <w:tr w14:paraId="5E3DD65C">
        <w:tblPrEx>
          <w:tblCellMar>
            <w:top w:w="0" w:type="dxa"/>
            <w:left w:w="57" w:type="dxa"/>
            <w:bottom w:w="0" w:type="dxa"/>
            <w:right w:w="57" w:type="dxa"/>
          </w:tblCellMar>
        </w:tblPrEx>
        <w:trPr>
          <w:trHeight w:val="866" w:hRule="atLeast"/>
          <w:jc w:val="center"/>
        </w:trPr>
        <w:tc>
          <w:tcPr>
            <w:tcW w:w="1305" w:type="dxa"/>
            <w:tcBorders>
              <w:top w:val="single" w:color="000000" w:sz="4" w:space="0"/>
              <w:left w:val="single" w:color="000000" w:sz="4" w:space="0"/>
              <w:right w:val="single" w:color="000000" w:sz="4" w:space="0"/>
            </w:tcBorders>
            <w:vAlign w:val="center"/>
          </w:tcPr>
          <w:p w14:paraId="57CC3E23">
            <w:pPr>
              <w:pStyle w:val="32"/>
              <w:keepNext w:val="0"/>
              <w:keepLines w:val="0"/>
              <w:pageBreakBefore w:val="0"/>
              <w:kinsoku w:val="0"/>
              <w:wordWrap/>
              <w:topLinePunct w:val="0"/>
              <w:bidi w:val="0"/>
              <w:snapToGrid/>
              <w:spacing w:line="440" w:lineRule="exact"/>
              <w:ind w:left="2"/>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p>
        </w:tc>
        <w:tc>
          <w:tcPr>
            <w:tcW w:w="1697" w:type="dxa"/>
            <w:tcBorders>
              <w:top w:val="single" w:color="000000" w:sz="4" w:space="0"/>
              <w:left w:val="single" w:color="000000" w:sz="4" w:space="0"/>
              <w:right w:val="single" w:color="000000" w:sz="4" w:space="0"/>
            </w:tcBorders>
            <w:vAlign w:val="center"/>
          </w:tcPr>
          <w:p w14:paraId="680472A7">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是否授权评标委员会确定中标人</w:t>
            </w:r>
          </w:p>
        </w:tc>
        <w:tc>
          <w:tcPr>
            <w:tcW w:w="6999" w:type="dxa"/>
            <w:tcBorders>
              <w:top w:val="single" w:color="000000" w:sz="4" w:space="0"/>
              <w:left w:val="single" w:color="000000" w:sz="4" w:space="0"/>
              <w:bottom w:val="single" w:color="000000" w:sz="4" w:space="0"/>
              <w:right w:val="single" w:color="000000" w:sz="4" w:space="0"/>
            </w:tcBorders>
            <w:vAlign w:val="center"/>
          </w:tcPr>
          <w:p w14:paraId="6B507C3B">
            <w:pPr>
              <w:pStyle w:val="32"/>
              <w:keepNext w:val="0"/>
              <w:keepLines w:val="0"/>
              <w:pageBreakBefore w:val="0"/>
              <w:kinsoku w:val="0"/>
              <w:wordWrap/>
              <w:topLinePunct w:val="0"/>
              <w:bidi w:val="0"/>
              <w:snapToGrid/>
              <w:spacing w:line="4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tc>
      </w:tr>
      <w:tr w14:paraId="6722D8BA">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10B3E3C">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7.4</w:t>
            </w:r>
          </w:p>
        </w:tc>
        <w:tc>
          <w:tcPr>
            <w:tcW w:w="1697" w:type="dxa"/>
            <w:tcBorders>
              <w:top w:val="single" w:color="000000" w:sz="4" w:space="0"/>
              <w:left w:val="single" w:color="000000" w:sz="4" w:space="0"/>
              <w:bottom w:val="single" w:color="000000" w:sz="4" w:space="0"/>
              <w:right w:val="single" w:color="000000" w:sz="4" w:space="0"/>
            </w:tcBorders>
            <w:vAlign w:val="center"/>
          </w:tcPr>
          <w:p w14:paraId="0608001B">
            <w:pPr>
              <w:pStyle w:val="32"/>
              <w:keepNext w:val="0"/>
              <w:keepLines w:val="0"/>
              <w:pageBreakBefore w:val="0"/>
              <w:kinsoku w:val="0"/>
              <w:wordWrap/>
              <w:topLinePunct w:val="0"/>
              <w:bidi w:val="0"/>
              <w:snapToGrid/>
              <w:spacing w:line="440" w:lineRule="exact"/>
              <w:ind w:right="1"/>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工程款支付担保内容同履约担保</w:t>
            </w:r>
          </w:p>
        </w:tc>
        <w:tc>
          <w:tcPr>
            <w:tcW w:w="6999" w:type="dxa"/>
            <w:tcBorders>
              <w:top w:val="single" w:color="000000" w:sz="4" w:space="0"/>
              <w:left w:val="single" w:color="000000" w:sz="4" w:space="0"/>
              <w:bottom w:val="single" w:color="000000" w:sz="4" w:space="0"/>
              <w:right w:val="single" w:color="000000" w:sz="4" w:space="0"/>
            </w:tcBorders>
            <w:vAlign w:val="center"/>
          </w:tcPr>
          <w:p w14:paraId="48B9CE9F">
            <w:pPr>
              <w:pStyle w:val="4"/>
              <w:keepNext w:val="0"/>
              <w:keepLines w:val="0"/>
              <w:pageBreakBefore w:val="0"/>
              <w:numPr>
                <w:ilvl w:val="0"/>
                <w:numId w:val="25"/>
              </w:numPr>
              <w:wordWrap/>
              <w:topLinePunct w:val="0"/>
              <w:bidi w:val="0"/>
              <w:snapToGrid/>
              <w:spacing w:line="440" w:lineRule="exact"/>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履约担保的形式：</w:t>
            </w:r>
            <w:r>
              <w:rPr>
                <w:rFonts w:hint="eastAsia" w:ascii="宋体" w:hAnsi="宋体" w:eastAsia="宋体" w:cs="宋体"/>
                <w:spacing w:val="-2"/>
                <w:sz w:val="24"/>
                <w:szCs w:val="24"/>
                <w:highlight w:val="none"/>
              </w:rPr>
              <w:t>工程保</w:t>
            </w:r>
            <w:r>
              <w:rPr>
                <w:rFonts w:hint="eastAsia" w:ascii="宋体" w:hAnsi="宋体" w:eastAsia="宋体" w:cs="宋体"/>
                <w:spacing w:val="-10"/>
                <w:sz w:val="24"/>
                <w:szCs w:val="24"/>
                <w:highlight w:val="none"/>
              </w:rPr>
              <w:t>函</w:t>
            </w:r>
            <w:r>
              <w:rPr>
                <w:rFonts w:hint="eastAsia" w:ascii="宋体" w:hAnsi="宋体" w:eastAsia="宋体" w:cs="宋体"/>
                <w:spacing w:val="-2"/>
                <w:sz w:val="24"/>
                <w:szCs w:val="24"/>
                <w:highlight w:val="none"/>
              </w:rPr>
              <w:t>（</w:t>
            </w:r>
            <w:r>
              <w:rPr>
                <w:rFonts w:hint="eastAsia" w:ascii="宋体" w:hAnsi="宋体" w:eastAsia="宋体" w:cs="宋体"/>
                <w:b/>
                <w:spacing w:val="-2"/>
                <w:sz w:val="24"/>
                <w:szCs w:val="24"/>
                <w:highlight w:val="none"/>
              </w:rPr>
              <w:t>银行保函</w:t>
            </w:r>
            <w:r>
              <w:rPr>
                <w:rFonts w:hint="eastAsia" w:ascii="宋体" w:hAnsi="宋体" w:eastAsia="宋体" w:cs="宋体"/>
                <w:b/>
                <w:spacing w:val="-11"/>
                <w:sz w:val="24"/>
                <w:szCs w:val="24"/>
                <w:highlight w:val="none"/>
              </w:rPr>
              <w:t>、</w:t>
            </w:r>
            <w:r>
              <w:rPr>
                <w:rFonts w:hint="eastAsia" w:ascii="宋体" w:hAnsi="宋体" w:eastAsia="宋体" w:cs="宋体"/>
                <w:b/>
                <w:spacing w:val="-2"/>
                <w:sz w:val="24"/>
                <w:szCs w:val="24"/>
                <w:highlight w:val="none"/>
              </w:rPr>
              <w:t>保险机构</w:t>
            </w:r>
            <w:r>
              <w:rPr>
                <w:rFonts w:hint="eastAsia" w:ascii="宋体" w:hAnsi="宋体" w:eastAsia="宋体" w:cs="宋体"/>
                <w:b/>
                <w:spacing w:val="-1"/>
                <w:sz w:val="24"/>
                <w:szCs w:val="24"/>
                <w:highlight w:val="none"/>
              </w:rPr>
              <w:t>保证</w:t>
            </w:r>
            <w:r>
              <w:rPr>
                <w:rFonts w:hint="eastAsia" w:ascii="宋体" w:hAnsi="宋体" w:eastAsia="宋体" w:cs="宋体"/>
                <w:b/>
                <w:sz w:val="24"/>
                <w:szCs w:val="24"/>
                <w:highlight w:val="none"/>
              </w:rPr>
              <w:t>保险保单，</w:t>
            </w:r>
            <w:r>
              <w:rPr>
                <w:rFonts w:hint="eastAsia" w:ascii="宋体" w:hAnsi="宋体" w:eastAsia="宋体" w:cs="宋体"/>
                <w:b/>
                <w:color w:val="auto"/>
                <w:spacing w:val="-2"/>
                <w:sz w:val="24"/>
                <w:szCs w:val="24"/>
                <w:highlight w:val="none"/>
              </w:rPr>
              <w:t>融资担保公司保函</w:t>
            </w:r>
            <w:r>
              <w:rPr>
                <w:rFonts w:hint="eastAsia" w:ascii="宋体" w:hAnsi="宋体" w:eastAsia="宋体" w:cs="宋体"/>
                <w:color w:val="auto"/>
                <w:sz w:val="24"/>
                <w:szCs w:val="24"/>
                <w:highlight w:val="none"/>
              </w:rPr>
              <w:t>）。</w:t>
            </w:r>
          </w:p>
          <w:p w14:paraId="72018E14">
            <w:pPr>
              <w:pStyle w:val="4"/>
              <w:keepNext w:val="0"/>
              <w:keepLines w:val="0"/>
              <w:pageBreakBefore w:val="0"/>
              <w:numPr>
                <w:ilvl w:val="0"/>
                <w:numId w:val="25"/>
              </w:numPr>
              <w:wordWrap/>
              <w:topLinePunct w:val="0"/>
              <w:bidi w:val="0"/>
              <w:snapToGrid/>
              <w:spacing w:line="440" w:lineRule="exact"/>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履约担保的金额：合同价的2%。</w:t>
            </w:r>
          </w:p>
          <w:p w14:paraId="07B11526">
            <w:pPr>
              <w:pStyle w:val="14"/>
              <w:keepNext w:val="0"/>
              <w:keepLines w:val="0"/>
              <w:pageBreakBefore w:val="0"/>
              <w:numPr>
                <w:ilvl w:val="0"/>
                <w:numId w:val="25"/>
              </w:numPr>
              <w:wordWrap/>
              <w:topLinePunct w:val="0"/>
              <w:bidi w:val="0"/>
              <w:snapToGrid/>
              <w:spacing w:after="0" w:line="440" w:lineRule="exact"/>
              <w:ind w:left="425" w:leftChars="0" w:hanging="425"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民工工资支付担保的相关约定：按三人社[2019]41号《关于印发三门县建设领域民工工资管理办法（试行）的通知》及浙建[2020]7号关于在全省工程建设领域改革保证金制度的通知等相关文件执行。</w:t>
            </w:r>
          </w:p>
        </w:tc>
      </w:tr>
      <w:tr w14:paraId="180C09A7">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9E29350">
            <w:pPr>
              <w:pStyle w:val="32"/>
              <w:keepNext w:val="0"/>
              <w:keepLines w:val="0"/>
              <w:pageBreakBefore w:val="0"/>
              <w:kinsoku w:val="0"/>
              <w:wordWrap/>
              <w:topLinePunct w:val="0"/>
              <w:bidi w:val="0"/>
              <w:snapToGrid/>
              <w:spacing w:line="440" w:lineRule="exact"/>
              <w:ind w:left="367" w:firstLine="240" w:firstLineChars="1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w:t>
            </w:r>
          </w:p>
        </w:tc>
        <w:tc>
          <w:tcPr>
            <w:tcW w:w="1697" w:type="dxa"/>
            <w:tcBorders>
              <w:top w:val="single" w:color="000000" w:sz="4" w:space="0"/>
              <w:left w:val="single" w:color="000000" w:sz="4" w:space="0"/>
              <w:bottom w:val="single" w:color="000000" w:sz="4" w:space="0"/>
              <w:right w:val="single" w:color="000000" w:sz="4" w:space="0"/>
            </w:tcBorders>
            <w:vAlign w:val="center"/>
          </w:tcPr>
          <w:p w14:paraId="524288B1">
            <w:pPr>
              <w:pStyle w:val="32"/>
              <w:keepNext w:val="0"/>
              <w:keepLines w:val="0"/>
              <w:pageBreakBefore w:val="0"/>
              <w:kinsoku w:val="0"/>
              <w:wordWrap/>
              <w:topLinePunct w:val="0"/>
              <w:bidi w:val="0"/>
              <w:snapToGrid/>
              <w:spacing w:line="440" w:lineRule="exact"/>
              <w:ind w:right="1"/>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重新招标其他情形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4B7A94CB">
            <w:pPr>
              <w:keepNext w:val="0"/>
              <w:keepLines w:val="0"/>
              <w:pageBreakBefore w:val="0"/>
              <w:numPr>
                <w:ilvl w:val="0"/>
                <w:numId w:val="26"/>
              </w:numPr>
              <w:wordWrap/>
              <w:topLinePunct w:val="0"/>
              <w:bidi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招标投标过程中，因项目发生变更，现有招标资格条件与项目工程规模不符的；</w:t>
            </w:r>
          </w:p>
          <w:p w14:paraId="4C37D17D">
            <w:pPr>
              <w:keepNext w:val="0"/>
              <w:keepLines w:val="0"/>
              <w:pageBreakBefore w:val="0"/>
              <w:numPr>
                <w:ilvl w:val="0"/>
                <w:numId w:val="26"/>
              </w:numPr>
              <w:wordWrap/>
              <w:topLinePunct w:val="0"/>
              <w:bidi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r>
              <w:rPr>
                <w:rFonts w:hint="eastAsia" w:ascii="宋体" w:hAnsi="宋体" w:eastAsia="宋体" w:cs="宋体"/>
                <w:sz w:val="24"/>
                <w:szCs w:val="24"/>
              </w:rPr>
              <w:t>。</w:t>
            </w:r>
          </w:p>
          <w:p w14:paraId="573BECA9">
            <w:pPr>
              <w:keepNext w:val="0"/>
              <w:keepLines w:val="0"/>
              <w:pageBreakBefore w:val="0"/>
              <w:numPr>
                <w:ilvl w:val="0"/>
                <w:numId w:val="26"/>
              </w:numPr>
              <w:wordWrap/>
              <w:topLinePunct w:val="0"/>
              <w:bidi w:val="0"/>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rPr>
              <w:t>法律法规规定的其他情形。</w:t>
            </w:r>
          </w:p>
        </w:tc>
      </w:tr>
      <w:tr w14:paraId="17034D9E">
        <w:tblPrEx>
          <w:tblCellMar>
            <w:top w:w="0" w:type="dxa"/>
            <w:left w:w="57" w:type="dxa"/>
            <w:bottom w:w="0" w:type="dxa"/>
            <w:right w:w="57" w:type="dxa"/>
          </w:tblCellMar>
        </w:tblPrEx>
        <w:trPr>
          <w:trHeight w:val="123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0DA99C0">
            <w:pPr>
              <w:pStyle w:val="32"/>
              <w:keepNext w:val="0"/>
              <w:keepLines w:val="0"/>
              <w:pageBreakBefore w:val="0"/>
              <w:kinsoku w:val="0"/>
              <w:wordWrap/>
              <w:topLinePunct w:val="0"/>
              <w:bidi w:val="0"/>
              <w:snapToGrid/>
              <w:spacing w:line="440" w:lineRule="exact"/>
              <w:ind w:left="367" w:firstLine="240" w:firstLineChars="1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w:t>
            </w:r>
          </w:p>
        </w:tc>
        <w:tc>
          <w:tcPr>
            <w:tcW w:w="1697" w:type="dxa"/>
            <w:tcBorders>
              <w:top w:val="single" w:color="000000" w:sz="4" w:space="0"/>
              <w:left w:val="single" w:color="000000" w:sz="4" w:space="0"/>
              <w:bottom w:val="single" w:color="000000" w:sz="4" w:space="0"/>
              <w:right w:val="single" w:color="000000" w:sz="4" w:space="0"/>
            </w:tcBorders>
            <w:vAlign w:val="center"/>
          </w:tcPr>
          <w:p w14:paraId="5B49D47C">
            <w:pPr>
              <w:pStyle w:val="32"/>
              <w:keepNext w:val="0"/>
              <w:keepLines w:val="0"/>
              <w:pageBreakBefore w:val="0"/>
              <w:kinsoku w:val="0"/>
              <w:wordWrap/>
              <w:topLinePunct w:val="0"/>
              <w:bidi w:val="0"/>
              <w:snapToGrid/>
              <w:spacing w:line="440" w:lineRule="exact"/>
              <w:ind w:right="1"/>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不再招标的</w:t>
            </w:r>
          </w:p>
          <w:p w14:paraId="058E643A">
            <w:pPr>
              <w:pStyle w:val="32"/>
              <w:keepNext w:val="0"/>
              <w:keepLines w:val="0"/>
              <w:pageBreakBefore w:val="0"/>
              <w:kinsoku w:val="0"/>
              <w:wordWrap/>
              <w:topLinePunct w:val="0"/>
              <w:bidi w:val="0"/>
              <w:snapToGrid/>
              <w:spacing w:line="440" w:lineRule="exact"/>
              <w:ind w:right="1"/>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77675A78">
            <w:pPr>
              <w:keepNext w:val="0"/>
              <w:keepLines w:val="0"/>
              <w:pageBreakBefore w:val="0"/>
              <w:wordWrap/>
              <w:topLinePunct w:val="0"/>
              <w:bidi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重新招标后投标人仍少于3个的，属于必须审批、核准的工程建设项目，报经原审批、核准部门审批、核准后可以不再进行招标。</w:t>
            </w:r>
          </w:p>
        </w:tc>
      </w:tr>
      <w:tr w14:paraId="4C6DD625">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E5C2B7E">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697" w:type="dxa"/>
            <w:tcBorders>
              <w:top w:val="single" w:color="000000" w:sz="4" w:space="0"/>
              <w:left w:val="single" w:color="000000" w:sz="4" w:space="0"/>
              <w:bottom w:val="single" w:color="000000" w:sz="4" w:space="0"/>
              <w:right w:val="single" w:color="000000" w:sz="4" w:space="0"/>
            </w:tcBorders>
            <w:vAlign w:val="center"/>
          </w:tcPr>
          <w:p w14:paraId="6CF99D98">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需要补充的</w:t>
            </w:r>
          </w:p>
          <w:p w14:paraId="3B586684">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其他内容</w:t>
            </w:r>
          </w:p>
        </w:tc>
        <w:tc>
          <w:tcPr>
            <w:tcW w:w="6999" w:type="dxa"/>
            <w:tcBorders>
              <w:top w:val="single" w:color="000000" w:sz="4" w:space="0"/>
              <w:left w:val="single" w:color="000000" w:sz="4" w:space="0"/>
              <w:bottom w:val="single" w:color="000000" w:sz="4" w:space="0"/>
              <w:right w:val="single" w:color="000000" w:sz="4" w:space="0"/>
            </w:tcBorders>
            <w:vAlign w:val="center"/>
          </w:tcPr>
          <w:p w14:paraId="03F59EB7">
            <w:pPr>
              <w:keepNext w:val="0"/>
              <w:keepLines w:val="0"/>
              <w:pageBreakBefore w:val="0"/>
              <w:wordWrap/>
              <w:topLinePunct w:val="0"/>
              <w:bidi w:val="0"/>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投诉受理的具体部门及电话：</w:t>
            </w:r>
            <w:r>
              <w:rPr>
                <w:rFonts w:hint="eastAsia" w:ascii="宋体" w:hAnsi="宋体" w:eastAsia="宋体" w:cs="宋体"/>
                <w:sz w:val="24"/>
                <w:szCs w:val="24"/>
                <w:highlight w:val="none"/>
                <w:lang w:eastAsia="zh-CN"/>
              </w:rPr>
              <w:t>三门县住房和城乡建设局</w:t>
            </w:r>
            <w:r>
              <w:rPr>
                <w:rFonts w:hint="eastAsia" w:ascii="宋体" w:hAnsi="宋体" w:eastAsia="宋体" w:cs="宋体"/>
                <w:sz w:val="24"/>
                <w:szCs w:val="24"/>
                <w:highlight w:val="none"/>
              </w:rPr>
              <w:t>； 0576-83333556</w:t>
            </w:r>
          </w:p>
        </w:tc>
      </w:tr>
      <w:tr w14:paraId="15478077">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D09EA65">
            <w:pPr>
              <w:pStyle w:val="32"/>
              <w:keepNext w:val="0"/>
              <w:keepLines w:val="0"/>
              <w:pageBreakBefore w:val="0"/>
              <w:kinsoku w:val="0"/>
              <w:wordWrap/>
              <w:topLinePunct w:val="0"/>
              <w:bidi w:val="0"/>
              <w:snapToGrid/>
              <w:spacing w:line="44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2E1DB22C">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否决投标的</w:t>
            </w:r>
          </w:p>
          <w:p w14:paraId="21FB5A30">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1231050E">
            <w:pPr>
              <w:keepNext w:val="0"/>
              <w:keepLines w:val="0"/>
              <w:pageBreakBefore w:val="0"/>
              <w:numPr>
                <w:ilvl w:val="0"/>
                <w:numId w:val="27"/>
              </w:numPr>
              <w:wordWrap/>
              <w:topLinePunct w:val="0"/>
              <w:bidi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投标文件存在以下情形之一的，由评标委员会审核并经过询问核对程序，其投标文件将被否决：</w:t>
            </w:r>
          </w:p>
          <w:p w14:paraId="1390E15E">
            <w:pPr>
              <w:keepNext w:val="0"/>
              <w:keepLines w:val="0"/>
              <w:pageBreakBefore w:val="0"/>
              <w:numPr>
                <w:ilvl w:val="0"/>
                <w:numId w:val="28"/>
              </w:numPr>
              <w:wordWrap/>
              <w:topLinePunct w:val="0"/>
              <w:bidi w:val="0"/>
              <w:snapToGri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资格</w:t>
            </w:r>
            <w:r>
              <w:rPr>
                <w:rFonts w:hint="eastAsia" w:ascii="宋体" w:hAnsi="宋体" w:eastAsia="宋体" w:cs="宋体"/>
                <w:b/>
                <w:bCs/>
                <w:sz w:val="24"/>
                <w:szCs w:val="24"/>
                <w:lang w:val="en-US" w:eastAsia="zh-CN"/>
              </w:rPr>
              <w:t>标</w:t>
            </w:r>
            <w:r>
              <w:rPr>
                <w:rFonts w:hint="eastAsia" w:ascii="宋体" w:hAnsi="宋体" w:eastAsia="宋体" w:cs="宋体"/>
                <w:b/>
                <w:bCs/>
                <w:sz w:val="24"/>
                <w:szCs w:val="24"/>
              </w:rPr>
              <w:t>评审内容：</w:t>
            </w:r>
          </w:p>
          <w:p w14:paraId="23370EDB">
            <w:pPr>
              <w:pStyle w:val="34"/>
              <w:keepNext w:val="0"/>
              <w:keepLines w:val="0"/>
              <w:pageBreakBefore w:val="0"/>
              <w:numPr>
                <w:ilvl w:val="0"/>
                <w:numId w:val="29"/>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投标人不满足招标文件载明的企业资质、人员资格、安全生产许可证、业绩条件（若有）的；</w:t>
            </w:r>
          </w:p>
          <w:p w14:paraId="00253368">
            <w:pPr>
              <w:pStyle w:val="34"/>
              <w:keepNext w:val="0"/>
              <w:keepLines w:val="0"/>
              <w:pageBreakBefore w:val="0"/>
              <w:numPr>
                <w:ilvl w:val="0"/>
                <w:numId w:val="29"/>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投标人未按照招标文件的要求提交投标保证金的；</w:t>
            </w:r>
          </w:p>
          <w:p w14:paraId="25182E33">
            <w:pPr>
              <w:pStyle w:val="34"/>
              <w:keepNext w:val="0"/>
              <w:keepLines w:val="0"/>
              <w:pageBreakBefore w:val="0"/>
              <w:numPr>
                <w:ilvl w:val="0"/>
                <w:numId w:val="29"/>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投标人被有关行政监管部门依法限制投标且在限制期内的；</w:t>
            </w:r>
          </w:p>
          <w:p w14:paraId="0AA5067B">
            <w:pPr>
              <w:pStyle w:val="34"/>
              <w:keepNext w:val="0"/>
              <w:keepLines w:val="0"/>
              <w:pageBreakBefore w:val="0"/>
              <w:numPr>
                <w:ilvl w:val="0"/>
                <w:numId w:val="29"/>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不同投标人的投标文件检测码（或制作码、创建码、水印码）一致的</w:t>
            </w:r>
            <w:r>
              <w:rPr>
                <w:rFonts w:hint="eastAsia" w:ascii="宋体" w:hAnsi="宋体" w:eastAsia="宋体" w:cs="宋体"/>
                <w:sz w:val="24"/>
                <w:szCs w:val="24"/>
                <w:highlight w:val="none"/>
              </w:rPr>
              <w:t>；</w:t>
            </w:r>
          </w:p>
          <w:p w14:paraId="087EBEDE">
            <w:pPr>
              <w:keepNext w:val="0"/>
              <w:keepLines w:val="0"/>
              <w:pageBreakBefore w:val="0"/>
              <w:numPr>
                <w:ilvl w:val="0"/>
                <w:numId w:val="29"/>
              </w:numPr>
              <w:wordWrap/>
              <w:topLinePunct w:val="0"/>
              <w:bidi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如为</w:t>
            </w:r>
            <w:r>
              <w:rPr>
                <w:rFonts w:hint="eastAsia" w:ascii="宋体" w:hAnsi="宋体" w:eastAsia="宋体" w:cs="宋体"/>
                <w:sz w:val="24"/>
                <w:szCs w:val="24"/>
                <w:highlight w:val="none"/>
              </w:rPr>
              <w:t>委托代理人</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未提供有效的授权委托书的；</w:t>
            </w:r>
            <w:r>
              <w:rPr>
                <w:rFonts w:hint="eastAsia" w:ascii="宋体" w:hAnsi="宋体" w:cs="宋体"/>
                <w:sz w:val="24"/>
                <w:szCs w:val="24"/>
                <w:highlight w:val="none"/>
                <w:lang w:val="en-US" w:eastAsia="zh-CN"/>
              </w:rPr>
              <w:t>如为</w:t>
            </w:r>
            <w:r>
              <w:rPr>
                <w:rFonts w:hint="eastAsia" w:ascii="宋体" w:hAnsi="宋体" w:eastAsia="宋体" w:cs="宋体"/>
                <w:sz w:val="24"/>
                <w:szCs w:val="24"/>
                <w:highlight w:val="none"/>
              </w:rPr>
              <w:t>法定代表人</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未提供有效法定代表人身份证明；</w:t>
            </w:r>
          </w:p>
          <w:p w14:paraId="626E1BFB">
            <w:pPr>
              <w:pStyle w:val="34"/>
              <w:keepNext w:val="0"/>
              <w:keepLines w:val="0"/>
              <w:pageBreakBefore w:val="0"/>
              <w:numPr>
                <w:ilvl w:val="0"/>
                <w:numId w:val="29"/>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拟派项目负责人的建造师证书须采用电子证书打印件扫描上传。其中一级建造师电子证书须执行住房和城乡建设部的文件（建办市〔2021〕40号）的相关规定。一级建造师电子证书打印后，未在个人签名处手写本人签名，未手写签名或与签名图像笔迹不一致的；</w:t>
            </w:r>
          </w:p>
          <w:p w14:paraId="7ECCCB6D">
            <w:pPr>
              <w:pStyle w:val="34"/>
              <w:keepNext w:val="0"/>
              <w:keepLines w:val="0"/>
              <w:pageBreakBefore w:val="0"/>
              <w:numPr>
                <w:ilvl w:val="0"/>
                <w:numId w:val="29"/>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投标文件要求投标人盖章，未经投标人盖章的；投标文件要求法定代表人签字或盖章，未经法定代表人签字也未盖章的；</w:t>
            </w:r>
          </w:p>
          <w:p w14:paraId="1239D643">
            <w:pPr>
              <w:pStyle w:val="34"/>
              <w:keepNext w:val="0"/>
              <w:keepLines w:val="0"/>
              <w:pageBreakBefore w:val="0"/>
              <w:numPr>
                <w:ilvl w:val="0"/>
                <w:numId w:val="29"/>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组成联合体投标的，投标文件未附联合体各方共同投标协议的；</w:t>
            </w:r>
          </w:p>
          <w:p w14:paraId="2F9A4445">
            <w:pPr>
              <w:pStyle w:val="34"/>
              <w:keepNext w:val="0"/>
              <w:keepLines w:val="0"/>
              <w:pageBreakBefore w:val="0"/>
              <w:numPr>
                <w:ilvl w:val="0"/>
                <w:numId w:val="29"/>
              </w:numPr>
              <w:wordWrap/>
              <w:topLinePunct w:val="0"/>
              <w:bidi w:val="0"/>
              <w:snapToGrid/>
              <w:spacing w:line="440" w:lineRule="exact"/>
              <w:ind w:left="0" w:leftChars="0" w:right="276" w:rightChars="115"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投标文件组成不符合投标人须知3.1条款的；</w:t>
            </w:r>
          </w:p>
          <w:p w14:paraId="64FB7806">
            <w:pPr>
              <w:pStyle w:val="34"/>
              <w:keepNext w:val="0"/>
              <w:keepLines w:val="0"/>
              <w:pageBreakBefore w:val="0"/>
              <w:numPr>
                <w:ilvl w:val="0"/>
                <w:numId w:val="29"/>
              </w:numPr>
              <w:wordWrap/>
              <w:topLinePunct w:val="0"/>
              <w:bidi w:val="0"/>
              <w:snapToGrid/>
              <w:spacing w:line="440" w:lineRule="exact"/>
              <w:ind w:left="0" w:leftChars="0" w:right="276" w:rightChars="115"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存在法律、法规、规章规定的其他否决投标的情形</w:t>
            </w:r>
            <w:r>
              <w:rPr>
                <w:rFonts w:hint="eastAsia" w:ascii="宋体" w:hAnsi="宋体" w:eastAsia="宋体" w:cs="宋体"/>
                <w:sz w:val="24"/>
                <w:szCs w:val="24"/>
                <w:highlight w:val="none"/>
                <w:lang w:eastAsia="zh-CN"/>
              </w:rPr>
              <w:t>；</w:t>
            </w:r>
          </w:p>
          <w:p w14:paraId="33EEEAE3">
            <w:pPr>
              <w:pStyle w:val="34"/>
              <w:keepNext w:val="0"/>
              <w:keepLines w:val="0"/>
              <w:pageBreakBefore w:val="0"/>
              <w:numPr>
                <w:ilvl w:val="0"/>
                <w:numId w:val="29"/>
              </w:numPr>
              <w:wordWrap/>
              <w:topLinePunct w:val="0"/>
              <w:bidi w:val="0"/>
              <w:snapToGrid/>
              <w:spacing w:line="440" w:lineRule="exact"/>
              <w:ind w:left="0" w:leftChars="0" w:right="276" w:rightChars="115"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投标</w:t>
            </w:r>
            <w:r>
              <w:rPr>
                <w:rFonts w:hint="eastAsia" w:ascii="宋体" w:hAnsi="宋体" w:eastAsia="宋体" w:cs="宋体"/>
                <w:b/>
                <w:bCs/>
                <w:color w:val="auto"/>
                <w:sz w:val="24"/>
                <w:szCs w:val="24"/>
                <w:highlight w:val="none"/>
                <w:lang w:eastAsia="zh-CN"/>
              </w:rPr>
              <w:t>人提供</w:t>
            </w:r>
            <w:r>
              <w:rPr>
                <w:rFonts w:hint="eastAsia" w:ascii="宋体" w:hAnsi="宋体" w:eastAsia="宋体" w:cs="宋体"/>
                <w:b/>
                <w:bCs/>
                <w:color w:val="auto"/>
                <w:sz w:val="24"/>
                <w:szCs w:val="24"/>
                <w:highlight w:val="none"/>
                <w:lang w:val="en-US" w:eastAsia="zh-CN"/>
              </w:rPr>
              <w:t>的资质动态核查证明为“不合格”状态的（或者资质“合格”状态的等级低于投标要求的资质等级）或者未提供资质动态核查证明的。</w:t>
            </w:r>
          </w:p>
          <w:p w14:paraId="6F8E28F6">
            <w:pPr>
              <w:keepNext w:val="0"/>
              <w:keepLines w:val="0"/>
              <w:pageBreakBefore w:val="0"/>
              <w:numPr>
                <w:ilvl w:val="0"/>
                <w:numId w:val="28"/>
              </w:numPr>
              <w:wordWrap/>
              <w:topLinePunct w:val="0"/>
              <w:bidi w:val="0"/>
              <w:snapToGri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资信标评审内容</w:t>
            </w:r>
          </w:p>
          <w:p w14:paraId="4098EBC5">
            <w:pPr>
              <w:pStyle w:val="34"/>
              <w:keepNext w:val="0"/>
              <w:keepLines w:val="0"/>
              <w:pageBreakBefore w:val="0"/>
              <w:numPr>
                <w:ilvl w:val="0"/>
                <w:numId w:val="30"/>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不同投标人的投标文件检测码（或制作码、创建码、水印码）一致的</w:t>
            </w:r>
            <w:r>
              <w:rPr>
                <w:rFonts w:hint="eastAsia" w:ascii="宋体" w:hAnsi="宋体" w:eastAsia="宋体" w:cs="宋体"/>
                <w:sz w:val="24"/>
                <w:szCs w:val="24"/>
                <w:highlight w:val="none"/>
              </w:rPr>
              <w:t>；</w:t>
            </w:r>
          </w:p>
          <w:p w14:paraId="37AE2E87">
            <w:pPr>
              <w:pStyle w:val="34"/>
              <w:keepNext w:val="0"/>
              <w:keepLines w:val="0"/>
              <w:pageBreakBefore w:val="0"/>
              <w:numPr>
                <w:ilvl w:val="0"/>
                <w:numId w:val="30"/>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投标文件组成不符合投标人须知3.1条款的；</w:t>
            </w:r>
          </w:p>
          <w:p w14:paraId="56FD5DD2">
            <w:pPr>
              <w:pStyle w:val="34"/>
              <w:keepNext w:val="0"/>
              <w:keepLines w:val="0"/>
              <w:pageBreakBefore w:val="0"/>
              <w:numPr>
                <w:ilvl w:val="0"/>
                <w:numId w:val="30"/>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投标文件要求投标人盖章，未经投标人盖章的；投标文件要求法定代表人签字或盖章，未经法定代表人签字也未盖章的；</w:t>
            </w:r>
          </w:p>
          <w:p w14:paraId="72BCEC8F">
            <w:pPr>
              <w:pStyle w:val="34"/>
              <w:keepNext w:val="0"/>
              <w:keepLines w:val="0"/>
              <w:pageBreakBefore w:val="0"/>
              <w:numPr>
                <w:ilvl w:val="0"/>
                <w:numId w:val="30"/>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存在法律、法规、规章规定的其它否决投标情形的；</w:t>
            </w:r>
          </w:p>
          <w:p w14:paraId="33930049">
            <w:pPr>
              <w:keepNext w:val="0"/>
              <w:keepLines w:val="0"/>
              <w:pageBreakBefore w:val="0"/>
              <w:numPr>
                <w:ilvl w:val="0"/>
                <w:numId w:val="28"/>
              </w:numPr>
              <w:wordWrap/>
              <w:topLinePunct w:val="0"/>
              <w:bidi w:val="0"/>
              <w:snapToGrid/>
              <w:spacing w:line="440" w:lineRule="exac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技术</w:t>
            </w:r>
            <w:r>
              <w:rPr>
                <w:rFonts w:hint="eastAsia" w:ascii="宋体" w:hAnsi="宋体" w:eastAsia="宋体" w:cs="宋体"/>
                <w:b/>
                <w:bCs/>
                <w:sz w:val="24"/>
                <w:szCs w:val="24"/>
              </w:rPr>
              <w:t>标评审内容：</w:t>
            </w:r>
          </w:p>
          <w:p w14:paraId="3DA6F6B9">
            <w:pPr>
              <w:pStyle w:val="34"/>
              <w:keepNext w:val="0"/>
              <w:keepLines w:val="0"/>
              <w:pageBreakBefore w:val="0"/>
              <w:numPr>
                <w:ilvl w:val="0"/>
                <w:numId w:val="31"/>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技术标文件中出现投标人名称、投标人的人员姓名或其 </w:t>
            </w:r>
          </w:p>
          <w:p w14:paraId="468E510E">
            <w:pPr>
              <w:pStyle w:val="34"/>
              <w:keepNext w:val="0"/>
              <w:keepLines w:val="0"/>
              <w:pageBreakBefore w:val="0"/>
              <w:numPr>
                <w:ilvl w:val="0"/>
                <w:numId w:val="0"/>
              </w:numPr>
              <w:wordWrap/>
              <w:topLinePunct w:val="0"/>
              <w:bidi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他任何能影射或能推断出投标人的表述； </w:t>
            </w:r>
          </w:p>
          <w:p w14:paraId="22181C4F">
            <w:pPr>
              <w:pStyle w:val="34"/>
              <w:keepNext w:val="0"/>
              <w:keepLines w:val="0"/>
              <w:pageBreakBefore w:val="0"/>
              <w:numPr>
                <w:ilvl w:val="0"/>
                <w:numId w:val="31"/>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投标文件组成不符合投标人须知3.1条款的； </w:t>
            </w:r>
          </w:p>
          <w:p w14:paraId="4D0C64C2">
            <w:pPr>
              <w:pStyle w:val="34"/>
              <w:keepNext w:val="0"/>
              <w:keepLines w:val="0"/>
              <w:pageBreakBefore w:val="0"/>
              <w:numPr>
                <w:ilvl w:val="0"/>
                <w:numId w:val="31"/>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投标文件编制不符合投标</w:t>
            </w:r>
            <w:r>
              <w:rPr>
                <w:rFonts w:hint="eastAsia" w:ascii="宋体" w:hAnsi="宋体" w:eastAsia="宋体" w:cs="宋体"/>
                <w:color w:val="auto"/>
                <w:sz w:val="24"/>
                <w:szCs w:val="24"/>
                <w:highlight w:val="none"/>
                <w:lang w:val="en-US" w:eastAsia="zh-CN"/>
              </w:rPr>
              <w:t xml:space="preserve">人须知前附表10.8项的； </w:t>
            </w:r>
          </w:p>
          <w:p w14:paraId="06FAC58E">
            <w:pPr>
              <w:pStyle w:val="34"/>
              <w:keepNext w:val="0"/>
              <w:keepLines w:val="0"/>
              <w:pageBreakBefore w:val="0"/>
              <w:numPr>
                <w:ilvl w:val="0"/>
                <w:numId w:val="31"/>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投标人递交两份或多份内容不同的投标文件； </w:t>
            </w:r>
          </w:p>
          <w:p w14:paraId="00526BA5">
            <w:pPr>
              <w:pStyle w:val="34"/>
              <w:keepNext w:val="0"/>
              <w:keepLines w:val="0"/>
              <w:pageBreakBefore w:val="0"/>
              <w:numPr>
                <w:ilvl w:val="0"/>
                <w:numId w:val="31"/>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采用的施工工艺、方法或质量安全管理措施不能满足国 家强制性标准或要求的； </w:t>
            </w:r>
          </w:p>
          <w:p w14:paraId="3BE1FCE8">
            <w:pPr>
              <w:pStyle w:val="34"/>
              <w:keepNext w:val="0"/>
              <w:keepLines w:val="0"/>
              <w:pageBreakBefore w:val="0"/>
              <w:numPr>
                <w:ilvl w:val="0"/>
                <w:numId w:val="31"/>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项目管理班子配备不能满足要求的； </w:t>
            </w:r>
          </w:p>
          <w:p w14:paraId="6CE7E363">
            <w:pPr>
              <w:pStyle w:val="34"/>
              <w:keepNext w:val="0"/>
              <w:keepLines w:val="0"/>
              <w:pageBreakBefore w:val="0"/>
              <w:numPr>
                <w:ilvl w:val="0"/>
                <w:numId w:val="31"/>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关键施工技术方案不可行的；</w:t>
            </w:r>
          </w:p>
          <w:p w14:paraId="12B581F5">
            <w:pPr>
              <w:pStyle w:val="34"/>
              <w:keepNext w:val="0"/>
              <w:keepLines w:val="0"/>
              <w:pageBreakBefore w:val="0"/>
              <w:numPr>
                <w:ilvl w:val="0"/>
                <w:numId w:val="31"/>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生产措施存在重大安全隐患的； </w:t>
            </w:r>
          </w:p>
          <w:p w14:paraId="7CEAF989">
            <w:pPr>
              <w:pStyle w:val="34"/>
              <w:keepNext w:val="0"/>
              <w:keepLines w:val="0"/>
              <w:pageBreakBefore w:val="0"/>
              <w:numPr>
                <w:ilvl w:val="0"/>
                <w:numId w:val="31"/>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主要施工机械设备不能满足施工需要的； </w:t>
            </w:r>
          </w:p>
          <w:p w14:paraId="52CD9BC6">
            <w:pPr>
              <w:pStyle w:val="34"/>
              <w:keepNext w:val="0"/>
              <w:keepLines w:val="0"/>
              <w:pageBreakBefore w:val="0"/>
              <w:numPr>
                <w:ilvl w:val="0"/>
                <w:numId w:val="31"/>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采用的验收标准或主要技术指标达不到国家强制性标准 或招标文件要求的； </w:t>
            </w:r>
          </w:p>
          <w:p w14:paraId="351E9ED2">
            <w:pPr>
              <w:pStyle w:val="34"/>
              <w:keepNext w:val="0"/>
              <w:keepLines w:val="0"/>
              <w:pageBreakBefore w:val="0"/>
              <w:numPr>
                <w:ilvl w:val="0"/>
                <w:numId w:val="31"/>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存在法律、法规、规章规定的其它否决投标情形的。</w:t>
            </w:r>
          </w:p>
          <w:p w14:paraId="6DD0AD77">
            <w:pPr>
              <w:keepNext w:val="0"/>
              <w:keepLines w:val="0"/>
              <w:pageBreakBefore w:val="0"/>
              <w:numPr>
                <w:ilvl w:val="0"/>
                <w:numId w:val="28"/>
              </w:numPr>
              <w:wordWrap/>
              <w:topLinePunct w:val="0"/>
              <w:bidi w:val="0"/>
              <w:snapToGrid/>
              <w:spacing w:line="440" w:lineRule="exact"/>
              <w:textAlignment w:val="auto"/>
              <w:rPr>
                <w:rFonts w:hint="eastAsia"/>
              </w:rPr>
            </w:pPr>
            <w:r>
              <w:rPr>
                <w:rFonts w:hint="eastAsia" w:ascii="宋体" w:hAnsi="宋体" w:eastAsia="宋体" w:cs="宋体"/>
                <w:b/>
                <w:bCs/>
                <w:sz w:val="24"/>
                <w:szCs w:val="24"/>
              </w:rPr>
              <w:t>商务标评审内容：</w:t>
            </w:r>
          </w:p>
          <w:p w14:paraId="3FB69B8B">
            <w:pPr>
              <w:pStyle w:val="34"/>
              <w:keepNext w:val="0"/>
              <w:keepLines w:val="0"/>
              <w:pageBreakBefore w:val="0"/>
              <w:numPr>
                <w:ilvl w:val="0"/>
                <w:numId w:val="32"/>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投标报价高于最高限价的；</w:t>
            </w:r>
          </w:p>
          <w:p w14:paraId="4B9A07F0">
            <w:pPr>
              <w:pStyle w:val="34"/>
              <w:keepNext w:val="0"/>
              <w:keepLines w:val="0"/>
              <w:pageBreakBefore w:val="0"/>
              <w:numPr>
                <w:ilvl w:val="0"/>
                <w:numId w:val="32"/>
              </w:numPr>
              <w:wordWrap/>
              <w:topLinePunct w:val="0"/>
              <w:bidi w:val="0"/>
              <w:snapToGrid/>
              <w:spacing w:line="440" w:lineRule="exact"/>
              <w:ind w:left="0" w:leftChars="0" w:right="276" w:rightChars="115"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不同投标人的投标文件检测码（或制作码、创建码、水印码）一致的</w:t>
            </w:r>
            <w:r>
              <w:rPr>
                <w:rFonts w:hint="eastAsia" w:ascii="宋体" w:hAnsi="宋体" w:eastAsia="宋体" w:cs="宋体"/>
                <w:sz w:val="24"/>
                <w:szCs w:val="24"/>
                <w:highlight w:val="none"/>
              </w:rPr>
              <w:t>；</w:t>
            </w:r>
          </w:p>
          <w:p w14:paraId="0AEFA720">
            <w:pPr>
              <w:pStyle w:val="34"/>
              <w:keepNext w:val="0"/>
              <w:keepLines w:val="0"/>
              <w:pageBreakBefore w:val="0"/>
              <w:numPr>
                <w:ilvl w:val="0"/>
                <w:numId w:val="32"/>
              </w:numPr>
              <w:wordWrap/>
              <w:topLinePunct w:val="0"/>
              <w:bidi w:val="0"/>
              <w:snapToGrid/>
              <w:spacing w:line="440" w:lineRule="exact"/>
              <w:ind w:left="0" w:leftChars="0" w:right="276" w:rightChars="115" w:firstLine="452" w:firstLineChars="200"/>
              <w:jc w:val="both"/>
              <w:textAlignment w:val="auto"/>
              <w:rPr>
                <w:rFonts w:hint="eastAsia" w:ascii="宋体" w:hAnsi="宋体" w:eastAsia="宋体" w:cs="宋体"/>
                <w:sz w:val="24"/>
                <w:szCs w:val="24"/>
                <w:highlight w:val="none"/>
              </w:rPr>
            </w:pPr>
            <w:r>
              <w:rPr>
                <w:spacing w:val="-7"/>
              </w:rPr>
              <w:t>改变招标文件和工程量清单明确的暂列金额和暂估价的；</w:t>
            </w:r>
          </w:p>
          <w:p w14:paraId="1379632A">
            <w:pPr>
              <w:pStyle w:val="34"/>
              <w:keepNext w:val="0"/>
              <w:keepLines w:val="0"/>
              <w:pageBreakBefore w:val="0"/>
              <w:numPr>
                <w:ilvl w:val="0"/>
                <w:numId w:val="32"/>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投标文件中投标函或投标承诺书未按要求填写；</w:t>
            </w:r>
          </w:p>
          <w:p w14:paraId="61B2E60D">
            <w:pPr>
              <w:pStyle w:val="34"/>
              <w:keepNext w:val="0"/>
              <w:keepLines w:val="0"/>
              <w:pageBreakBefore w:val="0"/>
              <w:numPr>
                <w:ilvl w:val="0"/>
                <w:numId w:val="32"/>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投标文件不能满足招标文件载明的工程质量、工程验收标准、施工工期、保修期要求的；</w:t>
            </w:r>
          </w:p>
          <w:p w14:paraId="38D0486A">
            <w:pPr>
              <w:pStyle w:val="34"/>
              <w:keepNext w:val="0"/>
              <w:keepLines w:val="0"/>
              <w:pageBreakBefore w:val="0"/>
              <w:numPr>
                <w:ilvl w:val="0"/>
                <w:numId w:val="32"/>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规费、税金报价不符合现行规定的；</w:t>
            </w:r>
          </w:p>
          <w:p w14:paraId="6E0B1480">
            <w:pPr>
              <w:pStyle w:val="34"/>
              <w:keepNext w:val="0"/>
              <w:keepLines w:val="0"/>
              <w:pageBreakBefore w:val="0"/>
              <w:numPr>
                <w:ilvl w:val="0"/>
                <w:numId w:val="32"/>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改变招标文件提供的工程量清单（含分部分项工程及措施项目、其他项目清单项目的编码、项目名称、计量单位、工程数量、项目特征描述）的；</w:t>
            </w:r>
          </w:p>
          <w:p w14:paraId="41B802BF">
            <w:pPr>
              <w:pStyle w:val="34"/>
              <w:keepNext w:val="0"/>
              <w:keepLines w:val="0"/>
              <w:pageBreakBefore w:val="0"/>
              <w:numPr>
                <w:ilvl w:val="0"/>
                <w:numId w:val="32"/>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经评标委员会认定投标人的投标报价低于成本价，且投标人对其报价不能充分说明理由，或提供的相关资料无法证明报价不低于其成本价的；</w:t>
            </w:r>
          </w:p>
          <w:p w14:paraId="2186D64B">
            <w:pPr>
              <w:pStyle w:val="34"/>
              <w:keepNext w:val="0"/>
              <w:keepLines w:val="0"/>
              <w:pageBreakBefore w:val="0"/>
              <w:numPr>
                <w:ilvl w:val="0"/>
                <w:numId w:val="32"/>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投标文件的编制人接受同一工程招标人委托编制招标文件（含招标控制价)，或接受其他投标人委托编制投标文件的；</w:t>
            </w:r>
          </w:p>
          <w:p w14:paraId="21DF29AD">
            <w:pPr>
              <w:pStyle w:val="34"/>
              <w:keepNext w:val="0"/>
              <w:keepLines w:val="0"/>
              <w:pageBreakBefore w:val="0"/>
              <w:numPr>
                <w:ilvl w:val="0"/>
                <w:numId w:val="32"/>
              </w:numPr>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投标文件要求投标人盖章，未经投标人盖章的；投标文件要求法定代表人签字或盖章，未经法定代表人签字也未盖章的；</w:t>
            </w:r>
          </w:p>
          <w:p w14:paraId="50FFDF34">
            <w:pPr>
              <w:pStyle w:val="34"/>
              <w:keepNext w:val="0"/>
              <w:keepLines w:val="0"/>
              <w:pageBreakBefore w:val="0"/>
              <w:numPr>
                <w:ilvl w:val="0"/>
                <w:numId w:val="32"/>
              </w:numPr>
              <w:wordWrap/>
              <w:topLinePunct w:val="0"/>
              <w:bidi w:val="0"/>
              <w:snapToGrid/>
              <w:spacing w:line="440" w:lineRule="exact"/>
              <w:ind w:left="0" w:leftChars="0" w:right="276" w:rightChars="115"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存在法律、法规、规章规定的其它否决投标情况的；</w:t>
            </w:r>
          </w:p>
          <w:p w14:paraId="1C7726E1">
            <w:pPr>
              <w:keepNext w:val="0"/>
              <w:keepLines w:val="0"/>
              <w:pageBreakBefore w:val="0"/>
              <w:numPr>
                <w:ilvl w:val="0"/>
                <w:numId w:val="28"/>
              </w:numPr>
              <w:wordWrap/>
              <w:topLinePunct w:val="0"/>
              <w:bidi w:val="0"/>
              <w:snapToGri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其他：</w:t>
            </w:r>
          </w:p>
          <w:p w14:paraId="061F7CF6">
            <w:pPr>
              <w:pStyle w:val="34"/>
              <w:keepNext w:val="0"/>
              <w:keepLines w:val="0"/>
              <w:pageBreakBefore w:val="0"/>
              <w:widowControl w:val="0"/>
              <w:numPr>
                <w:ilvl w:val="0"/>
                <w:numId w:val="33"/>
              </w:numPr>
              <w:wordWrap/>
              <w:overflowPunct/>
              <w:topLinePunct w:val="0"/>
              <w:autoSpaceDE w:val="0"/>
              <w:autoSpaceDN w:val="0"/>
              <w:bidi w:val="0"/>
              <w:adjustRightInd w:val="0"/>
              <w:snapToGrid/>
              <w:spacing w:line="44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投标人及其拟派项目负责人</w:t>
            </w:r>
            <w:r>
              <w:rPr>
                <w:rFonts w:hint="eastAsia" w:cs="宋体"/>
                <w:color w:val="auto"/>
                <w:sz w:val="24"/>
                <w:szCs w:val="24"/>
                <w:highlight w:val="none"/>
                <w:lang w:val="en-US" w:eastAsia="zh-CN"/>
              </w:rPr>
              <w:t>自2021年1月1日起至投标截止日止</w:t>
            </w:r>
            <w:r>
              <w:rPr>
                <w:rFonts w:hint="eastAsia" w:ascii="宋体" w:hAnsi="宋体" w:eastAsia="宋体" w:cs="宋体"/>
                <w:color w:val="auto"/>
                <w:sz w:val="24"/>
                <w:szCs w:val="24"/>
                <w:highlight w:val="none"/>
              </w:rPr>
              <w:t>有行贿犯罪记录的；</w:t>
            </w:r>
          </w:p>
          <w:p w14:paraId="252D00C5">
            <w:pPr>
              <w:pStyle w:val="34"/>
              <w:keepNext w:val="0"/>
              <w:keepLines w:val="0"/>
              <w:pageBreakBefore w:val="0"/>
              <w:widowControl w:val="0"/>
              <w:numPr>
                <w:ilvl w:val="0"/>
                <w:numId w:val="33"/>
              </w:numPr>
              <w:kinsoku w:val="0"/>
              <w:wordWrap/>
              <w:overflowPunct/>
              <w:topLinePunct w:val="0"/>
              <w:autoSpaceDE w:val="0"/>
              <w:autoSpaceDN w:val="0"/>
              <w:bidi w:val="0"/>
              <w:adjustRightInd w:val="0"/>
              <w:snapToGrid/>
              <w:spacing w:line="440" w:lineRule="exact"/>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投标人未按投标人须知</w:t>
            </w:r>
            <w:r>
              <w:rPr>
                <w:rFonts w:hint="eastAsia" w:ascii="宋体" w:hAnsi="宋体" w:eastAsia="宋体" w:cs="宋体"/>
                <w:sz w:val="24"/>
                <w:szCs w:val="24"/>
                <w:highlight w:val="none"/>
              </w:rPr>
              <w:t>前附表10.2项，投标人须知第1.4.4项、1.12项和3.6项规定执行的；</w:t>
            </w:r>
          </w:p>
          <w:p w14:paraId="487E3239">
            <w:pPr>
              <w:pStyle w:val="34"/>
              <w:keepNext w:val="0"/>
              <w:keepLines w:val="0"/>
              <w:pageBreakBefore w:val="0"/>
              <w:widowControl w:val="0"/>
              <w:numPr>
                <w:ilvl w:val="0"/>
                <w:numId w:val="33"/>
              </w:numPr>
              <w:kinsoku w:val="0"/>
              <w:wordWrap/>
              <w:overflowPunct/>
              <w:topLinePunct w:val="0"/>
              <w:autoSpaceDE w:val="0"/>
              <w:autoSpaceDN w:val="0"/>
              <w:bidi w:val="0"/>
              <w:adjustRightInd w:val="0"/>
              <w:snapToGrid/>
              <w:spacing w:line="440" w:lineRule="exact"/>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存在台州市建设工程诚信投标承诺书（投标文件格式七）中串通投标行为的；</w:t>
            </w:r>
          </w:p>
          <w:p w14:paraId="13519B03">
            <w:pPr>
              <w:pStyle w:val="34"/>
              <w:keepNext w:val="0"/>
              <w:keepLines w:val="0"/>
              <w:pageBreakBefore w:val="0"/>
              <w:widowControl w:val="0"/>
              <w:numPr>
                <w:ilvl w:val="0"/>
                <w:numId w:val="33"/>
              </w:numPr>
              <w:kinsoku w:val="0"/>
              <w:wordWrap/>
              <w:overflowPunct/>
              <w:topLinePunct w:val="0"/>
              <w:autoSpaceDE w:val="0"/>
              <w:autoSpaceDN w:val="0"/>
              <w:bidi w:val="0"/>
              <w:adjustRightInd w:val="0"/>
              <w:snapToGrid/>
              <w:spacing w:line="440" w:lineRule="exact"/>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法律、法规、规章规定其它应否决投标的情形。</w:t>
            </w:r>
          </w:p>
        </w:tc>
      </w:tr>
      <w:tr w14:paraId="511F92EC">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5596B3F">
            <w:pPr>
              <w:spacing w:line="321" w:lineRule="auto"/>
              <w:jc w:val="center"/>
              <w:rPr>
                <w:rFonts w:ascii="Arial"/>
                <w:sz w:val="21"/>
              </w:rPr>
            </w:pPr>
          </w:p>
          <w:p w14:paraId="033E587B">
            <w:pPr>
              <w:spacing w:before="69" w:line="188" w:lineRule="auto"/>
              <w:ind w:left="285" w:leftChars="0"/>
              <w:jc w:val="center"/>
              <w:rPr>
                <w:rFonts w:hint="eastAsia" w:ascii="宋体" w:hAnsi="宋体" w:cs="宋体"/>
                <w:sz w:val="24"/>
                <w:szCs w:val="24"/>
                <w:highlight w:val="none"/>
                <w:lang w:val="en-US" w:eastAsia="zh-CN"/>
              </w:rPr>
            </w:pPr>
            <w:r>
              <w:rPr>
                <w:rFonts w:ascii="Times New Roman" w:hAnsi="Times New Roman" w:eastAsia="Times New Roman" w:cs="Times New Roman"/>
                <w:spacing w:val="-8"/>
                <w:sz w:val="24"/>
                <w:szCs w:val="24"/>
              </w:rPr>
              <w:t>10.4</w:t>
            </w:r>
          </w:p>
        </w:tc>
        <w:tc>
          <w:tcPr>
            <w:tcW w:w="1697" w:type="dxa"/>
            <w:tcBorders>
              <w:top w:val="single" w:color="000000" w:sz="4" w:space="0"/>
              <w:left w:val="single" w:color="000000" w:sz="4" w:space="0"/>
              <w:bottom w:val="single" w:color="000000" w:sz="4" w:space="0"/>
              <w:right w:val="single" w:color="000000" w:sz="4" w:space="0"/>
            </w:tcBorders>
            <w:vAlign w:val="center"/>
          </w:tcPr>
          <w:p w14:paraId="359330AB">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在建合同工程的认定及变更证明</w:t>
            </w:r>
          </w:p>
        </w:tc>
        <w:tc>
          <w:tcPr>
            <w:tcW w:w="6999" w:type="dxa"/>
            <w:tcBorders>
              <w:top w:val="single" w:color="000000" w:sz="4" w:space="0"/>
              <w:left w:val="single" w:color="000000" w:sz="4" w:space="0"/>
              <w:bottom w:val="single" w:color="000000" w:sz="4" w:space="0"/>
              <w:right w:val="single" w:color="000000" w:sz="4" w:space="0"/>
            </w:tcBorders>
            <w:vAlign w:val="center"/>
          </w:tcPr>
          <w:p w14:paraId="3C80F2B2">
            <w:pPr>
              <w:keepNext w:val="0"/>
              <w:keepLines w:val="0"/>
              <w:pageBreakBefore w:val="0"/>
              <w:numPr>
                <w:ilvl w:val="0"/>
                <w:numId w:val="34"/>
              </w:numPr>
              <w:wordWrap/>
              <w:topLinePunct w:val="0"/>
              <w:bidi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对项目负责人“有在建合同工程”的认定标准：</w:t>
            </w:r>
          </w:p>
          <w:p w14:paraId="077178AA">
            <w:pPr>
              <w:keepNext w:val="0"/>
              <w:keepLines w:val="0"/>
              <w:pageBreakBefore w:val="0"/>
              <w:widowControl w:val="0"/>
              <w:numPr>
                <w:ilvl w:val="0"/>
                <w:numId w:val="35"/>
              </w:numPr>
              <w:kinsoku/>
              <w:wordWrap/>
              <w:overflowPunct/>
              <w:topLinePunct w:val="0"/>
              <w:autoSpaceDE w:val="0"/>
              <w:autoSpaceDN w:val="0"/>
              <w:bidi w:val="0"/>
              <w:adjustRightInd w:val="0"/>
              <w:snapToGrid/>
              <w:spacing w:line="440" w:lineRule="exact"/>
              <w:ind w:left="0" w:leftChars="0"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项目负责人在本工程投标文件提交截止日前，原以建造师身份承接（包括已办理项目负责人变更手续）的工程项目未通过竣工验收的（以单位工程质量竣工验收记录为准），认定该项目负责人有在建合同工程，该项目负责人不得参加投标。发生下列情形之一的除外：</w:t>
            </w:r>
          </w:p>
          <w:p w14:paraId="49530688">
            <w:pPr>
              <w:keepNext w:val="0"/>
              <w:keepLines w:val="0"/>
              <w:pageBreakBefore w:val="0"/>
              <w:numPr>
                <w:ilvl w:val="0"/>
                <w:numId w:val="36"/>
              </w:numPr>
              <w:wordWrap/>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sz w:val="24"/>
                <w:szCs w:val="24"/>
              </w:rPr>
              <w:t>原</w:t>
            </w:r>
            <w:r>
              <w:rPr>
                <w:rFonts w:hint="eastAsia" w:ascii="宋体" w:hAnsi="宋体" w:eastAsia="宋体" w:cs="宋体"/>
                <w:color w:val="auto"/>
                <w:sz w:val="24"/>
                <w:szCs w:val="24"/>
              </w:rPr>
              <w:t>承接的项目与本工程属于同一工程相邻分段发包或分期施工的；</w:t>
            </w:r>
          </w:p>
          <w:p w14:paraId="5ECCC9E8">
            <w:pPr>
              <w:keepNext w:val="0"/>
              <w:keepLines w:val="0"/>
              <w:pageBreakBefore w:val="0"/>
              <w:numPr>
                <w:ilvl w:val="0"/>
                <w:numId w:val="36"/>
              </w:numPr>
              <w:wordWrap/>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因非承包方原因致使工程项目停工超过120天（含），经原建设单位同意的；</w:t>
            </w:r>
          </w:p>
          <w:p w14:paraId="14BAF3B5">
            <w:pPr>
              <w:keepNext w:val="0"/>
              <w:keepLines w:val="0"/>
              <w:pageBreakBefore w:val="0"/>
              <w:numPr>
                <w:ilvl w:val="0"/>
                <w:numId w:val="36"/>
              </w:numPr>
              <w:wordWrap/>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合同约定的工程已完工，承包方向建设单位提交竣工报告时间已超过120天（含），经原建设单位同意的。</w:t>
            </w:r>
          </w:p>
          <w:p w14:paraId="675791F9">
            <w:pPr>
              <w:pStyle w:val="20"/>
              <w:keepNext w:val="0"/>
              <w:keepLines w:val="0"/>
              <w:pageBreakBefore w:val="0"/>
              <w:wordWrap/>
              <w:topLinePunct w:val="0"/>
              <w:bidi w:val="0"/>
              <w:snapToGrid/>
              <w:spacing w:line="440" w:lineRule="exact"/>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如发生以上a、b、c情形的，投标人应在投标文件中提交有关书面证明材料（以电子文档形式随资</w:t>
            </w:r>
            <w:r>
              <w:rPr>
                <w:rFonts w:hint="eastAsia" w:ascii="宋体" w:hAnsi="宋体" w:eastAsia="宋体" w:cs="宋体"/>
                <w:color w:val="auto"/>
                <w:sz w:val="24"/>
                <w:szCs w:val="24"/>
                <w:highlight w:val="none"/>
                <w:lang w:val="en-US" w:eastAsia="zh-CN"/>
              </w:rPr>
              <w:t>格</w:t>
            </w:r>
            <w:r>
              <w:rPr>
                <w:rFonts w:hint="eastAsia" w:ascii="宋体" w:hAnsi="宋体" w:eastAsia="宋体" w:cs="宋体"/>
                <w:color w:val="auto"/>
                <w:sz w:val="24"/>
                <w:szCs w:val="24"/>
                <w:highlight w:val="none"/>
              </w:rPr>
              <w:t>标上传，招标文件提供证明格式的须按照该格式提交），投标截止日后提供的证明材料视为瞒报、漏报，将不予认可。</w:t>
            </w:r>
          </w:p>
          <w:p w14:paraId="6225E7F0">
            <w:pPr>
              <w:pStyle w:val="20"/>
              <w:keepNext w:val="0"/>
              <w:keepLines w:val="0"/>
              <w:pageBreakBefore w:val="0"/>
              <w:wordWrap/>
              <w:topLinePunct w:val="0"/>
              <w:bidi w:val="0"/>
              <w:snapToGrid/>
              <w:spacing w:line="44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若承接项目已取得单位工程质量竣工验收记录的，该项目不作为在建。原承接项目已解除合同的，该项目不作为在建。</w:t>
            </w:r>
          </w:p>
        </w:tc>
      </w:tr>
      <w:tr w14:paraId="5698F898">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59029BBD">
            <w:pPr>
              <w:spacing w:line="252" w:lineRule="auto"/>
              <w:rPr>
                <w:rFonts w:ascii="Arial"/>
                <w:sz w:val="21"/>
              </w:rPr>
            </w:pPr>
          </w:p>
          <w:p w14:paraId="33B22B01">
            <w:pPr>
              <w:spacing w:line="252" w:lineRule="auto"/>
              <w:rPr>
                <w:rFonts w:ascii="Arial"/>
                <w:sz w:val="21"/>
              </w:rPr>
            </w:pPr>
          </w:p>
          <w:p w14:paraId="2BB1BAC0">
            <w:pPr>
              <w:spacing w:line="252" w:lineRule="auto"/>
              <w:rPr>
                <w:rFonts w:ascii="Arial"/>
                <w:sz w:val="21"/>
              </w:rPr>
            </w:pPr>
          </w:p>
          <w:p w14:paraId="7D9C0C59">
            <w:pPr>
              <w:spacing w:line="252" w:lineRule="auto"/>
              <w:rPr>
                <w:rFonts w:ascii="Arial"/>
                <w:sz w:val="21"/>
              </w:rPr>
            </w:pPr>
          </w:p>
          <w:p w14:paraId="1F821111">
            <w:pPr>
              <w:spacing w:line="253" w:lineRule="auto"/>
              <w:rPr>
                <w:rFonts w:ascii="Arial"/>
                <w:sz w:val="21"/>
              </w:rPr>
            </w:pPr>
          </w:p>
          <w:p w14:paraId="44CE9802">
            <w:pPr>
              <w:spacing w:before="69" w:line="188" w:lineRule="auto"/>
              <w:ind w:left="285" w:leftChars="0"/>
              <w:rPr>
                <w:rFonts w:ascii="Times New Roman" w:hAnsi="Times New Roman" w:eastAsia="Times New Roman" w:cs="Times New Roman"/>
                <w:spacing w:val="-8"/>
                <w:sz w:val="24"/>
                <w:szCs w:val="24"/>
              </w:rPr>
            </w:pPr>
            <w:r>
              <w:rPr>
                <w:rFonts w:ascii="Times New Roman" w:hAnsi="Times New Roman" w:eastAsia="Times New Roman" w:cs="Times New Roman"/>
                <w:spacing w:val="-8"/>
                <w:sz w:val="24"/>
                <w:szCs w:val="24"/>
              </w:rPr>
              <w:t>10.5</w:t>
            </w:r>
          </w:p>
        </w:tc>
        <w:tc>
          <w:tcPr>
            <w:tcW w:w="1697" w:type="dxa"/>
            <w:tcBorders>
              <w:top w:val="single" w:color="000000" w:sz="4" w:space="0"/>
              <w:left w:val="single" w:color="000000" w:sz="4" w:space="0"/>
              <w:bottom w:val="single" w:color="000000" w:sz="4" w:space="0"/>
              <w:right w:val="single" w:color="000000" w:sz="4" w:space="0"/>
            </w:tcBorders>
            <w:vAlign w:val="center"/>
          </w:tcPr>
          <w:p w14:paraId="2972C00B">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w:t>
            </w:r>
          </w:p>
          <w:p w14:paraId="4D79E215">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澄清、说明</w:t>
            </w:r>
          </w:p>
          <w:p w14:paraId="181FEA7D">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或补正</w:t>
            </w:r>
          </w:p>
        </w:tc>
        <w:tc>
          <w:tcPr>
            <w:tcW w:w="6999" w:type="dxa"/>
            <w:tcBorders>
              <w:top w:val="single" w:color="000000" w:sz="4" w:space="0"/>
              <w:left w:val="single" w:color="000000" w:sz="4" w:space="0"/>
              <w:bottom w:val="single" w:color="000000" w:sz="4" w:space="0"/>
              <w:right w:val="single" w:color="000000" w:sz="4" w:space="0"/>
            </w:tcBorders>
            <w:vAlign w:val="center"/>
          </w:tcPr>
          <w:p w14:paraId="130BAB92">
            <w:pPr>
              <w:pStyle w:val="33"/>
              <w:keepNext w:val="0"/>
              <w:keepLines w:val="0"/>
              <w:pageBreakBefore w:val="0"/>
              <w:numPr>
                <w:ilvl w:val="0"/>
                <w:numId w:val="37"/>
              </w:numPr>
              <w:wordWrap/>
              <w:topLinePunct w:val="0"/>
              <w:bidi w:val="0"/>
              <w:snapToGrid/>
              <w:spacing w:line="440" w:lineRule="exact"/>
              <w:ind w:left="425" w:leftChars="0" w:hanging="425"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澄清回复时间不得超过在发出通知后</w:t>
            </w:r>
            <w:r>
              <w:rPr>
                <w:rFonts w:hint="eastAsia" w:ascii="宋体" w:hAnsi="宋体" w:eastAsia="宋体" w:cs="宋体"/>
                <w:color w:val="auto"/>
                <w:sz w:val="24"/>
                <w:szCs w:val="24"/>
                <w:highlight w:val="none"/>
                <w:u w:val="single"/>
                <w:lang w:val="en-US"/>
              </w:rPr>
              <w:t>30</w:t>
            </w:r>
            <w:r>
              <w:rPr>
                <w:rFonts w:hint="eastAsia" w:ascii="宋体" w:hAnsi="宋体" w:eastAsia="宋体" w:cs="宋体"/>
                <w:color w:val="auto"/>
                <w:sz w:val="24"/>
                <w:szCs w:val="24"/>
                <w:highlight w:val="none"/>
              </w:rPr>
              <w:t>分钟，投标人逾期或未按要求澄清回复的，将视为不予回复或确认，评标委员会有权否决其投标。投标人通讯不畅通，导致不能及时联系的，视作为投标人不予回复或确认。</w:t>
            </w:r>
          </w:p>
          <w:p w14:paraId="17C4A334">
            <w:pPr>
              <w:pStyle w:val="33"/>
              <w:keepNext w:val="0"/>
              <w:keepLines w:val="0"/>
              <w:pageBreakBefore w:val="0"/>
              <w:numPr>
                <w:ilvl w:val="0"/>
                <w:numId w:val="37"/>
              </w:numPr>
              <w:wordWrap/>
              <w:topLinePunct w:val="0"/>
              <w:bidi w:val="0"/>
              <w:snapToGrid/>
              <w:spacing w:line="440" w:lineRule="exact"/>
              <w:ind w:left="425" w:leftChars="0" w:hanging="425"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评标委员会对投标人提交的澄清、说明或补正有疑问的，可以要求投标人进一步澄清、说明或补正，直至满足评标委员会的要求。</w:t>
            </w:r>
          </w:p>
          <w:p w14:paraId="167477DF">
            <w:pPr>
              <w:pStyle w:val="33"/>
              <w:keepNext w:val="0"/>
              <w:keepLines w:val="0"/>
              <w:pageBreakBefore w:val="0"/>
              <w:numPr>
                <w:ilvl w:val="0"/>
                <w:numId w:val="37"/>
              </w:numPr>
              <w:wordWrap/>
              <w:topLinePunct w:val="0"/>
              <w:bidi w:val="0"/>
              <w:snapToGrid/>
              <w:spacing w:line="440" w:lineRule="exact"/>
              <w:ind w:left="425" w:leftChars="0" w:hanging="425"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投标人拒不按照要求对投标文件进行澄清、说明或者补正的，评标委员会可以否决其投标。</w:t>
            </w:r>
          </w:p>
        </w:tc>
      </w:tr>
      <w:tr w14:paraId="3632E2CE">
        <w:tblPrEx>
          <w:tblCellMar>
            <w:top w:w="0" w:type="dxa"/>
            <w:left w:w="57" w:type="dxa"/>
            <w:bottom w:w="0" w:type="dxa"/>
            <w:right w:w="57" w:type="dxa"/>
          </w:tblCellMar>
        </w:tblPrEx>
        <w:trPr>
          <w:trHeight w:val="53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2B988A7">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w:t>
            </w:r>
            <w:r>
              <w:rPr>
                <w:rFonts w:hint="eastAsia" w:ascii="宋体" w:hAnsi="宋体" w:cs="宋体"/>
                <w:sz w:val="24"/>
                <w:szCs w:val="24"/>
                <w:highlight w:val="none"/>
                <w:lang w:val="en-US" w:eastAsia="zh-CN"/>
              </w:rPr>
              <w:t>7</w:t>
            </w:r>
          </w:p>
        </w:tc>
        <w:tc>
          <w:tcPr>
            <w:tcW w:w="1697" w:type="dxa"/>
            <w:tcBorders>
              <w:top w:val="single" w:color="000000" w:sz="4" w:space="0"/>
              <w:left w:val="single" w:color="000000" w:sz="4" w:space="0"/>
              <w:bottom w:val="single" w:color="000000" w:sz="4" w:space="0"/>
              <w:right w:val="single" w:color="000000" w:sz="4" w:space="0"/>
            </w:tcBorders>
            <w:vAlign w:val="center"/>
          </w:tcPr>
          <w:p w14:paraId="090B19FF">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商务标编制</w:t>
            </w:r>
          </w:p>
          <w:p w14:paraId="3A8DF38A">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相关规定</w:t>
            </w:r>
          </w:p>
        </w:tc>
        <w:tc>
          <w:tcPr>
            <w:tcW w:w="6999" w:type="dxa"/>
            <w:tcBorders>
              <w:top w:val="single" w:color="000000" w:sz="4" w:space="0"/>
              <w:left w:val="single" w:color="000000" w:sz="4" w:space="0"/>
              <w:bottom w:val="single" w:color="000000" w:sz="4" w:space="0"/>
              <w:right w:val="single" w:color="000000" w:sz="4" w:space="0"/>
            </w:tcBorders>
            <w:vAlign w:val="center"/>
          </w:tcPr>
          <w:p w14:paraId="4C64C6A0">
            <w:pPr>
              <w:keepNext w:val="0"/>
              <w:keepLines w:val="0"/>
              <w:pageBreakBefore w:val="0"/>
              <w:wordWrap/>
              <w:topLinePunct w:val="0"/>
              <w:bidi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根据住房和城乡建设部、省建设主管部门对造价从业人员执业管理的相关法律法规规定以及《建设工程工程量清单计价规范》（GB50500-2013）的规定，投标报价的编制必须遵守以下规定：</w:t>
            </w:r>
          </w:p>
          <w:p w14:paraId="6BF7DE94">
            <w:pPr>
              <w:keepNext w:val="0"/>
              <w:keepLines w:val="0"/>
              <w:pageBreakBefore w:val="0"/>
              <w:numPr>
                <w:ilvl w:val="0"/>
                <w:numId w:val="38"/>
              </w:numPr>
              <w:wordWrap/>
              <w:topLinePunct w:val="0"/>
              <w:bidi w:val="0"/>
              <w:snapToGrid/>
              <w:spacing w:line="440" w:lineRule="exact"/>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投标报价应由投标人或受其委托具有相应能力的工程造价咨询人编制。</w:t>
            </w:r>
          </w:p>
          <w:p w14:paraId="1F1174FE">
            <w:pPr>
              <w:keepNext w:val="0"/>
              <w:keepLines w:val="0"/>
              <w:pageBreakBefore w:val="0"/>
              <w:numPr>
                <w:ilvl w:val="0"/>
                <w:numId w:val="38"/>
              </w:numPr>
              <w:wordWrap/>
              <w:topLinePunct w:val="0"/>
              <w:bidi w:val="0"/>
              <w:snapToGrid/>
              <w:spacing w:line="440" w:lineRule="exact"/>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投标文件的编制人不得接受同一工程招标人委托编制招标文件（含招标控制价)，并不得接受其他投标人委托编制投标文件</w:t>
            </w:r>
            <w:r>
              <w:rPr>
                <w:rFonts w:hint="eastAsia" w:ascii="宋体" w:hAnsi="宋体" w:eastAsia="宋体" w:cs="宋体"/>
                <w:sz w:val="24"/>
                <w:szCs w:val="24"/>
                <w:highlight w:val="none"/>
                <w:lang w:eastAsia="zh-CN"/>
              </w:rPr>
              <w:t>。</w:t>
            </w:r>
          </w:p>
          <w:p w14:paraId="30ED2D39">
            <w:pPr>
              <w:keepNext w:val="0"/>
              <w:keepLines w:val="0"/>
              <w:pageBreakBefore w:val="0"/>
              <w:numPr>
                <w:ilvl w:val="0"/>
                <w:numId w:val="38"/>
              </w:numPr>
              <w:wordWrap/>
              <w:topLinePunct w:val="0"/>
              <w:bidi w:val="0"/>
              <w:snapToGrid/>
              <w:spacing w:line="440" w:lineRule="exact"/>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投标函格式由“三门商务标投标(18定额)”自动生成。</w:t>
            </w:r>
          </w:p>
        </w:tc>
      </w:tr>
      <w:tr w14:paraId="67D9252A">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80DF6B8">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w:t>
            </w:r>
            <w:r>
              <w:rPr>
                <w:rFonts w:hint="eastAsia" w:ascii="宋体" w:hAnsi="宋体" w:cs="宋体"/>
                <w:sz w:val="24"/>
                <w:szCs w:val="24"/>
                <w:highlight w:val="none"/>
                <w:lang w:val="en-US" w:eastAsia="zh-CN"/>
              </w:rPr>
              <w:t>8</w:t>
            </w:r>
          </w:p>
        </w:tc>
        <w:tc>
          <w:tcPr>
            <w:tcW w:w="1697" w:type="dxa"/>
            <w:tcBorders>
              <w:top w:val="single" w:color="000000" w:sz="4" w:space="0"/>
              <w:left w:val="single" w:color="000000" w:sz="4" w:space="0"/>
              <w:bottom w:val="single" w:color="000000" w:sz="4" w:space="0"/>
              <w:right w:val="single" w:color="000000" w:sz="4" w:space="0"/>
            </w:tcBorders>
            <w:vAlign w:val="top"/>
          </w:tcPr>
          <w:p w14:paraId="3C371E65">
            <w:pPr>
              <w:spacing w:line="312" w:lineRule="auto"/>
              <w:rPr>
                <w:rFonts w:ascii="Arial"/>
                <w:color w:val="auto"/>
                <w:sz w:val="21"/>
              </w:rPr>
            </w:pPr>
          </w:p>
          <w:p w14:paraId="0B11A312">
            <w:pPr>
              <w:spacing w:line="313" w:lineRule="auto"/>
              <w:rPr>
                <w:rFonts w:ascii="Arial"/>
                <w:color w:val="auto"/>
                <w:sz w:val="21"/>
              </w:rPr>
            </w:pPr>
          </w:p>
          <w:p w14:paraId="754C338A">
            <w:pPr>
              <w:spacing w:line="313" w:lineRule="auto"/>
              <w:rPr>
                <w:rFonts w:ascii="Arial"/>
                <w:color w:val="auto"/>
                <w:sz w:val="21"/>
              </w:rPr>
            </w:pPr>
          </w:p>
          <w:p w14:paraId="157ED0C8">
            <w:pPr>
              <w:pStyle w:val="42"/>
              <w:spacing w:before="78" w:line="275" w:lineRule="auto"/>
              <w:ind w:left="169" w:leftChars="0" w:right="164" w:rightChars="0"/>
              <w:jc w:val="both"/>
              <w:rPr>
                <w:rFonts w:hint="eastAsia" w:ascii="宋体" w:hAnsi="宋体" w:eastAsia="宋体" w:cs="宋体"/>
                <w:color w:val="auto"/>
                <w:sz w:val="24"/>
                <w:szCs w:val="24"/>
                <w:highlight w:val="none"/>
              </w:rPr>
            </w:pPr>
            <w:r>
              <w:rPr>
                <w:color w:val="auto"/>
                <w:spacing w:val="-2"/>
              </w:rPr>
              <w:t>技术标、项目负责人陈述和答辩相关要求</w:t>
            </w:r>
          </w:p>
        </w:tc>
        <w:tc>
          <w:tcPr>
            <w:tcW w:w="6999" w:type="dxa"/>
            <w:tcBorders>
              <w:top w:val="single" w:color="000000" w:sz="4" w:space="0"/>
              <w:left w:val="single" w:color="000000" w:sz="4" w:space="0"/>
              <w:bottom w:val="single" w:color="000000" w:sz="4" w:space="0"/>
              <w:right w:val="single" w:color="000000" w:sz="4" w:space="0"/>
            </w:tcBorders>
            <w:vAlign w:val="top"/>
          </w:tcPr>
          <w:p w14:paraId="5AB3306E">
            <w:pPr>
              <w:pStyle w:val="42"/>
              <w:spacing w:before="93" w:line="190" w:lineRule="auto"/>
              <w:ind w:left="124"/>
              <w:rPr>
                <w:color w:val="auto"/>
              </w:rPr>
            </w:pPr>
            <w:r>
              <w:rPr>
                <w:color w:val="auto"/>
                <w:spacing w:val="-5"/>
              </w:rPr>
              <w:t>技术文件编制要求：</w:t>
            </w:r>
          </w:p>
          <w:p w14:paraId="4CA3ADD8">
            <w:pPr>
              <w:pStyle w:val="42"/>
              <w:numPr>
                <w:ilvl w:val="0"/>
                <w:numId w:val="39"/>
              </w:numPr>
              <w:spacing w:before="45" w:line="275" w:lineRule="auto"/>
              <w:ind w:left="112" w:right="109" w:firstLine="19"/>
              <w:jc w:val="both"/>
              <w:rPr>
                <w:color w:val="auto"/>
                <w:spacing w:val="-1"/>
              </w:rPr>
            </w:pPr>
            <w:r>
              <w:rPr>
                <w:color w:val="auto"/>
                <w:spacing w:val="8"/>
              </w:rPr>
              <w:t>技术文件采用暗标形式，不得出现投标人名称、投标</w:t>
            </w:r>
            <w:r>
              <w:rPr>
                <w:color w:val="auto"/>
                <w:spacing w:val="7"/>
              </w:rPr>
              <w:t>人的人员姓名及其他任何能影射或能推断出</w:t>
            </w:r>
            <w:r>
              <w:rPr>
                <w:color w:val="auto"/>
                <w:spacing w:val="6"/>
              </w:rPr>
              <w:t>投标人的标</w:t>
            </w:r>
            <w:r>
              <w:rPr>
                <w:color w:val="auto"/>
                <w:spacing w:val="-1"/>
              </w:rPr>
              <w:t>记、文字描述及图案；</w:t>
            </w:r>
          </w:p>
          <w:p w14:paraId="38875A81">
            <w:pPr>
              <w:pStyle w:val="42"/>
              <w:numPr>
                <w:ilvl w:val="0"/>
                <w:numId w:val="39"/>
              </w:numPr>
              <w:spacing w:before="34" w:line="271" w:lineRule="auto"/>
              <w:ind w:left="112" w:leftChars="0" w:right="616" w:firstLine="19" w:firstLineChars="0"/>
              <w:rPr>
                <w:color w:val="auto"/>
                <w:spacing w:val="2"/>
              </w:rPr>
            </w:pPr>
            <w:r>
              <w:rPr>
                <w:color w:val="auto"/>
                <w:spacing w:val="-3"/>
              </w:rPr>
              <w:t>技术文件必须采用</w:t>
            </w:r>
            <w:r>
              <w:rPr>
                <w:rFonts w:ascii="Calibri" w:hAnsi="Calibri" w:eastAsia="Calibri" w:cs="Calibri"/>
                <w:color w:val="auto"/>
                <w:spacing w:val="-3"/>
              </w:rPr>
              <w:t>A4</w:t>
            </w:r>
            <w:r>
              <w:rPr>
                <w:color w:val="auto"/>
                <w:spacing w:val="-3"/>
              </w:rPr>
              <w:t>幅面，总页数不得超过</w:t>
            </w:r>
            <w:r>
              <w:rPr>
                <w:rFonts w:ascii="Calibri" w:hAnsi="Calibri" w:eastAsia="Calibri" w:cs="Calibri"/>
                <w:color w:val="auto"/>
                <w:spacing w:val="-3"/>
              </w:rPr>
              <w:t>10</w:t>
            </w:r>
            <w:r>
              <w:rPr>
                <w:color w:val="auto"/>
                <w:spacing w:val="-3"/>
              </w:rPr>
              <w:t>面；</w:t>
            </w:r>
            <w:r>
              <w:rPr>
                <w:color w:val="auto"/>
                <w:spacing w:val="2"/>
              </w:rPr>
              <w:t xml:space="preserve"> </w:t>
            </w:r>
          </w:p>
          <w:p w14:paraId="0FB27B58">
            <w:pPr>
              <w:pStyle w:val="42"/>
              <w:numPr>
                <w:ilvl w:val="0"/>
                <w:numId w:val="39"/>
              </w:numPr>
              <w:spacing w:before="34" w:line="271" w:lineRule="auto"/>
              <w:ind w:left="112" w:leftChars="0" w:right="616" w:firstLine="19" w:firstLineChars="0"/>
              <w:rPr>
                <w:color w:val="auto"/>
              </w:rPr>
            </w:pPr>
            <w:r>
              <w:rPr>
                <w:color w:val="auto"/>
                <w:spacing w:val="-1"/>
              </w:rPr>
              <w:t>建议技术文件字体为四号宋体，行距</w:t>
            </w:r>
            <w:r>
              <w:rPr>
                <w:rFonts w:ascii="Calibri" w:hAnsi="Calibri" w:eastAsia="Calibri" w:cs="Calibri"/>
                <w:color w:val="auto"/>
                <w:spacing w:val="-1"/>
              </w:rPr>
              <w:t>1.5</w:t>
            </w:r>
            <w:r>
              <w:rPr>
                <w:color w:val="auto"/>
                <w:spacing w:val="-1"/>
              </w:rPr>
              <w:t>倍。</w:t>
            </w:r>
          </w:p>
          <w:p w14:paraId="4BEC2FD9">
            <w:pPr>
              <w:pStyle w:val="42"/>
              <w:spacing w:before="37" w:line="219" w:lineRule="auto"/>
              <w:ind w:left="109"/>
              <w:rPr>
                <w:color w:val="auto"/>
              </w:rPr>
            </w:pPr>
            <w:r>
              <w:rPr>
                <w:rFonts w:ascii="Calibri" w:hAnsi="Calibri" w:eastAsia="Calibri" w:cs="Calibri"/>
                <w:color w:val="auto"/>
                <w:spacing w:val="8"/>
              </w:rPr>
              <w:t>4.</w:t>
            </w:r>
            <w:r>
              <w:rPr>
                <w:rFonts w:ascii="Calibri" w:hAnsi="Calibri" w:eastAsia="Calibri" w:cs="Calibri"/>
                <w:color w:val="auto"/>
                <w:spacing w:val="-31"/>
              </w:rPr>
              <w:t xml:space="preserve"> </w:t>
            </w:r>
            <w:r>
              <w:rPr>
                <w:color w:val="auto"/>
                <w:spacing w:val="8"/>
              </w:rPr>
              <w:t>必须包含《危大工程清单及安全管理措施表》（格式</w:t>
            </w:r>
          </w:p>
          <w:p w14:paraId="6CC678D8">
            <w:pPr>
              <w:pStyle w:val="42"/>
              <w:spacing w:before="84" w:line="208" w:lineRule="auto"/>
              <w:ind w:left="117" w:leftChars="0"/>
              <w:rPr>
                <w:rFonts w:hint="eastAsia" w:ascii="宋体" w:hAnsi="宋体" w:eastAsia="宋体" w:cs="宋体"/>
                <w:color w:val="auto"/>
                <w:sz w:val="24"/>
                <w:szCs w:val="24"/>
                <w:highlight w:val="none"/>
              </w:rPr>
            </w:pPr>
            <w:r>
              <w:rPr>
                <w:color w:val="auto"/>
                <w:spacing w:val="-1"/>
              </w:rPr>
              <w:t>见附件十，由投标人自行添加到技术文件中）。</w:t>
            </w:r>
          </w:p>
        </w:tc>
      </w:tr>
      <w:tr w14:paraId="2F870ED0">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6A6DA49">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w:t>
            </w:r>
            <w:r>
              <w:rPr>
                <w:rFonts w:hint="eastAsia" w:ascii="宋体" w:hAnsi="宋体" w:cs="宋体"/>
                <w:sz w:val="24"/>
                <w:szCs w:val="24"/>
                <w:highlight w:val="none"/>
                <w:lang w:val="en-US" w:eastAsia="zh-CN"/>
              </w:rPr>
              <w:t>9</w:t>
            </w:r>
          </w:p>
        </w:tc>
        <w:tc>
          <w:tcPr>
            <w:tcW w:w="1697" w:type="dxa"/>
            <w:tcBorders>
              <w:top w:val="single" w:color="000000" w:sz="4" w:space="0"/>
              <w:left w:val="single" w:color="000000" w:sz="4" w:space="0"/>
              <w:bottom w:val="single" w:color="000000" w:sz="4" w:space="0"/>
              <w:right w:val="single" w:color="000000" w:sz="4" w:space="0"/>
            </w:tcBorders>
            <w:vAlign w:val="center"/>
          </w:tcPr>
          <w:p w14:paraId="57B60BC9">
            <w:pPr>
              <w:pStyle w:val="32"/>
              <w:keepNext w:val="0"/>
              <w:keepLines w:val="0"/>
              <w:pageBreakBefore w:val="0"/>
              <w:kinsoku w:val="0"/>
              <w:wordWrap/>
              <w:topLinePunct w:val="0"/>
              <w:bidi w:val="0"/>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特别说明</w:t>
            </w:r>
          </w:p>
        </w:tc>
        <w:tc>
          <w:tcPr>
            <w:tcW w:w="6999" w:type="dxa"/>
            <w:tcBorders>
              <w:top w:val="single" w:color="000000" w:sz="4" w:space="0"/>
              <w:left w:val="single" w:color="000000" w:sz="4" w:space="0"/>
              <w:bottom w:val="single" w:color="000000" w:sz="4" w:space="0"/>
              <w:right w:val="single" w:color="000000" w:sz="4" w:space="0"/>
            </w:tcBorders>
            <w:vAlign w:val="center"/>
          </w:tcPr>
          <w:p w14:paraId="1E049273">
            <w:pPr>
              <w:pStyle w:val="28"/>
              <w:keepNext w:val="0"/>
              <w:keepLines w:val="0"/>
              <w:pageBreakBefore w:val="0"/>
              <w:numPr>
                <w:ilvl w:val="0"/>
                <w:numId w:val="40"/>
              </w:numPr>
              <w:wordWrap/>
              <w:topLinePunct w:val="0"/>
              <w:bidi w:val="0"/>
              <w:snapToGrid/>
              <w:spacing w:line="440" w:lineRule="exact"/>
              <w:ind w:left="425" w:leftChars="0" w:hanging="425" w:firstLineChars="0"/>
              <w:jc w:val="both"/>
              <w:textAlignment w:val="auto"/>
              <w:rPr>
                <w:rFonts w:hint="eastAsia" w:ascii="宋体" w:hAnsi="宋体" w:eastAsia="宋体" w:cs="宋体"/>
                <w:iCs/>
                <w:sz w:val="24"/>
                <w:szCs w:val="24"/>
                <w:highlight w:val="none"/>
              </w:rPr>
            </w:pPr>
            <w:r>
              <w:rPr>
                <w:rFonts w:hint="eastAsia" w:ascii="宋体" w:hAnsi="宋体" w:eastAsia="宋体" w:cs="宋体"/>
                <w:iCs/>
                <w:sz w:val="24"/>
                <w:szCs w:val="24"/>
                <w:highlight w:val="none"/>
              </w:rPr>
              <w:t>本前附表是投标人须知正文内容的补充和细化，应当与正文内容一致。如本前附表与正文内容表述不一，以本前附表为准；</w:t>
            </w:r>
          </w:p>
          <w:p w14:paraId="2F82887E">
            <w:pPr>
              <w:pStyle w:val="28"/>
              <w:keepNext w:val="0"/>
              <w:keepLines w:val="0"/>
              <w:pageBreakBefore w:val="0"/>
              <w:numPr>
                <w:ilvl w:val="0"/>
                <w:numId w:val="40"/>
              </w:numPr>
              <w:wordWrap/>
              <w:topLinePunct w:val="0"/>
              <w:bidi w:val="0"/>
              <w:snapToGrid/>
              <w:spacing w:line="440" w:lineRule="exact"/>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本招标文件项目负责人一般情况下是指项目经理；</w:t>
            </w:r>
          </w:p>
          <w:p w14:paraId="66AADA15">
            <w:pPr>
              <w:pStyle w:val="28"/>
              <w:keepNext w:val="0"/>
              <w:keepLines w:val="0"/>
              <w:pageBreakBefore w:val="0"/>
              <w:numPr>
                <w:ilvl w:val="0"/>
                <w:numId w:val="40"/>
              </w:numPr>
              <w:wordWrap/>
              <w:topLinePunct w:val="0"/>
              <w:bidi w:val="0"/>
              <w:snapToGrid/>
              <w:spacing w:line="440" w:lineRule="exact"/>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当word招标文件与电子招标文件不一致时，以word招标文件为准。</w:t>
            </w:r>
          </w:p>
        </w:tc>
      </w:tr>
      <w:tr w14:paraId="00C58749">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50254C8">
            <w:pPr>
              <w:pStyle w:val="32"/>
              <w:keepNext w:val="0"/>
              <w:keepLines w:val="0"/>
              <w:pageBreakBefore w:val="0"/>
              <w:kinsoku w:val="0"/>
              <w:wordWrap/>
              <w:topLinePunct w:val="0"/>
              <w:bidi w:val="0"/>
              <w:snapToGrid/>
              <w:spacing w:line="44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10.</w:t>
            </w:r>
            <w:r>
              <w:rPr>
                <w:rFonts w:hint="eastAsia" w:ascii="宋体" w:hAnsi="宋体" w:cs="宋体"/>
                <w:sz w:val="24"/>
                <w:szCs w:val="24"/>
                <w:highlight w:val="none"/>
                <w:lang w:val="en-US" w:eastAsia="zh-CN"/>
              </w:rPr>
              <w:t>10</w:t>
            </w:r>
          </w:p>
        </w:tc>
        <w:tc>
          <w:tcPr>
            <w:tcW w:w="1697" w:type="dxa"/>
            <w:tcBorders>
              <w:top w:val="single" w:color="000000" w:sz="4" w:space="0"/>
              <w:left w:val="single" w:color="000000" w:sz="4" w:space="0"/>
              <w:bottom w:val="single" w:color="000000" w:sz="4" w:space="0"/>
              <w:right w:val="single" w:color="000000" w:sz="4" w:space="0"/>
            </w:tcBorders>
            <w:vAlign w:val="center"/>
          </w:tcPr>
          <w:p w14:paraId="1BABF266">
            <w:pPr>
              <w:keepNext w:val="0"/>
              <w:keepLines w:val="0"/>
              <w:pageBreakBefore w:val="0"/>
              <w:wordWrap/>
              <w:topLinePunct w:val="0"/>
              <w:bidi w:val="0"/>
              <w:snapToGrid/>
              <w:spacing w:line="440" w:lineRule="exact"/>
              <w:jc w:val="center"/>
              <w:textAlignment w:val="auto"/>
              <w:rPr>
                <w:rFonts w:hint="eastAsia" w:ascii="宋体" w:hAnsi="宋体" w:eastAsia="宋体" w:cs="宋体"/>
                <w:bCs/>
                <w:color w:val="FF0000"/>
                <w:sz w:val="24"/>
                <w:szCs w:val="24"/>
                <w:highlight w:val="none"/>
                <w:lang w:val="en-US" w:eastAsia="zh-CN" w:bidi="ar-SA"/>
              </w:rPr>
            </w:pPr>
            <w:r>
              <w:rPr>
                <w:rFonts w:hint="eastAsia" w:ascii="宋体" w:hAnsi="宋体" w:eastAsia="宋体" w:cs="宋体"/>
                <w:bCs/>
                <w:sz w:val="24"/>
                <w:szCs w:val="24"/>
                <w:highlight w:val="none"/>
              </w:rPr>
              <w:t>电子投标文件编制</w:t>
            </w:r>
          </w:p>
        </w:tc>
        <w:tc>
          <w:tcPr>
            <w:tcW w:w="6999" w:type="dxa"/>
            <w:tcBorders>
              <w:top w:val="single" w:color="000000" w:sz="4" w:space="0"/>
              <w:left w:val="single" w:color="000000" w:sz="4" w:space="0"/>
              <w:bottom w:val="single" w:color="000000" w:sz="4" w:space="0"/>
              <w:right w:val="single" w:color="000000" w:sz="4" w:space="0"/>
            </w:tcBorders>
            <w:vAlign w:val="center"/>
          </w:tcPr>
          <w:p w14:paraId="29B13B15">
            <w:pPr>
              <w:keepNext w:val="0"/>
              <w:keepLines w:val="0"/>
              <w:pageBreakBefore w:val="0"/>
              <w:wordWrap/>
              <w:topLinePunct w:val="0"/>
              <w:bidi w:val="0"/>
              <w:snapToGrid/>
              <w:spacing w:line="440" w:lineRule="exact"/>
              <w:ind w:firstLine="470" w:firstLineChars="196"/>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本工程的投标文件必须使用投标工具安装程序（三门投标编制4.0.2.8版本）编制，下载地址及”建设工程电子投标编制操作手册”见</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"https://www.smztb.com/Download" </w:instrText>
            </w:r>
            <w:r>
              <w:rPr>
                <w:rFonts w:hint="eastAsia" w:ascii="宋体" w:hAnsi="宋体" w:eastAsia="宋体" w:cs="宋体"/>
                <w:sz w:val="24"/>
                <w:szCs w:val="24"/>
                <w:highlight w:val="none"/>
              </w:rPr>
              <w:fldChar w:fldCharType="separate"/>
            </w:r>
            <w:r>
              <w:rPr>
                <w:rStyle w:val="25"/>
                <w:rFonts w:hint="eastAsia" w:ascii="宋体" w:hAnsi="宋体" w:eastAsia="宋体" w:cs="宋体"/>
                <w:bCs/>
                <w:color w:val="auto"/>
                <w:sz w:val="24"/>
                <w:szCs w:val="24"/>
                <w:highlight w:val="none"/>
              </w:rPr>
              <w:t>https://jyzx.sanmen.gov.cn//Download</w:t>
            </w:r>
            <w:r>
              <w:rPr>
                <w:rStyle w:val="25"/>
                <w:rFonts w:hint="eastAsia" w:ascii="宋体" w:hAnsi="宋体" w:eastAsia="宋体" w:cs="宋体"/>
                <w:bCs/>
                <w:color w:val="auto"/>
                <w:sz w:val="24"/>
                <w:szCs w:val="24"/>
                <w:highlight w:val="none"/>
              </w:rPr>
              <w:fldChar w:fldCharType="end"/>
            </w:r>
            <w:r>
              <w:rPr>
                <w:rFonts w:hint="eastAsia" w:ascii="宋体" w:hAnsi="宋体" w:eastAsia="宋体" w:cs="宋体"/>
                <w:bCs/>
                <w:sz w:val="24"/>
                <w:szCs w:val="24"/>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61F1CBDC">
            <w:pPr>
              <w:keepNext w:val="0"/>
              <w:keepLines w:val="0"/>
              <w:pageBreakBefore w:val="0"/>
              <w:wordWrap/>
              <w:topLinePunct w:val="0"/>
              <w:bidi w:val="0"/>
              <w:snapToGrid/>
              <w:spacing w:line="440" w:lineRule="exact"/>
              <w:ind w:firstLine="470" w:firstLineChars="196"/>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投标工具开发商：杭州品茗信息技术有限公司</w:t>
            </w:r>
          </w:p>
          <w:p w14:paraId="1B39C208">
            <w:pPr>
              <w:keepNext w:val="0"/>
              <w:keepLines w:val="0"/>
              <w:pageBreakBefore w:val="0"/>
              <w:wordWrap/>
              <w:topLinePunct w:val="0"/>
              <w:bidi w:val="0"/>
              <w:snapToGrid/>
              <w:spacing w:line="440" w:lineRule="exact"/>
              <w:ind w:firstLine="470" w:firstLineChars="196"/>
              <w:textAlignment w:val="auto"/>
              <w:rPr>
                <w:rFonts w:hint="eastAsia" w:ascii="宋体" w:hAnsi="宋体" w:eastAsia="宋体" w:cs="宋体"/>
                <w:bCs/>
                <w:color w:val="FF0000"/>
                <w:sz w:val="24"/>
                <w:szCs w:val="24"/>
                <w:highlight w:val="none"/>
                <w:lang w:val="en-US" w:eastAsia="zh-CN" w:bidi="ar-SA"/>
              </w:rPr>
            </w:pPr>
            <w:r>
              <w:rPr>
                <w:rFonts w:hint="eastAsia" w:ascii="宋体" w:hAnsi="宋体" w:eastAsia="宋体" w:cs="宋体"/>
                <w:bCs/>
                <w:sz w:val="24"/>
                <w:szCs w:val="24"/>
                <w:highlight w:val="none"/>
              </w:rPr>
              <w:t>联系电话：章宏涛13968512856， 周辉15606579820</w:t>
            </w:r>
          </w:p>
        </w:tc>
      </w:tr>
      <w:tr w14:paraId="5364462B">
        <w:tblPrEx>
          <w:tblCellMar>
            <w:top w:w="0" w:type="dxa"/>
            <w:left w:w="57" w:type="dxa"/>
            <w:bottom w:w="0" w:type="dxa"/>
            <w:right w:w="57" w:type="dxa"/>
          </w:tblCellMar>
        </w:tblPrEx>
        <w:trPr>
          <w:trHeight w:val="144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B9A230E">
            <w:pPr>
              <w:pStyle w:val="32"/>
              <w:keepNext w:val="0"/>
              <w:keepLines w:val="0"/>
              <w:pageBreakBefore w:val="0"/>
              <w:kinsoku w:val="0"/>
              <w:wordWrap/>
              <w:topLinePunct w:val="0"/>
              <w:bidi w:val="0"/>
              <w:snapToGrid/>
              <w:spacing w:line="44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10.</w:t>
            </w:r>
            <w:r>
              <w:rPr>
                <w:rFonts w:hint="eastAsia" w:ascii="宋体" w:hAnsi="宋体" w:cs="宋体"/>
                <w:sz w:val="24"/>
                <w:szCs w:val="24"/>
                <w:highlight w:val="none"/>
                <w:lang w:val="en-US" w:eastAsia="zh-CN"/>
              </w:rPr>
              <w:t>11</w:t>
            </w:r>
          </w:p>
        </w:tc>
        <w:tc>
          <w:tcPr>
            <w:tcW w:w="1697" w:type="dxa"/>
            <w:tcBorders>
              <w:top w:val="single" w:color="000000" w:sz="4" w:space="0"/>
              <w:left w:val="single" w:color="000000" w:sz="4" w:space="0"/>
              <w:bottom w:val="single" w:color="000000" w:sz="4" w:space="0"/>
              <w:right w:val="single" w:color="000000" w:sz="4" w:space="0"/>
            </w:tcBorders>
            <w:vAlign w:val="center"/>
          </w:tcPr>
          <w:p w14:paraId="10BAD5C6">
            <w:pPr>
              <w:pStyle w:val="32"/>
              <w:keepNext w:val="0"/>
              <w:keepLines w:val="0"/>
              <w:pageBreakBefore w:val="0"/>
              <w:kinsoku w:val="0"/>
              <w:wordWrap/>
              <w:overflowPunct w:val="0"/>
              <w:topLinePunct w:val="0"/>
              <w:bidi w:val="0"/>
              <w:snapToGrid/>
              <w:spacing w:line="440" w:lineRule="exact"/>
              <w:ind w:right="255" w:rightChars="0"/>
              <w:jc w:val="center"/>
              <w:textAlignment w:val="auto"/>
              <w:rPr>
                <w:rFonts w:hint="eastAsia" w:ascii="宋体" w:hAnsi="宋体" w:eastAsia="宋体" w:cs="宋体"/>
                <w:b/>
                <w:sz w:val="24"/>
                <w:szCs w:val="24"/>
                <w:highlight w:val="none"/>
                <w:lang w:val="en-US" w:eastAsia="zh-CN" w:bidi="ar-SA"/>
              </w:rPr>
            </w:pPr>
            <w:r>
              <w:rPr>
                <w:rFonts w:hint="eastAsia" w:ascii="宋体" w:hAnsi="宋体" w:eastAsia="宋体" w:cs="宋体"/>
                <w:b/>
                <w:bCs/>
                <w:sz w:val="24"/>
                <w:szCs w:val="24"/>
                <w:highlight w:val="none"/>
              </w:rPr>
              <w:t>中标后提交投标文件份数</w:t>
            </w:r>
          </w:p>
        </w:tc>
        <w:tc>
          <w:tcPr>
            <w:tcW w:w="6999" w:type="dxa"/>
            <w:tcBorders>
              <w:top w:val="single" w:color="000000" w:sz="4" w:space="0"/>
              <w:left w:val="single" w:color="000000" w:sz="4" w:space="0"/>
              <w:bottom w:val="single" w:color="000000" w:sz="4" w:space="0"/>
              <w:right w:val="single" w:color="000000" w:sz="4" w:space="0"/>
            </w:tcBorders>
            <w:vAlign w:val="top"/>
          </w:tcPr>
          <w:p w14:paraId="2F64AEAC">
            <w:pPr>
              <w:pStyle w:val="32"/>
              <w:keepNext w:val="0"/>
              <w:keepLines w:val="0"/>
              <w:pageBreakBefore w:val="0"/>
              <w:kinsoku w:val="0"/>
              <w:wordWrap/>
              <w:overflowPunct w:val="0"/>
              <w:topLinePunct w:val="0"/>
              <w:bidi w:val="0"/>
              <w:snapToGrid/>
              <w:spacing w:line="440" w:lineRule="exact"/>
              <w:ind w:firstLine="414" w:firstLineChars="0"/>
              <w:textAlignment w:val="auto"/>
              <w:rPr>
                <w:rFonts w:hint="eastAsia" w:ascii="宋体" w:hAnsi="宋体" w:eastAsia="宋体" w:cs="宋体"/>
                <w:b/>
                <w:sz w:val="24"/>
                <w:szCs w:val="24"/>
                <w:highlight w:val="none"/>
                <w:lang w:val="en-US" w:eastAsia="zh-CN" w:bidi="ar-SA"/>
              </w:rPr>
            </w:pPr>
            <w:r>
              <w:rPr>
                <w:rFonts w:hint="eastAsia" w:ascii="宋体" w:hAnsi="宋体" w:eastAsia="宋体" w:cs="宋体"/>
                <w:b/>
                <w:bCs/>
                <w:kern w:val="2"/>
                <w:sz w:val="24"/>
                <w:szCs w:val="24"/>
                <w:highlight w:val="none"/>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70C5C054">
        <w:tblPrEx>
          <w:tblCellMar>
            <w:top w:w="0" w:type="dxa"/>
            <w:left w:w="57" w:type="dxa"/>
            <w:bottom w:w="0" w:type="dxa"/>
            <w:right w:w="57" w:type="dxa"/>
          </w:tblCellMar>
        </w:tblPrEx>
        <w:trPr>
          <w:trHeight w:val="85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BD78792">
            <w:pPr>
              <w:pStyle w:val="32"/>
              <w:keepNext w:val="0"/>
              <w:keepLines w:val="0"/>
              <w:pageBreakBefore w:val="0"/>
              <w:kinsoku w:val="0"/>
              <w:wordWrap/>
              <w:topLinePunct w:val="0"/>
              <w:bidi w:val="0"/>
              <w:snapToGrid/>
              <w:spacing w:line="44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10.</w:t>
            </w:r>
            <w:r>
              <w:rPr>
                <w:rFonts w:hint="eastAsia" w:ascii="宋体" w:hAnsi="宋体" w:cs="宋体"/>
                <w:sz w:val="24"/>
                <w:szCs w:val="24"/>
                <w:highlight w:val="none"/>
                <w:lang w:val="en-US" w:eastAsia="zh-CN"/>
              </w:rPr>
              <w:t>12</w:t>
            </w:r>
          </w:p>
        </w:tc>
        <w:tc>
          <w:tcPr>
            <w:tcW w:w="1697" w:type="dxa"/>
            <w:tcBorders>
              <w:top w:val="single" w:color="000000" w:sz="4" w:space="0"/>
              <w:left w:val="single" w:color="000000" w:sz="4" w:space="0"/>
              <w:bottom w:val="single" w:color="000000" w:sz="4" w:space="0"/>
              <w:right w:val="single" w:color="000000" w:sz="4" w:space="0"/>
            </w:tcBorders>
            <w:vAlign w:val="center"/>
          </w:tcPr>
          <w:p w14:paraId="10C944BC">
            <w:pPr>
              <w:pStyle w:val="32"/>
              <w:keepNext w:val="0"/>
              <w:keepLines w:val="0"/>
              <w:pageBreakBefore w:val="0"/>
              <w:kinsoku w:val="0"/>
              <w:wordWrap/>
              <w:overflowPunct w:val="0"/>
              <w:topLinePunct w:val="0"/>
              <w:bidi w:val="0"/>
              <w:snapToGrid/>
              <w:spacing w:line="440" w:lineRule="exact"/>
              <w:ind w:left="141" w:leftChars="0" w:right="136" w:rightChars="0"/>
              <w:jc w:val="center"/>
              <w:textAlignment w:val="auto"/>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rPr>
              <w:t>温馨提示</w:t>
            </w:r>
          </w:p>
        </w:tc>
        <w:tc>
          <w:tcPr>
            <w:tcW w:w="6999" w:type="dxa"/>
            <w:tcBorders>
              <w:top w:val="single" w:color="000000" w:sz="4" w:space="0"/>
              <w:left w:val="single" w:color="000000" w:sz="4" w:space="0"/>
              <w:bottom w:val="single" w:color="000000" w:sz="4" w:space="0"/>
              <w:right w:val="single" w:color="000000" w:sz="4" w:space="0"/>
            </w:tcBorders>
            <w:vAlign w:val="top"/>
          </w:tcPr>
          <w:p w14:paraId="34FCE8E5">
            <w:pPr>
              <w:pStyle w:val="32"/>
              <w:keepNext w:val="0"/>
              <w:keepLines w:val="0"/>
              <w:pageBreakBefore w:val="0"/>
              <w:kinsoku w:val="0"/>
              <w:wordWrap/>
              <w:overflowPunct w:val="0"/>
              <w:topLinePunct w:val="0"/>
              <w:bidi w:val="0"/>
              <w:snapToGrid/>
              <w:spacing w:line="440" w:lineRule="exact"/>
              <w:ind w:firstLine="414" w:firstLine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投标人须在递交投标保证金前在三门县工程建设电子交易平台中注册并核验通过。</w:t>
            </w:r>
          </w:p>
        </w:tc>
      </w:tr>
    </w:tbl>
    <w:p w14:paraId="39DBD6E9">
      <w:pPr>
        <w:rPr>
          <w:highlight w:val="none"/>
        </w:rPr>
        <w:sectPr>
          <w:footerReference r:id="rId3" w:type="default"/>
          <w:pgSz w:w="12240" w:h="15840"/>
          <w:pgMar w:top="1360" w:right="1100" w:bottom="1100" w:left="1580" w:header="0" w:footer="901" w:gutter="0"/>
          <w:cols w:space="720" w:num="1"/>
        </w:sectPr>
      </w:pPr>
    </w:p>
    <w:p w14:paraId="157C5D12">
      <w:pPr>
        <w:spacing w:line="360" w:lineRule="auto"/>
        <w:ind w:firstLine="880" w:firstLineChars="200"/>
        <w:jc w:val="center"/>
        <w:rPr>
          <w:rFonts w:ascii="黑体" w:hAnsi="黑体" w:eastAsia="黑体"/>
          <w:sz w:val="44"/>
          <w:szCs w:val="44"/>
          <w:highlight w:val="none"/>
        </w:rPr>
      </w:pPr>
      <w:bookmarkStart w:id="15" w:name="bookmark22"/>
      <w:bookmarkEnd w:id="15"/>
      <w:bookmarkStart w:id="16" w:name="_Toc723"/>
      <w:bookmarkStart w:id="17" w:name="_Toc45697231"/>
      <w:bookmarkStart w:id="18" w:name="_Toc22828068"/>
      <w:r>
        <w:rPr>
          <w:rFonts w:hint="eastAsia" w:ascii="黑体" w:hAnsi="黑体" w:eastAsia="黑体"/>
          <w:sz w:val="44"/>
          <w:szCs w:val="44"/>
          <w:highlight w:val="none"/>
        </w:rPr>
        <w:t>投标人须知</w:t>
      </w:r>
      <w:bookmarkEnd w:id="16"/>
      <w:bookmarkEnd w:id="17"/>
    </w:p>
    <w:p w14:paraId="363CA850">
      <w:pPr>
        <w:pStyle w:val="8"/>
        <w:keepNext w:val="0"/>
        <w:keepLines w:val="0"/>
        <w:pageBreakBefore w:val="0"/>
        <w:widowControl w:val="0"/>
        <w:numPr>
          <w:ilvl w:val="0"/>
          <w:numId w:val="41"/>
        </w:numPr>
        <w:kinsoku w:val="0"/>
        <w:wordWrap/>
        <w:overflowPunct/>
        <w:topLinePunct w:val="0"/>
        <w:autoSpaceDE w:val="0"/>
        <w:autoSpaceDN w:val="0"/>
        <w:bidi w:val="0"/>
        <w:adjustRightInd w:val="0"/>
        <w:snapToGrid/>
        <w:spacing w:line="460" w:lineRule="exact"/>
        <w:ind w:left="425" w:leftChars="0" w:hanging="425" w:firstLineChars="0"/>
        <w:jc w:val="both"/>
        <w:textAlignment w:val="auto"/>
        <w:rPr>
          <w:rFonts w:ascii="宋体" w:hAnsi="宋体" w:eastAsia="宋体" w:cs="Times New Roman"/>
          <w:b/>
          <w:sz w:val="32"/>
          <w:szCs w:val="32"/>
          <w:highlight w:val="none"/>
          <w:lang w:val="en-US" w:eastAsia="zh-CN" w:bidi="ar-SA"/>
        </w:rPr>
      </w:pPr>
      <w:bookmarkStart w:id="19" w:name="_Toc45697232"/>
      <w:bookmarkStart w:id="20" w:name="_Toc18780"/>
      <w:r>
        <w:rPr>
          <w:rFonts w:ascii="宋体" w:hAnsi="宋体" w:eastAsia="宋体" w:cs="Times New Roman"/>
          <w:b/>
          <w:sz w:val="32"/>
          <w:szCs w:val="32"/>
          <w:highlight w:val="none"/>
          <w:lang w:val="en-US" w:eastAsia="zh-CN" w:bidi="ar-SA"/>
        </w:rPr>
        <w:t>总则</w:t>
      </w:r>
      <w:bookmarkEnd w:id="18"/>
      <w:bookmarkEnd w:id="19"/>
      <w:bookmarkEnd w:id="20"/>
    </w:p>
    <w:p w14:paraId="4089A49F">
      <w:pPr>
        <w:pStyle w:val="8"/>
        <w:keepNext w:val="0"/>
        <w:keepLines w:val="0"/>
        <w:pageBreakBefore w:val="0"/>
        <w:widowControl w:val="0"/>
        <w:numPr>
          <w:ilvl w:val="1"/>
          <w:numId w:val="42"/>
        </w:numPr>
        <w:kinsoku w:val="0"/>
        <w:wordWrap/>
        <w:overflowPunct/>
        <w:topLinePunct w:val="0"/>
        <w:autoSpaceDE w:val="0"/>
        <w:autoSpaceDN w:val="0"/>
        <w:bidi w:val="0"/>
        <w:adjustRightInd w:val="0"/>
        <w:snapToGrid/>
        <w:spacing w:line="460" w:lineRule="exact"/>
        <w:ind w:left="567" w:leftChars="0" w:hanging="567" w:firstLineChars="0"/>
        <w:jc w:val="both"/>
        <w:textAlignment w:val="auto"/>
        <w:rPr>
          <w:rFonts w:ascii="宋体" w:hAnsi="宋体" w:eastAsia="宋体"/>
          <w:b/>
          <w:sz w:val="28"/>
          <w:highlight w:val="none"/>
        </w:rPr>
      </w:pPr>
      <w:bookmarkStart w:id="21" w:name="bookmark23"/>
      <w:bookmarkEnd w:id="21"/>
      <w:r>
        <w:rPr>
          <w:rFonts w:ascii="宋体" w:hAnsi="宋体" w:eastAsia="宋体"/>
          <w:b/>
          <w:sz w:val="28"/>
          <w:highlight w:val="none"/>
        </w:rPr>
        <w:t>招标项目概况</w:t>
      </w:r>
    </w:p>
    <w:p w14:paraId="45C57E52">
      <w:pPr>
        <w:pStyle w:val="8"/>
        <w:keepNext w:val="0"/>
        <w:keepLines w:val="0"/>
        <w:pageBreakBefore w:val="0"/>
        <w:numPr>
          <w:ilvl w:val="2"/>
          <w:numId w:val="42"/>
        </w:numPr>
        <w:kinsoku w:val="0"/>
        <w:wordWrap/>
        <w:overflowPunct/>
        <w:bidi w:val="0"/>
        <w:snapToGrid/>
        <w:spacing w:line="460" w:lineRule="exact"/>
        <w:ind w:left="0" w:firstLine="480" w:firstLineChars="200"/>
        <w:jc w:val="both"/>
        <w:textAlignment w:val="auto"/>
        <w:rPr>
          <w:rFonts w:hint="eastAsia" w:hAnsi="宋体" w:eastAsia="宋体"/>
          <w:highlight w:val="none"/>
        </w:rPr>
      </w:pPr>
      <w:r>
        <w:rPr>
          <w:rFonts w:hint="eastAsia" w:hAnsi="宋体" w:eastAsia="宋体"/>
          <w:highlight w:val="none"/>
        </w:rPr>
        <w:t>根据《中华人民共和国招标投标法》《中华人民共和国招标投标法实施条例》等有关法律、法规和规章的规定，本招标项目已具备招标条件，现对项目施工进行招标。</w:t>
      </w:r>
    </w:p>
    <w:p w14:paraId="74C70910">
      <w:pPr>
        <w:pStyle w:val="8"/>
        <w:keepNext w:val="0"/>
        <w:keepLines w:val="0"/>
        <w:pageBreakBefore w:val="0"/>
        <w:numPr>
          <w:ilvl w:val="2"/>
          <w:numId w:val="42"/>
        </w:numPr>
        <w:kinsoku w:val="0"/>
        <w:wordWrap/>
        <w:overflowPunct/>
        <w:bidi w:val="0"/>
        <w:snapToGrid/>
        <w:spacing w:line="460" w:lineRule="exact"/>
        <w:ind w:left="0" w:firstLine="480" w:firstLineChars="200"/>
        <w:jc w:val="both"/>
        <w:textAlignment w:val="auto"/>
        <w:rPr>
          <w:rFonts w:hint="eastAsia" w:hAnsi="宋体" w:eastAsia="宋体"/>
          <w:highlight w:val="none"/>
        </w:rPr>
      </w:pPr>
      <w:r>
        <w:rPr>
          <w:rFonts w:hint="eastAsia" w:hAnsi="宋体" w:eastAsia="宋体"/>
          <w:highlight w:val="none"/>
        </w:rPr>
        <w:t>招标人：见投标人须知前附表。</w:t>
      </w:r>
    </w:p>
    <w:p w14:paraId="6EC2A7F3">
      <w:pPr>
        <w:pStyle w:val="8"/>
        <w:keepNext w:val="0"/>
        <w:keepLines w:val="0"/>
        <w:pageBreakBefore w:val="0"/>
        <w:numPr>
          <w:ilvl w:val="2"/>
          <w:numId w:val="42"/>
        </w:numPr>
        <w:kinsoku w:val="0"/>
        <w:wordWrap/>
        <w:overflowPunct/>
        <w:bidi w:val="0"/>
        <w:snapToGrid/>
        <w:spacing w:line="460" w:lineRule="exact"/>
        <w:ind w:left="0" w:firstLine="480" w:firstLineChars="200"/>
        <w:jc w:val="both"/>
        <w:textAlignment w:val="auto"/>
        <w:rPr>
          <w:rFonts w:hint="eastAsia" w:hAnsi="宋体" w:eastAsia="宋体"/>
          <w:highlight w:val="none"/>
        </w:rPr>
      </w:pPr>
      <w:r>
        <w:rPr>
          <w:rFonts w:hint="eastAsia" w:hAnsi="宋体" w:eastAsia="宋体"/>
          <w:highlight w:val="none"/>
        </w:rPr>
        <w:t>招标代理机构：见投标人须知前附表。</w:t>
      </w:r>
    </w:p>
    <w:p w14:paraId="48D04B18">
      <w:pPr>
        <w:pStyle w:val="8"/>
        <w:keepNext w:val="0"/>
        <w:keepLines w:val="0"/>
        <w:pageBreakBefore w:val="0"/>
        <w:numPr>
          <w:ilvl w:val="2"/>
          <w:numId w:val="42"/>
        </w:numPr>
        <w:kinsoku w:val="0"/>
        <w:wordWrap/>
        <w:overflowPunct/>
        <w:bidi w:val="0"/>
        <w:snapToGrid/>
        <w:spacing w:line="460" w:lineRule="exact"/>
        <w:ind w:left="0" w:firstLine="480" w:firstLineChars="200"/>
        <w:jc w:val="both"/>
        <w:textAlignment w:val="auto"/>
        <w:rPr>
          <w:rFonts w:hint="eastAsia" w:hAnsi="宋体" w:eastAsia="宋体"/>
          <w:highlight w:val="none"/>
        </w:rPr>
      </w:pPr>
      <w:r>
        <w:rPr>
          <w:rFonts w:hint="eastAsia" w:hAnsi="宋体" w:eastAsia="宋体"/>
          <w:highlight w:val="none"/>
        </w:rPr>
        <w:t>工程名称：见投标人须知前附表。</w:t>
      </w:r>
    </w:p>
    <w:p w14:paraId="250A945B">
      <w:pPr>
        <w:pStyle w:val="8"/>
        <w:keepNext w:val="0"/>
        <w:keepLines w:val="0"/>
        <w:pageBreakBefore w:val="0"/>
        <w:numPr>
          <w:ilvl w:val="2"/>
          <w:numId w:val="42"/>
        </w:numPr>
        <w:kinsoku w:val="0"/>
        <w:wordWrap/>
        <w:overflowPunct/>
        <w:bidi w:val="0"/>
        <w:snapToGrid/>
        <w:spacing w:line="460" w:lineRule="exact"/>
        <w:ind w:left="0" w:firstLine="480" w:firstLineChars="200"/>
        <w:jc w:val="both"/>
        <w:textAlignment w:val="auto"/>
        <w:rPr>
          <w:rFonts w:hint="eastAsia" w:hAnsi="宋体" w:eastAsia="宋体"/>
          <w:highlight w:val="none"/>
        </w:rPr>
      </w:pPr>
      <w:r>
        <w:rPr>
          <w:rFonts w:hint="eastAsia" w:hAnsi="宋体" w:eastAsia="宋体"/>
          <w:highlight w:val="none"/>
        </w:rPr>
        <w:t>工程建设地点：见投标人须知前附表。</w:t>
      </w:r>
    </w:p>
    <w:p w14:paraId="5A6C7A55">
      <w:pPr>
        <w:pStyle w:val="8"/>
        <w:keepNext w:val="0"/>
        <w:keepLines w:val="0"/>
        <w:pageBreakBefore w:val="0"/>
        <w:numPr>
          <w:ilvl w:val="2"/>
          <w:numId w:val="42"/>
        </w:numPr>
        <w:kinsoku w:val="0"/>
        <w:wordWrap/>
        <w:overflowPunct/>
        <w:bidi w:val="0"/>
        <w:snapToGrid/>
        <w:spacing w:line="460" w:lineRule="exact"/>
        <w:ind w:left="0" w:firstLine="480" w:firstLineChars="200"/>
        <w:jc w:val="both"/>
        <w:textAlignment w:val="auto"/>
        <w:rPr>
          <w:rFonts w:hint="eastAsia" w:hAnsi="宋体" w:eastAsia="宋体"/>
          <w:highlight w:val="none"/>
        </w:rPr>
      </w:pPr>
      <w:r>
        <w:rPr>
          <w:rFonts w:hint="eastAsia" w:hAnsi="宋体" w:eastAsia="宋体"/>
          <w:highlight w:val="none"/>
        </w:rPr>
        <w:t>工程承包方式：包工包料。</w:t>
      </w:r>
      <w:bookmarkStart w:id="22" w:name="bookmark24"/>
      <w:bookmarkEnd w:id="22"/>
    </w:p>
    <w:p w14:paraId="441FF078">
      <w:pPr>
        <w:pStyle w:val="8"/>
        <w:keepNext w:val="0"/>
        <w:keepLines w:val="0"/>
        <w:pageBreakBefore w:val="0"/>
        <w:widowControl w:val="0"/>
        <w:numPr>
          <w:ilvl w:val="1"/>
          <w:numId w:val="42"/>
        </w:numPr>
        <w:kinsoku w:val="0"/>
        <w:wordWrap/>
        <w:overflowPunct/>
        <w:topLinePunct w:val="0"/>
        <w:autoSpaceDE w:val="0"/>
        <w:autoSpaceDN w:val="0"/>
        <w:bidi w:val="0"/>
        <w:adjustRightInd w:val="0"/>
        <w:snapToGrid/>
        <w:spacing w:line="460" w:lineRule="exact"/>
        <w:ind w:left="567" w:leftChars="0" w:hanging="567" w:firstLineChars="0"/>
        <w:jc w:val="both"/>
        <w:textAlignment w:val="auto"/>
        <w:rPr>
          <w:rFonts w:ascii="宋体" w:hAnsi="宋体"/>
          <w:b/>
          <w:sz w:val="28"/>
          <w:highlight w:val="none"/>
        </w:rPr>
      </w:pPr>
      <w:r>
        <w:rPr>
          <w:rFonts w:ascii="宋体" w:hAnsi="宋体"/>
          <w:b/>
          <w:sz w:val="28"/>
          <w:highlight w:val="none"/>
        </w:rPr>
        <w:t>招标项目的资金来源和落实情况</w:t>
      </w:r>
    </w:p>
    <w:p w14:paraId="08B75429">
      <w:pPr>
        <w:pStyle w:val="8"/>
        <w:keepNext w:val="0"/>
        <w:keepLines w:val="0"/>
        <w:pageBreakBefore w:val="0"/>
        <w:numPr>
          <w:ilvl w:val="2"/>
          <w:numId w:val="43"/>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资金来源及比例：见投标人须知前附表。</w:t>
      </w:r>
    </w:p>
    <w:p w14:paraId="0E33C53B">
      <w:pPr>
        <w:pStyle w:val="8"/>
        <w:keepNext w:val="0"/>
        <w:keepLines w:val="0"/>
        <w:pageBreakBefore w:val="0"/>
        <w:numPr>
          <w:ilvl w:val="2"/>
          <w:numId w:val="43"/>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资金落实情况：见投标人须知前附表。</w:t>
      </w:r>
    </w:p>
    <w:p w14:paraId="6401E0D2">
      <w:pPr>
        <w:pStyle w:val="8"/>
        <w:keepNext w:val="0"/>
        <w:keepLines w:val="0"/>
        <w:pageBreakBefore w:val="0"/>
        <w:widowControl w:val="0"/>
        <w:numPr>
          <w:ilvl w:val="1"/>
          <w:numId w:val="42"/>
        </w:numPr>
        <w:kinsoku w:val="0"/>
        <w:wordWrap/>
        <w:overflowPunct/>
        <w:topLinePunct w:val="0"/>
        <w:autoSpaceDE w:val="0"/>
        <w:autoSpaceDN w:val="0"/>
        <w:bidi w:val="0"/>
        <w:adjustRightInd w:val="0"/>
        <w:snapToGrid/>
        <w:spacing w:line="460" w:lineRule="exact"/>
        <w:ind w:left="567" w:leftChars="0" w:hanging="567" w:firstLineChars="0"/>
        <w:jc w:val="both"/>
        <w:textAlignment w:val="auto"/>
        <w:rPr>
          <w:rFonts w:ascii="宋体" w:hAnsi="宋体" w:eastAsia="宋体"/>
          <w:b/>
          <w:sz w:val="28"/>
          <w:highlight w:val="none"/>
        </w:rPr>
      </w:pPr>
      <w:bookmarkStart w:id="23" w:name="bookmark25"/>
      <w:bookmarkEnd w:id="23"/>
      <w:r>
        <w:rPr>
          <w:rFonts w:ascii="宋体" w:hAnsi="宋体" w:eastAsia="宋体"/>
          <w:b/>
          <w:sz w:val="28"/>
          <w:highlight w:val="none"/>
        </w:rPr>
        <w:t>招标范围、计划工期和质量要求</w:t>
      </w:r>
    </w:p>
    <w:p w14:paraId="04CFFFD6">
      <w:pPr>
        <w:pStyle w:val="8"/>
        <w:keepNext w:val="0"/>
        <w:keepLines w:val="0"/>
        <w:pageBreakBefore w:val="0"/>
        <w:numPr>
          <w:ilvl w:val="2"/>
          <w:numId w:val="44"/>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招标范围：见投标人须知前附表。</w:t>
      </w:r>
    </w:p>
    <w:p w14:paraId="220176A1">
      <w:pPr>
        <w:pStyle w:val="8"/>
        <w:keepNext w:val="0"/>
        <w:keepLines w:val="0"/>
        <w:pageBreakBefore w:val="0"/>
        <w:numPr>
          <w:ilvl w:val="2"/>
          <w:numId w:val="44"/>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计划工期：见投标人须知前附表。</w:t>
      </w:r>
    </w:p>
    <w:p w14:paraId="2D752E3E">
      <w:pPr>
        <w:pStyle w:val="8"/>
        <w:keepNext w:val="0"/>
        <w:keepLines w:val="0"/>
        <w:pageBreakBefore w:val="0"/>
        <w:numPr>
          <w:ilvl w:val="2"/>
          <w:numId w:val="44"/>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质量要求：见投标人须知前附表。</w:t>
      </w:r>
    </w:p>
    <w:p w14:paraId="2C9AF541">
      <w:pPr>
        <w:pStyle w:val="8"/>
        <w:keepNext w:val="0"/>
        <w:keepLines w:val="0"/>
        <w:pageBreakBefore w:val="0"/>
        <w:widowControl w:val="0"/>
        <w:numPr>
          <w:ilvl w:val="1"/>
          <w:numId w:val="42"/>
        </w:numPr>
        <w:kinsoku w:val="0"/>
        <w:wordWrap/>
        <w:overflowPunct/>
        <w:topLinePunct w:val="0"/>
        <w:autoSpaceDE w:val="0"/>
        <w:autoSpaceDN w:val="0"/>
        <w:bidi w:val="0"/>
        <w:adjustRightInd w:val="0"/>
        <w:snapToGrid/>
        <w:spacing w:line="460" w:lineRule="exact"/>
        <w:ind w:left="567" w:leftChars="0" w:hanging="567" w:firstLineChars="0"/>
        <w:jc w:val="both"/>
        <w:textAlignment w:val="auto"/>
        <w:rPr>
          <w:rFonts w:ascii="宋体" w:hAnsi="宋体" w:eastAsia="宋体"/>
          <w:b/>
          <w:sz w:val="28"/>
          <w:highlight w:val="none"/>
        </w:rPr>
      </w:pPr>
      <w:bookmarkStart w:id="24" w:name="bookmark26"/>
      <w:bookmarkEnd w:id="24"/>
      <w:r>
        <w:rPr>
          <w:rFonts w:ascii="宋体" w:hAnsi="宋体" w:eastAsia="宋体"/>
          <w:b/>
          <w:sz w:val="28"/>
          <w:highlight w:val="none"/>
        </w:rPr>
        <w:t>投标人资格要求</w:t>
      </w:r>
    </w:p>
    <w:p w14:paraId="51929821">
      <w:pPr>
        <w:pStyle w:val="8"/>
        <w:keepNext w:val="0"/>
        <w:keepLines w:val="0"/>
        <w:pageBreakBefore w:val="0"/>
        <w:numPr>
          <w:ilvl w:val="2"/>
          <w:numId w:val="45"/>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投标人应具备承担本招标项目资质条件、能力和信誉：</w:t>
      </w:r>
    </w:p>
    <w:p w14:paraId="0A20C744">
      <w:pPr>
        <w:pStyle w:val="8"/>
        <w:keepNext w:val="0"/>
        <w:keepLines w:val="0"/>
        <w:pageBreakBefore w:val="0"/>
        <w:numPr>
          <w:ilvl w:val="0"/>
          <w:numId w:val="46"/>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资质要求：见投标人须知前附表；</w:t>
      </w:r>
    </w:p>
    <w:p w14:paraId="3F8728D6">
      <w:pPr>
        <w:pStyle w:val="8"/>
        <w:keepNext w:val="0"/>
        <w:keepLines w:val="0"/>
        <w:pageBreakBefore w:val="0"/>
        <w:numPr>
          <w:ilvl w:val="0"/>
          <w:numId w:val="46"/>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业绩要求：见投标人须知前附表；</w:t>
      </w:r>
    </w:p>
    <w:p w14:paraId="57C28A02">
      <w:pPr>
        <w:pStyle w:val="8"/>
        <w:keepNext w:val="0"/>
        <w:keepLines w:val="0"/>
        <w:pageBreakBefore w:val="0"/>
        <w:numPr>
          <w:ilvl w:val="0"/>
          <w:numId w:val="46"/>
        </w:numPr>
        <w:kinsoku w:val="0"/>
        <w:wordWrap/>
        <w:overflowPunct/>
        <w:bidi w:val="0"/>
        <w:snapToGrid/>
        <w:spacing w:line="460" w:lineRule="exact"/>
        <w:ind w:left="0" w:firstLine="480" w:firstLineChars="200"/>
        <w:jc w:val="both"/>
        <w:textAlignment w:val="auto"/>
        <w:rPr>
          <w:rFonts w:hAnsi="宋体"/>
          <w:highlight w:val="none"/>
        </w:rPr>
      </w:pPr>
      <w:r>
        <w:rPr>
          <w:rFonts w:hint="eastAsia" w:ascii="宋体" w:hAnsi="宋体"/>
          <w:highlight w:val="none"/>
        </w:rPr>
        <w:t>项目负责人</w:t>
      </w:r>
      <w:r>
        <w:rPr>
          <w:rFonts w:hint="eastAsia" w:hAnsi="宋体"/>
          <w:spacing w:val="-6"/>
          <w:highlight w:val="none"/>
        </w:rPr>
        <w:t>的资格要求：见投标</w:t>
      </w:r>
      <w:r>
        <w:rPr>
          <w:rFonts w:hint="eastAsia" w:hAnsi="宋体"/>
          <w:highlight w:val="none"/>
        </w:rPr>
        <w:t>人须知前附表；</w:t>
      </w:r>
    </w:p>
    <w:p w14:paraId="2BCC129A">
      <w:pPr>
        <w:pStyle w:val="8"/>
        <w:keepNext w:val="0"/>
        <w:keepLines w:val="0"/>
        <w:pageBreakBefore w:val="0"/>
        <w:numPr>
          <w:ilvl w:val="0"/>
          <w:numId w:val="46"/>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其他要求：见投标人须知前附表。</w:t>
      </w:r>
    </w:p>
    <w:p w14:paraId="33CB5746">
      <w:pPr>
        <w:pStyle w:val="8"/>
        <w:keepNext w:val="0"/>
        <w:keepLines w:val="0"/>
        <w:pageBreakBefore w:val="0"/>
        <w:numPr>
          <w:ilvl w:val="2"/>
          <w:numId w:val="45"/>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投标人须知前附表规定接受联合体投标的，联合体除应符合本章第</w:t>
      </w:r>
      <w:r>
        <w:rPr>
          <w:rFonts w:hAnsi="宋体"/>
          <w:highlight w:val="none"/>
        </w:rPr>
        <w:t>1.4.1</w:t>
      </w:r>
      <w:r>
        <w:rPr>
          <w:rFonts w:hint="eastAsia" w:hAnsi="宋体"/>
          <w:highlight w:val="none"/>
        </w:rPr>
        <w:t>项和投标人须知前附表的要求外，还应遵守以下规定：</w:t>
      </w:r>
    </w:p>
    <w:p w14:paraId="2FD5DDE0">
      <w:pPr>
        <w:pStyle w:val="8"/>
        <w:keepNext w:val="0"/>
        <w:keepLines w:val="0"/>
        <w:pageBreakBefore w:val="0"/>
        <w:numPr>
          <w:ilvl w:val="0"/>
          <w:numId w:val="47"/>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联合体各方应按招标文件提供的格式签订联合体协议书，明确联合体牵头人和各方权利义务；</w:t>
      </w:r>
    </w:p>
    <w:p w14:paraId="621849FB">
      <w:pPr>
        <w:pStyle w:val="8"/>
        <w:keepNext w:val="0"/>
        <w:keepLines w:val="0"/>
        <w:pageBreakBefore w:val="0"/>
        <w:numPr>
          <w:ilvl w:val="0"/>
          <w:numId w:val="47"/>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联合体的各专业资质等级，根据共同投标协议约定的专业分工，分别按照承担相应专业工作的资质等级较低的单位确定；</w:t>
      </w:r>
    </w:p>
    <w:p w14:paraId="5981E7B4">
      <w:pPr>
        <w:pStyle w:val="8"/>
        <w:keepNext w:val="0"/>
        <w:keepLines w:val="0"/>
        <w:pageBreakBefore w:val="0"/>
        <w:numPr>
          <w:ilvl w:val="0"/>
          <w:numId w:val="47"/>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联合体各方不得再以自己名义单独或参加其他联合体在同一标段中投标。</w:t>
      </w:r>
    </w:p>
    <w:p w14:paraId="3E331BE8">
      <w:pPr>
        <w:pStyle w:val="8"/>
        <w:keepNext w:val="0"/>
        <w:keepLines w:val="0"/>
        <w:pageBreakBefore w:val="0"/>
        <w:numPr>
          <w:ilvl w:val="2"/>
          <w:numId w:val="45"/>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投标人的资格审查方式</w:t>
      </w:r>
      <w:r>
        <w:rPr>
          <w:rFonts w:hAnsi="宋体"/>
          <w:highlight w:val="none"/>
        </w:rPr>
        <w:t>:</w:t>
      </w:r>
      <w:r>
        <w:rPr>
          <w:rFonts w:hint="eastAsia" w:hAnsi="宋体"/>
          <w:highlight w:val="none"/>
        </w:rPr>
        <w:t>见投标人须知前附表。</w:t>
      </w:r>
    </w:p>
    <w:p w14:paraId="3817BB95">
      <w:pPr>
        <w:pStyle w:val="8"/>
        <w:keepNext w:val="0"/>
        <w:keepLines w:val="0"/>
        <w:pageBreakBefore w:val="0"/>
        <w:numPr>
          <w:ilvl w:val="2"/>
          <w:numId w:val="45"/>
        </w:numPr>
        <w:kinsoku w:val="0"/>
        <w:wordWrap/>
        <w:overflowPunct/>
        <w:bidi w:val="0"/>
        <w:snapToGrid/>
        <w:spacing w:line="460" w:lineRule="exact"/>
        <w:ind w:left="0" w:firstLine="480" w:firstLineChars="200"/>
        <w:jc w:val="both"/>
        <w:textAlignment w:val="auto"/>
        <w:rPr>
          <w:highlight w:val="none"/>
        </w:rPr>
      </w:pPr>
      <w:r>
        <w:rPr>
          <w:rFonts w:hint="eastAsia" w:hAnsi="宋体"/>
          <w:highlight w:val="none"/>
        </w:rPr>
        <w:t>投标人不得存在下列情形之一：</w:t>
      </w:r>
    </w:p>
    <w:p w14:paraId="40C944E0">
      <w:pPr>
        <w:pStyle w:val="8"/>
        <w:keepNext w:val="0"/>
        <w:keepLines w:val="0"/>
        <w:pageBreakBefore w:val="0"/>
        <w:numPr>
          <w:ilvl w:val="0"/>
          <w:numId w:val="48"/>
        </w:numPr>
        <w:wordWrap/>
        <w:overflowPunct/>
        <w:topLinePunct/>
        <w:autoSpaceDN/>
        <w:bidi w:val="0"/>
        <w:snapToGrid/>
        <w:spacing w:line="460" w:lineRule="exact"/>
        <w:ind w:left="0" w:firstLine="480" w:firstLineChars="200"/>
        <w:jc w:val="both"/>
        <w:textAlignment w:val="auto"/>
        <w:rPr>
          <w:rFonts w:hAnsi="宋体"/>
          <w:highlight w:val="none"/>
        </w:rPr>
      </w:pPr>
      <w:r>
        <w:rPr>
          <w:rFonts w:hint="eastAsia" w:hAnsi="宋体"/>
          <w:highlight w:val="none"/>
        </w:rPr>
        <w:t>为招标人不具有独立法人资格的附属机构（单位）；</w:t>
      </w:r>
    </w:p>
    <w:p w14:paraId="4DBB0D35">
      <w:pPr>
        <w:pStyle w:val="8"/>
        <w:keepNext w:val="0"/>
        <w:keepLines w:val="0"/>
        <w:pageBreakBefore w:val="0"/>
        <w:numPr>
          <w:ilvl w:val="0"/>
          <w:numId w:val="48"/>
        </w:numPr>
        <w:wordWrap/>
        <w:overflowPunct/>
        <w:topLinePunct/>
        <w:autoSpaceDN/>
        <w:bidi w:val="0"/>
        <w:snapToGrid/>
        <w:spacing w:line="460" w:lineRule="exact"/>
        <w:ind w:left="0" w:firstLine="480" w:firstLineChars="200"/>
        <w:jc w:val="both"/>
        <w:textAlignment w:val="auto"/>
        <w:rPr>
          <w:rFonts w:hAnsi="宋体"/>
          <w:highlight w:val="none"/>
        </w:rPr>
      </w:pPr>
      <w:r>
        <w:rPr>
          <w:rFonts w:hint="eastAsia" w:hAnsi="宋体"/>
          <w:highlight w:val="none"/>
        </w:rPr>
        <w:t>为与招标人存在利害关系可能影响招标公正性的法人、其他组织或者个人；</w:t>
      </w:r>
    </w:p>
    <w:p w14:paraId="09D58832">
      <w:pPr>
        <w:pStyle w:val="8"/>
        <w:keepNext w:val="0"/>
        <w:keepLines w:val="0"/>
        <w:pageBreakBefore w:val="0"/>
        <w:numPr>
          <w:ilvl w:val="0"/>
          <w:numId w:val="48"/>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不同投标人的单位负责人为同一人或者互相存在控股、管理关系的；</w:t>
      </w:r>
    </w:p>
    <w:p w14:paraId="00161952">
      <w:pPr>
        <w:pStyle w:val="8"/>
        <w:keepNext w:val="0"/>
        <w:keepLines w:val="0"/>
        <w:pageBreakBefore w:val="0"/>
        <w:numPr>
          <w:ilvl w:val="0"/>
          <w:numId w:val="48"/>
        </w:numPr>
        <w:wordWrap/>
        <w:overflowPunct/>
        <w:topLinePunct/>
        <w:autoSpaceDN/>
        <w:bidi w:val="0"/>
        <w:snapToGrid/>
        <w:spacing w:line="460" w:lineRule="exact"/>
        <w:ind w:left="0" w:firstLine="480" w:firstLineChars="200"/>
        <w:jc w:val="both"/>
        <w:textAlignment w:val="auto"/>
        <w:rPr>
          <w:rFonts w:hint="eastAsia" w:hAnsi="宋体" w:eastAsia="宋体"/>
          <w:highlight w:val="none"/>
        </w:rPr>
      </w:pPr>
      <w:r>
        <w:rPr>
          <w:rFonts w:hint="eastAsia" w:hAnsi="宋体" w:eastAsia="宋体"/>
          <w:highlight w:val="none"/>
        </w:rPr>
        <w:t>为本标段前期准备提供设计或咨询服务的；</w:t>
      </w:r>
    </w:p>
    <w:p w14:paraId="7CA926DF">
      <w:pPr>
        <w:pStyle w:val="8"/>
        <w:keepNext w:val="0"/>
        <w:keepLines w:val="0"/>
        <w:pageBreakBefore w:val="0"/>
        <w:numPr>
          <w:ilvl w:val="0"/>
          <w:numId w:val="48"/>
        </w:numPr>
        <w:wordWrap/>
        <w:overflowPunct/>
        <w:topLinePunct/>
        <w:autoSpaceDN/>
        <w:bidi w:val="0"/>
        <w:snapToGrid/>
        <w:spacing w:line="460" w:lineRule="exact"/>
        <w:ind w:left="0" w:firstLine="480" w:firstLineChars="200"/>
        <w:jc w:val="both"/>
        <w:textAlignment w:val="auto"/>
        <w:rPr>
          <w:rFonts w:hint="eastAsia" w:hAnsi="宋体" w:eastAsia="宋体"/>
          <w:highlight w:val="none"/>
        </w:rPr>
      </w:pPr>
      <w:r>
        <w:rPr>
          <w:rFonts w:hint="eastAsia" w:hAnsi="宋体" w:eastAsia="宋体"/>
          <w:highlight w:val="none"/>
        </w:rPr>
        <w:t>为本标段的监理人；</w:t>
      </w:r>
    </w:p>
    <w:p w14:paraId="62322EF2">
      <w:pPr>
        <w:pStyle w:val="8"/>
        <w:keepNext w:val="0"/>
        <w:keepLines w:val="0"/>
        <w:pageBreakBefore w:val="0"/>
        <w:numPr>
          <w:ilvl w:val="0"/>
          <w:numId w:val="48"/>
        </w:numPr>
        <w:wordWrap/>
        <w:overflowPunct/>
        <w:topLinePunct/>
        <w:autoSpaceDN/>
        <w:bidi w:val="0"/>
        <w:snapToGrid/>
        <w:spacing w:line="460" w:lineRule="exact"/>
        <w:ind w:left="0" w:firstLine="480" w:firstLineChars="200"/>
        <w:jc w:val="both"/>
        <w:textAlignment w:val="auto"/>
        <w:rPr>
          <w:rFonts w:hint="eastAsia" w:hAnsi="宋体" w:eastAsia="宋体"/>
          <w:highlight w:val="none"/>
        </w:rPr>
      </w:pPr>
      <w:r>
        <w:rPr>
          <w:rFonts w:hint="eastAsia" w:hAnsi="宋体" w:eastAsia="宋体"/>
          <w:highlight w:val="none"/>
        </w:rPr>
        <w:t>为本标段的代建人；</w:t>
      </w:r>
    </w:p>
    <w:p w14:paraId="6593B02F">
      <w:pPr>
        <w:pStyle w:val="8"/>
        <w:keepNext w:val="0"/>
        <w:keepLines w:val="0"/>
        <w:pageBreakBefore w:val="0"/>
        <w:numPr>
          <w:ilvl w:val="0"/>
          <w:numId w:val="48"/>
        </w:numPr>
        <w:wordWrap/>
        <w:overflowPunct/>
        <w:topLinePunct/>
        <w:autoSpaceDN/>
        <w:bidi w:val="0"/>
        <w:snapToGrid/>
        <w:spacing w:line="460" w:lineRule="exact"/>
        <w:ind w:left="0" w:firstLine="480" w:firstLineChars="200"/>
        <w:jc w:val="both"/>
        <w:textAlignment w:val="auto"/>
        <w:rPr>
          <w:rFonts w:hint="eastAsia" w:hAnsi="宋体" w:eastAsia="宋体"/>
          <w:highlight w:val="none"/>
        </w:rPr>
      </w:pPr>
      <w:r>
        <w:rPr>
          <w:rFonts w:hint="eastAsia" w:hAnsi="宋体" w:eastAsia="宋体"/>
          <w:highlight w:val="none"/>
        </w:rPr>
        <w:t>为本标段提供招标代理服务的；</w:t>
      </w:r>
    </w:p>
    <w:p w14:paraId="3F0CCD07">
      <w:pPr>
        <w:pStyle w:val="8"/>
        <w:keepNext w:val="0"/>
        <w:keepLines w:val="0"/>
        <w:pageBreakBefore w:val="0"/>
        <w:numPr>
          <w:ilvl w:val="0"/>
          <w:numId w:val="48"/>
        </w:numPr>
        <w:wordWrap/>
        <w:overflowPunct/>
        <w:topLinePunct/>
        <w:autoSpaceDN/>
        <w:bidi w:val="0"/>
        <w:snapToGrid/>
        <w:spacing w:line="460" w:lineRule="exact"/>
        <w:ind w:left="0" w:firstLine="480" w:firstLineChars="200"/>
        <w:jc w:val="both"/>
        <w:textAlignment w:val="auto"/>
        <w:rPr>
          <w:rFonts w:hint="eastAsia" w:hAnsi="宋体" w:eastAsia="宋体"/>
          <w:highlight w:val="none"/>
        </w:rPr>
      </w:pPr>
      <w:r>
        <w:rPr>
          <w:rFonts w:hint="eastAsia" w:hAnsi="宋体" w:eastAsia="宋体"/>
          <w:highlight w:val="none"/>
        </w:rPr>
        <w:t>与本标段的监理人或代建人或招标代理机构同为一个法定代表人的；</w:t>
      </w:r>
    </w:p>
    <w:p w14:paraId="40701AFD">
      <w:pPr>
        <w:pStyle w:val="8"/>
        <w:keepNext w:val="0"/>
        <w:keepLines w:val="0"/>
        <w:pageBreakBefore w:val="0"/>
        <w:numPr>
          <w:ilvl w:val="0"/>
          <w:numId w:val="48"/>
        </w:numPr>
        <w:wordWrap/>
        <w:overflowPunct/>
        <w:topLinePunct/>
        <w:autoSpaceDN/>
        <w:bidi w:val="0"/>
        <w:snapToGrid/>
        <w:spacing w:line="460" w:lineRule="exact"/>
        <w:ind w:left="0" w:firstLine="480" w:firstLineChars="200"/>
        <w:jc w:val="both"/>
        <w:textAlignment w:val="auto"/>
        <w:rPr>
          <w:rFonts w:hint="eastAsia" w:hAnsi="宋体" w:eastAsia="宋体"/>
          <w:highlight w:val="none"/>
        </w:rPr>
      </w:pPr>
      <w:r>
        <w:rPr>
          <w:rFonts w:hint="eastAsia" w:hAnsi="宋体" w:eastAsia="宋体"/>
          <w:highlight w:val="none"/>
        </w:rPr>
        <w:t>与本标段的监理人或代建人或招标代理机构相互控股或参股的；</w:t>
      </w:r>
    </w:p>
    <w:p w14:paraId="794B2EE1">
      <w:pPr>
        <w:pStyle w:val="8"/>
        <w:keepNext w:val="0"/>
        <w:keepLines w:val="0"/>
        <w:pageBreakBefore w:val="0"/>
        <w:numPr>
          <w:ilvl w:val="0"/>
          <w:numId w:val="48"/>
        </w:numPr>
        <w:wordWrap/>
        <w:overflowPunct/>
        <w:topLinePunct/>
        <w:autoSpaceDN/>
        <w:bidi w:val="0"/>
        <w:snapToGrid/>
        <w:spacing w:line="460" w:lineRule="exact"/>
        <w:ind w:left="0" w:firstLine="480" w:firstLineChars="200"/>
        <w:jc w:val="both"/>
        <w:textAlignment w:val="auto"/>
        <w:rPr>
          <w:rFonts w:hint="eastAsia" w:hAnsi="宋体" w:eastAsia="宋体"/>
          <w:highlight w:val="none"/>
        </w:rPr>
      </w:pPr>
      <w:r>
        <w:rPr>
          <w:rFonts w:hint="eastAsia" w:hAnsi="宋体" w:eastAsia="宋体"/>
          <w:highlight w:val="none"/>
        </w:rPr>
        <w:t>与本标段的监理人或代建人或招标代理机构相互任职或工作的；</w:t>
      </w:r>
    </w:p>
    <w:p w14:paraId="0E9C7F92">
      <w:pPr>
        <w:pStyle w:val="8"/>
        <w:keepNext w:val="0"/>
        <w:keepLines w:val="0"/>
        <w:pageBreakBefore w:val="0"/>
        <w:numPr>
          <w:ilvl w:val="0"/>
          <w:numId w:val="48"/>
        </w:numPr>
        <w:wordWrap/>
        <w:overflowPunct/>
        <w:topLinePunct/>
        <w:autoSpaceDN/>
        <w:bidi w:val="0"/>
        <w:snapToGrid/>
        <w:spacing w:line="460" w:lineRule="exact"/>
        <w:ind w:left="0" w:firstLine="480" w:firstLineChars="200"/>
        <w:jc w:val="both"/>
        <w:textAlignment w:val="auto"/>
        <w:rPr>
          <w:rFonts w:hint="eastAsia" w:hAnsi="宋体" w:eastAsia="宋体"/>
          <w:highlight w:val="none"/>
        </w:rPr>
      </w:pPr>
      <w:r>
        <w:rPr>
          <w:rFonts w:hint="eastAsia" w:hAnsi="宋体" w:eastAsia="宋体"/>
          <w:highlight w:val="none"/>
        </w:rPr>
        <w:t>被责令停产停业、暂扣或者吊销许可证、暂扣或者吊销执照；</w:t>
      </w:r>
    </w:p>
    <w:p w14:paraId="32C2327E">
      <w:pPr>
        <w:pStyle w:val="8"/>
        <w:keepNext w:val="0"/>
        <w:keepLines w:val="0"/>
        <w:pageBreakBefore w:val="0"/>
        <w:numPr>
          <w:ilvl w:val="0"/>
          <w:numId w:val="48"/>
        </w:numPr>
        <w:wordWrap/>
        <w:overflowPunct/>
        <w:topLinePunct/>
        <w:autoSpaceDN/>
        <w:bidi w:val="0"/>
        <w:snapToGrid/>
        <w:spacing w:line="460" w:lineRule="exact"/>
        <w:ind w:left="0" w:firstLine="480" w:firstLineChars="200"/>
        <w:jc w:val="both"/>
        <w:textAlignment w:val="auto"/>
        <w:rPr>
          <w:rFonts w:hint="eastAsia" w:hAnsi="宋体" w:eastAsia="宋体"/>
          <w:highlight w:val="none"/>
        </w:rPr>
      </w:pPr>
      <w:r>
        <w:rPr>
          <w:rFonts w:hint="eastAsia" w:hAnsi="宋体" w:eastAsia="宋体"/>
          <w:highlight w:val="none"/>
        </w:rPr>
        <w:t>进入清算程序，或被宣告破产；</w:t>
      </w:r>
    </w:p>
    <w:p w14:paraId="3AB98A21">
      <w:pPr>
        <w:pStyle w:val="8"/>
        <w:keepNext w:val="0"/>
        <w:keepLines w:val="0"/>
        <w:pageBreakBefore w:val="0"/>
        <w:numPr>
          <w:ilvl w:val="0"/>
          <w:numId w:val="48"/>
        </w:numPr>
        <w:wordWrap/>
        <w:overflowPunct/>
        <w:topLinePunct/>
        <w:autoSpaceDN/>
        <w:bidi w:val="0"/>
        <w:snapToGrid/>
        <w:spacing w:line="460" w:lineRule="exact"/>
        <w:ind w:left="0" w:firstLine="480" w:firstLineChars="200"/>
        <w:jc w:val="both"/>
        <w:textAlignment w:val="auto"/>
        <w:rPr>
          <w:rFonts w:hint="eastAsia" w:hAnsi="宋体" w:eastAsia="宋体"/>
          <w:highlight w:val="none"/>
        </w:rPr>
      </w:pPr>
      <w:r>
        <w:rPr>
          <w:rFonts w:hint="eastAsia" w:hAnsi="宋体" w:eastAsia="宋体"/>
          <w:highlight w:val="none"/>
        </w:rPr>
        <w:t>被依法暂停或取消投标资格的；</w:t>
      </w:r>
    </w:p>
    <w:p w14:paraId="19A8A46B">
      <w:pPr>
        <w:pStyle w:val="8"/>
        <w:keepNext w:val="0"/>
        <w:keepLines w:val="0"/>
        <w:pageBreakBefore w:val="0"/>
        <w:numPr>
          <w:ilvl w:val="0"/>
          <w:numId w:val="48"/>
        </w:numPr>
        <w:wordWrap/>
        <w:overflowPunct/>
        <w:topLinePunct/>
        <w:autoSpaceDN/>
        <w:bidi w:val="0"/>
        <w:snapToGrid/>
        <w:spacing w:line="460" w:lineRule="exact"/>
        <w:ind w:left="0" w:firstLine="480" w:firstLineChars="200"/>
        <w:jc w:val="both"/>
        <w:textAlignment w:val="auto"/>
        <w:rPr>
          <w:rFonts w:hint="eastAsia" w:hAnsi="宋体" w:eastAsia="宋体"/>
          <w:highlight w:val="none"/>
        </w:rPr>
      </w:pPr>
      <w:r>
        <w:rPr>
          <w:rFonts w:hint="eastAsia" w:hAnsi="宋体" w:eastAsia="宋体"/>
          <w:highlight w:val="none"/>
        </w:rPr>
        <w:t>法律法规或投标人须知前附表规定的其他情形。</w:t>
      </w:r>
    </w:p>
    <w:p w14:paraId="34466594">
      <w:pPr>
        <w:pStyle w:val="8"/>
        <w:keepNext w:val="0"/>
        <w:keepLines w:val="0"/>
        <w:pageBreakBefore w:val="0"/>
        <w:numPr>
          <w:ilvl w:val="0"/>
          <w:numId w:val="48"/>
        </w:numPr>
        <w:wordWrap/>
        <w:overflowPunct/>
        <w:topLinePunct/>
        <w:autoSpaceDN/>
        <w:bidi w:val="0"/>
        <w:snapToGrid/>
        <w:spacing w:line="460" w:lineRule="exact"/>
        <w:ind w:left="0" w:firstLine="480" w:firstLineChars="200"/>
        <w:jc w:val="both"/>
        <w:textAlignment w:val="auto"/>
        <w:rPr>
          <w:rFonts w:hint="eastAsia" w:hAnsi="宋体" w:eastAsia="宋体"/>
          <w:highlight w:val="none"/>
        </w:rPr>
      </w:pPr>
      <w:r>
        <w:rPr>
          <w:rFonts w:hint="eastAsia" w:hAnsi="宋体" w:eastAsia="宋体"/>
          <w:highlight w:val="none"/>
        </w:rPr>
        <w:t>安全生产许可证超出有效期或处于暂扣时限内的；</w:t>
      </w:r>
    </w:p>
    <w:p w14:paraId="14AA918D">
      <w:pPr>
        <w:pStyle w:val="8"/>
        <w:keepNext w:val="0"/>
        <w:keepLines w:val="0"/>
        <w:pageBreakBefore w:val="0"/>
        <w:numPr>
          <w:ilvl w:val="0"/>
          <w:numId w:val="48"/>
        </w:numPr>
        <w:wordWrap/>
        <w:overflowPunct/>
        <w:topLinePunct/>
        <w:autoSpaceDN/>
        <w:bidi w:val="0"/>
        <w:snapToGrid/>
        <w:spacing w:line="460" w:lineRule="exact"/>
        <w:ind w:left="0" w:firstLine="480" w:firstLineChars="200"/>
        <w:jc w:val="both"/>
        <w:textAlignment w:val="auto"/>
        <w:rPr>
          <w:rFonts w:hint="eastAsia" w:hAnsi="宋体" w:eastAsia="宋体"/>
          <w:highlight w:val="none"/>
        </w:rPr>
      </w:pPr>
      <w:r>
        <w:rPr>
          <w:rFonts w:hint="eastAsia" w:hAnsi="宋体" w:eastAsia="宋体"/>
          <w:highlight w:val="none"/>
        </w:rPr>
        <w:t>投标人及相关管理人员（包括项目负责人）安全生产任职资格不符合相关规定；</w:t>
      </w:r>
    </w:p>
    <w:p w14:paraId="4513C45E">
      <w:pPr>
        <w:pStyle w:val="8"/>
        <w:keepNext w:val="0"/>
        <w:keepLines w:val="0"/>
        <w:pageBreakBefore w:val="0"/>
        <w:numPr>
          <w:ilvl w:val="0"/>
          <w:numId w:val="48"/>
        </w:numPr>
        <w:wordWrap/>
        <w:overflowPunct/>
        <w:topLinePunct/>
        <w:autoSpaceDN/>
        <w:bidi w:val="0"/>
        <w:snapToGrid/>
        <w:spacing w:line="460" w:lineRule="exact"/>
        <w:ind w:left="0" w:firstLine="480" w:firstLineChars="200"/>
        <w:jc w:val="both"/>
        <w:textAlignment w:val="auto"/>
        <w:rPr>
          <w:rFonts w:hint="eastAsia" w:hAnsi="宋体" w:eastAsia="宋体"/>
          <w:highlight w:val="none"/>
        </w:rPr>
      </w:pPr>
      <w:r>
        <w:rPr>
          <w:rFonts w:hint="eastAsia" w:hAnsi="宋体" w:eastAsia="宋体"/>
          <w:highlight w:val="none"/>
        </w:rPr>
        <w:t>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14:paraId="1AA69256">
      <w:pPr>
        <w:pStyle w:val="8"/>
        <w:keepNext w:val="0"/>
        <w:keepLines w:val="0"/>
        <w:pageBreakBefore w:val="0"/>
        <w:numPr>
          <w:ilvl w:val="0"/>
          <w:numId w:val="48"/>
        </w:numPr>
        <w:wordWrap/>
        <w:overflowPunct/>
        <w:topLinePunct/>
        <w:autoSpaceDN/>
        <w:bidi w:val="0"/>
        <w:snapToGrid/>
        <w:spacing w:line="460" w:lineRule="exact"/>
        <w:ind w:left="0" w:firstLine="480" w:firstLineChars="200"/>
        <w:jc w:val="both"/>
        <w:textAlignment w:val="auto"/>
        <w:rPr>
          <w:rFonts w:hint="eastAsia" w:hAnsi="宋体" w:eastAsia="宋体"/>
          <w:highlight w:val="none"/>
        </w:rPr>
      </w:pPr>
      <w:r>
        <w:rPr>
          <w:rFonts w:hint="eastAsia" w:hAnsi="宋体" w:eastAsia="宋体"/>
          <w:highlight w:val="none"/>
        </w:rPr>
        <w:t>浙江省外企业《省外企业进浙承接业务备案证明</w:t>
      </w:r>
      <w:r>
        <w:rPr>
          <w:rFonts w:hint="eastAsia" w:hAnsi="宋体" w:eastAsia="宋体"/>
          <w:color w:val="auto"/>
          <w:highlight w:val="none"/>
        </w:rPr>
        <w:t>》超出有效期或未能在“浙江省建筑市场监管公共服务系统”对外发布形成的备案信息中显示的或已注销的。</w:t>
      </w:r>
    </w:p>
    <w:p w14:paraId="609E30F6">
      <w:pPr>
        <w:pStyle w:val="8"/>
        <w:keepNext w:val="0"/>
        <w:keepLines w:val="0"/>
        <w:pageBreakBefore w:val="0"/>
        <w:widowControl w:val="0"/>
        <w:numPr>
          <w:ilvl w:val="1"/>
          <w:numId w:val="42"/>
        </w:numPr>
        <w:kinsoku w:val="0"/>
        <w:wordWrap/>
        <w:overflowPunct/>
        <w:topLinePunct w:val="0"/>
        <w:autoSpaceDE w:val="0"/>
        <w:autoSpaceDN w:val="0"/>
        <w:bidi w:val="0"/>
        <w:adjustRightInd w:val="0"/>
        <w:snapToGrid/>
        <w:spacing w:line="460" w:lineRule="exact"/>
        <w:ind w:left="567" w:leftChars="0" w:hanging="567" w:firstLineChars="0"/>
        <w:jc w:val="both"/>
        <w:textAlignment w:val="auto"/>
        <w:rPr>
          <w:rFonts w:ascii="宋体" w:hAnsi="宋体" w:eastAsia="宋体"/>
          <w:b/>
          <w:sz w:val="28"/>
          <w:highlight w:val="none"/>
        </w:rPr>
      </w:pPr>
      <w:bookmarkStart w:id="25" w:name="bookmark27"/>
      <w:bookmarkEnd w:id="25"/>
      <w:r>
        <w:rPr>
          <w:rFonts w:ascii="宋体" w:hAnsi="宋体" w:eastAsia="宋体"/>
          <w:b/>
          <w:sz w:val="28"/>
          <w:highlight w:val="none"/>
        </w:rPr>
        <w:t>费用承担</w:t>
      </w:r>
    </w:p>
    <w:p w14:paraId="514EA3B7">
      <w:pPr>
        <w:pStyle w:val="8"/>
        <w:keepNext w:val="0"/>
        <w:keepLines w:val="0"/>
        <w:pageBreakBefore w:val="0"/>
        <w:kinsoku w:val="0"/>
        <w:wordWrap/>
        <w:overflowPunct/>
        <w:bidi w:val="0"/>
        <w:snapToGrid/>
        <w:spacing w:line="460" w:lineRule="exact"/>
        <w:ind w:right="44"/>
        <w:jc w:val="both"/>
        <w:textAlignment w:val="auto"/>
        <w:rPr>
          <w:rFonts w:hAnsi="宋体"/>
          <w:highlight w:val="none"/>
        </w:rPr>
      </w:pPr>
      <w:r>
        <w:rPr>
          <w:rFonts w:hint="eastAsia" w:hAnsi="宋体"/>
          <w:highlight w:val="none"/>
        </w:rPr>
        <w:t>投标人准备和参加投标活动发生的费用自理。</w:t>
      </w:r>
    </w:p>
    <w:p w14:paraId="4019B4AE">
      <w:pPr>
        <w:pStyle w:val="8"/>
        <w:keepNext w:val="0"/>
        <w:keepLines w:val="0"/>
        <w:pageBreakBefore w:val="0"/>
        <w:widowControl w:val="0"/>
        <w:numPr>
          <w:ilvl w:val="1"/>
          <w:numId w:val="42"/>
        </w:numPr>
        <w:kinsoku w:val="0"/>
        <w:wordWrap/>
        <w:overflowPunct/>
        <w:topLinePunct w:val="0"/>
        <w:autoSpaceDE w:val="0"/>
        <w:autoSpaceDN w:val="0"/>
        <w:bidi w:val="0"/>
        <w:adjustRightInd w:val="0"/>
        <w:snapToGrid/>
        <w:spacing w:line="460" w:lineRule="exact"/>
        <w:ind w:left="567" w:leftChars="0" w:hanging="567" w:firstLineChars="0"/>
        <w:jc w:val="both"/>
        <w:textAlignment w:val="auto"/>
        <w:rPr>
          <w:rFonts w:ascii="宋体" w:hAnsi="宋体" w:eastAsia="宋体"/>
          <w:b/>
          <w:sz w:val="28"/>
          <w:highlight w:val="none"/>
        </w:rPr>
      </w:pPr>
      <w:bookmarkStart w:id="26" w:name="bookmark28"/>
      <w:bookmarkEnd w:id="26"/>
      <w:r>
        <w:rPr>
          <w:rFonts w:ascii="宋体" w:hAnsi="宋体" w:eastAsia="宋体"/>
          <w:b/>
          <w:sz w:val="28"/>
          <w:highlight w:val="none"/>
        </w:rPr>
        <w:t>保密</w:t>
      </w:r>
    </w:p>
    <w:p w14:paraId="78BA00F0">
      <w:pPr>
        <w:pStyle w:val="8"/>
        <w:keepNext w:val="0"/>
        <w:keepLines w:val="0"/>
        <w:pageBreakBefore w:val="0"/>
        <w:wordWrap/>
        <w:overflowPunct/>
        <w:topLinePunct/>
        <w:autoSpaceDN/>
        <w:bidi w:val="0"/>
        <w:snapToGrid/>
        <w:spacing w:line="460" w:lineRule="exact"/>
        <w:ind w:left="0" w:firstLine="476" w:firstLineChars="200"/>
        <w:jc w:val="both"/>
        <w:textAlignment w:val="auto"/>
        <w:rPr>
          <w:rFonts w:hAnsi="宋体"/>
          <w:highlight w:val="none"/>
        </w:rPr>
      </w:pPr>
      <w:r>
        <w:rPr>
          <w:rFonts w:hint="eastAsia" w:hAnsi="宋体"/>
          <w:spacing w:val="-1"/>
          <w:highlight w:val="none"/>
        </w:rPr>
        <w:t>参与招标投标活动的各方应对招标文件和投标文件中的商业和技术等秘密保密，否则应承</w:t>
      </w:r>
      <w:r>
        <w:rPr>
          <w:rFonts w:hint="eastAsia" w:hAnsi="宋体"/>
          <w:highlight w:val="none"/>
        </w:rPr>
        <w:t>担相应的法律责任。</w:t>
      </w:r>
    </w:p>
    <w:p w14:paraId="4B272171">
      <w:pPr>
        <w:pStyle w:val="8"/>
        <w:keepNext w:val="0"/>
        <w:keepLines w:val="0"/>
        <w:pageBreakBefore w:val="0"/>
        <w:widowControl w:val="0"/>
        <w:numPr>
          <w:ilvl w:val="1"/>
          <w:numId w:val="42"/>
        </w:numPr>
        <w:kinsoku w:val="0"/>
        <w:wordWrap/>
        <w:overflowPunct/>
        <w:topLinePunct w:val="0"/>
        <w:autoSpaceDE w:val="0"/>
        <w:autoSpaceDN w:val="0"/>
        <w:bidi w:val="0"/>
        <w:adjustRightInd w:val="0"/>
        <w:snapToGrid/>
        <w:spacing w:line="460" w:lineRule="exact"/>
        <w:ind w:left="567" w:leftChars="0" w:hanging="567" w:firstLineChars="0"/>
        <w:jc w:val="both"/>
        <w:textAlignment w:val="auto"/>
        <w:rPr>
          <w:rFonts w:ascii="宋体" w:hAnsi="宋体" w:eastAsia="宋体"/>
          <w:b/>
          <w:sz w:val="28"/>
          <w:highlight w:val="none"/>
        </w:rPr>
      </w:pPr>
      <w:bookmarkStart w:id="27" w:name="bookmark29"/>
      <w:bookmarkEnd w:id="27"/>
      <w:r>
        <w:rPr>
          <w:rFonts w:ascii="宋体" w:hAnsi="宋体" w:eastAsia="宋体"/>
          <w:b/>
          <w:sz w:val="28"/>
          <w:highlight w:val="none"/>
        </w:rPr>
        <w:t>语言文字</w:t>
      </w:r>
    </w:p>
    <w:p w14:paraId="21C5EDF7">
      <w:pPr>
        <w:pStyle w:val="8"/>
        <w:keepNext w:val="0"/>
        <w:keepLines w:val="0"/>
        <w:pageBreakBefore w:val="0"/>
        <w:wordWrap/>
        <w:overflowPunct/>
        <w:topLinePunct/>
        <w:autoSpaceDN/>
        <w:bidi w:val="0"/>
        <w:snapToGrid/>
        <w:spacing w:line="460" w:lineRule="exact"/>
        <w:ind w:left="0" w:firstLine="480" w:firstLineChars="200"/>
        <w:jc w:val="both"/>
        <w:textAlignment w:val="auto"/>
        <w:rPr>
          <w:rFonts w:hAnsi="宋体"/>
          <w:highlight w:val="none"/>
        </w:rPr>
      </w:pPr>
      <w:r>
        <w:rPr>
          <w:rFonts w:hint="eastAsia" w:hAnsi="宋体"/>
          <w:highlight w:val="none"/>
        </w:rPr>
        <w:t>招标投标文件使用的语言文字为中文。专用术语使用外文的，应附有中文注释。</w:t>
      </w:r>
    </w:p>
    <w:p w14:paraId="045FCB23">
      <w:pPr>
        <w:pStyle w:val="8"/>
        <w:keepNext w:val="0"/>
        <w:keepLines w:val="0"/>
        <w:pageBreakBefore w:val="0"/>
        <w:widowControl w:val="0"/>
        <w:numPr>
          <w:ilvl w:val="1"/>
          <w:numId w:val="42"/>
        </w:numPr>
        <w:kinsoku w:val="0"/>
        <w:wordWrap/>
        <w:overflowPunct/>
        <w:topLinePunct w:val="0"/>
        <w:autoSpaceDE w:val="0"/>
        <w:autoSpaceDN w:val="0"/>
        <w:bidi w:val="0"/>
        <w:adjustRightInd w:val="0"/>
        <w:snapToGrid/>
        <w:spacing w:line="460" w:lineRule="exact"/>
        <w:ind w:left="567" w:leftChars="0" w:hanging="567" w:firstLineChars="0"/>
        <w:jc w:val="both"/>
        <w:textAlignment w:val="auto"/>
        <w:rPr>
          <w:rFonts w:ascii="宋体" w:hAnsi="宋体" w:eastAsia="宋体"/>
          <w:b/>
          <w:sz w:val="28"/>
          <w:highlight w:val="none"/>
        </w:rPr>
      </w:pPr>
      <w:bookmarkStart w:id="28" w:name="bookmark30"/>
      <w:bookmarkEnd w:id="28"/>
      <w:r>
        <w:rPr>
          <w:rFonts w:ascii="宋体" w:hAnsi="宋体" w:eastAsia="宋体"/>
          <w:b/>
          <w:sz w:val="28"/>
          <w:highlight w:val="none"/>
        </w:rPr>
        <w:t>计量单位</w:t>
      </w:r>
    </w:p>
    <w:p w14:paraId="67318A8E">
      <w:pPr>
        <w:pStyle w:val="8"/>
        <w:keepNext w:val="0"/>
        <w:keepLines w:val="0"/>
        <w:pageBreakBefore w:val="0"/>
        <w:kinsoku w:val="0"/>
        <w:wordWrap/>
        <w:overflowPunct/>
        <w:bidi w:val="0"/>
        <w:snapToGrid/>
        <w:spacing w:line="460" w:lineRule="exact"/>
        <w:ind w:right="44"/>
        <w:jc w:val="both"/>
        <w:textAlignment w:val="auto"/>
        <w:rPr>
          <w:rFonts w:hAnsi="宋体"/>
          <w:highlight w:val="none"/>
        </w:rPr>
      </w:pPr>
      <w:r>
        <w:rPr>
          <w:rFonts w:hint="eastAsia" w:hAnsi="宋体"/>
          <w:highlight w:val="none"/>
        </w:rPr>
        <w:t>所有计量均采用中华人民共和国法定计量单位。</w:t>
      </w:r>
    </w:p>
    <w:p w14:paraId="2AC52E09">
      <w:pPr>
        <w:pStyle w:val="8"/>
        <w:keepNext w:val="0"/>
        <w:keepLines w:val="0"/>
        <w:pageBreakBefore w:val="0"/>
        <w:widowControl w:val="0"/>
        <w:numPr>
          <w:ilvl w:val="1"/>
          <w:numId w:val="42"/>
        </w:numPr>
        <w:kinsoku w:val="0"/>
        <w:wordWrap/>
        <w:overflowPunct/>
        <w:topLinePunct w:val="0"/>
        <w:autoSpaceDE w:val="0"/>
        <w:autoSpaceDN w:val="0"/>
        <w:bidi w:val="0"/>
        <w:adjustRightInd w:val="0"/>
        <w:snapToGrid/>
        <w:spacing w:line="460" w:lineRule="exact"/>
        <w:ind w:left="567" w:leftChars="0" w:hanging="567" w:firstLineChars="0"/>
        <w:jc w:val="both"/>
        <w:textAlignment w:val="auto"/>
        <w:rPr>
          <w:rFonts w:ascii="宋体" w:hAnsi="宋体"/>
          <w:b/>
          <w:sz w:val="28"/>
          <w:highlight w:val="none"/>
        </w:rPr>
      </w:pPr>
      <w:bookmarkStart w:id="29" w:name="bookmark31"/>
      <w:bookmarkEnd w:id="29"/>
      <w:r>
        <w:rPr>
          <w:rFonts w:ascii="宋体" w:hAnsi="宋体" w:eastAsia="宋体"/>
          <w:b/>
          <w:sz w:val="28"/>
          <w:highlight w:val="none"/>
        </w:rPr>
        <w:t>踏勘现场</w:t>
      </w:r>
    </w:p>
    <w:p w14:paraId="0CFE45A2">
      <w:pPr>
        <w:pStyle w:val="8"/>
        <w:keepNext w:val="0"/>
        <w:keepLines w:val="0"/>
        <w:pageBreakBefore w:val="0"/>
        <w:numPr>
          <w:ilvl w:val="2"/>
          <w:numId w:val="49"/>
        </w:numPr>
        <w:kinsoku w:val="0"/>
        <w:wordWrap/>
        <w:overflowPunct/>
        <w:bidi w:val="0"/>
        <w:snapToGrid/>
        <w:spacing w:line="460" w:lineRule="exact"/>
        <w:ind w:left="0" w:firstLine="464" w:firstLineChars="200"/>
        <w:jc w:val="both"/>
        <w:textAlignment w:val="auto"/>
        <w:rPr>
          <w:rFonts w:hAnsi="宋体"/>
          <w:spacing w:val="-6"/>
          <w:highlight w:val="none"/>
        </w:rPr>
      </w:pPr>
      <w:r>
        <w:rPr>
          <w:rFonts w:hint="eastAsia" w:hAnsi="宋体"/>
          <w:spacing w:val="-4"/>
          <w:highlight w:val="none"/>
        </w:rPr>
        <w:t>投标人须知前附表规定组织踏勘现场的，招标人按投标人须知前附表规定的时间、地</w:t>
      </w:r>
      <w:r>
        <w:rPr>
          <w:rFonts w:hint="eastAsia" w:hAnsi="宋体"/>
          <w:spacing w:val="-6"/>
          <w:highlight w:val="none"/>
        </w:rPr>
        <w:t>点组织投标人踏勘项目现场。部分投标人未按时参加踏勘现场的，不影响踏勘现场的正常进行。</w:t>
      </w:r>
    </w:p>
    <w:p w14:paraId="3B522C99">
      <w:pPr>
        <w:pStyle w:val="8"/>
        <w:keepNext w:val="0"/>
        <w:keepLines w:val="0"/>
        <w:pageBreakBefore w:val="0"/>
        <w:numPr>
          <w:ilvl w:val="2"/>
          <w:numId w:val="49"/>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投标人踏勘现场发生的费用自理。</w:t>
      </w:r>
    </w:p>
    <w:p w14:paraId="34CDC9A2">
      <w:pPr>
        <w:pStyle w:val="8"/>
        <w:keepNext w:val="0"/>
        <w:keepLines w:val="0"/>
        <w:pageBreakBefore w:val="0"/>
        <w:numPr>
          <w:ilvl w:val="2"/>
          <w:numId w:val="49"/>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除招标人的原因外，投标人自行负责在踏勘现场中所发生的人员伤亡和财产损失。</w:t>
      </w:r>
    </w:p>
    <w:p w14:paraId="6BE15596">
      <w:pPr>
        <w:pStyle w:val="8"/>
        <w:keepNext w:val="0"/>
        <w:keepLines w:val="0"/>
        <w:pageBreakBefore w:val="0"/>
        <w:numPr>
          <w:ilvl w:val="2"/>
          <w:numId w:val="49"/>
        </w:numPr>
        <w:kinsoku w:val="0"/>
        <w:wordWrap/>
        <w:overflowPunct/>
        <w:bidi w:val="0"/>
        <w:snapToGrid/>
        <w:spacing w:line="460" w:lineRule="exact"/>
        <w:ind w:left="0" w:firstLine="464" w:firstLineChars="200"/>
        <w:jc w:val="both"/>
        <w:textAlignment w:val="auto"/>
        <w:rPr>
          <w:rFonts w:hAnsi="宋体"/>
          <w:highlight w:val="none"/>
        </w:rPr>
      </w:pPr>
      <w:r>
        <w:rPr>
          <w:rFonts w:hint="eastAsia" w:hAnsi="宋体"/>
          <w:spacing w:val="-4"/>
          <w:highlight w:val="none"/>
        </w:rPr>
        <w:t>招标人在踏勘现场中介绍的工程场地和相关的周边环境情况，供投标人在编制投标文</w:t>
      </w:r>
      <w:r>
        <w:rPr>
          <w:rFonts w:hint="eastAsia" w:hAnsi="宋体"/>
          <w:highlight w:val="none"/>
        </w:rPr>
        <w:t>件时参考，招标人不对投标人据此作出的判断和决策负责。</w:t>
      </w:r>
    </w:p>
    <w:p w14:paraId="24286FE7">
      <w:pPr>
        <w:pStyle w:val="8"/>
        <w:keepNext w:val="0"/>
        <w:keepLines w:val="0"/>
        <w:pageBreakBefore w:val="0"/>
        <w:widowControl w:val="0"/>
        <w:numPr>
          <w:ilvl w:val="1"/>
          <w:numId w:val="42"/>
        </w:numPr>
        <w:kinsoku w:val="0"/>
        <w:wordWrap/>
        <w:overflowPunct/>
        <w:topLinePunct w:val="0"/>
        <w:autoSpaceDE w:val="0"/>
        <w:autoSpaceDN w:val="0"/>
        <w:bidi w:val="0"/>
        <w:adjustRightInd w:val="0"/>
        <w:snapToGrid/>
        <w:spacing w:line="460" w:lineRule="exact"/>
        <w:ind w:left="567" w:leftChars="0" w:hanging="567" w:firstLineChars="0"/>
        <w:jc w:val="both"/>
        <w:textAlignment w:val="auto"/>
        <w:rPr>
          <w:rFonts w:ascii="宋体" w:hAnsi="宋体"/>
          <w:b/>
          <w:sz w:val="28"/>
          <w:highlight w:val="none"/>
        </w:rPr>
      </w:pPr>
      <w:bookmarkStart w:id="30" w:name="bookmark32"/>
      <w:bookmarkEnd w:id="30"/>
      <w:r>
        <w:rPr>
          <w:rFonts w:ascii="宋体" w:hAnsi="宋体" w:eastAsia="宋体"/>
          <w:b/>
          <w:sz w:val="28"/>
          <w:highlight w:val="none"/>
        </w:rPr>
        <w:t>投标预备会</w:t>
      </w:r>
    </w:p>
    <w:p w14:paraId="02671E01">
      <w:pPr>
        <w:pStyle w:val="8"/>
        <w:keepNext w:val="0"/>
        <w:keepLines w:val="0"/>
        <w:pageBreakBefore w:val="0"/>
        <w:numPr>
          <w:ilvl w:val="2"/>
          <w:numId w:val="50"/>
        </w:numPr>
        <w:kinsoku w:val="0"/>
        <w:wordWrap/>
        <w:overflowPunct/>
        <w:bidi w:val="0"/>
        <w:snapToGrid/>
        <w:spacing w:line="460" w:lineRule="exact"/>
        <w:ind w:left="0" w:right="45" w:firstLine="480" w:firstLineChars="200"/>
        <w:jc w:val="both"/>
        <w:textAlignment w:val="auto"/>
        <w:rPr>
          <w:rFonts w:hAnsi="宋体"/>
          <w:highlight w:val="none"/>
        </w:rPr>
      </w:pPr>
      <w:r>
        <w:rPr>
          <w:rFonts w:hint="eastAsia" w:hAnsi="宋体"/>
          <w:highlight w:val="none"/>
        </w:rPr>
        <w:t>投标人须知前附表规定召开投标预备会的，招标人按投标人须知前附表规定的时间和地点召开投标预备会，澄清投标人提出的问题。</w:t>
      </w:r>
    </w:p>
    <w:p w14:paraId="011C6985">
      <w:pPr>
        <w:pStyle w:val="8"/>
        <w:keepNext w:val="0"/>
        <w:keepLines w:val="0"/>
        <w:pageBreakBefore w:val="0"/>
        <w:widowControl w:val="0"/>
        <w:numPr>
          <w:ilvl w:val="1"/>
          <w:numId w:val="42"/>
        </w:numPr>
        <w:kinsoku w:val="0"/>
        <w:wordWrap/>
        <w:overflowPunct/>
        <w:topLinePunct w:val="0"/>
        <w:autoSpaceDE w:val="0"/>
        <w:autoSpaceDN w:val="0"/>
        <w:bidi w:val="0"/>
        <w:adjustRightInd w:val="0"/>
        <w:snapToGrid/>
        <w:spacing w:line="460" w:lineRule="exact"/>
        <w:ind w:left="567" w:leftChars="0" w:hanging="567" w:firstLineChars="0"/>
        <w:jc w:val="both"/>
        <w:textAlignment w:val="auto"/>
        <w:rPr>
          <w:rFonts w:ascii="宋体" w:hAnsi="宋体"/>
          <w:b/>
          <w:sz w:val="28"/>
          <w:highlight w:val="none"/>
        </w:rPr>
      </w:pPr>
      <w:bookmarkStart w:id="31" w:name="bookmark33"/>
      <w:bookmarkEnd w:id="31"/>
      <w:r>
        <w:rPr>
          <w:rFonts w:ascii="宋体" w:hAnsi="宋体" w:eastAsia="宋体"/>
          <w:b/>
          <w:sz w:val="28"/>
          <w:highlight w:val="none"/>
        </w:rPr>
        <w:t>分包</w:t>
      </w:r>
    </w:p>
    <w:p w14:paraId="210093B4">
      <w:pPr>
        <w:pStyle w:val="8"/>
        <w:keepNext w:val="0"/>
        <w:keepLines w:val="0"/>
        <w:pageBreakBefore w:val="0"/>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投标人拟在中标后将中标项目的非主体、非关键性工作进行分包的，</w:t>
      </w:r>
      <w:bookmarkStart w:id="32" w:name="_Hlk27203995"/>
      <w:r>
        <w:rPr>
          <w:rFonts w:hint="eastAsia" w:hAnsi="宋体"/>
          <w:highlight w:val="none"/>
        </w:rPr>
        <w:t>应符合相关法律法规规定。</w:t>
      </w:r>
      <w:bookmarkEnd w:id="32"/>
    </w:p>
    <w:p w14:paraId="036DE2BA">
      <w:pPr>
        <w:pStyle w:val="8"/>
        <w:keepNext w:val="0"/>
        <w:keepLines w:val="0"/>
        <w:pageBreakBefore w:val="0"/>
        <w:widowControl w:val="0"/>
        <w:numPr>
          <w:ilvl w:val="1"/>
          <w:numId w:val="42"/>
        </w:numPr>
        <w:kinsoku w:val="0"/>
        <w:wordWrap/>
        <w:overflowPunct/>
        <w:topLinePunct w:val="0"/>
        <w:autoSpaceDE w:val="0"/>
        <w:autoSpaceDN w:val="0"/>
        <w:bidi w:val="0"/>
        <w:adjustRightInd w:val="0"/>
        <w:snapToGrid/>
        <w:spacing w:line="460" w:lineRule="exact"/>
        <w:ind w:left="567" w:leftChars="0" w:hanging="567" w:firstLineChars="0"/>
        <w:jc w:val="both"/>
        <w:textAlignment w:val="auto"/>
        <w:rPr>
          <w:rFonts w:ascii="宋体" w:hAnsi="宋体"/>
          <w:b/>
          <w:sz w:val="28"/>
          <w:highlight w:val="none"/>
        </w:rPr>
      </w:pPr>
      <w:bookmarkStart w:id="33" w:name="bookmark34"/>
      <w:bookmarkEnd w:id="33"/>
      <w:r>
        <w:rPr>
          <w:rFonts w:ascii="宋体" w:hAnsi="宋体" w:eastAsia="宋体"/>
          <w:b/>
          <w:sz w:val="28"/>
          <w:highlight w:val="none"/>
        </w:rPr>
        <w:t>偏差</w:t>
      </w:r>
    </w:p>
    <w:p w14:paraId="09E8FEEE">
      <w:pPr>
        <w:pStyle w:val="8"/>
        <w:keepNext w:val="0"/>
        <w:keepLines w:val="0"/>
        <w:pageBreakBefore w:val="0"/>
        <w:numPr>
          <w:ilvl w:val="2"/>
          <w:numId w:val="51"/>
        </w:numPr>
        <w:kinsoku w:val="0"/>
        <w:wordWrap/>
        <w:overflowPunct/>
        <w:bidi w:val="0"/>
        <w:snapToGrid/>
        <w:spacing w:line="460" w:lineRule="exact"/>
        <w:ind w:left="0" w:firstLine="480" w:firstLineChars="200"/>
        <w:jc w:val="both"/>
        <w:textAlignment w:val="auto"/>
        <w:rPr>
          <w:rFonts w:hAnsi="宋体"/>
          <w:spacing w:val="-1"/>
          <w:highlight w:val="none"/>
        </w:rPr>
      </w:pPr>
      <w:r>
        <w:rPr>
          <w:rFonts w:hint="eastAsia" w:hAnsi="宋体"/>
          <w:highlight w:val="none"/>
        </w:rPr>
        <w:t>投标文件应当对招标文件的实质性要求和条件作出满足性或更有利于招标人的响应，否则，投标人的投标将被否决。投标人及投标文件不存在投标人须知前附表</w:t>
      </w:r>
      <w:r>
        <w:rPr>
          <w:rFonts w:hAnsi="宋体"/>
          <w:highlight w:val="none"/>
        </w:rPr>
        <w:t>10.5</w:t>
      </w:r>
      <w:r>
        <w:rPr>
          <w:rFonts w:hint="eastAsia" w:hAnsi="宋体"/>
          <w:highlight w:val="none"/>
        </w:rPr>
        <w:t>项规定情形的，即认为投标文件对招标文件的实质性要求和条件作出了满足性或更有利于招标人的响应。</w:t>
      </w:r>
    </w:p>
    <w:p w14:paraId="7270DD34">
      <w:pPr>
        <w:pStyle w:val="8"/>
        <w:keepNext w:val="0"/>
        <w:keepLines w:val="0"/>
        <w:pageBreakBefore w:val="0"/>
        <w:numPr>
          <w:ilvl w:val="2"/>
          <w:numId w:val="51"/>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14:paraId="3404DB37">
      <w:pPr>
        <w:pStyle w:val="8"/>
        <w:keepNext w:val="0"/>
        <w:keepLines w:val="0"/>
        <w:pageBreakBefore w:val="0"/>
        <w:widowControl w:val="0"/>
        <w:numPr>
          <w:ilvl w:val="0"/>
          <w:numId w:val="41"/>
        </w:numPr>
        <w:kinsoku w:val="0"/>
        <w:wordWrap/>
        <w:overflowPunct/>
        <w:topLinePunct w:val="0"/>
        <w:autoSpaceDE w:val="0"/>
        <w:autoSpaceDN w:val="0"/>
        <w:bidi w:val="0"/>
        <w:adjustRightInd w:val="0"/>
        <w:snapToGrid/>
        <w:spacing w:line="460" w:lineRule="exact"/>
        <w:ind w:left="425" w:leftChars="0" w:hanging="425" w:firstLineChars="0"/>
        <w:jc w:val="both"/>
        <w:textAlignment w:val="auto"/>
        <w:rPr>
          <w:rFonts w:ascii="宋体" w:hAnsi="宋体" w:eastAsia="宋体" w:cs="Times New Roman"/>
          <w:b/>
          <w:sz w:val="32"/>
          <w:szCs w:val="32"/>
          <w:highlight w:val="none"/>
          <w:lang w:val="en-US" w:eastAsia="zh-CN" w:bidi="ar-SA"/>
        </w:rPr>
      </w:pPr>
      <w:bookmarkStart w:id="34" w:name="_Toc12149"/>
      <w:bookmarkStart w:id="35" w:name="_Toc45697233"/>
      <w:bookmarkStart w:id="36" w:name="_Toc22828069"/>
      <w:r>
        <w:rPr>
          <w:rFonts w:ascii="宋体" w:hAnsi="宋体" w:eastAsia="宋体" w:cs="Times New Roman"/>
          <w:b/>
          <w:sz w:val="32"/>
          <w:szCs w:val="32"/>
          <w:highlight w:val="none"/>
          <w:lang w:val="en-US" w:eastAsia="zh-CN" w:bidi="ar-SA"/>
        </w:rPr>
        <w:t>招标文件</w:t>
      </w:r>
      <w:bookmarkEnd w:id="34"/>
      <w:bookmarkEnd w:id="35"/>
      <w:bookmarkEnd w:id="36"/>
    </w:p>
    <w:p w14:paraId="12EFC3C8">
      <w:pPr>
        <w:pStyle w:val="8"/>
        <w:keepNext w:val="0"/>
        <w:keepLines w:val="0"/>
        <w:pageBreakBefore w:val="0"/>
        <w:widowControl w:val="0"/>
        <w:numPr>
          <w:ilvl w:val="1"/>
          <w:numId w:val="41"/>
        </w:numPr>
        <w:kinsoku w:val="0"/>
        <w:wordWrap/>
        <w:overflowPunct/>
        <w:topLinePunct w:val="0"/>
        <w:autoSpaceDE w:val="0"/>
        <w:autoSpaceDN w:val="0"/>
        <w:bidi w:val="0"/>
        <w:adjustRightInd w:val="0"/>
        <w:snapToGrid/>
        <w:spacing w:line="460" w:lineRule="exact"/>
        <w:ind w:left="567" w:leftChars="0" w:hanging="567" w:firstLineChars="0"/>
        <w:jc w:val="both"/>
        <w:textAlignment w:val="auto"/>
        <w:rPr>
          <w:rFonts w:ascii="宋体" w:hAnsi="宋体" w:eastAsia="宋体"/>
          <w:b/>
          <w:sz w:val="28"/>
          <w:highlight w:val="none"/>
          <w:lang w:val="en-US" w:eastAsia="zh-CN"/>
        </w:rPr>
      </w:pPr>
      <w:bookmarkStart w:id="37" w:name="bookmark36"/>
      <w:bookmarkEnd w:id="37"/>
      <w:r>
        <w:rPr>
          <w:rFonts w:hint="eastAsia" w:ascii="宋体" w:hAnsi="宋体" w:eastAsia="宋体"/>
          <w:b/>
          <w:sz w:val="28"/>
          <w:highlight w:val="none"/>
          <w:lang w:val="en-US" w:eastAsia="zh-CN"/>
        </w:rPr>
        <w:t>招标文件的组成</w:t>
      </w:r>
    </w:p>
    <w:p w14:paraId="0C8D079D">
      <w:pPr>
        <w:pStyle w:val="8"/>
        <w:keepNext w:val="0"/>
        <w:keepLines w:val="0"/>
        <w:pageBreakBefore w:val="0"/>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本招标文件包括：</w:t>
      </w:r>
    </w:p>
    <w:p w14:paraId="7ABB54D7">
      <w:pPr>
        <w:pStyle w:val="8"/>
        <w:keepNext w:val="0"/>
        <w:keepLines w:val="0"/>
        <w:pageBreakBefore w:val="0"/>
        <w:numPr>
          <w:ilvl w:val="0"/>
          <w:numId w:val="52"/>
        </w:numPr>
        <w:kinsoku w:val="0"/>
        <w:wordWrap/>
        <w:overflowPunct/>
        <w:bidi w:val="0"/>
        <w:snapToGrid/>
        <w:spacing w:line="460" w:lineRule="exact"/>
        <w:ind w:left="0" w:firstLine="448" w:firstLineChars="200"/>
        <w:jc w:val="both"/>
        <w:textAlignment w:val="auto"/>
        <w:rPr>
          <w:rFonts w:hAnsi="宋体"/>
          <w:spacing w:val="-8"/>
          <w:highlight w:val="none"/>
        </w:rPr>
      </w:pPr>
      <w:r>
        <w:rPr>
          <w:rFonts w:hint="eastAsia" w:hAnsi="宋体"/>
          <w:spacing w:val="-8"/>
          <w:highlight w:val="none"/>
        </w:rPr>
        <w:t>招标公告（或投标邀请书）；</w:t>
      </w:r>
    </w:p>
    <w:p w14:paraId="29C870A1">
      <w:pPr>
        <w:pStyle w:val="8"/>
        <w:keepNext w:val="0"/>
        <w:keepLines w:val="0"/>
        <w:pageBreakBefore w:val="0"/>
        <w:numPr>
          <w:ilvl w:val="0"/>
          <w:numId w:val="52"/>
        </w:numPr>
        <w:kinsoku w:val="0"/>
        <w:wordWrap/>
        <w:overflowPunct/>
        <w:bidi w:val="0"/>
        <w:snapToGrid/>
        <w:spacing w:line="460" w:lineRule="exact"/>
        <w:ind w:left="0" w:firstLine="448" w:firstLineChars="200"/>
        <w:jc w:val="both"/>
        <w:textAlignment w:val="auto"/>
        <w:rPr>
          <w:rFonts w:hAnsi="宋体"/>
          <w:spacing w:val="-8"/>
          <w:highlight w:val="none"/>
        </w:rPr>
      </w:pPr>
      <w:r>
        <w:rPr>
          <w:rFonts w:hint="eastAsia" w:hAnsi="宋体"/>
          <w:spacing w:val="-8"/>
          <w:highlight w:val="none"/>
        </w:rPr>
        <w:t>投标人须知；</w:t>
      </w:r>
    </w:p>
    <w:p w14:paraId="42044B12">
      <w:pPr>
        <w:pStyle w:val="8"/>
        <w:keepNext w:val="0"/>
        <w:keepLines w:val="0"/>
        <w:pageBreakBefore w:val="0"/>
        <w:numPr>
          <w:ilvl w:val="0"/>
          <w:numId w:val="52"/>
        </w:numPr>
        <w:kinsoku w:val="0"/>
        <w:wordWrap/>
        <w:overflowPunct/>
        <w:bidi w:val="0"/>
        <w:snapToGrid/>
        <w:spacing w:line="460" w:lineRule="exact"/>
        <w:ind w:left="0" w:firstLine="448" w:firstLineChars="200"/>
        <w:jc w:val="both"/>
        <w:textAlignment w:val="auto"/>
        <w:rPr>
          <w:rFonts w:hAnsi="宋体"/>
          <w:spacing w:val="-8"/>
          <w:highlight w:val="none"/>
        </w:rPr>
      </w:pPr>
      <w:r>
        <w:rPr>
          <w:rFonts w:hint="eastAsia" w:hAnsi="宋体"/>
          <w:spacing w:val="-8"/>
          <w:highlight w:val="none"/>
        </w:rPr>
        <w:t>评标办法；</w:t>
      </w:r>
    </w:p>
    <w:p w14:paraId="77AC861B">
      <w:pPr>
        <w:pStyle w:val="8"/>
        <w:keepNext w:val="0"/>
        <w:keepLines w:val="0"/>
        <w:pageBreakBefore w:val="0"/>
        <w:numPr>
          <w:ilvl w:val="0"/>
          <w:numId w:val="52"/>
        </w:numPr>
        <w:kinsoku w:val="0"/>
        <w:wordWrap/>
        <w:overflowPunct/>
        <w:bidi w:val="0"/>
        <w:snapToGrid/>
        <w:spacing w:line="460" w:lineRule="exact"/>
        <w:ind w:left="0" w:firstLine="448" w:firstLineChars="200"/>
        <w:jc w:val="both"/>
        <w:textAlignment w:val="auto"/>
        <w:rPr>
          <w:rFonts w:hAnsi="宋体"/>
          <w:spacing w:val="-8"/>
          <w:highlight w:val="none"/>
        </w:rPr>
      </w:pPr>
      <w:r>
        <w:rPr>
          <w:rFonts w:hint="eastAsia" w:hAnsi="宋体"/>
          <w:spacing w:val="-8"/>
          <w:highlight w:val="none"/>
        </w:rPr>
        <w:t>合同条款及格式；</w:t>
      </w:r>
    </w:p>
    <w:p w14:paraId="1F70C95D">
      <w:pPr>
        <w:pStyle w:val="8"/>
        <w:keepNext w:val="0"/>
        <w:keepLines w:val="0"/>
        <w:pageBreakBefore w:val="0"/>
        <w:numPr>
          <w:ilvl w:val="0"/>
          <w:numId w:val="52"/>
        </w:numPr>
        <w:kinsoku w:val="0"/>
        <w:wordWrap/>
        <w:overflowPunct/>
        <w:bidi w:val="0"/>
        <w:snapToGrid/>
        <w:spacing w:line="460" w:lineRule="exact"/>
        <w:ind w:left="0" w:firstLine="448" w:firstLineChars="200"/>
        <w:jc w:val="both"/>
        <w:textAlignment w:val="auto"/>
        <w:rPr>
          <w:rFonts w:hAnsi="宋体"/>
          <w:spacing w:val="-8"/>
          <w:highlight w:val="none"/>
        </w:rPr>
      </w:pPr>
      <w:r>
        <w:rPr>
          <w:rFonts w:hint="eastAsia" w:hAnsi="宋体"/>
          <w:spacing w:val="-8"/>
          <w:highlight w:val="none"/>
        </w:rPr>
        <w:t>工程规范；</w:t>
      </w:r>
    </w:p>
    <w:p w14:paraId="409F7860">
      <w:pPr>
        <w:pStyle w:val="8"/>
        <w:keepNext w:val="0"/>
        <w:keepLines w:val="0"/>
        <w:pageBreakBefore w:val="0"/>
        <w:numPr>
          <w:ilvl w:val="0"/>
          <w:numId w:val="52"/>
        </w:numPr>
        <w:kinsoku w:val="0"/>
        <w:wordWrap/>
        <w:overflowPunct/>
        <w:bidi w:val="0"/>
        <w:snapToGrid/>
        <w:spacing w:line="460" w:lineRule="exact"/>
        <w:ind w:left="0" w:firstLine="448" w:firstLineChars="200"/>
        <w:jc w:val="both"/>
        <w:textAlignment w:val="auto"/>
        <w:rPr>
          <w:rFonts w:hAnsi="宋体"/>
          <w:spacing w:val="-8"/>
          <w:highlight w:val="none"/>
        </w:rPr>
      </w:pPr>
      <w:r>
        <w:rPr>
          <w:rFonts w:hint="eastAsia" w:hAnsi="宋体"/>
          <w:spacing w:val="-8"/>
          <w:highlight w:val="none"/>
        </w:rPr>
        <w:t>工程量清单；</w:t>
      </w:r>
    </w:p>
    <w:p w14:paraId="2F8B090F">
      <w:pPr>
        <w:pStyle w:val="8"/>
        <w:keepNext w:val="0"/>
        <w:keepLines w:val="0"/>
        <w:pageBreakBefore w:val="0"/>
        <w:numPr>
          <w:ilvl w:val="0"/>
          <w:numId w:val="52"/>
        </w:numPr>
        <w:kinsoku w:val="0"/>
        <w:wordWrap/>
        <w:overflowPunct/>
        <w:bidi w:val="0"/>
        <w:snapToGrid/>
        <w:spacing w:line="460" w:lineRule="exact"/>
        <w:ind w:left="0" w:firstLine="448" w:firstLineChars="200"/>
        <w:jc w:val="both"/>
        <w:textAlignment w:val="auto"/>
        <w:rPr>
          <w:rFonts w:hAnsi="宋体"/>
          <w:spacing w:val="-8"/>
          <w:highlight w:val="none"/>
        </w:rPr>
      </w:pPr>
      <w:r>
        <w:rPr>
          <w:rFonts w:hint="eastAsia" w:hAnsi="宋体"/>
          <w:spacing w:val="-8"/>
          <w:highlight w:val="none"/>
        </w:rPr>
        <w:t>图纸及其他资料；</w:t>
      </w:r>
    </w:p>
    <w:p w14:paraId="74ED7275">
      <w:pPr>
        <w:pStyle w:val="8"/>
        <w:keepNext w:val="0"/>
        <w:keepLines w:val="0"/>
        <w:pageBreakBefore w:val="0"/>
        <w:numPr>
          <w:ilvl w:val="0"/>
          <w:numId w:val="52"/>
        </w:numPr>
        <w:kinsoku w:val="0"/>
        <w:wordWrap/>
        <w:overflowPunct/>
        <w:bidi w:val="0"/>
        <w:snapToGrid/>
        <w:spacing w:line="460" w:lineRule="exact"/>
        <w:ind w:left="0" w:firstLine="448" w:firstLineChars="200"/>
        <w:jc w:val="both"/>
        <w:textAlignment w:val="auto"/>
        <w:rPr>
          <w:rFonts w:hAnsi="宋体"/>
          <w:spacing w:val="-8"/>
          <w:highlight w:val="none"/>
        </w:rPr>
      </w:pPr>
      <w:r>
        <w:rPr>
          <w:rFonts w:hint="eastAsia" w:hAnsi="宋体"/>
          <w:spacing w:val="-8"/>
          <w:highlight w:val="none"/>
        </w:rPr>
        <w:t>投标文件格式；</w:t>
      </w:r>
    </w:p>
    <w:p w14:paraId="6B6862EE">
      <w:pPr>
        <w:pStyle w:val="8"/>
        <w:keepNext w:val="0"/>
        <w:keepLines w:val="0"/>
        <w:pageBreakBefore w:val="0"/>
        <w:numPr>
          <w:ilvl w:val="0"/>
          <w:numId w:val="52"/>
        </w:numPr>
        <w:kinsoku w:val="0"/>
        <w:wordWrap/>
        <w:overflowPunct/>
        <w:bidi w:val="0"/>
        <w:snapToGrid/>
        <w:spacing w:line="460" w:lineRule="exact"/>
        <w:ind w:left="0" w:firstLine="448" w:firstLineChars="200"/>
        <w:jc w:val="both"/>
        <w:textAlignment w:val="auto"/>
        <w:rPr>
          <w:rFonts w:hAnsi="宋体"/>
          <w:spacing w:val="-8"/>
          <w:highlight w:val="none"/>
        </w:rPr>
      </w:pPr>
      <w:r>
        <w:rPr>
          <w:rFonts w:hint="eastAsia" w:hAnsi="宋体"/>
          <w:spacing w:val="-8"/>
          <w:highlight w:val="none"/>
        </w:rPr>
        <w:t>投标人须知前附表规定的其他材料。</w:t>
      </w:r>
    </w:p>
    <w:p w14:paraId="235E5770">
      <w:pPr>
        <w:pStyle w:val="8"/>
        <w:keepNext w:val="0"/>
        <w:keepLines w:val="0"/>
        <w:pageBreakBefore w:val="0"/>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根据本章第</w:t>
      </w:r>
      <w:r>
        <w:rPr>
          <w:rFonts w:hAnsi="宋体"/>
          <w:highlight w:val="none"/>
        </w:rPr>
        <w:t>1.10</w:t>
      </w:r>
      <w:r>
        <w:rPr>
          <w:rFonts w:hint="eastAsia" w:hAnsi="宋体"/>
          <w:highlight w:val="none"/>
        </w:rPr>
        <w:t>款、第</w:t>
      </w:r>
      <w:r>
        <w:rPr>
          <w:rFonts w:hAnsi="宋体"/>
          <w:highlight w:val="none"/>
        </w:rPr>
        <w:t>2.2</w:t>
      </w:r>
      <w:r>
        <w:rPr>
          <w:rFonts w:hint="eastAsia" w:hAnsi="宋体"/>
          <w:highlight w:val="none"/>
        </w:rPr>
        <w:t>款和第</w:t>
      </w:r>
      <w:r>
        <w:rPr>
          <w:rFonts w:hAnsi="宋体"/>
          <w:highlight w:val="none"/>
        </w:rPr>
        <w:t>2.3</w:t>
      </w:r>
      <w:r>
        <w:rPr>
          <w:rFonts w:hint="eastAsia" w:hAnsi="宋体"/>
          <w:highlight w:val="none"/>
        </w:rPr>
        <w:t>款对招标文件所作的澄清、修改，构成招标文件的组成部分。</w:t>
      </w:r>
    </w:p>
    <w:p w14:paraId="644F2745">
      <w:pPr>
        <w:pStyle w:val="8"/>
        <w:keepNext w:val="0"/>
        <w:keepLines w:val="0"/>
        <w:pageBreakBefore w:val="0"/>
        <w:widowControl w:val="0"/>
        <w:numPr>
          <w:ilvl w:val="1"/>
          <w:numId w:val="41"/>
        </w:numPr>
        <w:kinsoku w:val="0"/>
        <w:wordWrap/>
        <w:overflowPunct/>
        <w:topLinePunct w:val="0"/>
        <w:autoSpaceDE w:val="0"/>
        <w:autoSpaceDN w:val="0"/>
        <w:bidi w:val="0"/>
        <w:adjustRightInd w:val="0"/>
        <w:snapToGrid/>
        <w:spacing w:line="460" w:lineRule="exact"/>
        <w:ind w:left="567" w:leftChars="0" w:hanging="567" w:firstLineChars="0"/>
        <w:jc w:val="both"/>
        <w:textAlignment w:val="auto"/>
        <w:rPr>
          <w:rFonts w:hint="eastAsia" w:ascii="宋体" w:hAnsi="宋体" w:eastAsia="宋体"/>
          <w:b/>
          <w:sz w:val="28"/>
          <w:highlight w:val="none"/>
          <w:lang w:val="en-US" w:eastAsia="zh-CN"/>
        </w:rPr>
      </w:pPr>
      <w:bookmarkStart w:id="38" w:name="bookmark37"/>
      <w:bookmarkEnd w:id="38"/>
      <w:r>
        <w:rPr>
          <w:rFonts w:hint="eastAsia" w:ascii="宋体" w:hAnsi="宋体" w:eastAsia="宋体"/>
          <w:b/>
          <w:sz w:val="28"/>
          <w:highlight w:val="none"/>
          <w:lang w:val="en-US" w:eastAsia="zh-CN"/>
        </w:rPr>
        <w:t>招标文件的澄清</w:t>
      </w:r>
    </w:p>
    <w:p w14:paraId="6784499A">
      <w:pPr>
        <w:pStyle w:val="8"/>
        <w:keepNext w:val="0"/>
        <w:keepLines w:val="0"/>
        <w:pageBreakBefore w:val="0"/>
        <w:numPr>
          <w:ilvl w:val="2"/>
          <w:numId w:val="53"/>
        </w:numPr>
        <w:wordWrap/>
        <w:overflowPunct/>
        <w:topLinePunct/>
        <w:autoSpaceDN/>
        <w:bidi w:val="0"/>
        <w:snapToGrid/>
        <w:spacing w:line="460" w:lineRule="exact"/>
        <w:ind w:left="0" w:firstLine="480" w:firstLineChars="200"/>
        <w:jc w:val="both"/>
        <w:textAlignment w:val="auto"/>
        <w:rPr>
          <w:rFonts w:hAnsi="宋体"/>
          <w:highlight w:val="none"/>
        </w:rPr>
      </w:pPr>
      <w:r>
        <w:rPr>
          <w:rFonts w:hint="eastAsia" w:hAnsi="宋体"/>
          <w:highlight w:val="none"/>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14:paraId="7448F903">
      <w:pPr>
        <w:pStyle w:val="8"/>
        <w:keepNext w:val="0"/>
        <w:keepLines w:val="0"/>
        <w:pageBreakBefore w:val="0"/>
        <w:widowControl w:val="0"/>
        <w:numPr>
          <w:ilvl w:val="1"/>
          <w:numId w:val="41"/>
        </w:numPr>
        <w:kinsoku w:val="0"/>
        <w:wordWrap/>
        <w:overflowPunct/>
        <w:topLinePunct w:val="0"/>
        <w:autoSpaceDE w:val="0"/>
        <w:autoSpaceDN w:val="0"/>
        <w:bidi w:val="0"/>
        <w:adjustRightInd w:val="0"/>
        <w:snapToGrid/>
        <w:spacing w:line="460" w:lineRule="exact"/>
        <w:ind w:left="567" w:leftChars="0" w:hanging="567" w:firstLineChars="0"/>
        <w:jc w:val="both"/>
        <w:textAlignment w:val="auto"/>
        <w:rPr>
          <w:rFonts w:hint="eastAsia" w:ascii="宋体" w:hAnsi="宋体" w:eastAsia="宋体"/>
          <w:b/>
          <w:sz w:val="28"/>
          <w:highlight w:val="none"/>
          <w:lang w:val="en-US" w:eastAsia="zh-CN"/>
        </w:rPr>
      </w:pPr>
      <w:bookmarkStart w:id="39" w:name="bookmark38"/>
      <w:bookmarkEnd w:id="39"/>
      <w:r>
        <w:rPr>
          <w:rFonts w:hint="eastAsia" w:ascii="宋体" w:hAnsi="宋体" w:eastAsia="宋体"/>
          <w:b/>
          <w:sz w:val="28"/>
          <w:highlight w:val="none"/>
          <w:lang w:val="en-US" w:eastAsia="zh-CN"/>
        </w:rPr>
        <w:t>招标文件的修改</w:t>
      </w:r>
    </w:p>
    <w:p w14:paraId="2E83AC57">
      <w:pPr>
        <w:pStyle w:val="8"/>
        <w:keepNext w:val="0"/>
        <w:keepLines w:val="0"/>
        <w:pageBreakBefore w:val="0"/>
        <w:numPr>
          <w:ilvl w:val="2"/>
          <w:numId w:val="54"/>
        </w:numPr>
        <w:kinsoku w:val="0"/>
        <w:wordWrap/>
        <w:overflowPunct/>
        <w:bidi w:val="0"/>
        <w:snapToGrid/>
        <w:spacing w:line="460" w:lineRule="exact"/>
        <w:ind w:left="0" w:firstLine="468" w:firstLineChars="200"/>
        <w:jc w:val="both"/>
        <w:textAlignment w:val="auto"/>
        <w:rPr>
          <w:rFonts w:hAnsi="宋体"/>
          <w:highlight w:val="none"/>
        </w:rPr>
      </w:pPr>
      <w:r>
        <w:rPr>
          <w:rFonts w:hint="eastAsia" w:hAnsi="宋体"/>
          <w:spacing w:val="-3"/>
          <w:highlight w:val="none"/>
        </w:rPr>
        <w:t>招标人以投标人须知前附表规定的形式修改招标文件，并通知所有潜在投标人。</w:t>
      </w:r>
      <w:r>
        <w:rPr>
          <w:rFonts w:hint="eastAsia" w:hAnsi="宋体"/>
          <w:highlight w:val="none"/>
        </w:rPr>
        <w:t>修改招标文件的时间距投标截止时间不足</w:t>
      </w:r>
      <w:r>
        <w:rPr>
          <w:rFonts w:hAnsi="宋体"/>
          <w:highlight w:val="none"/>
        </w:rPr>
        <w:t>7</w:t>
      </w:r>
      <w:r>
        <w:rPr>
          <w:rFonts w:hint="eastAsia" w:hAnsi="宋体"/>
          <w:highlight w:val="none"/>
        </w:rPr>
        <w:t>日的，相应延长投标截止时间。修改的内容可能影响投标文件编制的，招标人将在投标截止时间至少</w:t>
      </w:r>
      <w:r>
        <w:rPr>
          <w:rFonts w:hAnsi="宋体"/>
          <w:highlight w:val="none"/>
        </w:rPr>
        <w:t>15</w:t>
      </w:r>
      <w:r>
        <w:rPr>
          <w:rFonts w:hint="eastAsia" w:hAnsi="宋体"/>
          <w:highlight w:val="none"/>
        </w:rPr>
        <w:t>日前发布修改文件；不足</w:t>
      </w:r>
      <w:r>
        <w:rPr>
          <w:rFonts w:hAnsi="宋体"/>
          <w:highlight w:val="none"/>
        </w:rPr>
        <w:t>15</w:t>
      </w:r>
      <w:r>
        <w:rPr>
          <w:rFonts w:hint="eastAsia" w:hAnsi="宋体"/>
          <w:highlight w:val="none"/>
        </w:rPr>
        <w:t>日的，招标人应当顺延提交投标文件的截止时间。</w:t>
      </w:r>
    </w:p>
    <w:p w14:paraId="595AE777">
      <w:pPr>
        <w:pStyle w:val="8"/>
        <w:keepNext w:val="0"/>
        <w:keepLines w:val="0"/>
        <w:pageBreakBefore w:val="0"/>
        <w:numPr>
          <w:ilvl w:val="2"/>
          <w:numId w:val="54"/>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当招标文件的修改内容与招标文件相互矛盾时，以最后发出的补充文件为准。</w:t>
      </w:r>
    </w:p>
    <w:p w14:paraId="1F2BAF3E">
      <w:pPr>
        <w:pStyle w:val="8"/>
        <w:keepNext w:val="0"/>
        <w:keepLines w:val="0"/>
        <w:pageBreakBefore w:val="0"/>
        <w:widowControl w:val="0"/>
        <w:numPr>
          <w:ilvl w:val="0"/>
          <w:numId w:val="41"/>
        </w:numPr>
        <w:kinsoku w:val="0"/>
        <w:wordWrap/>
        <w:overflowPunct/>
        <w:topLinePunct w:val="0"/>
        <w:autoSpaceDE w:val="0"/>
        <w:autoSpaceDN w:val="0"/>
        <w:bidi w:val="0"/>
        <w:adjustRightInd w:val="0"/>
        <w:snapToGrid/>
        <w:spacing w:line="460" w:lineRule="exact"/>
        <w:ind w:left="425" w:leftChars="0" w:hanging="425" w:firstLineChars="0"/>
        <w:jc w:val="both"/>
        <w:textAlignment w:val="auto"/>
        <w:rPr>
          <w:rFonts w:ascii="宋体" w:hAnsi="宋体" w:eastAsia="宋体" w:cs="Times New Roman"/>
          <w:b/>
          <w:sz w:val="32"/>
          <w:szCs w:val="32"/>
          <w:highlight w:val="none"/>
          <w:lang w:val="en-US" w:eastAsia="zh-CN" w:bidi="ar-SA"/>
        </w:rPr>
      </w:pPr>
      <w:bookmarkStart w:id="40" w:name="bookmark40"/>
      <w:bookmarkEnd w:id="40"/>
      <w:bookmarkStart w:id="41" w:name="bookmark39"/>
      <w:bookmarkEnd w:id="41"/>
      <w:bookmarkStart w:id="42" w:name="_Toc12864"/>
      <w:bookmarkStart w:id="43" w:name="_Toc45697234"/>
      <w:bookmarkStart w:id="44" w:name="_Toc22828070"/>
      <w:r>
        <w:rPr>
          <w:rFonts w:ascii="宋体" w:hAnsi="宋体" w:eastAsia="宋体" w:cs="Times New Roman"/>
          <w:b/>
          <w:sz w:val="32"/>
          <w:szCs w:val="32"/>
          <w:highlight w:val="none"/>
          <w:lang w:val="en-US" w:eastAsia="zh-CN" w:bidi="ar-SA"/>
        </w:rPr>
        <w:t>投标文件</w:t>
      </w:r>
      <w:bookmarkEnd w:id="42"/>
      <w:bookmarkEnd w:id="43"/>
      <w:bookmarkEnd w:id="44"/>
    </w:p>
    <w:p w14:paraId="22325D99">
      <w:pPr>
        <w:pStyle w:val="8"/>
        <w:keepNext w:val="0"/>
        <w:keepLines w:val="0"/>
        <w:pageBreakBefore w:val="0"/>
        <w:widowControl w:val="0"/>
        <w:numPr>
          <w:ilvl w:val="1"/>
          <w:numId w:val="41"/>
        </w:numPr>
        <w:kinsoku w:val="0"/>
        <w:wordWrap/>
        <w:overflowPunct/>
        <w:topLinePunct w:val="0"/>
        <w:autoSpaceDE w:val="0"/>
        <w:autoSpaceDN w:val="0"/>
        <w:bidi w:val="0"/>
        <w:adjustRightInd w:val="0"/>
        <w:snapToGrid/>
        <w:spacing w:line="460" w:lineRule="exact"/>
        <w:ind w:left="567" w:leftChars="0" w:hanging="567" w:firstLineChars="0"/>
        <w:jc w:val="both"/>
        <w:textAlignment w:val="auto"/>
        <w:rPr>
          <w:rFonts w:hint="eastAsia" w:ascii="宋体" w:hAnsi="宋体" w:eastAsia="宋体"/>
          <w:b/>
          <w:sz w:val="28"/>
          <w:highlight w:val="none"/>
          <w:lang w:val="en-US" w:eastAsia="zh-CN"/>
        </w:rPr>
      </w:pPr>
      <w:bookmarkStart w:id="45" w:name="bookmark41"/>
      <w:bookmarkEnd w:id="45"/>
      <w:r>
        <w:rPr>
          <w:rFonts w:hint="eastAsia" w:ascii="宋体" w:hAnsi="宋体" w:eastAsia="宋体"/>
          <w:b/>
          <w:sz w:val="28"/>
          <w:highlight w:val="none"/>
          <w:lang w:val="en-US" w:eastAsia="zh-CN"/>
        </w:rPr>
        <w:t>投标文件的组成</w:t>
      </w:r>
    </w:p>
    <w:p w14:paraId="2463872E">
      <w:pPr>
        <w:pStyle w:val="14"/>
        <w:keepNext w:val="0"/>
        <w:keepLines w:val="0"/>
        <w:pageBreakBefore w:val="0"/>
        <w:wordWrap/>
        <w:overflowPunct/>
        <w:bidi w:val="0"/>
        <w:snapToGrid/>
        <w:spacing w:line="460" w:lineRule="exact"/>
        <w:ind w:firstLine="482" w:firstLineChars="200"/>
        <w:jc w:val="both"/>
        <w:textAlignment w:val="auto"/>
        <w:rPr>
          <w:rFonts w:ascii="宋体" w:hAnsi="宋体" w:eastAsia="宋体" w:cs="宋体"/>
          <w:sz w:val="24"/>
          <w:szCs w:val="24"/>
          <w:highlight w:val="none"/>
        </w:rPr>
      </w:pPr>
      <w:r>
        <w:rPr>
          <w:rFonts w:hint="eastAsia" w:ascii="宋体" w:hAnsi="宋体" w:eastAsia="宋体" w:cs="宋体"/>
          <w:b/>
          <w:sz w:val="24"/>
          <w:szCs w:val="24"/>
          <w:highlight w:val="none"/>
        </w:rPr>
        <w:t>投标文件组成：见投标人须知前附表。</w:t>
      </w:r>
    </w:p>
    <w:p w14:paraId="2A443374">
      <w:pPr>
        <w:pStyle w:val="8"/>
        <w:keepNext w:val="0"/>
        <w:keepLines w:val="0"/>
        <w:pageBreakBefore w:val="0"/>
        <w:widowControl w:val="0"/>
        <w:numPr>
          <w:ilvl w:val="1"/>
          <w:numId w:val="41"/>
        </w:numPr>
        <w:kinsoku w:val="0"/>
        <w:wordWrap/>
        <w:overflowPunct/>
        <w:topLinePunct w:val="0"/>
        <w:autoSpaceDE w:val="0"/>
        <w:autoSpaceDN w:val="0"/>
        <w:bidi w:val="0"/>
        <w:adjustRightInd w:val="0"/>
        <w:snapToGrid/>
        <w:spacing w:line="460" w:lineRule="exact"/>
        <w:ind w:left="567" w:leftChars="0" w:hanging="567" w:firstLineChars="0"/>
        <w:jc w:val="both"/>
        <w:textAlignment w:val="auto"/>
        <w:rPr>
          <w:rFonts w:hint="eastAsia" w:ascii="宋体" w:hAnsi="宋体" w:eastAsia="宋体"/>
          <w:b/>
          <w:sz w:val="28"/>
          <w:highlight w:val="none"/>
          <w:lang w:val="en-US" w:eastAsia="zh-CN"/>
        </w:rPr>
      </w:pPr>
      <w:bookmarkStart w:id="46" w:name="bookmark42"/>
      <w:bookmarkEnd w:id="46"/>
      <w:r>
        <w:rPr>
          <w:rFonts w:hint="eastAsia" w:ascii="宋体" w:hAnsi="宋体" w:eastAsia="宋体"/>
          <w:b/>
          <w:sz w:val="28"/>
          <w:highlight w:val="none"/>
          <w:lang w:val="en-US" w:eastAsia="zh-CN"/>
        </w:rPr>
        <w:t>投标报价</w:t>
      </w:r>
    </w:p>
    <w:p w14:paraId="3CD7F9B8">
      <w:pPr>
        <w:pStyle w:val="8"/>
        <w:keepNext w:val="0"/>
        <w:keepLines w:val="0"/>
        <w:pageBreakBefore w:val="0"/>
        <w:numPr>
          <w:ilvl w:val="2"/>
          <w:numId w:val="55"/>
        </w:numPr>
        <w:kinsoku w:val="0"/>
        <w:wordWrap/>
        <w:overflowPunct/>
        <w:bidi w:val="0"/>
        <w:snapToGrid/>
        <w:spacing w:line="460" w:lineRule="exact"/>
        <w:ind w:left="0" w:firstLine="480" w:firstLineChars="200"/>
        <w:jc w:val="both"/>
        <w:textAlignment w:val="auto"/>
        <w:rPr>
          <w:rFonts w:hAnsi="宋体" w:cs="Arial"/>
          <w:highlight w:val="none"/>
        </w:rPr>
      </w:pPr>
      <w:r>
        <w:rPr>
          <w:rFonts w:hAnsi="宋体" w:cs="Arial"/>
          <w:highlight w:val="none"/>
        </w:rPr>
        <w:t>投标人应按照</w:t>
      </w:r>
      <w:r>
        <w:rPr>
          <w:rFonts w:hint="eastAsia" w:hAnsi="宋体" w:cs="Arial"/>
          <w:highlight w:val="none"/>
        </w:rPr>
        <w:t>电子招标文件</w:t>
      </w:r>
      <w:r>
        <w:rPr>
          <w:rFonts w:hAnsi="宋体" w:cs="Arial"/>
          <w:highlight w:val="none"/>
        </w:rPr>
        <w:t>的要求填写投标报价。</w:t>
      </w:r>
    </w:p>
    <w:p w14:paraId="49D337F8">
      <w:pPr>
        <w:pStyle w:val="8"/>
        <w:keepNext w:val="0"/>
        <w:keepLines w:val="0"/>
        <w:pageBreakBefore w:val="0"/>
        <w:numPr>
          <w:ilvl w:val="2"/>
          <w:numId w:val="55"/>
        </w:numPr>
        <w:kinsoku w:val="0"/>
        <w:wordWrap/>
        <w:overflowPunct/>
        <w:bidi w:val="0"/>
        <w:snapToGrid/>
        <w:spacing w:line="460" w:lineRule="exact"/>
        <w:ind w:left="0" w:firstLine="480" w:firstLineChars="200"/>
        <w:jc w:val="both"/>
        <w:textAlignment w:val="auto"/>
        <w:rPr>
          <w:rFonts w:hAnsi="宋体" w:cs="Arial"/>
          <w:highlight w:val="none"/>
        </w:rPr>
      </w:pPr>
      <w:r>
        <w:rPr>
          <w:rFonts w:hAnsi="宋体" w:cs="Arial"/>
          <w:highlight w:val="none"/>
        </w:rPr>
        <w:t>投标人在投标截止时间前修改投标函中的投标报价总额，应同时修改投标文件“投标报价”中的相应报价，投标报价总额为各分项金额之和。此修改须符合本章</w:t>
      </w:r>
      <w:r>
        <w:rPr>
          <w:rFonts w:ascii="宋体" w:hAnsi="宋体" w:cs="Arial"/>
          <w:highlight w:val="none"/>
        </w:rPr>
        <w:t>第4.3款</w:t>
      </w:r>
      <w:r>
        <w:rPr>
          <w:rFonts w:hAnsi="宋体" w:cs="Arial"/>
          <w:highlight w:val="none"/>
        </w:rPr>
        <w:t>的有关要求。</w:t>
      </w:r>
    </w:p>
    <w:p w14:paraId="667A1382">
      <w:pPr>
        <w:pStyle w:val="8"/>
        <w:keepNext w:val="0"/>
        <w:keepLines w:val="0"/>
        <w:pageBreakBefore w:val="0"/>
        <w:numPr>
          <w:ilvl w:val="2"/>
          <w:numId w:val="55"/>
        </w:numPr>
        <w:kinsoku w:val="0"/>
        <w:wordWrap/>
        <w:overflowPunct/>
        <w:bidi w:val="0"/>
        <w:snapToGrid/>
        <w:spacing w:line="460" w:lineRule="exact"/>
        <w:ind w:left="0" w:firstLine="480" w:firstLineChars="200"/>
        <w:jc w:val="both"/>
        <w:textAlignment w:val="auto"/>
        <w:rPr>
          <w:rFonts w:hAnsi="宋体" w:cs="Arial"/>
          <w:highlight w:val="none"/>
        </w:rPr>
      </w:pPr>
      <w:r>
        <w:rPr>
          <w:rFonts w:hAnsi="宋体" w:cs="Arial"/>
          <w:highlight w:val="none"/>
        </w:rPr>
        <w:t>工程量清单计价方式：见投标人须知前附表，投标人应按第</w:t>
      </w:r>
      <w:r>
        <w:rPr>
          <w:rFonts w:hint="eastAsia" w:hAnsi="宋体" w:cs="Arial"/>
          <w:highlight w:val="none"/>
        </w:rPr>
        <w:t>五</w:t>
      </w:r>
      <w:r>
        <w:rPr>
          <w:rFonts w:hAnsi="宋体" w:cs="Arial"/>
          <w:highlight w:val="none"/>
        </w:rPr>
        <w:t>章“工程量清单编制”的要求报价</w:t>
      </w:r>
      <w:r>
        <w:rPr>
          <w:rFonts w:hint="eastAsia" w:hAnsi="宋体" w:cs="Arial"/>
          <w:highlight w:val="none"/>
        </w:rPr>
        <w:t>。</w:t>
      </w:r>
    </w:p>
    <w:p w14:paraId="11ECD22D">
      <w:pPr>
        <w:pStyle w:val="8"/>
        <w:keepNext w:val="0"/>
        <w:keepLines w:val="0"/>
        <w:pageBreakBefore w:val="0"/>
        <w:numPr>
          <w:ilvl w:val="2"/>
          <w:numId w:val="55"/>
        </w:numPr>
        <w:wordWrap/>
        <w:overflowPunct/>
        <w:topLinePunct/>
        <w:autoSpaceDN/>
        <w:bidi w:val="0"/>
        <w:snapToGrid/>
        <w:spacing w:line="460" w:lineRule="exact"/>
        <w:ind w:left="0" w:firstLine="480" w:firstLineChars="200"/>
        <w:jc w:val="both"/>
        <w:textAlignment w:val="auto"/>
        <w:rPr>
          <w:rFonts w:hAnsi="宋体" w:cs="Arial"/>
          <w:highlight w:val="none"/>
        </w:rPr>
      </w:pPr>
      <w:r>
        <w:rPr>
          <w:rFonts w:hint="eastAsia" w:hAnsi="宋体" w:cs="Arial"/>
          <w:highlight w:val="none"/>
        </w:rPr>
        <w:t>招标人设有最高投标限价的，投标人的投标报价不得超过最高投标限价，最高投标限价或其计算方法在投标人须知前附表中载明。</w:t>
      </w:r>
    </w:p>
    <w:p w14:paraId="4165BECA">
      <w:pPr>
        <w:pStyle w:val="8"/>
        <w:keepNext w:val="0"/>
        <w:keepLines w:val="0"/>
        <w:pageBreakBefore w:val="0"/>
        <w:numPr>
          <w:ilvl w:val="2"/>
          <w:numId w:val="55"/>
        </w:numPr>
        <w:kinsoku w:val="0"/>
        <w:wordWrap/>
        <w:overflowPunct/>
        <w:bidi w:val="0"/>
        <w:snapToGrid/>
        <w:spacing w:line="460" w:lineRule="exact"/>
        <w:ind w:left="0" w:firstLine="480" w:firstLineChars="200"/>
        <w:jc w:val="both"/>
        <w:textAlignment w:val="auto"/>
        <w:rPr>
          <w:rFonts w:hAnsi="宋体"/>
          <w:sz w:val="19"/>
          <w:szCs w:val="19"/>
          <w:highlight w:val="none"/>
        </w:rPr>
      </w:pPr>
      <w:r>
        <w:rPr>
          <w:rFonts w:hint="eastAsia" w:hAnsi="宋体" w:cs="Arial"/>
          <w:highlight w:val="none"/>
        </w:rPr>
        <w:t>投标报价的其他要求见投标人须知前附表。</w:t>
      </w:r>
    </w:p>
    <w:p w14:paraId="27C17ACC">
      <w:pPr>
        <w:pStyle w:val="8"/>
        <w:keepNext w:val="0"/>
        <w:keepLines w:val="0"/>
        <w:pageBreakBefore w:val="0"/>
        <w:widowControl w:val="0"/>
        <w:numPr>
          <w:ilvl w:val="1"/>
          <w:numId w:val="41"/>
        </w:numPr>
        <w:kinsoku w:val="0"/>
        <w:wordWrap/>
        <w:overflowPunct/>
        <w:topLinePunct w:val="0"/>
        <w:autoSpaceDE w:val="0"/>
        <w:autoSpaceDN w:val="0"/>
        <w:bidi w:val="0"/>
        <w:adjustRightInd w:val="0"/>
        <w:snapToGrid/>
        <w:spacing w:line="460" w:lineRule="exact"/>
        <w:ind w:left="567" w:leftChars="0" w:hanging="567" w:firstLineChars="0"/>
        <w:jc w:val="both"/>
        <w:textAlignment w:val="auto"/>
        <w:rPr>
          <w:rFonts w:ascii="宋体" w:hAnsi="宋体"/>
          <w:b/>
          <w:sz w:val="28"/>
          <w:highlight w:val="none"/>
        </w:rPr>
      </w:pPr>
      <w:bookmarkStart w:id="47" w:name="bookmark43"/>
      <w:bookmarkEnd w:id="47"/>
      <w:r>
        <w:rPr>
          <w:rFonts w:hint="eastAsia" w:ascii="宋体" w:hAnsi="宋体" w:eastAsia="宋体"/>
          <w:b/>
          <w:sz w:val="28"/>
          <w:highlight w:val="none"/>
          <w:lang w:val="en-US" w:eastAsia="zh-CN"/>
        </w:rPr>
        <w:t>投标有效期</w:t>
      </w:r>
    </w:p>
    <w:p w14:paraId="16652244">
      <w:pPr>
        <w:pStyle w:val="8"/>
        <w:keepNext w:val="0"/>
        <w:keepLines w:val="0"/>
        <w:pageBreakBefore w:val="0"/>
        <w:numPr>
          <w:ilvl w:val="2"/>
          <w:numId w:val="56"/>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在投标人须知前附表规定的投标有效期内，投标人不得要求撤销或修改其投标文件。</w:t>
      </w:r>
    </w:p>
    <w:p w14:paraId="1B7CB679">
      <w:pPr>
        <w:pStyle w:val="8"/>
        <w:keepNext w:val="0"/>
        <w:keepLines w:val="0"/>
        <w:pageBreakBefore w:val="0"/>
        <w:numPr>
          <w:ilvl w:val="2"/>
          <w:numId w:val="56"/>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在投标有效期内，投标人撤销投标文件的，应承担招标文件和法律规定的责任。</w:t>
      </w:r>
    </w:p>
    <w:p w14:paraId="162B76C2">
      <w:pPr>
        <w:pStyle w:val="8"/>
        <w:keepNext w:val="0"/>
        <w:keepLines w:val="0"/>
        <w:pageBreakBefore w:val="0"/>
        <w:numPr>
          <w:ilvl w:val="2"/>
          <w:numId w:val="56"/>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5B6B4BFB">
      <w:pPr>
        <w:pStyle w:val="8"/>
        <w:keepNext w:val="0"/>
        <w:keepLines w:val="0"/>
        <w:pageBreakBefore w:val="0"/>
        <w:widowControl w:val="0"/>
        <w:numPr>
          <w:ilvl w:val="1"/>
          <w:numId w:val="41"/>
        </w:numPr>
        <w:kinsoku w:val="0"/>
        <w:wordWrap/>
        <w:overflowPunct/>
        <w:topLinePunct w:val="0"/>
        <w:autoSpaceDE w:val="0"/>
        <w:autoSpaceDN w:val="0"/>
        <w:bidi w:val="0"/>
        <w:adjustRightInd w:val="0"/>
        <w:snapToGrid/>
        <w:spacing w:line="460" w:lineRule="exact"/>
        <w:ind w:left="567" w:leftChars="0" w:hanging="567" w:firstLineChars="0"/>
        <w:jc w:val="both"/>
        <w:textAlignment w:val="auto"/>
        <w:rPr>
          <w:rFonts w:ascii="宋体" w:hAnsi="宋体"/>
          <w:b/>
          <w:sz w:val="28"/>
          <w:highlight w:val="none"/>
        </w:rPr>
      </w:pPr>
      <w:bookmarkStart w:id="48" w:name="bookmark44"/>
      <w:bookmarkEnd w:id="48"/>
      <w:r>
        <w:rPr>
          <w:rFonts w:ascii="宋体" w:hAnsi="宋体"/>
          <w:b/>
          <w:sz w:val="28"/>
          <w:highlight w:val="none"/>
        </w:rPr>
        <w:t>投标</w:t>
      </w:r>
      <w:r>
        <w:rPr>
          <w:rFonts w:hint="eastAsia" w:ascii="宋体" w:hAnsi="宋体" w:eastAsia="宋体"/>
          <w:b/>
          <w:sz w:val="28"/>
          <w:highlight w:val="none"/>
          <w:lang w:val="en-US" w:eastAsia="zh-CN"/>
        </w:rPr>
        <w:t>保证金</w:t>
      </w:r>
    </w:p>
    <w:p w14:paraId="2B7C5A50">
      <w:pPr>
        <w:pStyle w:val="8"/>
        <w:keepNext w:val="0"/>
        <w:keepLines w:val="0"/>
        <w:pageBreakBefore w:val="0"/>
        <w:numPr>
          <w:ilvl w:val="2"/>
          <w:numId w:val="57"/>
        </w:numPr>
        <w:kinsoku w:val="0"/>
        <w:wordWrap/>
        <w:overflowPunct/>
        <w:bidi w:val="0"/>
        <w:snapToGrid/>
        <w:spacing w:line="460" w:lineRule="exact"/>
        <w:ind w:left="0" w:firstLine="456" w:firstLineChars="200"/>
        <w:jc w:val="both"/>
        <w:textAlignment w:val="auto"/>
        <w:rPr>
          <w:rFonts w:hAnsi="宋体"/>
          <w:highlight w:val="none"/>
        </w:rPr>
      </w:pPr>
      <w:r>
        <w:rPr>
          <w:rFonts w:hint="eastAsia" w:hAnsi="宋体"/>
          <w:spacing w:val="-6"/>
          <w:highlight w:val="none"/>
        </w:rPr>
        <w:t>投标人在</w:t>
      </w:r>
      <w:r>
        <w:rPr>
          <w:rFonts w:hint="eastAsia" w:hAnsi="宋体"/>
          <w:spacing w:val="-6"/>
          <w:highlight w:val="none"/>
          <w:lang w:val="en-US" w:eastAsia="zh-CN"/>
        </w:rPr>
        <w:t>上传</w:t>
      </w:r>
      <w:r>
        <w:rPr>
          <w:rFonts w:hint="eastAsia" w:hAnsi="宋体"/>
          <w:spacing w:val="-6"/>
          <w:highlight w:val="none"/>
        </w:rPr>
        <w:t>投标文件的同时，应按投标人须知前附表规定的金额、形式</w:t>
      </w:r>
      <w:r>
        <w:rPr>
          <w:rFonts w:hint="eastAsia" w:hAnsi="宋体"/>
          <w:spacing w:val="-3"/>
          <w:highlight w:val="none"/>
        </w:rPr>
        <w:t>递交投标保证金，并作为其投标文件的组成部分。</w:t>
      </w:r>
      <w:r>
        <w:rPr>
          <w:rFonts w:hint="eastAsia" w:hAnsi="宋体"/>
          <w:spacing w:val="-1"/>
          <w:highlight w:val="none"/>
        </w:rPr>
        <w:t>联合体投标的由联合体牵头人递交投标保证金，并应符合投标人须知前附表的</w:t>
      </w:r>
      <w:r>
        <w:rPr>
          <w:rFonts w:hint="eastAsia" w:hAnsi="宋体"/>
          <w:highlight w:val="none"/>
        </w:rPr>
        <w:t>规定。</w:t>
      </w:r>
    </w:p>
    <w:p w14:paraId="25112446">
      <w:pPr>
        <w:pStyle w:val="8"/>
        <w:keepNext w:val="0"/>
        <w:keepLines w:val="0"/>
        <w:pageBreakBefore w:val="0"/>
        <w:numPr>
          <w:ilvl w:val="2"/>
          <w:numId w:val="57"/>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投标人不按本章第</w:t>
      </w:r>
      <w:r>
        <w:rPr>
          <w:rFonts w:hAnsi="宋体"/>
          <w:highlight w:val="none"/>
        </w:rPr>
        <w:t>3.4.1</w:t>
      </w:r>
      <w:r>
        <w:rPr>
          <w:rFonts w:hint="eastAsia" w:hAnsi="宋体"/>
          <w:highlight w:val="none"/>
        </w:rPr>
        <w:t>项要求递交投标保证金的，评标委员会将否决其投标。</w:t>
      </w:r>
    </w:p>
    <w:p w14:paraId="62AC0E09">
      <w:pPr>
        <w:pStyle w:val="8"/>
        <w:keepNext w:val="0"/>
        <w:keepLines w:val="0"/>
        <w:pageBreakBefore w:val="0"/>
        <w:numPr>
          <w:ilvl w:val="2"/>
          <w:numId w:val="57"/>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投标保证金的退还：</w:t>
      </w:r>
    </w:p>
    <w:p w14:paraId="401381E6">
      <w:pPr>
        <w:pStyle w:val="8"/>
        <w:keepNext w:val="0"/>
        <w:keepLines w:val="0"/>
        <w:pageBreakBefore w:val="0"/>
        <w:numPr>
          <w:ilvl w:val="2"/>
          <w:numId w:val="58"/>
        </w:numPr>
        <w:kinsoku w:val="0"/>
        <w:wordWrap/>
        <w:overflowPunct/>
        <w:bidi w:val="0"/>
        <w:snapToGrid/>
        <w:spacing w:line="460" w:lineRule="exact"/>
        <w:ind w:left="0" w:firstLine="480" w:firstLineChars="200"/>
        <w:jc w:val="both"/>
        <w:textAlignment w:val="auto"/>
        <w:rPr>
          <w:highlight w:val="none"/>
        </w:rPr>
      </w:pPr>
      <w:r>
        <w:rPr>
          <w:rFonts w:hint="eastAsia"/>
          <w:highlight w:val="none"/>
        </w:rPr>
        <w:t>未中标单位的在中标通知书发出后退还。</w:t>
      </w:r>
    </w:p>
    <w:p w14:paraId="12E88731">
      <w:pPr>
        <w:pStyle w:val="8"/>
        <w:keepNext w:val="0"/>
        <w:keepLines w:val="0"/>
        <w:pageBreakBefore w:val="0"/>
        <w:numPr>
          <w:ilvl w:val="2"/>
          <w:numId w:val="58"/>
        </w:numPr>
        <w:kinsoku w:val="0"/>
        <w:wordWrap/>
        <w:overflowPunct/>
        <w:bidi w:val="0"/>
        <w:snapToGrid/>
        <w:spacing w:line="460" w:lineRule="exact"/>
        <w:ind w:left="0" w:firstLine="480" w:firstLineChars="200"/>
        <w:jc w:val="both"/>
        <w:textAlignment w:val="auto"/>
        <w:rPr>
          <w:rFonts w:hAnsi="宋体"/>
          <w:spacing w:val="-3"/>
          <w:highlight w:val="none"/>
        </w:rPr>
      </w:pPr>
      <w:r>
        <w:rPr>
          <w:rFonts w:hint="eastAsia"/>
          <w:highlight w:val="none"/>
        </w:rPr>
        <w:t>中标单位的在合同签订后退还。</w:t>
      </w:r>
    </w:p>
    <w:p w14:paraId="1B9F597F">
      <w:pPr>
        <w:pStyle w:val="8"/>
        <w:keepNext w:val="0"/>
        <w:keepLines w:val="0"/>
        <w:pageBreakBefore w:val="0"/>
        <w:numPr>
          <w:ilvl w:val="2"/>
          <w:numId w:val="57"/>
        </w:numPr>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有下列情形之一的，投标保证金将不予退还：</w:t>
      </w:r>
    </w:p>
    <w:p w14:paraId="3A346379">
      <w:pPr>
        <w:pStyle w:val="8"/>
        <w:keepNext w:val="0"/>
        <w:keepLines w:val="0"/>
        <w:pageBreakBefore w:val="0"/>
        <w:numPr>
          <w:ilvl w:val="0"/>
          <w:numId w:val="59"/>
        </w:numPr>
        <w:kinsoku w:val="0"/>
        <w:wordWrap/>
        <w:overflowPunct/>
        <w:bidi w:val="0"/>
        <w:snapToGrid/>
        <w:spacing w:line="460" w:lineRule="exact"/>
        <w:ind w:left="0" w:firstLine="476" w:firstLineChars="200"/>
        <w:jc w:val="both"/>
        <w:textAlignment w:val="auto"/>
        <w:rPr>
          <w:rFonts w:hAnsi="宋体"/>
          <w:spacing w:val="-1"/>
          <w:highlight w:val="none"/>
        </w:rPr>
      </w:pPr>
      <w:r>
        <w:rPr>
          <w:rFonts w:hint="eastAsia" w:hAnsi="宋体"/>
          <w:spacing w:val="-1"/>
          <w:highlight w:val="none"/>
        </w:rPr>
        <w:t>投标人违反《台州市建设工程诚信投标承诺书》承诺内容，或者对《台州市建设工程投标人资格自查表》和《台州市建设工程项目负责人资格自查表》中的自查内容进行虚假瞒报的；</w:t>
      </w:r>
    </w:p>
    <w:p w14:paraId="7E6CBA4C">
      <w:pPr>
        <w:pStyle w:val="8"/>
        <w:keepNext w:val="0"/>
        <w:keepLines w:val="0"/>
        <w:pageBreakBefore w:val="0"/>
        <w:numPr>
          <w:ilvl w:val="0"/>
          <w:numId w:val="59"/>
        </w:numPr>
        <w:wordWrap/>
        <w:overflowPunct/>
        <w:topLinePunct/>
        <w:autoSpaceDN/>
        <w:bidi w:val="0"/>
        <w:snapToGrid/>
        <w:spacing w:line="460" w:lineRule="exact"/>
        <w:ind w:left="0" w:firstLine="476" w:firstLineChars="200"/>
        <w:jc w:val="both"/>
        <w:textAlignment w:val="auto"/>
        <w:rPr>
          <w:rFonts w:hAnsi="宋体"/>
          <w:spacing w:val="-1"/>
          <w:highlight w:val="none"/>
        </w:rPr>
      </w:pPr>
      <w:r>
        <w:rPr>
          <w:rFonts w:hint="eastAsia" w:hAnsi="宋体"/>
          <w:spacing w:val="-1"/>
          <w:highlight w:val="none"/>
        </w:rPr>
        <w:t>有《关于印发&lt;台州市工程建设投标保函管理规定&gt;的通知》（台公管办〔2022〕2号）第十一条规定情形的。</w:t>
      </w:r>
    </w:p>
    <w:p w14:paraId="33751FF8">
      <w:pPr>
        <w:pStyle w:val="8"/>
        <w:keepNext w:val="0"/>
        <w:keepLines w:val="0"/>
        <w:pageBreakBefore w:val="0"/>
        <w:numPr>
          <w:ilvl w:val="2"/>
          <w:numId w:val="57"/>
        </w:numPr>
        <w:kinsoku w:val="0"/>
        <w:wordWrap/>
        <w:overflowPunct/>
        <w:bidi w:val="0"/>
        <w:snapToGrid/>
        <w:spacing w:line="460" w:lineRule="exact"/>
        <w:ind w:left="0" w:firstLine="480" w:firstLineChars="200"/>
        <w:jc w:val="both"/>
        <w:textAlignment w:val="auto"/>
        <w:rPr>
          <w:rFonts w:hint="eastAsia" w:hAnsi="宋体" w:eastAsia="宋体"/>
          <w:highlight w:val="none"/>
        </w:rPr>
      </w:pPr>
      <w:r>
        <w:rPr>
          <w:rFonts w:hint="eastAsia" w:hAnsi="宋体" w:eastAsia="宋体"/>
          <w:highlight w:val="none"/>
        </w:rPr>
        <w:t>本招标文件的“投标保证金不予退还”是指:</w:t>
      </w:r>
    </w:p>
    <w:p w14:paraId="21164981">
      <w:pPr>
        <w:pStyle w:val="8"/>
        <w:keepNext w:val="0"/>
        <w:keepLines w:val="0"/>
        <w:pageBreakBefore w:val="0"/>
        <w:numPr>
          <w:ilvl w:val="0"/>
          <w:numId w:val="60"/>
        </w:numPr>
        <w:kinsoku w:val="0"/>
        <w:wordWrap/>
        <w:overflowPunct/>
        <w:bidi w:val="0"/>
        <w:snapToGrid/>
        <w:spacing w:line="460" w:lineRule="exact"/>
        <w:ind w:left="0" w:firstLine="476" w:firstLineChars="200"/>
        <w:jc w:val="both"/>
        <w:textAlignment w:val="auto"/>
        <w:rPr>
          <w:rFonts w:hint="eastAsia" w:hAnsi="宋体" w:eastAsia="宋体"/>
          <w:spacing w:val="-1"/>
          <w:highlight w:val="none"/>
        </w:rPr>
      </w:pPr>
      <w:r>
        <w:rPr>
          <w:rFonts w:hint="eastAsia" w:hAnsi="宋体" w:eastAsia="宋体"/>
          <w:spacing w:val="-1"/>
          <w:highlight w:val="none"/>
        </w:rPr>
        <w:t>以现金转账形式，转账现金不予退还。</w:t>
      </w:r>
    </w:p>
    <w:p w14:paraId="7C3C4691">
      <w:pPr>
        <w:pStyle w:val="8"/>
        <w:keepNext w:val="0"/>
        <w:keepLines w:val="0"/>
        <w:pageBreakBefore w:val="0"/>
        <w:numPr>
          <w:ilvl w:val="0"/>
          <w:numId w:val="60"/>
        </w:numPr>
        <w:kinsoku w:val="0"/>
        <w:wordWrap/>
        <w:overflowPunct/>
        <w:bidi w:val="0"/>
        <w:snapToGrid/>
        <w:spacing w:line="460" w:lineRule="exact"/>
        <w:ind w:left="0" w:firstLine="476" w:firstLineChars="200"/>
        <w:jc w:val="both"/>
        <w:textAlignment w:val="auto"/>
        <w:rPr>
          <w:rFonts w:hint="eastAsia" w:hAnsi="宋体" w:eastAsia="宋体"/>
          <w:spacing w:val="-1"/>
          <w:highlight w:val="none"/>
        </w:rPr>
      </w:pPr>
      <w:r>
        <w:rPr>
          <w:rFonts w:hint="eastAsia" w:hAnsi="宋体" w:eastAsia="宋体"/>
          <w:spacing w:val="-1"/>
          <w:highlight w:val="none"/>
        </w:rPr>
        <w:t>以银行保函形式，招标人作为受益人向银行提起索赔。</w:t>
      </w:r>
    </w:p>
    <w:p w14:paraId="1E1E0B4D">
      <w:pPr>
        <w:pStyle w:val="8"/>
        <w:keepNext w:val="0"/>
        <w:keepLines w:val="0"/>
        <w:pageBreakBefore w:val="0"/>
        <w:numPr>
          <w:ilvl w:val="0"/>
          <w:numId w:val="60"/>
        </w:numPr>
        <w:kinsoku w:val="0"/>
        <w:wordWrap/>
        <w:overflowPunct/>
        <w:bidi w:val="0"/>
        <w:snapToGrid/>
        <w:spacing w:line="460" w:lineRule="exact"/>
        <w:ind w:left="0" w:firstLine="476" w:firstLineChars="200"/>
        <w:jc w:val="both"/>
        <w:textAlignment w:val="auto"/>
        <w:rPr>
          <w:rFonts w:hint="eastAsia" w:hAnsi="宋体" w:eastAsia="宋体"/>
          <w:spacing w:val="-1"/>
          <w:highlight w:val="none"/>
        </w:rPr>
      </w:pPr>
      <w:r>
        <w:rPr>
          <w:rFonts w:hint="eastAsia" w:hAnsi="宋体" w:eastAsia="宋体"/>
          <w:spacing w:val="-1"/>
          <w:highlight w:val="none"/>
        </w:rPr>
        <w:t>以保证保险形式，招标人作为被保险人（受益人）向保险人提起索赔。</w:t>
      </w:r>
    </w:p>
    <w:p w14:paraId="2EB21F58">
      <w:pPr>
        <w:pStyle w:val="8"/>
        <w:keepNext w:val="0"/>
        <w:keepLines w:val="0"/>
        <w:pageBreakBefore w:val="0"/>
        <w:numPr>
          <w:ilvl w:val="0"/>
          <w:numId w:val="60"/>
        </w:numPr>
        <w:kinsoku w:val="0"/>
        <w:wordWrap/>
        <w:overflowPunct/>
        <w:bidi w:val="0"/>
        <w:snapToGrid/>
        <w:spacing w:line="460" w:lineRule="exact"/>
        <w:ind w:left="0" w:firstLine="476" w:firstLineChars="200"/>
        <w:jc w:val="both"/>
        <w:textAlignment w:val="auto"/>
        <w:rPr>
          <w:rFonts w:hint="eastAsia" w:hAnsi="宋体" w:eastAsia="宋体"/>
          <w:spacing w:val="-1"/>
          <w:highlight w:val="none"/>
        </w:rPr>
      </w:pPr>
      <w:r>
        <w:rPr>
          <w:rFonts w:hint="eastAsia" w:hAnsi="宋体" w:eastAsia="宋体"/>
          <w:spacing w:val="-1"/>
          <w:highlight w:val="none"/>
        </w:rPr>
        <w:t>以担保公司担保形式,招标人作为受益人向担保人提起索赔。</w:t>
      </w:r>
    </w:p>
    <w:p w14:paraId="356C7008">
      <w:pPr>
        <w:keepNext w:val="0"/>
        <w:keepLines w:val="0"/>
        <w:pageBreakBefore w:val="0"/>
        <w:wordWrap/>
        <w:overflowPunct/>
        <w:bidi w:val="0"/>
        <w:snapToGrid/>
        <w:spacing w:line="460" w:lineRule="exact"/>
        <w:jc w:val="both"/>
        <w:textAlignment w:val="auto"/>
        <w:rPr>
          <w:rFonts w:ascii="宋体" w:hAnsi="宋体"/>
          <w:b/>
          <w:sz w:val="28"/>
          <w:highlight w:val="none"/>
        </w:rPr>
      </w:pPr>
      <w:bookmarkStart w:id="49" w:name="bookmark47"/>
      <w:bookmarkEnd w:id="49"/>
      <w:r>
        <w:rPr>
          <w:rFonts w:ascii="宋体" w:hAnsi="宋体"/>
          <w:b/>
          <w:sz w:val="28"/>
          <w:highlight w:val="none"/>
        </w:rPr>
        <w:t>3.6备选投标方案</w:t>
      </w:r>
    </w:p>
    <w:p w14:paraId="2593D8AD">
      <w:pPr>
        <w:pStyle w:val="8"/>
        <w:keepNext w:val="0"/>
        <w:keepLines w:val="0"/>
        <w:pageBreakBefore w:val="0"/>
        <w:kinsoku w:val="0"/>
        <w:wordWrap/>
        <w:overflowPunct/>
        <w:bidi w:val="0"/>
        <w:snapToGrid/>
        <w:spacing w:line="460" w:lineRule="exact"/>
        <w:ind w:left="0" w:firstLine="480" w:firstLineChars="200"/>
        <w:jc w:val="both"/>
        <w:textAlignment w:val="auto"/>
        <w:rPr>
          <w:rFonts w:ascii="宋体" w:hAnsi="宋体"/>
          <w:highlight w:val="none"/>
        </w:rPr>
      </w:pPr>
      <w:r>
        <w:rPr>
          <w:rFonts w:ascii="宋体" w:hAnsi="宋体"/>
          <w:highlight w:val="none"/>
        </w:rPr>
        <w:t>3.6.1</w:t>
      </w:r>
      <w:r>
        <w:rPr>
          <w:rFonts w:hint="eastAsia" w:ascii="宋体" w:hAnsi="宋体"/>
          <w:highlight w:val="none"/>
        </w:rPr>
        <w:t>投标人不得递交备选投标方案，否则其投标将被否决。</w:t>
      </w:r>
    </w:p>
    <w:p w14:paraId="48873160">
      <w:pPr>
        <w:keepNext w:val="0"/>
        <w:keepLines w:val="0"/>
        <w:pageBreakBefore w:val="0"/>
        <w:wordWrap/>
        <w:overflowPunct/>
        <w:bidi w:val="0"/>
        <w:snapToGrid/>
        <w:spacing w:line="460" w:lineRule="exact"/>
        <w:jc w:val="both"/>
        <w:textAlignment w:val="auto"/>
        <w:rPr>
          <w:rFonts w:ascii="宋体" w:hAnsi="宋体"/>
          <w:b/>
          <w:sz w:val="28"/>
          <w:highlight w:val="none"/>
        </w:rPr>
      </w:pPr>
      <w:bookmarkStart w:id="50" w:name="bookmark48"/>
      <w:bookmarkEnd w:id="50"/>
      <w:r>
        <w:rPr>
          <w:rFonts w:ascii="宋体" w:hAnsi="宋体"/>
          <w:b/>
          <w:sz w:val="28"/>
          <w:highlight w:val="none"/>
        </w:rPr>
        <w:t>3.7投标文件的编制</w:t>
      </w:r>
    </w:p>
    <w:p w14:paraId="77592024">
      <w:pPr>
        <w:pStyle w:val="8"/>
        <w:keepNext w:val="0"/>
        <w:keepLines w:val="0"/>
        <w:pageBreakBefore w:val="0"/>
        <w:kinsoku w:val="0"/>
        <w:wordWrap/>
        <w:overflowPunct/>
        <w:bidi w:val="0"/>
        <w:snapToGrid/>
        <w:spacing w:line="460" w:lineRule="exact"/>
        <w:ind w:left="0" w:firstLine="480" w:firstLineChars="200"/>
        <w:jc w:val="both"/>
        <w:textAlignment w:val="auto"/>
        <w:rPr>
          <w:rFonts w:ascii="宋体" w:hAnsi="宋体"/>
          <w:highlight w:val="none"/>
        </w:rPr>
      </w:pPr>
      <w:r>
        <w:rPr>
          <w:rFonts w:ascii="宋体" w:hAnsi="宋体"/>
          <w:highlight w:val="none"/>
        </w:rPr>
        <w:t>3.7.1</w:t>
      </w:r>
      <w:r>
        <w:rPr>
          <w:rFonts w:hint="eastAsia" w:ascii="宋体" w:hAnsi="宋体"/>
          <w:highlight w:val="none"/>
        </w:rPr>
        <w:t>投标文件应按</w:t>
      </w:r>
      <w:r>
        <w:rPr>
          <w:rFonts w:hint="eastAsia" w:hAnsi="宋体" w:cs="Arial"/>
          <w:highlight w:val="none"/>
        </w:rPr>
        <w:t>招标文件</w:t>
      </w:r>
      <w:r>
        <w:rPr>
          <w:rFonts w:hAnsi="宋体" w:cs="Arial"/>
          <w:highlight w:val="none"/>
        </w:rPr>
        <w:t>的要求</w:t>
      </w:r>
      <w:r>
        <w:rPr>
          <w:rFonts w:hint="eastAsia" w:ascii="宋体" w:hAnsi="宋体"/>
          <w:highlight w:val="none"/>
        </w:rPr>
        <w:t>进行编写。投标文件应尽量避免涂改、行间插字或删除。</w:t>
      </w:r>
    </w:p>
    <w:p w14:paraId="240B5AE4">
      <w:pPr>
        <w:pStyle w:val="8"/>
        <w:keepNext w:val="0"/>
        <w:keepLines w:val="0"/>
        <w:pageBreakBefore w:val="0"/>
        <w:kinsoku w:val="0"/>
        <w:wordWrap/>
        <w:overflowPunct/>
        <w:bidi w:val="0"/>
        <w:snapToGrid/>
        <w:spacing w:line="460" w:lineRule="exact"/>
        <w:ind w:left="0" w:firstLine="480" w:firstLineChars="200"/>
        <w:jc w:val="both"/>
        <w:textAlignment w:val="auto"/>
        <w:rPr>
          <w:rFonts w:ascii="宋体" w:hAnsi="宋体"/>
          <w:highlight w:val="none"/>
        </w:rPr>
      </w:pPr>
      <w:r>
        <w:rPr>
          <w:rFonts w:ascii="宋体" w:hAnsi="宋体"/>
          <w:highlight w:val="none"/>
        </w:rPr>
        <w:t>3.7.2</w:t>
      </w:r>
      <w:r>
        <w:rPr>
          <w:rFonts w:hint="eastAsia" w:ascii="宋体" w:hAnsi="宋体"/>
          <w:highlight w:val="none"/>
        </w:rPr>
        <w:t>投标文件应当对招标文件有关工期、投标有效期、质量要求、技术标准和要求、招标范围等实质性内容作出响应。</w:t>
      </w:r>
    </w:p>
    <w:p w14:paraId="1C56C960">
      <w:pPr>
        <w:pStyle w:val="8"/>
        <w:keepNext w:val="0"/>
        <w:keepLines w:val="0"/>
        <w:pageBreakBefore w:val="0"/>
        <w:kinsoku w:val="0"/>
        <w:wordWrap/>
        <w:overflowPunct/>
        <w:bidi w:val="0"/>
        <w:snapToGrid/>
        <w:spacing w:line="460" w:lineRule="exact"/>
        <w:ind w:left="0" w:firstLine="480" w:firstLineChars="200"/>
        <w:jc w:val="both"/>
        <w:textAlignment w:val="auto"/>
        <w:rPr>
          <w:rFonts w:ascii="宋体" w:hAnsi="宋体"/>
          <w:highlight w:val="none"/>
        </w:rPr>
      </w:pPr>
      <w:r>
        <w:rPr>
          <w:rFonts w:ascii="宋体" w:hAnsi="宋体"/>
          <w:highlight w:val="none"/>
        </w:rPr>
        <w:t>3.7.3</w:t>
      </w:r>
      <w:r>
        <w:rPr>
          <w:rFonts w:hint="eastAsia" w:ascii="宋体" w:hAnsi="宋体"/>
          <w:highlight w:val="none"/>
        </w:rPr>
        <w:t>电子投标的要求</w:t>
      </w:r>
    </w:p>
    <w:p w14:paraId="1F16E344">
      <w:pPr>
        <w:pStyle w:val="8"/>
        <w:keepNext w:val="0"/>
        <w:keepLines w:val="0"/>
        <w:pageBreakBefore w:val="0"/>
        <w:numPr>
          <w:ilvl w:val="0"/>
          <w:numId w:val="61"/>
        </w:numPr>
        <w:kinsoku w:val="0"/>
        <w:wordWrap/>
        <w:overflowPunct/>
        <w:bidi w:val="0"/>
        <w:snapToGrid/>
        <w:spacing w:line="460" w:lineRule="exact"/>
        <w:ind w:left="0" w:firstLine="476" w:firstLineChars="200"/>
        <w:jc w:val="both"/>
        <w:textAlignment w:val="auto"/>
        <w:rPr>
          <w:rFonts w:hint="eastAsia" w:hAnsi="宋体" w:eastAsia="宋体"/>
          <w:spacing w:val="-1"/>
          <w:highlight w:val="none"/>
        </w:rPr>
      </w:pPr>
      <w:r>
        <w:rPr>
          <w:rFonts w:hint="eastAsia" w:hAnsi="宋体" w:eastAsia="宋体"/>
          <w:spacing w:val="-1"/>
          <w:highlight w:val="none"/>
        </w:rPr>
        <w:t>电子投标文件签字或盖章的具体要求见投标人须知前附表。</w:t>
      </w:r>
    </w:p>
    <w:p w14:paraId="384DB821">
      <w:pPr>
        <w:pStyle w:val="8"/>
        <w:keepNext w:val="0"/>
        <w:keepLines w:val="0"/>
        <w:pageBreakBefore w:val="0"/>
        <w:numPr>
          <w:ilvl w:val="0"/>
          <w:numId w:val="61"/>
        </w:numPr>
        <w:kinsoku w:val="0"/>
        <w:wordWrap/>
        <w:overflowPunct/>
        <w:bidi w:val="0"/>
        <w:snapToGrid/>
        <w:spacing w:line="460" w:lineRule="exact"/>
        <w:ind w:left="0" w:firstLine="476" w:firstLineChars="200"/>
        <w:jc w:val="both"/>
        <w:textAlignment w:val="auto"/>
        <w:rPr>
          <w:rFonts w:hint="eastAsia" w:hAnsi="宋体" w:eastAsia="宋体"/>
          <w:spacing w:val="-1"/>
          <w:highlight w:val="none"/>
        </w:rPr>
      </w:pPr>
      <w:r>
        <w:rPr>
          <w:rFonts w:hint="eastAsia" w:hAnsi="宋体" w:eastAsia="宋体"/>
          <w:spacing w:val="-1"/>
          <w:highlight w:val="none"/>
        </w:rPr>
        <w:t>电子投标文件制作要求见投标人须知前附表。</w:t>
      </w:r>
    </w:p>
    <w:p w14:paraId="16A92D9C">
      <w:pPr>
        <w:pStyle w:val="8"/>
        <w:keepNext w:val="0"/>
        <w:keepLines w:val="0"/>
        <w:pageBreakBefore w:val="0"/>
        <w:numPr>
          <w:ilvl w:val="0"/>
          <w:numId w:val="61"/>
        </w:numPr>
        <w:kinsoku w:val="0"/>
        <w:wordWrap/>
        <w:overflowPunct/>
        <w:bidi w:val="0"/>
        <w:snapToGrid/>
        <w:spacing w:line="460" w:lineRule="exact"/>
        <w:ind w:left="0" w:firstLine="476" w:firstLineChars="200"/>
        <w:jc w:val="both"/>
        <w:textAlignment w:val="auto"/>
        <w:rPr>
          <w:rFonts w:hint="eastAsia" w:hAnsi="宋体" w:eastAsia="宋体"/>
          <w:spacing w:val="-1"/>
          <w:highlight w:val="none"/>
        </w:rPr>
      </w:pPr>
      <w:r>
        <w:rPr>
          <w:rFonts w:hint="eastAsia" w:hAnsi="宋体" w:eastAsia="宋体"/>
          <w:spacing w:val="-1"/>
          <w:highlight w:val="none"/>
        </w:rPr>
        <w:t>电子投标文件所附证书证件及业绩证明文件要求见投标人须知前附表规定。</w:t>
      </w:r>
    </w:p>
    <w:p w14:paraId="398215C9">
      <w:pPr>
        <w:pStyle w:val="8"/>
        <w:keepNext w:val="0"/>
        <w:keepLines w:val="0"/>
        <w:pageBreakBefore w:val="0"/>
        <w:kinsoku w:val="0"/>
        <w:wordWrap/>
        <w:overflowPunct/>
        <w:bidi w:val="0"/>
        <w:snapToGrid/>
        <w:spacing w:line="460" w:lineRule="exact"/>
        <w:ind w:left="0" w:firstLine="480" w:firstLineChars="200"/>
        <w:jc w:val="both"/>
        <w:textAlignment w:val="auto"/>
        <w:rPr>
          <w:rFonts w:ascii="宋体" w:hAnsi="宋体"/>
          <w:highlight w:val="none"/>
        </w:rPr>
      </w:pPr>
      <w:r>
        <w:rPr>
          <w:rFonts w:ascii="宋体" w:hAnsi="宋体"/>
          <w:highlight w:val="none"/>
        </w:rPr>
        <w:t>3.7.4</w:t>
      </w:r>
      <w:r>
        <w:rPr>
          <w:rFonts w:hint="eastAsia" w:ascii="宋体" w:hAnsi="宋体"/>
          <w:highlight w:val="none"/>
        </w:rPr>
        <w:t>投标文件格式</w:t>
      </w:r>
    </w:p>
    <w:p w14:paraId="79AF4B30">
      <w:pPr>
        <w:pStyle w:val="8"/>
        <w:keepNext w:val="0"/>
        <w:keepLines w:val="0"/>
        <w:pageBreakBefore w:val="0"/>
        <w:kinsoku w:val="0"/>
        <w:wordWrap/>
        <w:overflowPunct/>
        <w:bidi w:val="0"/>
        <w:snapToGrid/>
        <w:spacing w:line="460" w:lineRule="exact"/>
        <w:ind w:left="0" w:firstLine="480" w:firstLineChars="200"/>
        <w:jc w:val="both"/>
        <w:textAlignment w:val="auto"/>
        <w:rPr>
          <w:rFonts w:ascii="宋体" w:hAnsi="宋体"/>
          <w:highlight w:val="none"/>
        </w:rPr>
      </w:pPr>
      <w:r>
        <w:rPr>
          <w:rFonts w:hint="eastAsia" w:ascii="宋体" w:hAnsi="宋体"/>
          <w:highlight w:val="none"/>
        </w:rPr>
        <w:t>投标文件包括本须知第</w:t>
      </w:r>
      <w:r>
        <w:rPr>
          <w:rFonts w:ascii="宋体" w:hAnsi="宋体"/>
          <w:highlight w:val="none"/>
        </w:rPr>
        <w:t>3.1</w:t>
      </w:r>
      <w:r>
        <w:rPr>
          <w:rFonts w:hint="eastAsia" w:ascii="宋体" w:hAnsi="宋体"/>
          <w:highlight w:val="none"/>
        </w:rPr>
        <w:t>条中规定的内容，投标人提交的投标文件应按本章投标人须知3.7.3（2）规定要求制作。</w:t>
      </w:r>
    </w:p>
    <w:p w14:paraId="24AC76CB">
      <w:pPr>
        <w:pStyle w:val="8"/>
        <w:keepNext w:val="0"/>
        <w:keepLines w:val="0"/>
        <w:pageBreakBefore w:val="0"/>
        <w:widowControl w:val="0"/>
        <w:numPr>
          <w:ilvl w:val="0"/>
          <w:numId w:val="41"/>
        </w:numPr>
        <w:kinsoku w:val="0"/>
        <w:wordWrap/>
        <w:overflowPunct/>
        <w:topLinePunct w:val="0"/>
        <w:autoSpaceDE w:val="0"/>
        <w:autoSpaceDN w:val="0"/>
        <w:bidi w:val="0"/>
        <w:adjustRightInd w:val="0"/>
        <w:snapToGrid/>
        <w:spacing w:line="460" w:lineRule="exact"/>
        <w:ind w:left="425" w:leftChars="0" w:hanging="425" w:firstLineChars="0"/>
        <w:jc w:val="both"/>
        <w:textAlignment w:val="auto"/>
        <w:rPr>
          <w:rFonts w:ascii="宋体" w:hAnsi="宋体" w:eastAsia="宋体" w:cs="Times New Roman"/>
          <w:b/>
          <w:sz w:val="32"/>
          <w:szCs w:val="32"/>
          <w:highlight w:val="none"/>
          <w:lang w:val="en-US" w:eastAsia="zh-CN" w:bidi="ar-SA"/>
        </w:rPr>
      </w:pPr>
      <w:bookmarkStart w:id="51" w:name="bookmark49"/>
      <w:bookmarkEnd w:id="51"/>
      <w:bookmarkStart w:id="52" w:name="_Toc45697235"/>
      <w:bookmarkStart w:id="53" w:name="_Toc9226"/>
      <w:bookmarkStart w:id="54" w:name="_Toc22828071"/>
      <w:r>
        <w:rPr>
          <w:rFonts w:ascii="宋体" w:hAnsi="宋体" w:eastAsia="宋体" w:cs="Times New Roman"/>
          <w:b/>
          <w:sz w:val="32"/>
          <w:szCs w:val="32"/>
          <w:highlight w:val="none"/>
          <w:lang w:val="en-US" w:eastAsia="zh-CN" w:bidi="ar-SA"/>
        </w:rPr>
        <w:t>投标</w:t>
      </w:r>
      <w:bookmarkEnd w:id="52"/>
      <w:bookmarkEnd w:id="53"/>
      <w:bookmarkEnd w:id="54"/>
    </w:p>
    <w:p w14:paraId="1C51E93A">
      <w:pPr>
        <w:keepNext w:val="0"/>
        <w:keepLines w:val="0"/>
        <w:pageBreakBefore w:val="0"/>
        <w:wordWrap/>
        <w:overflowPunct/>
        <w:bidi w:val="0"/>
        <w:snapToGrid/>
        <w:spacing w:line="460" w:lineRule="exact"/>
        <w:jc w:val="both"/>
        <w:textAlignment w:val="auto"/>
        <w:rPr>
          <w:rFonts w:ascii="宋体" w:hAnsi="宋体"/>
          <w:b/>
          <w:sz w:val="28"/>
          <w:highlight w:val="none"/>
        </w:rPr>
      </w:pPr>
      <w:bookmarkStart w:id="55" w:name="bookmark50"/>
      <w:bookmarkEnd w:id="55"/>
      <w:r>
        <w:rPr>
          <w:rFonts w:hint="eastAsia" w:ascii="宋体" w:hAnsi="宋体"/>
          <w:b/>
          <w:sz w:val="28"/>
          <w:highlight w:val="none"/>
        </w:rPr>
        <w:t>4.1投标文件的密封和标记</w:t>
      </w:r>
    </w:p>
    <w:p w14:paraId="2C50A9A9">
      <w:pPr>
        <w:pStyle w:val="8"/>
        <w:keepNext w:val="0"/>
        <w:keepLines w:val="0"/>
        <w:pageBreakBefore w:val="0"/>
        <w:kinsoku w:val="0"/>
        <w:wordWrap/>
        <w:overflowPunct/>
        <w:bidi w:val="0"/>
        <w:snapToGrid/>
        <w:spacing w:line="460" w:lineRule="exact"/>
        <w:ind w:left="0" w:firstLine="480" w:firstLineChars="200"/>
        <w:jc w:val="both"/>
        <w:textAlignment w:val="auto"/>
        <w:rPr>
          <w:rFonts w:ascii="宋体" w:hAnsi="宋体"/>
          <w:highlight w:val="none"/>
        </w:rPr>
      </w:pPr>
      <w:r>
        <w:rPr>
          <w:rFonts w:ascii="宋体" w:hAnsi="宋体"/>
          <w:highlight w:val="none"/>
        </w:rPr>
        <w:t>4.1.1</w:t>
      </w:r>
      <w:r>
        <w:rPr>
          <w:rFonts w:hint="eastAsia" w:ascii="宋体" w:hAnsi="宋体"/>
          <w:spacing w:val="-2"/>
          <w:highlight w:val="none"/>
        </w:rPr>
        <w:t>投标文件的密封、标记和电子投标加密要求</w:t>
      </w:r>
      <w:r>
        <w:rPr>
          <w:rFonts w:hint="eastAsia" w:ascii="宋体" w:hAnsi="宋体"/>
          <w:highlight w:val="none"/>
        </w:rPr>
        <w:t>见投标人须知前附表。</w:t>
      </w:r>
    </w:p>
    <w:p w14:paraId="11C80FE8">
      <w:pPr>
        <w:keepNext w:val="0"/>
        <w:keepLines w:val="0"/>
        <w:pageBreakBefore w:val="0"/>
        <w:wordWrap/>
        <w:overflowPunct/>
        <w:bidi w:val="0"/>
        <w:snapToGrid/>
        <w:spacing w:line="460" w:lineRule="exact"/>
        <w:jc w:val="both"/>
        <w:textAlignment w:val="auto"/>
        <w:rPr>
          <w:rFonts w:ascii="宋体" w:hAnsi="宋体"/>
          <w:b/>
          <w:sz w:val="28"/>
          <w:highlight w:val="none"/>
        </w:rPr>
      </w:pPr>
      <w:r>
        <w:rPr>
          <w:rFonts w:hint="eastAsia" w:ascii="宋体" w:hAnsi="宋体"/>
          <w:b/>
          <w:sz w:val="28"/>
          <w:highlight w:val="none"/>
        </w:rPr>
        <w:t>4.2投标文件的</w:t>
      </w:r>
      <w:r>
        <w:rPr>
          <w:rFonts w:hint="eastAsia" w:ascii="宋体" w:hAnsi="宋体"/>
          <w:b/>
          <w:sz w:val="28"/>
          <w:highlight w:val="none"/>
          <w:lang w:val="en-US" w:eastAsia="zh-CN"/>
        </w:rPr>
        <w:t>上传</w:t>
      </w:r>
    </w:p>
    <w:p w14:paraId="0426702F">
      <w:pPr>
        <w:pStyle w:val="8"/>
        <w:keepNext w:val="0"/>
        <w:keepLines w:val="0"/>
        <w:pageBreakBefore w:val="0"/>
        <w:kinsoku w:val="0"/>
        <w:wordWrap/>
        <w:overflowPunct/>
        <w:bidi w:val="0"/>
        <w:snapToGrid/>
        <w:spacing w:line="460" w:lineRule="exact"/>
        <w:ind w:left="0" w:firstLine="480" w:firstLineChars="200"/>
        <w:jc w:val="both"/>
        <w:textAlignment w:val="auto"/>
        <w:rPr>
          <w:rFonts w:ascii="宋体" w:hAnsi="宋体"/>
          <w:highlight w:val="none"/>
        </w:rPr>
      </w:pPr>
      <w:r>
        <w:rPr>
          <w:rFonts w:ascii="宋体" w:hAnsi="宋体"/>
          <w:highlight w:val="none"/>
        </w:rPr>
        <w:t>4.2.1</w:t>
      </w:r>
      <w:r>
        <w:rPr>
          <w:rFonts w:hint="eastAsia" w:ascii="宋体" w:hAnsi="宋体"/>
          <w:highlight w:val="none"/>
        </w:rPr>
        <w:t>投标人应在投标人须知前附表规定的投标截止时间前</w:t>
      </w:r>
      <w:r>
        <w:rPr>
          <w:rFonts w:hint="eastAsia" w:hAnsi="宋体"/>
          <w:spacing w:val="-6"/>
          <w:highlight w:val="none"/>
          <w:lang w:val="en-US" w:eastAsia="zh-CN"/>
        </w:rPr>
        <w:t>上传</w:t>
      </w:r>
      <w:r>
        <w:rPr>
          <w:rFonts w:hint="eastAsia" w:ascii="宋体" w:hAnsi="宋体"/>
          <w:highlight w:val="none"/>
        </w:rPr>
        <w:t>投标文件。</w:t>
      </w:r>
    </w:p>
    <w:p w14:paraId="35B69C9F">
      <w:pPr>
        <w:pStyle w:val="8"/>
        <w:keepNext w:val="0"/>
        <w:keepLines w:val="0"/>
        <w:pageBreakBefore w:val="0"/>
        <w:kinsoku w:val="0"/>
        <w:wordWrap/>
        <w:overflowPunct/>
        <w:bidi w:val="0"/>
        <w:snapToGrid/>
        <w:spacing w:line="460" w:lineRule="exact"/>
        <w:ind w:left="0" w:firstLine="480" w:firstLineChars="200"/>
        <w:jc w:val="both"/>
        <w:textAlignment w:val="auto"/>
        <w:rPr>
          <w:rFonts w:ascii="宋体" w:hAnsi="宋体"/>
          <w:highlight w:val="none"/>
        </w:rPr>
      </w:pPr>
      <w:r>
        <w:rPr>
          <w:rFonts w:ascii="宋体" w:hAnsi="宋体"/>
          <w:highlight w:val="none"/>
        </w:rPr>
        <w:t>4.2.2</w:t>
      </w:r>
      <w:r>
        <w:rPr>
          <w:rFonts w:hint="eastAsia" w:ascii="宋体" w:hAnsi="宋体"/>
          <w:highlight w:val="none"/>
        </w:rPr>
        <w:t>投标人通过下载招标文件的电子招标投标交易平台</w:t>
      </w:r>
      <w:r>
        <w:rPr>
          <w:rFonts w:hint="eastAsia" w:hAnsi="宋体"/>
          <w:spacing w:val="-6"/>
          <w:highlight w:val="none"/>
          <w:lang w:val="en-US" w:eastAsia="zh-CN"/>
        </w:rPr>
        <w:t>上传</w:t>
      </w:r>
      <w:r>
        <w:rPr>
          <w:rFonts w:hint="eastAsia" w:ascii="宋体" w:hAnsi="宋体"/>
          <w:highlight w:val="none"/>
        </w:rPr>
        <w:t>电子投标文件。</w:t>
      </w:r>
    </w:p>
    <w:p w14:paraId="044283FF">
      <w:pPr>
        <w:pStyle w:val="8"/>
        <w:keepNext w:val="0"/>
        <w:keepLines w:val="0"/>
        <w:pageBreakBefore w:val="0"/>
        <w:kinsoku w:val="0"/>
        <w:wordWrap/>
        <w:overflowPunct/>
        <w:bidi w:val="0"/>
        <w:snapToGrid/>
        <w:spacing w:line="460" w:lineRule="exact"/>
        <w:ind w:left="0" w:firstLine="480" w:firstLineChars="200"/>
        <w:jc w:val="both"/>
        <w:textAlignment w:val="auto"/>
        <w:rPr>
          <w:rFonts w:ascii="宋体" w:hAnsi="宋体"/>
          <w:highlight w:val="none"/>
        </w:rPr>
      </w:pPr>
      <w:r>
        <w:rPr>
          <w:rFonts w:ascii="宋体" w:hAnsi="宋体"/>
          <w:highlight w:val="none"/>
        </w:rPr>
        <w:t>4.2.3</w:t>
      </w:r>
      <w:r>
        <w:rPr>
          <w:rFonts w:hint="eastAsia" w:ascii="宋体" w:hAnsi="宋体"/>
          <w:highlight w:val="none"/>
        </w:rPr>
        <w:t>除投标人须知前附表另有规定外，投标人所</w:t>
      </w:r>
      <w:r>
        <w:rPr>
          <w:rFonts w:hint="eastAsia" w:hAnsi="宋体"/>
          <w:spacing w:val="-6"/>
          <w:highlight w:val="none"/>
          <w:lang w:val="en-US" w:eastAsia="zh-CN"/>
        </w:rPr>
        <w:t>上传</w:t>
      </w:r>
      <w:r>
        <w:rPr>
          <w:rFonts w:hint="eastAsia" w:ascii="宋体" w:hAnsi="宋体"/>
          <w:highlight w:val="none"/>
        </w:rPr>
        <w:t>的投标文件不予退还。</w:t>
      </w:r>
    </w:p>
    <w:p w14:paraId="12D1E43E">
      <w:pPr>
        <w:pStyle w:val="8"/>
        <w:keepNext w:val="0"/>
        <w:keepLines w:val="0"/>
        <w:pageBreakBefore w:val="0"/>
        <w:kinsoku w:val="0"/>
        <w:wordWrap/>
        <w:overflowPunct/>
        <w:bidi w:val="0"/>
        <w:snapToGrid/>
        <w:spacing w:line="460" w:lineRule="exact"/>
        <w:ind w:left="0" w:firstLine="480" w:firstLineChars="200"/>
        <w:jc w:val="both"/>
        <w:textAlignment w:val="auto"/>
        <w:rPr>
          <w:rFonts w:ascii="宋体" w:hAnsi="宋体"/>
          <w:highlight w:val="none"/>
        </w:rPr>
      </w:pPr>
      <w:r>
        <w:rPr>
          <w:rFonts w:ascii="宋体" w:hAnsi="宋体"/>
          <w:highlight w:val="none"/>
        </w:rPr>
        <w:t>4.2.4</w:t>
      </w:r>
      <w:r>
        <w:rPr>
          <w:rFonts w:hint="eastAsia" w:ascii="宋体" w:hAnsi="宋体"/>
          <w:highlight w:val="none"/>
        </w:rPr>
        <w:t>投标人完成电子投标文件上传后，电子招标投标交易平台即时向投标人发出递交回执通知。递交时间以递交回执通知载明的传输完成时间为准。</w:t>
      </w:r>
    </w:p>
    <w:p w14:paraId="5AB0A24F">
      <w:pPr>
        <w:pStyle w:val="8"/>
        <w:keepNext w:val="0"/>
        <w:keepLines w:val="0"/>
        <w:pageBreakBefore w:val="0"/>
        <w:kinsoku w:val="0"/>
        <w:wordWrap/>
        <w:overflowPunct/>
        <w:bidi w:val="0"/>
        <w:snapToGrid/>
        <w:spacing w:line="460" w:lineRule="exact"/>
        <w:ind w:left="0" w:firstLine="480" w:firstLineChars="200"/>
        <w:jc w:val="both"/>
        <w:textAlignment w:val="auto"/>
        <w:rPr>
          <w:rFonts w:ascii="宋体" w:hAnsi="宋体"/>
          <w:sz w:val="19"/>
          <w:szCs w:val="19"/>
          <w:highlight w:val="none"/>
        </w:rPr>
      </w:pPr>
      <w:r>
        <w:rPr>
          <w:rFonts w:ascii="宋体" w:hAnsi="宋体"/>
          <w:highlight w:val="none"/>
        </w:rPr>
        <w:t>4.2.5</w:t>
      </w:r>
      <w:r>
        <w:rPr>
          <w:rFonts w:hint="eastAsia" w:ascii="宋体" w:hAnsi="宋体"/>
          <w:highlight w:val="none"/>
        </w:rPr>
        <w:t>电子投标文件的拒收情形：见投标须知前附表。</w:t>
      </w:r>
    </w:p>
    <w:p w14:paraId="69351359">
      <w:pPr>
        <w:keepNext w:val="0"/>
        <w:keepLines w:val="0"/>
        <w:pageBreakBefore w:val="0"/>
        <w:wordWrap/>
        <w:overflowPunct/>
        <w:bidi w:val="0"/>
        <w:snapToGrid/>
        <w:spacing w:line="460" w:lineRule="exact"/>
        <w:jc w:val="both"/>
        <w:textAlignment w:val="auto"/>
        <w:rPr>
          <w:rFonts w:ascii="宋体" w:hAnsi="宋体"/>
          <w:b/>
          <w:sz w:val="28"/>
          <w:highlight w:val="none"/>
        </w:rPr>
      </w:pPr>
      <w:bookmarkStart w:id="56" w:name="bookmark52"/>
      <w:bookmarkEnd w:id="56"/>
      <w:r>
        <w:rPr>
          <w:rFonts w:hint="eastAsia" w:ascii="宋体" w:hAnsi="宋体"/>
          <w:b/>
          <w:sz w:val="28"/>
          <w:highlight w:val="none"/>
        </w:rPr>
        <w:t>4.3投标文件的修改与撤回</w:t>
      </w:r>
    </w:p>
    <w:p w14:paraId="0BD4D875">
      <w:pPr>
        <w:pStyle w:val="8"/>
        <w:keepNext w:val="0"/>
        <w:keepLines w:val="0"/>
        <w:pageBreakBefore w:val="0"/>
        <w:kinsoku w:val="0"/>
        <w:wordWrap/>
        <w:overflowPunct/>
        <w:bidi w:val="0"/>
        <w:snapToGrid/>
        <w:spacing w:line="460" w:lineRule="exact"/>
        <w:ind w:left="0" w:firstLine="480" w:firstLineChars="200"/>
        <w:jc w:val="both"/>
        <w:textAlignment w:val="auto"/>
        <w:rPr>
          <w:rFonts w:ascii="宋体" w:hAnsi="宋体"/>
          <w:spacing w:val="-4"/>
          <w:highlight w:val="none"/>
        </w:rPr>
      </w:pPr>
      <w:r>
        <w:rPr>
          <w:rFonts w:ascii="宋体" w:hAnsi="宋体"/>
          <w:highlight w:val="none"/>
        </w:rPr>
        <w:t>4.3.1</w:t>
      </w:r>
      <w:r>
        <w:rPr>
          <w:rFonts w:hint="eastAsia" w:ascii="宋体" w:hAnsi="宋体"/>
          <w:highlight w:val="none"/>
        </w:rPr>
        <w:t>在本章第</w:t>
      </w:r>
      <w:r>
        <w:rPr>
          <w:rFonts w:ascii="宋体" w:hAnsi="宋体"/>
          <w:highlight w:val="none"/>
        </w:rPr>
        <w:t>4.2.1</w:t>
      </w:r>
      <w:r>
        <w:rPr>
          <w:rFonts w:hint="eastAsia" w:ascii="宋体" w:hAnsi="宋体"/>
          <w:spacing w:val="-4"/>
          <w:highlight w:val="none"/>
        </w:rPr>
        <w:t>项规定的投标截止时间前，投标人可以修改或撤回已</w:t>
      </w:r>
      <w:r>
        <w:rPr>
          <w:rFonts w:hint="eastAsia" w:hAnsi="宋体"/>
          <w:spacing w:val="-6"/>
          <w:highlight w:val="none"/>
          <w:lang w:val="en-US" w:eastAsia="zh-CN"/>
        </w:rPr>
        <w:t>上传</w:t>
      </w:r>
      <w:r>
        <w:rPr>
          <w:rFonts w:hint="eastAsia" w:ascii="宋体" w:hAnsi="宋体"/>
          <w:spacing w:val="-4"/>
          <w:highlight w:val="none"/>
        </w:rPr>
        <w:t>的投标文件，</w:t>
      </w:r>
      <w:r>
        <w:rPr>
          <w:rFonts w:hint="eastAsia" w:ascii="宋体" w:hAnsi="宋体"/>
          <w:highlight w:val="none"/>
        </w:rPr>
        <w:t>但应以书面形式通知招标人。</w:t>
      </w:r>
      <w:r>
        <w:rPr>
          <w:rFonts w:hint="eastAsia" w:ascii="宋体" w:hAnsi="宋体"/>
          <w:spacing w:val="-4"/>
          <w:highlight w:val="none"/>
        </w:rPr>
        <w:t>投标截止时间前未完成投标文件传输的，视为撤回投标文件。</w:t>
      </w:r>
    </w:p>
    <w:p w14:paraId="2D66CFDE">
      <w:pPr>
        <w:pStyle w:val="8"/>
        <w:keepNext w:val="0"/>
        <w:keepLines w:val="0"/>
        <w:pageBreakBefore w:val="0"/>
        <w:kinsoku w:val="0"/>
        <w:wordWrap/>
        <w:overflowPunct/>
        <w:bidi w:val="0"/>
        <w:snapToGrid/>
        <w:spacing w:line="460" w:lineRule="exact"/>
        <w:ind w:left="0" w:firstLine="480" w:firstLineChars="200"/>
        <w:jc w:val="both"/>
        <w:textAlignment w:val="auto"/>
        <w:rPr>
          <w:rFonts w:ascii="宋体" w:hAnsi="宋体"/>
          <w:highlight w:val="none"/>
        </w:rPr>
      </w:pPr>
      <w:r>
        <w:rPr>
          <w:rFonts w:ascii="宋体" w:hAnsi="宋体"/>
          <w:highlight w:val="none"/>
        </w:rPr>
        <w:t>4.3.2</w:t>
      </w:r>
      <w:r>
        <w:rPr>
          <w:rFonts w:hint="eastAsia" w:ascii="宋体" w:hAnsi="宋体"/>
          <w:highlight w:val="none"/>
        </w:rPr>
        <w:t>投标人修改或撤回已</w:t>
      </w:r>
      <w:r>
        <w:rPr>
          <w:rFonts w:hint="eastAsia" w:hAnsi="宋体"/>
          <w:spacing w:val="-6"/>
          <w:highlight w:val="none"/>
          <w:lang w:val="en-US" w:eastAsia="zh-CN"/>
        </w:rPr>
        <w:t>上传</w:t>
      </w:r>
      <w:r>
        <w:rPr>
          <w:rFonts w:hint="eastAsia" w:ascii="宋体" w:hAnsi="宋体"/>
          <w:highlight w:val="none"/>
        </w:rPr>
        <w:t>投标文件的通知，应按照本章第</w:t>
      </w:r>
      <w:r>
        <w:rPr>
          <w:rFonts w:ascii="宋体" w:hAnsi="宋体"/>
          <w:highlight w:val="none"/>
        </w:rPr>
        <w:t>3.7.3</w:t>
      </w:r>
      <w:r>
        <w:rPr>
          <w:rFonts w:hint="eastAsia" w:ascii="宋体" w:hAnsi="宋体"/>
          <w:highlight w:val="none"/>
        </w:rPr>
        <w:t>项的要求加盖电子印章。电子招标投标交易平台收到通知后，即时向投标人发出确认回执通知。</w:t>
      </w:r>
    </w:p>
    <w:p w14:paraId="16BC6DDB">
      <w:pPr>
        <w:pStyle w:val="8"/>
        <w:keepNext w:val="0"/>
        <w:keepLines w:val="0"/>
        <w:pageBreakBefore w:val="0"/>
        <w:kinsoku w:val="0"/>
        <w:wordWrap/>
        <w:overflowPunct/>
        <w:bidi w:val="0"/>
        <w:snapToGrid/>
        <w:spacing w:line="460" w:lineRule="exact"/>
        <w:ind w:left="0" w:firstLine="480" w:firstLineChars="200"/>
        <w:jc w:val="both"/>
        <w:textAlignment w:val="auto"/>
        <w:rPr>
          <w:rFonts w:ascii="宋体" w:hAnsi="宋体"/>
          <w:highlight w:val="none"/>
        </w:rPr>
      </w:pPr>
      <w:r>
        <w:rPr>
          <w:rFonts w:ascii="宋体" w:hAnsi="宋体"/>
          <w:highlight w:val="none"/>
        </w:rPr>
        <w:t>4.3.3</w:t>
      </w:r>
      <w:r>
        <w:rPr>
          <w:rFonts w:hint="eastAsia" w:ascii="宋体" w:hAnsi="宋体"/>
          <w:spacing w:val="-4"/>
          <w:highlight w:val="none"/>
        </w:rPr>
        <w:t>投标人撤回投标文件的，招标人自收到投标人书面撤回通知之日起</w:t>
      </w:r>
      <w:r>
        <w:rPr>
          <w:rFonts w:ascii="宋体" w:hAnsi="宋体"/>
          <w:highlight w:val="none"/>
        </w:rPr>
        <w:t>5</w:t>
      </w:r>
      <w:r>
        <w:rPr>
          <w:rFonts w:hint="eastAsia" w:ascii="宋体" w:hAnsi="宋体"/>
          <w:highlight w:val="none"/>
        </w:rPr>
        <w:t>日内退还已收取的投标保证金。</w:t>
      </w:r>
    </w:p>
    <w:p w14:paraId="05B87E11">
      <w:pPr>
        <w:pStyle w:val="8"/>
        <w:keepNext w:val="0"/>
        <w:keepLines w:val="0"/>
        <w:pageBreakBefore w:val="0"/>
        <w:kinsoku w:val="0"/>
        <w:wordWrap/>
        <w:overflowPunct/>
        <w:bidi w:val="0"/>
        <w:snapToGrid/>
        <w:spacing w:line="460" w:lineRule="exact"/>
        <w:ind w:left="0" w:firstLine="480" w:firstLineChars="200"/>
        <w:jc w:val="both"/>
        <w:textAlignment w:val="auto"/>
        <w:rPr>
          <w:rFonts w:ascii="宋体" w:hAnsi="宋体"/>
          <w:highlight w:val="none"/>
        </w:rPr>
      </w:pPr>
      <w:r>
        <w:rPr>
          <w:rFonts w:ascii="宋体" w:hAnsi="宋体"/>
          <w:highlight w:val="none"/>
        </w:rPr>
        <w:t>4.3.4</w:t>
      </w:r>
      <w:r>
        <w:rPr>
          <w:rFonts w:hint="eastAsia" w:ascii="宋体" w:hAnsi="宋体"/>
          <w:spacing w:val="-3"/>
          <w:highlight w:val="none"/>
        </w:rPr>
        <w:t>修改的内容为投标文件的组成部分。修改的投标文件应按照本章第</w:t>
      </w:r>
      <w:r>
        <w:rPr>
          <w:rFonts w:ascii="宋体" w:hAnsi="宋体"/>
          <w:highlight w:val="none"/>
        </w:rPr>
        <w:t>3</w:t>
      </w:r>
      <w:r>
        <w:rPr>
          <w:rFonts w:hint="eastAsia" w:ascii="宋体" w:hAnsi="宋体"/>
          <w:spacing w:val="-14"/>
          <w:highlight w:val="none"/>
        </w:rPr>
        <w:t>条、第</w:t>
      </w:r>
      <w:r>
        <w:rPr>
          <w:rFonts w:ascii="宋体" w:hAnsi="宋体"/>
          <w:highlight w:val="none"/>
        </w:rPr>
        <w:t>4</w:t>
      </w:r>
      <w:r>
        <w:rPr>
          <w:rFonts w:hint="eastAsia" w:ascii="宋体" w:hAnsi="宋体"/>
          <w:highlight w:val="none"/>
        </w:rPr>
        <w:t>条的规定进行编制、密封、标记和递交，并标明</w:t>
      </w:r>
      <w:r>
        <w:rPr>
          <w:rFonts w:ascii="宋体" w:hAnsi="宋体"/>
          <w:highlight w:val="none"/>
        </w:rPr>
        <w:t>“</w:t>
      </w:r>
      <w:r>
        <w:rPr>
          <w:rFonts w:hint="eastAsia" w:ascii="宋体" w:hAnsi="宋体"/>
          <w:highlight w:val="none"/>
        </w:rPr>
        <w:t>修改</w:t>
      </w:r>
      <w:r>
        <w:rPr>
          <w:rFonts w:ascii="宋体" w:hAnsi="宋体"/>
          <w:highlight w:val="none"/>
        </w:rPr>
        <w:t>”</w:t>
      </w:r>
      <w:r>
        <w:rPr>
          <w:rFonts w:hint="eastAsia" w:ascii="宋体" w:hAnsi="宋体"/>
          <w:highlight w:val="none"/>
        </w:rPr>
        <w:t>字样。</w:t>
      </w:r>
    </w:p>
    <w:p w14:paraId="56A7BD65">
      <w:pPr>
        <w:pStyle w:val="8"/>
        <w:keepNext w:val="0"/>
        <w:keepLines w:val="0"/>
        <w:pageBreakBefore w:val="0"/>
        <w:widowControl w:val="0"/>
        <w:numPr>
          <w:ilvl w:val="0"/>
          <w:numId w:val="41"/>
        </w:numPr>
        <w:kinsoku w:val="0"/>
        <w:wordWrap/>
        <w:overflowPunct/>
        <w:topLinePunct w:val="0"/>
        <w:autoSpaceDE w:val="0"/>
        <w:autoSpaceDN w:val="0"/>
        <w:bidi w:val="0"/>
        <w:adjustRightInd w:val="0"/>
        <w:snapToGrid/>
        <w:spacing w:line="460" w:lineRule="exact"/>
        <w:ind w:left="425" w:leftChars="0" w:hanging="425" w:firstLineChars="0"/>
        <w:jc w:val="both"/>
        <w:textAlignment w:val="auto"/>
        <w:rPr>
          <w:rFonts w:ascii="宋体" w:hAnsi="宋体" w:eastAsia="宋体" w:cs="Times New Roman"/>
          <w:b/>
          <w:sz w:val="32"/>
          <w:szCs w:val="32"/>
          <w:highlight w:val="none"/>
          <w:lang w:val="en-US" w:eastAsia="zh-CN" w:bidi="ar-SA"/>
        </w:rPr>
      </w:pPr>
      <w:bookmarkStart w:id="57" w:name="bookmark53"/>
      <w:bookmarkEnd w:id="57"/>
      <w:bookmarkStart w:id="58" w:name="_Toc45697236"/>
      <w:bookmarkStart w:id="59" w:name="_Toc22828072"/>
      <w:bookmarkStart w:id="60" w:name="_Toc21471"/>
      <w:r>
        <w:rPr>
          <w:rFonts w:ascii="宋体" w:hAnsi="宋体" w:eastAsia="宋体" w:cs="Times New Roman"/>
          <w:b/>
          <w:sz w:val="32"/>
          <w:szCs w:val="32"/>
          <w:highlight w:val="none"/>
          <w:lang w:val="en-US" w:eastAsia="zh-CN" w:bidi="ar-SA"/>
        </w:rPr>
        <w:t>开标</w:t>
      </w:r>
      <w:bookmarkEnd w:id="58"/>
      <w:bookmarkEnd w:id="59"/>
      <w:bookmarkEnd w:id="60"/>
    </w:p>
    <w:p w14:paraId="1FDB957F">
      <w:pPr>
        <w:keepNext w:val="0"/>
        <w:keepLines w:val="0"/>
        <w:pageBreakBefore w:val="0"/>
        <w:wordWrap/>
        <w:overflowPunct/>
        <w:bidi w:val="0"/>
        <w:snapToGrid/>
        <w:spacing w:line="460" w:lineRule="exact"/>
        <w:jc w:val="both"/>
        <w:textAlignment w:val="auto"/>
        <w:rPr>
          <w:rFonts w:ascii="宋体" w:hAnsi="宋体"/>
          <w:b/>
          <w:sz w:val="28"/>
          <w:highlight w:val="none"/>
        </w:rPr>
      </w:pPr>
      <w:bookmarkStart w:id="61" w:name="bookmark54"/>
      <w:bookmarkEnd w:id="61"/>
      <w:r>
        <w:rPr>
          <w:rFonts w:hint="eastAsia" w:ascii="宋体" w:hAnsi="宋体"/>
          <w:b/>
          <w:sz w:val="28"/>
          <w:highlight w:val="none"/>
        </w:rPr>
        <w:t>5.1开标时间和地点</w:t>
      </w:r>
    </w:p>
    <w:p w14:paraId="549680E6">
      <w:pPr>
        <w:pStyle w:val="8"/>
        <w:keepNext w:val="0"/>
        <w:keepLines w:val="0"/>
        <w:pageBreakBefore w:val="0"/>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见投标人须知前附表。</w:t>
      </w:r>
    </w:p>
    <w:p w14:paraId="1239C5B1">
      <w:pPr>
        <w:keepNext w:val="0"/>
        <w:keepLines w:val="0"/>
        <w:pageBreakBefore w:val="0"/>
        <w:wordWrap/>
        <w:overflowPunct/>
        <w:bidi w:val="0"/>
        <w:snapToGrid/>
        <w:spacing w:line="460" w:lineRule="exact"/>
        <w:jc w:val="both"/>
        <w:textAlignment w:val="auto"/>
        <w:rPr>
          <w:rFonts w:ascii="宋体" w:hAnsi="宋体"/>
          <w:b/>
          <w:sz w:val="28"/>
          <w:highlight w:val="none"/>
        </w:rPr>
      </w:pPr>
      <w:bookmarkStart w:id="62" w:name="bookmark55"/>
      <w:bookmarkEnd w:id="62"/>
      <w:bookmarkStart w:id="63" w:name="bookmark56"/>
      <w:bookmarkEnd w:id="63"/>
      <w:r>
        <w:rPr>
          <w:rFonts w:hint="eastAsia" w:ascii="宋体" w:hAnsi="宋体"/>
          <w:b/>
          <w:sz w:val="28"/>
          <w:highlight w:val="none"/>
        </w:rPr>
        <w:t>5.2开标程序</w:t>
      </w:r>
    </w:p>
    <w:p w14:paraId="17F9DD76">
      <w:pPr>
        <w:pStyle w:val="8"/>
        <w:keepNext w:val="0"/>
        <w:keepLines w:val="0"/>
        <w:pageBreakBefore w:val="0"/>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见投标人须知前附表。</w:t>
      </w:r>
    </w:p>
    <w:p w14:paraId="48A1019C">
      <w:pPr>
        <w:keepNext w:val="0"/>
        <w:keepLines w:val="0"/>
        <w:pageBreakBefore w:val="0"/>
        <w:wordWrap/>
        <w:overflowPunct/>
        <w:bidi w:val="0"/>
        <w:snapToGrid/>
        <w:spacing w:line="460" w:lineRule="exact"/>
        <w:jc w:val="both"/>
        <w:textAlignment w:val="auto"/>
        <w:rPr>
          <w:rFonts w:ascii="宋体" w:hAnsi="宋体"/>
          <w:b/>
          <w:sz w:val="28"/>
          <w:highlight w:val="none"/>
        </w:rPr>
      </w:pPr>
      <w:bookmarkStart w:id="64" w:name="bookmark57"/>
      <w:bookmarkEnd w:id="64"/>
      <w:r>
        <w:rPr>
          <w:rFonts w:hint="eastAsia" w:ascii="宋体" w:hAnsi="宋体"/>
          <w:b/>
          <w:sz w:val="28"/>
          <w:highlight w:val="none"/>
        </w:rPr>
        <w:t>5.3开标异议</w:t>
      </w:r>
    </w:p>
    <w:p w14:paraId="4D3BB5C2">
      <w:pPr>
        <w:pStyle w:val="8"/>
        <w:keepNext w:val="0"/>
        <w:keepLines w:val="0"/>
        <w:pageBreakBefore w:val="0"/>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投标人对开标有异议的，应当在开标时提出，招标人当场作出答复，并制作记录。</w:t>
      </w:r>
    </w:p>
    <w:p w14:paraId="26A332DA">
      <w:pPr>
        <w:keepNext w:val="0"/>
        <w:keepLines w:val="0"/>
        <w:pageBreakBefore w:val="0"/>
        <w:wordWrap/>
        <w:overflowPunct/>
        <w:bidi w:val="0"/>
        <w:snapToGrid/>
        <w:spacing w:line="460" w:lineRule="exact"/>
        <w:jc w:val="both"/>
        <w:textAlignment w:val="auto"/>
        <w:rPr>
          <w:rFonts w:ascii="宋体" w:hAnsi="宋体"/>
          <w:b/>
          <w:sz w:val="28"/>
          <w:highlight w:val="none"/>
        </w:rPr>
      </w:pPr>
      <w:r>
        <w:rPr>
          <w:rFonts w:hint="eastAsia" w:ascii="宋体" w:hAnsi="宋体"/>
          <w:b/>
          <w:sz w:val="28"/>
          <w:highlight w:val="none"/>
        </w:rPr>
        <w:t>5.4特殊情况处置</w:t>
      </w:r>
    </w:p>
    <w:p w14:paraId="308D41E9">
      <w:pPr>
        <w:pStyle w:val="8"/>
        <w:keepNext w:val="0"/>
        <w:keepLines w:val="0"/>
        <w:pageBreakBefore w:val="0"/>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见投标人须知前附表</w:t>
      </w:r>
    </w:p>
    <w:p w14:paraId="728D9EB0">
      <w:pPr>
        <w:pStyle w:val="8"/>
        <w:keepNext w:val="0"/>
        <w:keepLines w:val="0"/>
        <w:pageBreakBefore w:val="0"/>
        <w:widowControl w:val="0"/>
        <w:numPr>
          <w:ilvl w:val="0"/>
          <w:numId w:val="41"/>
        </w:numPr>
        <w:kinsoku w:val="0"/>
        <w:wordWrap/>
        <w:overflowPunct/>
        <w:topLinePunct w:val="0"/>
        <w:autoSpaceDE w:val="0"/>
        <w:autoSpaceDN w:val="0"/>
        <w:bidi w:val="0"/>
        <w:adjustRightInd w:val="0"/>
        <w:snapToGrid/>
        <w:spacing w:line="460" w:lineRule="exact"/>
        <w:ind w:left="425" w:leftChars="0" w:hanging="425" w:firstLineChars="0"/>
        <w:jc w:val="both"/>
        <w:textAlignment w:val="auto"/>
        <w:rPr>
          <w:rFonts w:ascii="宋体" w:hAnsi="宋体" w:eastAsia="宋体" w:cs="Times New Roman"/>
          <w:b/>
          <w:sz w:val="32"/>
          <w:szCs w:val="32"/>
          <w:highlight w:val="none"/>
          <w:lang w:val="en-US" w:eastAsia="zh-CN" w:bidi="ar-SA"/>
        </w:rPr>
      </w:pPr>
      <w:bookmarkStart w:id="65" w:name="bookmark58"/>
      <w:bookmarkEnd w:id="65"/>
      <w:bookmarkStart w:id="66" w:name="_Toc6578"/>
      <w:bookmarkStart w:id="67" w:name="_Toc22828073"/>
      <w:bookmarkStart w:id="68" w:name="_Toc45697237"/>
      <w:r>
        <w:rPr>
          <w:rFonts w:hint="eastAsia" w:ascii="宋体" w:hAnsi="宋体" w:eastAsia="宋体" w:cs="Times New Roman"/>
          <w:b/>
          <w:sz w:val="32"/>
          <w:szCs w:val="32"/>
          <w:highlight w:val="none"/>
          <w:lang w:val="en-US" w:eastAsia="zh-CN" w:bidi="ar-SA"/>
        </w:rPr>
        <w:t>评标</w:t>
      </w:r>
      <w:bookmarkEnd w:id="66"/>
      <w:bookmarkEnd w:id="67"/>
      <w:bookmarkEnd w:id="68"/>
    </w:p>
    <w:p w14:paraId="3A6646A6">
      <w:pPr>
        <w:keepNext w:val="0"/>
        <w:keepLines w:val="0"/>
        <w:pageBreakBefore w:val="0"/>
        <w:wordWrap/>
        <w:overflowPunct/>
        <w:bidi w:val="0"/>
        <w:snapToGrid/>
        <w:spacing w:line="460" w:lineRule="exact"/>
        <w:jc w:val="both"/>
        <w:textAlignment w:val="auto"/>
        <w:rPr>
          <w:rFonts w:ascii="宋体" w:hAnsi="宋体"/>
          <w:b/>
          <w:sz w:val="28"/>
          <w:highlight w:val="none"/>
        </w:rPr>
      </w:pPr>
      <w:bookmarkStart w:id="69" w:name="bookmark59"/>
      <w:bookmarkEnd w:id="69"/>
      <w:r>
        <w:rPr>
          <w:rFonts w:hint="eastAsia" w:ascii="宋体" w:hAnsi="宋体"/>
          <w:b/>
          <w:sz w:val="28"/>
          <w:highlight w:val="none"/>
        </w:rPr>
        <w:t>6.1评标委员会</w:t>
      </w:r>
    </w:p>
    <w:p w14:paraId="617FFE62">
      <w:pPr>
        <w:pStyle w:val="8"/>
        <w:keepNext w:val="0"/>
        <w:keepLines w:val="0"/>
        <w:pageBreakBefore w:val="0"/>
        <w:wordWrap/>
        <w:overflowPunct/>
        <w:bidi w:val="0"/>
        <w:snapToGrid/>
        <w:spacing w:line="460" w:lineRule="exact"/>
        <w:ind w:left="0" w:firstLine="480" w:firstLineChars="200"/>
        <w:jc w:val="both"/>
        <w:textAlignment w:val="auto"/>
        <w:rPr>
          <w:rFonts w:ascii="宋体" w:hAnsi="宋体"/>
          <w:highlight w:val="none"/>
        </w:rPr>
      </w:pPr>
      <w:r>
        <w:rPr>
          <w:rFonts w:ascii="宋体" w:hAnsi="宋体"/>
          <w:highlight w:val="none"/>
        </w:rPr>
        <w:t>6.1.1</w:t>
      </w:r>
      <w:r>
        <w:rPr>
          <w:rFonts w:hint="eastAsia" w:ascii="宋体" w:hAnsi="宋体"/>
          <w:spacing w:val="-4"/>
          <w:highlight w:val="none"/>
        </w:rPr>
        <w:t>评标由招标人依法组建的评标委员会负责。评标委员会由</w:t>
      </w:r>
      <w:r>
        <w:rPr>
          <w:rFonts w:hint="eastAsia" w:ascii="宋体" w:hAnsi="宋体"/>
          <w:spacing w:val="-1"/>
          <w:highlight w:val="none"/>
        </w:rPr>
        <w:t>有关技术、经济等方面的专家组成。评标委员会成员人数以及</w:t>
      </w:r>
      <w:r>
        <w:rPr>
          <w:rFonts w:hint="eastAsia" w:ascii="宋体" w:hAnsi="宋体"/>
          <w:highlight w:val="none"/>
        </w:rPr>
        <w:t>技术、经济等方面专家的确定方式见投标人须知前附表。</w:t>
      </w:r>
    </w:p>
    <w:p w14:paraId="02B8EA4F">
      <w:pPr>
        <w:keepNext w:val="0"/>
        <w:keepLines w:val="0"/>
        <w:pageBreakBefore w:val="0"/>
        <w:wordWrap/>
        <w:overflowPunct/>
        <w:bidi w:val="0"/>
        <w:snapToGrid/>
        <w:spacing w:line="460" w:lineRule="exact"/>
        <w:jc w:val="both"/>
        <w:textAlignment w:val="auto"/>
        <w:rPr>
          <w:rFonts w:ascii="宋体" w:hAnsi="宋体"/>
          <w:b/>
          <w:sz w:val="28"/>
          <w:highlight w:val="none"/>
        </w:rPr>
      </w:pPr>
      <w:bookmarkStart w:id="70" w:name="bookmark60"/>
      <w:bookmarkEnd w:id="70"/>
      <w:r>
        <w:rPr>
          <w:rFonts w:hint="eastAsia" w:ascii="宋体" w:hAnsi="宋体"/>
          <w:b/>
          <w:sz w:val="28"/>
          <w:highlight w:val="none"/>
        </w:rPr>
        <w:t>6.2评标原则</w:t>
      </w:r>
    </w:p>
    <w:p w14:paraId="7171B3AC">
      <w:pPr>
        <w:pStyle w:val="8"/>
        <w:keepNext w:val="0"/>
        <w:keepLines w:val="0"/>
        <w:pageBreakBefore w:val="0"/>
        <w:wordWrap/>
        <w:overflowPunct/>
        <w:bidi w:val="0"/>
        <w:snapToGrid/>
        <w:spacing w:line="460" w:lineRule="exact"/>
        <w:ind w:left="0" w:firstLine="480" w:firstLineChars="200"/>
        <w:jc w:val="both"/>
        <w:textAlignment w:val="auto"/>
        <w:rPr>
          <w:rFonts w:ascii="宋体" w:hAnsi="宋体"/>
          <w:highlight w:val="none"/>
        </w:rPr>
      </w:pPr>
      <w:r>
        <w:rPr>
          <w:rFonts w:hint="eastAsia" w:ascii="宋体" w:hAnsi="宋体"/>
          <w:highlight w:val="none"/>
        </w:rPr>
        <w:t>评标活动遵循公平、公正、科学和择优的原则。</w:t>
      </w:r>
    </w:p>
    <w:p w14:paraId="7ED0DD28">
      <w:pPr>
        <w:keepNext w:val="0"/>
        <w:keepLines w:val="0"/>
        <w:pageBreakBefore w:val="0"/>
        <w:wordWrap/>
        <w:overflowPunct/>
        <w:bidi w:val="0"/>
        <w:snapToGrid/>
        <w:spacing w:line="460" w:lineRule="exact"/>
        <w:jc w:val="both"/>
        <w:textAlignment w:val="auto"/>
        <w:rPr>
          <w:rFonts w:ascii="宋体" w:hAnsi="宋体"/>
          <w:b/>
          <w:sz w:val="28"/>
          <w:highlight w:val="none"/>
        </w:rPr>
      </w:pPr>
      <w:bookmarkStart w:id="71" w:name="bookmark61"/>
      <w:bookmarkEnd w:id="71"/>
      <w:r>
        <w:rPr>
          <w:rFonts w:hint="eastAsia" w:ascii="宋体" w:hAnsi="宋体"/>
          <w:b/>
          <w:sz w:val="28"/>
          <w:highlight w:val="none"/>
        </w:rPr>
        <w:t>6.3评标</w:t>
      </w:r>
    </w:p>
    <w:p w14:paraId="572345E0">
      <w:pPr>
        <w:pStyle w:val="8"/>
        <w:keepNext w:val="0"/>
        <w:keepLines w:val="0"/>
        <w:pageBreakBefore w:val="0"/>
        <w:wordWrap/>
        <w:overflowPunct/>
        <w:bidi w:val="0"/>
        <w:snapToGrid/>
        <w:spacing w:line="460" w:lineRule="exact"/>
        <w:ind w:left="0" w:firstLine="480" w:firstLineChars="200"/>
        <w:jc w:val="both"/>
        <w:textAlignment w:val="auto"/>
        <w:rPr>
          <w:rFonts w:ascii="宋体" w:hAnsi="宋体"/>
          <w:highlight w:val="none"/>
        </w:rPr>
      </w:pPr>
      <w:r>
        <w:rPr>
          <w:rFonts w:ascii="宋体" w:hAnsi="宋体"/>
          <w:highlight w:val="none"/>
        </w:rPr>
        <w:t>6.3.1</w:t>
      </w:r>
      <w:r>
        <w:rPr>
          <w:rFonts w:hint="eastAsia" w:ascii="宋体" w:hAnsi="宋体"/>
          <w:highlight w:val="none"/>
        </w:rPr>
        <w:t>评标委员会按照第三章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规定的方法、评审因素、标准和程序对投标文件进行评审。第三章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没有规定的方法、评审因素和标准，不作为评标依据。</w:t>
      </w:r>
    </w:p>
    <w:p w14:paraId="67040335">
      <w:pPr>
        <w:pStyle w:val="8"/>
        <w:keepNext w:val="0"/>
        <w:keepLines w:val="0"/>
        <w:pageBreakBefore w:val="0"/>
        <w:wordWrap/>
        <w:overflowPunct/>
        <w:bidi w:val="0"/>
        <w:snapToGrid/>
        <w:spacing w:line="460" w:lineRule="exact"/>
        <w:ind w:left="0" w:firstLine="480" w:firstLineChars="200"/>
        <w:jc w:val="both"/>
        <w:textAlignment w:val="auto"/>
        <w:rPr>
          <w:rFonts w:ascii="宋体" w:hAnsi="宋体"/>
          <w:highlight w:val="none"/>
        </w:rPr>
      </w:pPr>
      <w:r>
        <w:rPr>
          <w:rFonts w:ascii="宋体" w:hAnsi="宋体"/>
          <w:highlight w:val="none"/>
        </w:rPr>
        <w:t>6.3.2</w:t>
      </w:r>
      <w:r>
        <w:rPr>
          <w:rFonts w:hint="eastAsia" w:ascii="宋体" w:hAnsi="宋体"/>
          <w:highlight w:val="none"/>
        </w:rPr>
        <w:t>评标完成后，评标委员会应当向招标人提交书面评标报告和中标候选人名单。评标委员会推荐中标候选人的人数见投标人须知前附表。</w:t>
      </w:r>
    </w:p>
    <w:p w14:paraId="5D295817">
      <w:pPr>
        <w:pStyle w:val="8"/>
        <w:keepNext w:val="0"/>
        <w:keepLines w:val="0"/>
        <w:pageBreakBefore w:val="0"/>
        <w:widowControl w:val="0"/>
        <w:numPr>
          <w:ilvl w:val="0"/>
          <w:numId w:val="41"/>
        </w:numPr>
        <w:kinsoku w:val="0"/>
        <w:wordWrap/>
        <w:overflowPunct/>
        <w:topLinePunct w:val="0"/>
        <w:autoSpaceDE w:val="0"/>
        <w:autoSpaceDN w:val="0"/>
        <w:bidi w:val="0"/>
        <w:adjustRightInd w:val="0"/>
        <w:snapToGrid/>
        <w:spacing w:line="460" w:lineRule="exact"/>
        <w:ind w:left="425" w:leftChars="0" w:hanging="425" w:firstLineChars="0"/>
        <w:jc w:val="both"/>
        <w:textAlignment w:val="auto"/>
        <w:rPr>
          <w:rFonts w:ascii="宋体" w:hAnsi="宋体" w:eastAsia="宋体" w:cs="Times New Roman"/>
          <w:b/>
          <w:sz w:val="32"/>
          <w:szCs w:val="32"/>
          <w:highlight w:val="none"/>
          <w:lang w:val="en-US" w:eastAsia="zh-CN" w:bidi="ar-SA"/>
        </w:rPr>
      </w:pPr>
      <w:bookmarkStart w:id="72" w:name="bookmark62"/>
      <w:bookmarkEnd w:id="72"/>
      <w:bookmarkStart w:id="73" w:name="_Toc22898"/>
      <w:bookmarkStart w:id="74" w:name="_Toc45697238"/>
      <w:bookmarkStart w:id="75" w:name="_Toc22828074"/>
      <w:r>
        <w:rPr>
          <w:rFonts w:ascii="宋体" w:hAnsi="宋体" w:eastAsia="宋体" w:cs="Times New Roman"/>
          <w:b/>
          <w:sz w:val="32"/>
          <w:szCs w:val="32"/>
          <w:highlight w:val="none"/>
          <w:lang w:val="en-US" w:eastAsia="zh-CN" w:bidi="ar-SA"/>
        </w:rPr>
        <w:t>合同授予</w:t>
      </w:r>
      <w:bookmarkEnd w:id="73"/>
      <w:bookmarkEnd w:id="74"/>
      <w:bookmarkEnd w:id="75"/>
    </w:p>
    <w:p w14:paraId="6F200E0A">
      <w:pPr>
        <w:keepNext w:val="0"/>
        <w:keepLines w:val="0"/>
        <w:pageBreakBefore w:val="0"/>
        <w:wordWrap/>
        <w:overflowPunct/>
        <w:bidi w:val="0"/>
        <w:snapToGrid/>
        <w:spacing w:line="460" w:lineRule="exact"/>
        <w:jc w:val="both"/>
        <w:textAlignment w:val="auto"/>
        <w:rPr>
          <w:rFonts w:ascii="宋体" w:hAnsi="宋体"/>
          <w:b/>
          <w:sz w:val="28"/>
          <w:highlight w:val="none"/>
        </w:rPr>
      </w:pPr>
      <w:bookmarkStart w:id="76" w:name="bookmark63"/>
      <w:bookmarkEnd w:id="76"/>
      <w:bookmarkStart w:id="77" w:name="bookmark66"/>
      <w:bookmarkEnd w:id="77"/>
      <w:r>
        <w:rPr>
          <w:rFonts w:hint="eastAsia" w:ascii="宋体" w:hAnsi="宋体"/>
          <w:b/>
          <w:sz w:val="28"/>
          <w:highlight w:val="none"/>
        </w:rPr>
        <w:t>7.1中标候选人公示媒介及期限</w:t>
      </w:r>
    </w:p>
    <w:p w14:paraId="2D79D9CD">
      <w:pPr>
        <w:pStyle w:val="8"/>
        <w:keepNext w:val="0"/>
        <w:keepLines w:val="0"/>
        <w:pageBreakBefore w:val="0"/>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7.1.1中标候选人公示媒介及期限见投标人须知前附表。</w:t>
      </w:r>
    </w:p>
    <w:p w14:paraId="31A3762A">
      <w:pPr>
        <w:keepNext w:val="0"/>
        <w:keepLines w:val="0"/>
        <w:pageBreakBefore w:val="0"/>
        <w:wordWrap/>
        <w:overflowPunct/>
        <w:bidi w:val="0"/>
        <w:snapToGrid/>
        <w:spacing w:line="460" w:lineRule="exact"/>
        <w:ind w:firstLine="480" w:firstLineChars="200"/>
        <w:jc w:val="both"/>
        <w:textAlignment w:val="auto"/>
        <w:rPr>
          <w:highlight w:val="none"/>
        </w:rPr>
      </w:pPr>
      <w:r>
        <w:rPr>
          <w:rFonts w:hint="eastAsia" w:hAnsi="宋体"/>
          <w:highlight w:val="none"/>
        </w:rPr>
        <w:t>7.1.2</w:t>
      </w:r>
      <w:r>
        <w:rPr>
          <w:rFonts w:hint="eastAsia"/>
          <w:highlight w:val="none"/>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14:paraId="6C378A55">
      <w:pPr>
        <w:keepNext w:val="0"/>
        <w:keepLines w:val="0"/>
        <w:pageBreakBefore w:val="0"/>
        <w:wordWrap/>
        <w:overflowPunct/>
        <w:bidi w:val="0"/>
        <w:snapToGrid/>
        <w:spacing w:line="460" w:lineRule="exact"/>
        <w:jc w:val="both"/>
        <w:textAlignment w:val="auto"/>
        <w:rPr>
          <w:rFonts w:ascii="宋体" w:hAnsi="宋体"/>
          <w:b/>
          <w:sz w:val="28"/>
          <w:highlight w:val="none"/>
        </w:rPr>
      </w:pPr>
      <w:bookmarkStart w:id="78" w:name="bookmark67"/>
      <w:bookmarkEnd w:id="78"/>
      <w:r>
        <w:rPr>
          <w:rFonts w:hint="eastAsia" w:ascii="宋体" w:hAnsi="宋体"/>
          <w:b/>
          <w:sz w:val="28"/>
          <w:highlight w:val="none"/>
        </w:rPr>
        <w:t>7.2定标方式</w:t>
      </w:r>
    </w:p>
    <w:p w14:paraId="73A116B8">
      <w:pPr>
        <w:keepNext w:val="0"/>
        <w:keepLines w:val="0"/>
        <w:pageBreakBefore w:val="0"/>
        <w:wordWrap/>
        <w:overflowPunct/>
        <w:bidi w:val="0"/>
        <w:snapToGrid/>
        <w:spacing w:line="460" w:lineRule="exact"/>
        <w:ind w:firstLine="480" w:firstLineChars="200"/>
        <w:jc w:val="both"/>
        <w:textAlignment w:val="auto"/>
        <w:rPr>
          <w:rFonts w:hint="eastAsia"/>
          <w:highlight w:val="none"/>
        </w:rPr>
      </w:pPr>
      <w:r>
        <w:rPr>
          <w:rFonts w:hint="eastAsia"/>
          <w:highlight w:val="none"/>
        </w:rPr>
        <w:t>除投标人须知前附表规定评标委员会直接确定中标人外，招标人依据评标委员会推荐的中标候选人确定中标人。</w:t>
      </w:r>
    </w:p>
    <w:p w14:paraId="553A31AA">
      <w:pPr>
        <w:keepNext w:val="0"/>
        <w:keepLines w:val="0"/>
        <w:pageBreakBefore w:val="0"/>
        <w:wordWrap/>
        <w:overflowPunct/>
        <w:bidi w:val="0"/>
        <w:snapToGrid/>
        <w:spacing w:line="460" w:lineRule="exact"/>
        <w:ind w:firstLine="480" w:firstLineChars="200"/>
        <w:jc w:val="both"/>
        <w:textAlignment w:val="auto"/>
        <w:rPr>
          <w:rFonts w:hint="eastAsia"/>
          <w:highlight w:val="none"/>
        </w:rPr>
      </w:pPr>
      <w:r>
        <w:rPr>
          <w:rFonts w:hint="eastAsia"/>
          <w:highlight w:val="none"/>
          <w:lang w:eastAsia="zh-CN"/>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r>
        <w:rPr>
          <w:rFonts w:hint="eastAsia"/>
          <w:highlight w:val="none"/>
        </w:rPr>
        <w:t>。</w:t>
      </w:r>
    </w:p>
    <w:p w14:paraId="7E9A00E9">
      <w:pPr>
        <w:keepNext w:val="0"/>
        <w:keepLines w:val="0"/>
        <w:pageBreakBefore w:val="0"/>
        <w:wordWrap/>
        <w:overflowPunct/>
        <w:bidi w:val="0"/>
        <w:snapToGrid/>
        <w:spacing w:line="460" w:lineRule="exact"/>
        <w:jc w:val="both"/>
        <w:textAlignment w:val="auto"/>
        <w:rPr>
          <w:rFonts w:ascii="宋体" w:hAnsi="宋体"/>
          <w:b/>
          <w:sz w:val="28"/>
          <w:highlight w:val="none"/>
        </w:rPr>
      </w:pPr>
      <w:r>
        <w:rPr>
          <w:rFonts w:hint="eastAsia" w:ascii="宋体" w:hAnsi="宋体"/>
          <w:b/>
          <w:sz w:val="28"/>
          <w:highlight w:val="none"/>
        </w:rPr>
        <w:t>7.3中标通知</w:t>
      </w:r>
    </w:p>
    <w:p w14:paraId="35F4FFC5">
      <w:pPr>
        <w:pStyle w:val="8"/>
        <w:keepNext w:val="0"/>
        <w:keepLines w:val="0"/>
        <w:pageBreakBefore w:val="0"/>
        <w:kinsoku w:val="0"/>
        <w:wordWrap/>
        <w:overflowPunct/>
        <w:bidi w:val="0"/>
        <w:snapToGrid/>
        <w:spacing w:line="460" w:lineRule="exact"/>
        <w:ind w:left="0" w:firstLine="480" w:firstLineChars="200"/>
        <w:jc w:val="both"/>
        <w:textAlignment w:val="auto"/>
        <w:rPr>
          <w:rFonts w:hAnsi="宋体"/>
          <w:highlight w:val="none"/>
        </w:rPr>
      </w:pPr>
      <w:r>
        <w:rPr>
          <w:rFonts w:hint="eastAsia" w:hAnsi="宋体"/>
          <w:highlight w:val="none"/>
        </w:rPr>
        <w:t>在本章第</w:t>
      </w:r>
      <w:r>
        <w:rPr>
          <w:rFonts w:hAnsi="宋体"/>
          <w:highlight w:val="none"/>
        </w:rPr>
        <w:t>3.3</w:t>
      </w:r>
      <w:r>
        <w:rPr>
          <w:rFonts w:hint="eastAsia" w:hAnsi="宋体"/>
          <w:highlight w:val="none"/>
        </w:rPr>
        <w:t>款规定的投标有效期内，招标人以书面形式向中标人发出中标通知书，同时将中标结果通知未中标的投标人。</w:t>
      </w:r>
    </w:p>
    <w:p w14:paraId="49331A09">
      <w:pPr>
        <w:keepNext w:val="0"/>
        <w:keepLines w:val="0"/>
        <w:pageBreakBefore w:val="0"/>
        <w:wordWrap/>
        <w:overflowPunct/>
        <w:bidi w:val="0"/>
        <w:snapToGrid/>
        <w:spacing w:line="460" w:lineRule="exact"/>
        <w:jc w:val="both"/>
        <w:textAlignment w:val="auto"/>
        <w:rPr>
          <w:rFonts w:ascii="宋体" w:hAnsi="宋体"/>
          <w:b/>
          <w:sz w:val="28"/>
          <w:highlight w:val="none"/>
        </w:rPr>
      </w:pPr>
      <w:bookmarkStart w:id="79" w:name="bookmark68"/>
      <w:bookmarkEnd w:id="79"/>
      <w:bookmarkStart w:id="80" w:name="bookmark69"/>
      <w:bookmarkEnd w:id="80"/>
      <w:r>
        <w:rPr>
          <w:rFonts w:hint="eastAsia" w:ascii="宋体" w:hAnsi="宋体"/>
          <w:b/>
          <w:sz w:val="28"/>
          <w:highlight w:val="none"/>
        </w:rPr>
        <w:t>7.4履约担保</w:t>
      </w:r>
    </w:p>
    <w:p w14:paraId="04CA291F">
      <w:pPr>
        <w:pStyle w:val="8"/>
        <w:keepNext w:val="0"/>
        <w:keepLines w:val="0"/>
        <w:pageBreakBefore w:val="0"/>
        <w:kinsoku w:val="0"/>
        <w:wordWrap/>
        <w:overflowPunct/>
        <w:bidi w:val="0"/>
        <w:snapToGrid/>
        <w:spacing w:line="460" w:lineRule="exact"/>
        <w:ind w:left="0" w:firstLine="480" w:firstLineChars="200"/>
        <w:jc w:val="both"/>
        <w:textAlignment w:val="auto"/>
        <w:rPr>
          <w:rFonts w:ascii="宋体" w:hAnsi="宋体"/>
          <w:highlight w:val="none"/>
        </w:rPr>
      </w:pPr>
      <w:r>
        <w:rPr>
          <w:rFonts w:ascii="宋体" w:hAnsi="宋体"/>
          <w:highlight w:val="none"/>
        </w:rPr>
        <w:t>7.4.1</w:t>
      </w:r>
      <w:r>
        <w:rPr>
          <w:rFonts w:hint="eastAsia" w:ascii="宋体" w:hAnsi="宋体"/>
          <w:highlight w:val="none"/>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14:paraId="059DC81A">
      <w:pPr>
        <w:pStyle w:val="8"/>
        <w:keepNext w:val="0"/>
        <w:keepLines w:val="0"/>
        <w:pageBreakBefore w:val="0"/>
        <w:kinsoku w:val="0"/>
        <w:wordWrap/>
        <w:overflowPunct/>
        <w:bidi w:val="0"/>
        <w:snapToGrid/>
        <w:spacing w:line="460" w:lineRule="exact"/>
        <w:ind w:left="0" w:firstLine="480" w:firstLineChars="200"/>
        <w:jc w:val="both"/>
        <w:textAlignment w:val="auto"/>
        <w:rPr>
          <w:rFonts w:ascii="宋体" w:hAnsi="宋体"/>
          <w:sz w:val="14"/>
          <w:szCs w:val="14"/>
          <w:highlight w:val="none"/>
        </w:rPr>
      </w:pPr>
      <w:r>
        <w:rPr>
          <w:rFonts w:ascii="宋体" w:hAnsi="宋体"/>
          <w:highlight w:val="none"/>
        </w:rPr>
        <w:t>7.4.2</w:t>
      </w:r>
      <w:r>
        <w:rPr>
          <w:rFonts w:hint="eastAsia" w:ascii="宋体" w:hAnsi="宋体"/>
          <w:highlight w:val="none"/>
        </w:rPr>
        <w:t>中标人不能按本章第</w:t>
      </w:r>
      <w:r>
        <w:rPr>
          <w:rFonts w:ascii="宋体" w:hAnsi="宋体"/>
          <w:highlight w:val="none"/>
        </w:rPr>
        <w:t>7.4.1</w:t>
      </w:r>
      <w:r>
        <w:rPr>
          <w:rFonts w:hint="eastAsia" w:ascii="宋体" w:hAnsi="宋体"/>
          <w:highlight w:val="none"/>
        </w:rPr>
        <w:t>项要求提交履约担保的，视为放弃中标，其投标保证金不予退还，给招标人造成的损失超过投标保证金数额的，中标人还应当对超过部分予以赔偿。</w:t>
      </w:r>
    </w:p>
    <w:p w14:paraId="661445F7">
      <w:pPr>
        <w:keepNext w:val="0"/>
        <w:keepLines w:val="0"/>
        <w:pageBreakBefore w:val="0"/>
        <w:wordWrap/>
        <w:overflowPunct/>
        <w:bidi w:val="0"/>
        <w:snapToGrid/>
        <w:spacing w:line="460" w:lineRule="exact"/>
        <w:jc w:val="both"/>
        <w:textAlignment w:val="auto"/>
        <w:rPr>
          <w:rFonts w:ascii="宋体" w:hAnsi="宋体"/>
          <w:b/>
          <w:sz w:val="28"/>
          <w:highlight w:val="none"/>
        </w:rPr>
      </w:pPr>
      <w:bookmarkStart w:id="81" w:name="bookmark70"/>
      <w:bookmarkEnd w:id="81"/>
      <w:r>
        <w:rPr>
          <w:rFonts w:hint="eastAsia" w:ascii="宋体" w:hAnsi="宋体"/>
          <w:b/>
          <w:sz w:val="28"/>
          <w:highlight w:val="none"/>
        </w:rPr>
        <w:t>7.5签订合同</w:t>
      </w:r>
    </w:p>
    <w:p w14:paraId="600604B9">
      <w:pPr>
        <w:pStyle w:val="8"/>
        <w:keepNext w:val="0"/>
        <w:keepLines w:val="0"/>
        <w:pageBreakBefore w:val="0"/>
        <w:kinsoku w:val="0"/>
        <w:wordWrap/>
        <w:overflowPunct/>
        <w:bidi w:val="0"/>
        <w:snapToGrid/>
        <w:spacing w:line="460" w:lineRule="exact"/>
        <w:ind w:left="0" w:firstLine="480" w:firstLineChars="200"/>
        <w:jc w:val="both"/>
        <w:textAlignment w:val="auto"/>
        <w:rPr>
          <w:rFonts w:ascii="宋体" w:hAnsi="宋体"/>
          <w:highlight w:val="none"/>
        </w:rPr>
      </w:pPr>
      <w:r>
        <w:rPr>
          <w:rFonts w:ascii="宋体" w:hAnsi="宋体"/>
          <w:highlight w:val="none"/>
        </w:rPr>
        <w:t>7.5.1</w:t>
      </w:r>
      <w:r>
        <w:rPr>
          <w:rFonts w:hint="eastAsia" w:ascii="宋体" w:hAnsi="宋体"/>
          <w:highlight w:val="none"/>
        </w:rPr>
        <w:t>招标人和中标人应当在中标通知书发出之日起</w:t>
      </w:r>
      <w:r>
        <w:rPr>
          <w:rFonts w:ascii="宋体" w:hAnsi="宋体"/>
          <w:highlight w:val="none"/>
        </w:rPr>
        <w:t>30</w:t>
      </w:r>
      <w:r>
        <w:rPr>
          <w:rFonts w:hint="eastAsia" w:ascii="宋体" w:hAnsi="宋体"/>
          <w:highlight w:val="none"/>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14:paraId="1A02F63B">
      <w:pPr>
        <w:pStyle w:val="8"/>
        <w:keepNext w:val="0"/>
        <w:keepLines w:val="0"/>
        <w:pageBreakBefore w:val="0"/>
        <w:kinsoku w:val="0"/>
        <w:wordWrap/>
        <w:overflowPunct/>
        <w:bidi w:val="0"/>
        <w:snapToGrid/>
        <w:spacing w:line="460" w:lineRule="exact"/>
        <w:ind w:left="0" w:firstLine="480" w:firstLineChars="200"/>
        <w:jc w:val="both"/>
        <w:textAlignment w:val="auto"/>
        <w:rPr>
          <w:rFonts w:ascii="宋体" w:hAnsi="宋体"/>
          <w:highlight w:val="none"/>
        </w:rPr>
      </w:pPr>
      <w:r>
        <w:rPr>
          <w:rFonts w:ascii="宋体" w:hAnsi="宋体"/>
          <w:highlight w:val="none"/>
        </w:rPr>
        <w:t>7.5.2</w:t>
      </w:r>
      <w:r>
        <w:rPr>
          <w:rFonts w:hint="eastAsia" w:ascii="宋体" w:hAnsi="宋体"/>
          <w:highlight w:val="none"/>
        </w:rPr>
        <w:t>发出中标通知书后，招标人无正当理由拒签合同，招标人向中标人退还投标保证金；给中标人造成损失的，还应当赔偿损失。</w:t>
      </w:r>
    </w:p>
    <w:p w14:paraId="10478A0C">
      <w:pPr>
        <w:pStyle w:val="8"/>
        <w:keepNext w:val="0"/>
        <w:keepLines w:val="0"/>
        <w:pageBreakBefore w:val="0"/>
        <w:kinsoku w:val="0"/>
        <w:wordWrap/>
        <w:overflowPunct/>
        <w:bidi w:val="0"/>
        <w:snapToGrid/>
        <w:spacing w:line="460" w:lineRule="exact"/>
        <w:ind w:left="0" w:firstLine="480" w:firstLineChars="200"/>
        <w:jc w:val="both"/>
        <w:textAlignment w:val="auto"/>
        <w:rPr>
          <w:rFonts w:ascii="宋体" w:hAnsi="宋体"/>
          <w:highlight w:val="none"/>
        </w:rPr>
      </w:pPr>
      <w:r>
        <w:rPr>
          <w:rFonts w:ascii="宋体" w:hAnsi="宋体"/>
          <w:highlight w:val="none"/>
        </w:rPr>
        <w:t>7.5.3</w:t>
      </w:r>
      <w:r>
        <w:rPr>
          <w:rFonts w:hint="eastAsia" w:ascii="宋体" w:hAnsi="宋体"/>
          <w:highlight w:val="none"/>
        </w:rPr>
        <w:t>联合体中标的，联合体各方应当共同与招标人签订合同，就中标项目向招标人承担连带责任。</w:t>
      </w:r>
    </w:p>
    <w:p w14:paraId="2E01CA5A">
      <w:pPr>
        <w:pStyle w:val="8"/>
        <w:keepNext w:val="0"/>
        <w:keepLines w:val="0"/>
        <w:pageBreakBefore w:val="0"/>
        <w:widowControl w:val="0"/>
        <w:numPr>
          <w:ilvl w:val="0"/>
          <w:numId w:val="41"/>
        </w:numPr>
        <w:kinsoku w:val="0"/>
        <w:wordWrap/>
        <w:overflowPunct/>
        <w:topLinePunct w:val="0"/>
        <w:autoSpaceDE w:val="0"/>
        <w:autoSpaceDN w:val="0"/>
        <w:bidi w:val="0"/>
        <w:adjustRightInd w:val="0"/>
        <w:snapToGrid/>
        <w:spacing w:line="460" w:lineRule="exact"/>
        <w:ind w:left="425" w:leftChars="0" w:hanging="425" w:firstLineChars="0"/>
        <w:jc w:val="both"/>
        <w:textAlignment w:val="auto"/>
        <w:rPr>
          <w:rFonts w:ascii="宋体" w:hAnsi="宋体" w:eastAsia="宋体" w:cs="Times New Roman"/>
          <w:b/>
          <w:sz w:val="32"/>
          <w:szCs w:val="32"/>
          <w:highlight w:val="none"/>
          <w:lang w:val="en-US" w:eastAsia="zh-CN" w:bidi="ar-SA"/>
        </w:rPr>
      </w:pPr>
      <w:bookmarkStart w:id="82" w:name="bookmark71"/>
      <w:bookmarkEnd w:id="82"/>
      <w:bookmarkStart w:id="83" w:name="_Toc494121485"/>
      <w:bookmarkStart w:id="84" w:name="_Toc29433"/>
      <w:bookmarkStart w:id="85" w:name="_Toc45697239"/>
      <w:bookmarkStart w:id="86" w:name="_Toc22828075"/>
      <w:r>
        <w:rPr>
          <w:rFonts w:ascii="宋体" w:hAnsi="宋体" w:eastAsia="宋体" w:cs="Times New Roman"/>
          <w:b/>
          <w:sz w:val="32"/>
          <w:szCs w:val="32"/>
          <w:highlight w:val="none"/>
          <w:lang w:val="en-US" w:eastAsia="zh-CN" w:bidi="ar-SA"/>
        </w:rPr>
        <w:t>重新招标和不再招标</w:t>
      </w:r>
      <w:bookmarkEnd w:id="83"/>
      <w:bookmarkEnd w:id="84"/>
      <w:bookmarkEnd w:id="85"/>
    </w:p>
    <w:p w14:paraId="2334E385">
      <w:pPr>
        <w:keepNext w:val="0"/>
        <w:keepLines w:val="0"/>
        <w:pageBreakBefore w:val="0"/>
        <w:wordWrap/>
        <w:overflowPunct/>
        <w:bidi w:val="0"/>
        <w:snapToGrid/>
        <w:spacing w:line="460" w:lineRule="exact"/>
        <w:jc w:val="both"/>
        <w:textAlignment w:val="auto"/>
        <w:rPr>
          <w:rFonts w:ascii="宋体" w:hAnsi="宋体"/>
          <w:b/>
          <w:sz w:val="28"/>
          <w:highlight w:val="none"/>
        </w:rPr>
      </w:pPr>
      <w:r>
        <w:rPr>
          <w:rFonts w:hint="eastAsia" w:ascii="宋体" w:hAnsi="宋体"/>
          <w:b/>
          <w:sz w:val="28"/>
          <w:highlight w:val="none"/>
        </w:rPr>
        <w:t>8.1重新招标</w:t>
      </w:r>
    </w:p>
    <w:p w14:paraId="4AE7FDCD">
      <w:pPr>
        <w:keepNext w:val="0"/>
        <w:keepLines w:val="0"/>
        <w:pageBreakBefore w:val="0"/>
        <w:wordWrap/>
        <w:overflowPunct/>
        <w:bidi w:val="0"/>
        <w:snapToGrid/>
        <w:spacing w:line="460" w:lineRule="exact"/>
        <w:ind w:firstLine="480" w:firstLineChars="200"/>
        <w:jc w:val="both"/>
        <w:textAlignment w:val="auto"/>
        <w:rPr>
          <w:rFonts w:ascii="宋体" w:hAnsi="宋体"/>
          <w:highlight w:val="none"/>
        </w:rPr>
      </w:pPr>
      <w:r>
        <w:rPr>
          <w:rFonts w:hint="eastAsia" w:ascii="宋体" w:hAnsi="宋体"/>
          <w:highlight w:val="none"/>
        </w:rPr>
        <w:t>有下列情形之一的，招标人将重新招标：</w:t>
      </w:r>
    </w:p>
    <w:p w14:paraId="11CE0EBB">
      <w:pPr>
        <w:pStyle w:val="8"/>
        <w:keepNext w:val="0"/>
        <w:keepLines w:val="0"/>
        <w:pageBreakBefore w:val="0"/>
        <w:numPr>
          <w:ilvl w:val="0"/>
          <w:numId w:val="62"/>
        </w:numPr>
        <w:kinsoku w:val="0"/>
        <w:wordWrap/>
        <w:overflowPunct/>
        <w:bidi w:val="0"/>
        <w:snapToGrid/>
        <w:spacing w:line="460" w:lineRule="exact"/>
        <w:ind w:left="0" w:firstLine="476" w:firstLineChars="200"/>
        <w:jc w:val="both"/>
        <w:textAlignment w:val="auto"/>
        <w:rPr>
          <w:rFonts w:hint="eastAsia" w:hAnsi="宋体" w:eastAsia="宋体"/>
          <w:spacing w:val="-1"/>
          <w:highlight w:val="none"/>
          <w:lang w:val="en-US" w:eastAsia="zh-CN"/>
        </w:rPr>
      </w:pPr>
      <w:r>
        <w:rPr>
          <w:rFonts w:hint="eastAsia" w:hAnsi="宋体" w:eastAsia="宋体"/>
          <w:spacing w:val="-1"/>
          <w:highlight w:val="none"/>
          <w:lang w:val="en-US" w:eastAsia="zh-CN"/>
        </w:rPr>
        <w:t>投标截止时间止，投标人少于3个的；</w:t>
      </w:r>
    </w:p>
    <w:p w14:paraId="12F8B5BE">
      <w:pPr>
        <w:pStyle w:val="8"/>
        <w:keepNext w:val="0"/>
        <w:keepLines w:val="0"/>
        <w:pageBreakBefore w:val="0"/>
        <w:numPr>
          <w:ilvl w:val="0"/>
          <w:numId w:val="62"/>
        </w:numPr>
        <w:kinsoku w:val="0"/>
        <w:wordWrap/>
        <w:overflowPunct/>
        <w:bidi w:val="0"/>
        <w:snapToGrid/>
        <w:spacing w:line="460" w:lineRule="exact"/>
        <w:ind w:left="0" w:firstLine="476" w:firstLineChars="200"/>
        <w:jc w:val="both"/>
        <w:textAlignment w:val="auto"/>
        <w:rPr>
          <w:rFonts w:hint="eastAsia" w:hAnsi="宋体" w:eastAsia="宋体"/>
          <w:spacing w:val="-1"/>
          <w:highlight w:val="none"/>
          <w:lang w:val="en-US" w:eastAsia="zh-CN"/>
        </w:rPr>
      </w:pPr>
      <w:r>
        <w:rPr>
          <w:rFonts w:hint="eastAsia" w:hAnsi="宋体" w:eastAsia="宋体"/>
          <w:spacing w:val="-1"/>
          <w:highlight w:val="none"/>
          <w:lang w:val="en-US" w:eastAsia="zh-CN"/>
        </w:rPr>
        <w:t>经评标委员会评审后否决所有投标的；</w:t>
      </w:r>
    </w:p>
    <w:p w14:paraId="7FA0436B">
      <w:pPr>
        <w:pStyle w:val="8"/>
        <w:keepNext w:val="0"/>
        <w:keepLines w:val="0"/>
        <w:pageBreakBefore w:val="0"/>
        <w:numPr>
          <w:ilvl w:val="0"/>
          <w:numId w:val="62"/>
        </w:numPr>
        <w:kinsoku w:val="0"/>
        <w:wordWrap/>
        <w:overflowPunct/>
        <w:bidi w:val="0"/>
        <w:snapToGrid/>
        <w:spacing w:line="460" w:lineRule="exact"/>
        <w:ind w:left="0" w:firstLine="476" w:firstLineChars="200"/>
        <w:jc w:val="both"/>
        <w:textAlignment w:val="auto"/>
        <w:rPr>
          <w:rFonts w:hint="eastAsia" w:ascii="Times New Roman" w:hAnsi="宋体" w:eastAsia="宋体" w:cs="Times New Roman"/>
          <w:spacing w:val="-1"/>
          <w:sz w:val="24"/>
          <w:szCs w:val="24"/>
          <w:highlight w:val="none"/>
          <w:lang w:val="en-US" w:eastAsia="zh-CN" w:bidi="ar-SA"/>
        </w:rPr>
      </w:pPr>
      <w:r>
        <w:rPr>
          <w:rFonts w:hint="eastAsia" w:hAnsi="宋体" w:eastAsia="宋体"/>
          <w:spacing w:val="-1"/>
          <w:highlight w:val="none"/>
          <w:lang w:val="en-US" w:eastAsia="zh-CN"/>
        </w:rPr>
        <w:t>其他</w:t>
      </w:r>
      <w:r>
        <w:rPr>
          <w:rFonts w:hint="eastAsia" w:ascii="Times New Roman" w:hAnsi="宋体" w:eastAsia="宋体" w:cs="Times New Roman"/>
          <w:spacing w:val="-1"/>
          <w:sz w:val="24"/>
          <w:szCs w:val="24"/>
          <w:highlight w:val="none"/>
          <w:lang w:val="en-US" w:eastAsia="zh-CN" w:bidi="ar-SA"/>
        </w:rPr>
        <w:t>情形见须知前附表。</w:t>
      </w:r>
    </w:p>
    <w:p w14:paraId="23B346E6">
      <w:pPr>
        <w:keepNext w:val="0"/>
        <w:keepLines w:val="0"/>
        <w:pageBreakBefore w:val="0"/>
        <w:wordWrap/>
        <w:overflowPunct/>
        <w:bidi w:val="0"/>
        <w:snapToGrid/>
        <w:spacing w:line="460" w:lineRule="exact"/>
        <w:jc w:val="both"/>
        <w:textAlignment w:val="auto"/>
        <w:rPr>
          <w:rFonts w:ascii="宋体" w:hAnsi="宋体"/>
          <w:b/>
          <w:sz w:val="28"/>
          <w:highlight w:val="none"/>
        </w:rPr>
      </w:pPr>
      <w:r>
        <w:rPr>
          <w:rFonts w:hint="eastAsia" w:ascii="宋体" w:hAnsi="宋体"/>
          <w:b/>
          <w:sz w:val="28"/>
          <w:highlight w:val="none"/>
        </w:rPr>
        <w:t>8.2不再招标</w:t>
      </w:r>
    </w:p>
    <w:p w14:paraId="11F0522A">
      <w:pPr>
        <w:keepNext w:val="0"/>
        <w:keepLines w:val="0"/>
        <w:pageBreakBefore w:val="0"/>
        <w:wordWrap/>
        <w:overflowPunct/>
        <w:bidi w:val="0"/>
        <w:snapToGrid/>
        <w:spacing w:line="460" w:lineRule="exact"/>
        <w:ind w:firstLine="480" w:firstLineChars="200"/>
        <w:jc w:val="both"/>
        <w:textAlignment w:val="auto"/>
        <w:rPr>
          <w:rFonts w:ascii="宋体" w:hAnsi="宋体"/>
          <w:highlight w:val="none"/>
        </w:rPr>
      </w:pPr>
      <w:r>
        <w:rPr>
          <w:rFonts w:hint="eastAsia" w:ascii="宋体" w:hAnsi="宋体"/>
          <w:highlight w:val="none"/>
        </w:rPr>
        <w:t>见须知前附表。</w:t>
      </w:r>
    </w:p>
    <w:bookmarkEnd w:id="86"/>
    <w:p w14:paraId="5E41B8DC">
      <w:pPr>
        <w:pStyle w:val="8"/>
        <w:keepNext w:val="0"/>
        <w:keepLines w:val="0"/>
        <w:pageBreakBefore w:val="0"/>
        <w:widowControl w:val="0"/>
        <w:numPr>
          <w:ilvl w:val="0"/>
          <w:numId w:val="41"/>
        </w:numPr>
        <w:kinsoku w:val="0"/>
        <w:wordWrap/>
        <w:overflowPunct/>
        <w:topLinePunct w:val="0"/>
        <w:autoSpaceDE w:val="0"/>
        <w:autoSpaceDN w:val="0"/>
        <w:bidi w:val="0"/>
        <w:adjustRightInd w:val="0"/>
        <w:snapToGrid/>
        <w:spacing w:line="460" w:lineRule="exact"/>
        <w:ind w:left="425" w:leftChars="0" w:hanging="425" w:firstLineChars="0"/>
        <w:jc w:val="both"/>
        <w:textAlignment w:val="auto"/>
        <w:rPr>
          <w:rFonts w:ascii="宋体" w:hAnsi="宋体" w:eastAsia="宋体" w:cs="Times New Roman"/>
          <w:b/>
          <w:sz w:val="32"/>
          <w:szCs w:val="32"/>
          <w:highlight w:val="none"/>
          <w:lang w:val="en-US" w:eastAsia="zh-CN" w:bidi="ar-SA"/>
        </w:rPr>
      </w:pPr>
      <w:bookmarkStart w:id="87" w:name="bookmark77"/>
      <w:bookmarkEnd w:id="87"/>
      <w:bookmarkStart w:id="88" w:name="_Toc14014"/>
      <w:bookmarkStart w:id="89" w:name="_Toc45697240"/>
      <w:bookmarkStart w:id="90" w:name="_Toc494121486"/>
      <w:bookmarkStart w:id="91" w:name="_Toc22828076"/>
      <w:r>
        <w:rPr>
          <w:rFonts w:ascii="宋体" w:hAnsi="宋体" w:eastAsia="宋体" w:cs="Times New Roman"/>
          <w:b/>
          <w:sz w:val="32"/>
          <w:szCs w:val="32"/>
          <w:highlight w:val="none"/>
          <w:lang w:val="en-US" w:eastAsia="zh-CN" w:bidi="ar-SA"/>
        </w:rPr>
        <w:t>纪律和监督</w:t>
      </w:r>
      <w:bookmarkEnd w:id="88"/>
      <w:bookmarkEnd w:id="89"/>
      <w:bookmarkEnd w:id="90"/>
    </w:p>
    <w:p w14:paraId="6D4E6141">
      <w:pPr>
        <w:keepNext w:val="0"/>
        <w:keepLines w:val="0"/>
        <w:pageBreakBefore w:val="0"/>
        <w:wordWrap/>
        <w:overflowPunct/>
        <w:bidi w:val="0"/>
        <w:snapToGrid/>
        <w:spacing w:line="460" w:lineRule="exact"/>
        <w:jc w:val="both"/>
        <w:textAlignment w:val="auto"/>
        <w:rPr>
          <w:rFonts w:ascii="宋体" w:hAnsi="宋体"/>
          <w:b/>
          <w:sz w:val="28"/>
          <w:highlight w:val="none"/>
        </w:rPr>
      </w:pPr>
      <w:r>
        <w:rPr>
          <w:rFonts w:hint="eastAsia" w:ascii="宋体" w:hAnsi="宋体"/>
          <w:b/>
          <w:sz w:val="28"/>
          <w:highlight w:val="none"/>
        </w:rPr>
        <w:t>9.1对招标人的纪律要求</w:t>
      </w:r>
    </w:p>
    <w:p w14:paraId="044A27DF">
      <w:pPr>
        <w:keepNext w:val="0"/>
        <w:keepLines w:val="0"/>
        <w:pageBreakBefore w:val="0"/>
        <w:wordWrap/>
        <w:overflowPunct/>
        <w:bidi w:val="0"/>
        <w:snapToGrid/>
        <w:spacing w:line="460" w:lineRule="exact"/>
        <w:ind w:firstLine="480" w:firstLineChars="200"/>
        <w:jc w:val="both"/>
        <w:textAlignment w:val="auto"/>
        <w:rPr>
          <w:rFonts w:ascii="宋体" w:hAnsi="宋体"/>
          <w:highlight w:val="none"/>
        </w:rPr>
      </w:pPr>
      <w:r>
        <w:rPr>
          <w:rFonts w:hint="eastAsia" w:ascii="宋体" w:hAnsi="宋体"/>
          <w:highlight w:val="none"/>
        </w:rPr>
        <w:t>招标人不得泄漏招标投标活动中应当保密的情况和资料，不得与投标人串通损害国家利益、社会公共利益或者他人合法权益。</w:t>
      </w:r>
    </w:p>
    <w:p w14:paraId="13592D1E">
      <w:pPr>
        <w:keepNext w:val="0"/>
        <w:keepLines w:val="0"/>
        <w:pageBreakBefore w:val="0"/>
        <w:wordWrap/>
        <w:overflowPunct/>
        <w:bidi w:val="0"/>
        <w:snapToGrid/>
        <w:spacing w:line="460" w:lineRule="exact"/>
        <w:jc w:val="both"/>
        <w:textAlignment w:val="auto"/>
        <w:rPr>
          <w:rFonts w:ascii="宋体" w:hAnsi="宋体"/>
          <w:b/>
          <w:sz w:val="28"/>
          <w:highlight w:val="none"/>
        </w:rPr>
      </w:pPr>
      <w:r>
        <w:rPr>
          <w:rFonts w:hint="eastAsia" w:ascii="宋体" w:hAnsi="宋体"/>
          <w:b/>
          <w:sz w:val="28"/>
          <w:highlight w:val="none"/>
        </w:rPr>
        <w:t>9.2对投标人的纪律要求</w:t>
      </w:r>
    </w:p>
    <w:p w14:paraId="50B3DD8E">
      <w:pPr>
        <w:keepNext w:val="0"/>
        <w:keepLines w:val="0"/>
        <w:pageBreakBefore w:val="0"/>
        <w:wordWrap/>
        <w:overflowPunct/>
        <w:bidi w:val="0"/>
        <w:snapToGrid/>
        <w:spacing w:line="460" w:lineRule="exact"/>
        <w:ind w:firstLine="480" w:firstLineChars="200"/>
        <w:jc w:val="both"/>
        <w:textAlignment w:val="auto"/>
        <w:rPr>
          <w:rFonts w:ascii="宋体" w:hAnsi="宋体"/>
          <w:highlight w:val="none"/>
        </w:rPr>
      </w:pPr>
      <w:r>
        <w:rPr>
          <w:rFonts w:hint="eastAsia" w:ascii="宋体" w:hAnsi="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82C6EED">
      <w:pPr>
        <w:keepNext w:val="0"/>
        <w:keepLines w:val="0"/>
        <w:pageBreakBefore w:val="0"/>
        <w:wordWrap/>
        <w:overflowPunct/>
        <w:bidi w:val="0"/>
        <w:snapToGrid/>
        <w:spacing w:line="460" w:lineRule="exact"/>
        <w:jc w:val="both"/>
        <w:textAlignment w:val="auto"/>
        <w:rPr>
          <w:rFonts w:ascii="宋体" w:hAnsi="宋体"/>
          <w:b/>
          <w:sz w:val="28"/>
          <w:highlight w:val="none"/>
        </w:rPr>
      </w:pPr>
      <w:r>
        <w:rPr>
          <w:rFonts w:hint="eastAsia" w:ascii="宋体" w:hAnsi="宋体"/>
          <w:b/>
          <w:sz w:val="28"/>
          <w:highlight w:val="none"/>
        </w:rPr>
        <w:t>9.3对评标委员会成员的纪律要求</w:t>
      </w:r>
    </w:p>
    <w:p w14:paraId="1D2DE556">
      <w:pPr>
        <w:keepNext w:val="0"/>
        <w:keepLines w:val="0"/>
        <w:pageBreakBefore w:val="0"/>
        <w:wordWrap/>
        <w:overflowPunct/>
        <w:bidi w:val="0"/>
        <w:snapToGrid/>
        <w:spacing w:line="460" w:lineRule="exact"/>
        <w:ind w:firstLine="480" w:firstLineChars="200"/>
        <w:jc w:val="both"/>
        <w:textAlignment w:val="auto"/>
        <w:rPr>
          <w:rFonts w:ascii="宋体" w:hAnsi="宋体"/>
          <w:highlight w:val="none"/>
        </w:rPr>
      </w:pPr>
      <w:r>
        <w:rPr>
          <w:rFonts w:hint="eastAsia" w:ascii="宋体" w:hAnsi="宋体"/>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F47661B">
      <w:pPr>
        <w:keepNext w:val="0"/>
        <w:keepLines w:val="0"/>
        <w:pageBreakBefore w:val="0"/>
        <w:wordWrap/>
        <w:overflowPunct/>
        <w:bidi w:val="0"/>
        <w:snapToGrid/>
        <w:spacing w:line="460" w:lineRule="exact"/>
        <w:jc w:val="both"/>
        <w:textAlignment w:val="auto"/>
        <w:rPr>
          <w:rFonts w:ascii="宋体" w:hAnsi="宋体"/>
          <w:b/>
          <w:sz w:val="28"/>
          <w:highlight w:val="none"/>
        </w:rPr>
      </w:pPr>
      <w:r>
        <w:rPr>
          <w:rFonts w:hint="eastAsia" w:ascii="宋体" w:hAnsi="宋体"/>
          <w:b/>
          <w:sz w:val="28"/>
          <w:highlight w:val="none"/>
        </w:rPr>
        <w:t>9.4对与评标活动有关的工作人员的纪律要求</w:t>
      </w:r>
    </w:p>
    <w:p w14:paraId="6A0BD539">
      <w:pPr>
        <w:keepNext w:val="0"/>
        <w:keepLines w:val="0"/>
        <w:pageBreakBefore w:val="0"/>
        <w:wordWrap/>
        <w:overflowPunct/>
        <w:bidi w:val="0"/>
        <w:snapToGrid/>
        <w:spacing w:line="460" w:lineRule="exact"/>
        <w:ind w:firstLine="480" w:firstLineChars="200"/>
        <w:jc w:val="both"/>
        <w:textAlignment w:val="auto"/>
        <w:rPr>
          <w:rFonts w:ascii="宋体" w:hAnsi="宋体"/>
          <w:highlight w:val="none"/>
        </w:rPr>
      </w:pPr>
      <w:r>
        <w:rPr>
          <w:rFonts w:hint="eastAsia" w:ascii="宋体" w:hAnsi="宋体"/>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367A957">
      <w:pPr>
        <w:keepNext w:val="0"/>
        <w:keepLines w:val="0"/>
        <w:pageBreakBefore w:val="0"/>
        <w:wordWrap/>
        <w:overflowPunct/>
        <w:bidi w:val="0"/>
        <w:snapToGrid/>
        <w:spacing w:line="460" w:lineRule="exact"/>
        <w:jc w:val="both"/>
        <w:textAlignment w:val="auto"/>
        <w:rPr>
          <w:rFonts w:ascii="宋体" w:hAnsi="宋体"/>
          <w:b/>
          <w:sz w:val="28"/>
          <w:highlight w:val="none"/>
        </w:rPr>
      </w:pPr>
      <w:r>
        <w:rPr>
          <w:rFonts w:hint="eastAsia" w:ascii="宋体" w:hAnsi="宋体"/>
          <w:b/>
          <w:sz w:val="28"/>
          <w:highlight w:val="none"/>
        </w:rPr>
        <w:t>9.5异议和投诉</w:t>
      </w:r>
    </w:p>
    <w:p w14:paraId="0B67456F">
      <w:pPr>
        <w:keepNext w:val="0"/>
        <w:keepLines w:val="0"/>
        <w:pageBreakBefore w:val="0"/>
        <w:wordWrap/>
        <w:overflowPunct/>
        <w:bidi w:val="0"/>
        <w:snapToGrid/>
        <w:spacing w:line="460" w:lineRule="exact"/>
        <w:ind w:firstLine="480" w:firstLineChars="200"/>
        <w:jc w:val="both"/>
        <w:textAlignment w:val="auto"/>
        <w:rPr>
          <w:rFonts w:ascii="宋体" w:hAnsi="宋体"/>
          <w:highlight w:val="none"/>
        </w:rPr>
      </w:pPr>
      <w:r>
        <w:rPr>
          <w:rFonts w:ascii="宋体" w:hAnsi="宋体"/>
          <w:highlight w:val="none"/>
        </w:rPr>
        <w:t>9.5.1异议</w:t>
      </w:r>
    </w:p>
    <w:p w14:paraId="1CA2E850">
      <w:pPr>
        <w:pStyle w:val="8"/>
        <w:keepNext w:val="0"/>
        <w:keepLines w:val="0"/>
        <w:pageBreakBefore w:val="0"/>
        <w:numPr>
          <w:ilvl w:val="0"/>
          <w:numId w:val="63"/>
        </w:numPr>
        <w:kinsoku w:val="0"/>
        <w:wordWrap/>
        <w:overflowPunct/>
        <w:bidi w:val="0"/>
        <w:snapToGrid/>
        <w:spacing w:line="460" w:lineRule="exact"/>
        <w:ind w:left="0" w:firstLine="476" w:firstLineChars="200"/>
        <w:jc w:val="both"/>
        <w:textAlignment w:val="auto"/>
        <w:rPr>
          <w:rFonts w:hint="eastAsia" w:hAnsi="宋体" w:eastAsia="宋体"/>
          <w:spacing w:val="-1"/>
          <w:highlight w:val="none"/>
          <w:lang w:val="en-US" w:eastAsia="zh-CN"/>
        </w:rPr>
      </w:pPr>
      <w:r>
        <w:rPr>
          <w:rFonts w:hint="eastAsia" w:hAnsi="宋体" w:eastAsia="宋体"/>
          <w:spacing w:val="-1"/>
          <w:highlight w:val="none"/>
          <w:lang w:val="en-US" w:eastAsia="zh-CN"/>
        </w:rPr>
        <w:t>潜在投标人或者其他利害关系人对招标文件有异议的，应当在投标截止时间10日前以书面形式向招标人提出。招标人将在收到异议之日起3日内作出书面答复；作出答复前，暂停招标投标活动。</w:t>
      </w:r>
    </w:p>
    <w:p w14:paraId="56C0EAEF">
      <w:pPr>
        <w:pStyle w:val="8"/>
        <w:keepNext w:val="0"/>
        <w:keepLines w:val="0"/>
        <w:pageBreakBefore w:val="0"/>
        <w:numPr>
          <w:ilvl w:val="0"/>
          <w:numId w:val="63"/>
        </w:numPr>
        <w:kinsoku w:val="0"/>
        <w:wordWrap/>
        <w:overflowPunct/>
        <w:bidi w:val="0"/>
        <w:snapToGrid/>
        <w:spacing w:line="460" w:lineRule="exact"/>
        <w:ind w:left="0" w:firstLine="476" w:firstLineChars="200"/>
        <w:jc w:val="both"/>
        <w:textAlignment w:val="auto"/>
        <w:rPr>
          <w:rFonts w:hint="eastAsia" w:hAnsi="宋体" w:eastAsia="宋体"/>
          <w:spacing w:val="-1"/>
          <w:highlight w:val="none"/>
          <w:lang w:val="en-US" w:eastAsia="zh-CN"/>
        </w:rPr>
      </w:pPr>
      <w:r>
        <w:rPr>
          <w:rFonts w:hint="eastAsia" w:hAnsi="宋体" w:eastAsia="宋体"/>
          <w:spacing w:val="-1"/>
          <w:highlight w:val="none"/>
          <w:lang w:val="en-US" w:eastAsia="zh-CN"/>
        </w:rPr>
        <w:t>投标人认为开标不符合有关规定的，应当在开标时提出异议。招标人将当场对异议给予处理或者告知处理的办法。异议和答复应记入开标记录或者制作专门记录以存档备查。</w:t>
      </w:r>
    </w:p>
    <w:p w14:paraId="342A0B6D">
      <w:pPr>
        <w:pStyle w:val="8"/>
        <w:keepNext w:val="0"/>
        <w:keepLines w:val="0"/>
        <w:pageBreakBefore w:val="0"/>
        <w:numPr>
          <w:ilvl w:val="0"/>
          <w:numId w:val="63"/>
        </w:numPr>
        <w:kinsoku w:val="0"/>
        <w:wordWrap/>
        <w:overflowPunct/>
        <w:bidi w:val="0"/>
        <w:snapToGrid/>
        <w:spacing w:line="460" w:lineRule="exact"/>
        <w:ind w:left="0" w:firstLine="476" w:firstLineChars="200"/>
        <w:jc w:val="both"/>
        <w:textAlignment w:val="auto"/>
        <w:rPr>
          <w:rFonts w:hint="eastAsia" w:hAnsi="宋体" w:eastAsia="宋体"/>
          <w:spacing w:val="-1"/>
          <w:highlight w:val="none"/>
          <w:lang w:val="en-US" w:eastAsia="zh-CN"/>
        </w:rPr>
      </w:pPr>
      <w:r>
        <w:rPr>
          <w:rFonts w:hint="eastAsia" w:hAnsi="宋体" w:eastAsia="宋体"/>
          <w:spacing w:val="-1"/>
          <w:highlight w:val="none"/>
          <w:lang w:val="en-US" w:eastAsia="zh-CN"/>
        </w:rPr>
        <w:t>投标人及其他利害关系人对评标结果有异议的，应当在中标候选人公示期内以书面形式向招标人提出。招标人将在收到异议之日起3日内作出书面答复；作出答复前，暂停招标投标活动。</w:t>
      </w:r>
    </w:p>
    <w:p w14:paraId="24BF8052">
      <w:pPr>
        <w:keepNext w:val="0"/>
        <w:keepLines w:val="0"/>
        <w:pageBreakBefore w:val="0"/>
        <w:wordWrap/>
        <w:overflowPunct/>
        <w:bidi w:val="0"/>
        <w:snapToGrid/>
        <w:spacing w:line="460" w:lineRule="exact"/>
        <w:ind w:firstLine="480" w:firstLineChars="200"/>
        <w:jc w:val="both"/>
        <w:textAlignment w:val="auto"/>
        <w:rPr>
          <w:rFonts w:ascii="宋体" w:hAnsi="宋体"/>
          <w:highlight w:val="none"/>
        </w:rPr>
      </w:pPr>
      <w:r>
        <w:rPr>
          <w:rFonts w:ascii="宋体" w:hAnsi="宋体"/>
          <w:highlight w:val="none"/>
        </w:rPr>
        <w:t>9.5.2投诉</w:t>
      </w:r>
    </w:p>
    <w:p w14:paraId="73A2DEF2">
      <w:pPr>
        <w:keepNext w:val="0"/>
        <w:keepLines w:val="0"/>
        <w:pageBreakBefore w:val="0"/>
        <w:wordWrap/>
        <w:overflowPunct/>
        <w:bidi w:val="0"/>
        <w:snapToGrid/>
        <w:spacing w:line="460" w:lineRule="exact"/>
        <w:ind w:firstLine="480" w:firstLineChars="200"/>
        <w:jc w:val="both"/>
        <w:textAlignment w:val="auto"/>
        <w:rPr>
          <w:rFonts w:ascii="宋体" w:hAnsi="宋体"/>
          <w:highlight w:val="none"/>
        </w:rPr>
      </w:pPr>
      <w:r>
        <w:rPr>
          <w:rFonts w:hint="eastAsia" w:ascii="宋体" w:hAnsi="宋体"/>
          <w:highlight w:val="none"/>
        </w:rPr>
        <w:t>投标人或者其他利害关系人认为招标投标活动不符合法律、行政法规和招标文件规定的，可以自知道或者应当知道之日起</w:t>
      </w:r>
      <w:r>
        <w:rPr>
          <w:rFonts w:ascii="宋体" w:hAnsi="宋体"/>
          <w:highlight w:val="none"/>
        </w:rPr>
        <w:t>10日内向有关行政监督部门投诉。投诉应当有明确的请求和必要的证明资料，具体要求按国家、省及</w:t>
      </w:r>
      <w:r>
        <w:rPr>
          <w:rFonts w:hint="eastAsia" w:ascii="宋体" w:hAnsi="宋体"/>
          <w:highlight w:val="none"/>
        </w:rPr>
        <w:t>当地招投标主管部门制定的规定。就招标文件、开标和评标结果投诉的，应当先向招标人提出异议，异议答复期不计算在前款规定的期限内。</w:t>
      </w:r>
    </w:p>
    <w:p w14:paraId="5DF38C2D">
      <w:pPr>
        <w:keepNext w:val="0"/>
        <w:keepLines w:val="0"/>
        <w:pageBreakBefore w:val="0"/>
        <w:wordWrap/>
        <w:overflowPunct/>
        <w:bidi w:val="0"/>
        <w:snapToGrid/>
        <w:spacing w:line="460" w:lineRule="exact"/>
        <w:ind w:firstLine="480" w:firstLineChars="200"/>
        <w:jc w:val="both"/>
        <w:textAlignment w:val="auto"/>
        <w:rPr>
          <w:rFonts w:ascii="宋体" w:hAnsi="宋体"/>
          <w:highlight w:val="none"/>
        </w:rPr>
      </w:pPr>
      <w:r>
        <w:rPr>
          <w:rFonts w:hint="eastAsia" w:ascii="宋体" w:hAnsi="宋体"/>
          <w:highlight w:val="none"/>
        </w:rPr>
        <w:t>上述时限最后一日如遇国家法定休假日的，顺延至法定休假日后的第一个工作日。</w:t>
      </w:r>
    </w:p>
    <w:bookmarkEnd w:id="91"/>
    <w:p w14:paraId="7ADBCA95">
      <w:pPr>
        <w:pStyle w:val="8"/>
        <w:keepNext w:val="0"/>
        <w:keepLines w:val="0"/>
        <w:pageBreakBefore w:val="0"/>
        <w:widowControl w:val="0"/>
        <w:numPr>
          <w:ilvl w:val="0"/>
          <w:numId w:val="41"/>
        </w:numPr>
        <w:kinsoku w:val="0"/>
        <w:wordWrap/>
        <w:overflowPunct/>
        <w:topLinePunct w:val="0"/>
        <w:autoSpaceDE w:val="0"/>
        <w:autoSpaceDN w:val="0"/>
        <w:bidi w:val="0"/>
        <w:adjustRightInd w:val="0"/>
        <w:snapToGrid/>
        <w:spacing w:line="460" w:lineRule="exact"/>
        <w:ind w:left="425" w:leftChars="0" w:hanging="425" w:firstLineChars="0"/>
        <w:jc w:val="both"/>
        <w:textAlignment w:val="auto"/>
        <w:rPr>
          <w:rFonts w:ascii="宋体" w:hAnsi="宋体" w:eastAsia="宋体" w:cs="Times New Roman"/>
          <w:b/>
          <w:sz w:val="32"/>
          <w:szCs w:val="32"/>
          <w:highlight w:val="none"/>
          <w:lang w:val="en-US" w:eastAsia="zh-CN" w:bidi="ar-SA"/>
        </w:rPr>
      </w:pPr>
      <w:bookmarkStart w:id="92" w:name="bookmark78"/>
      <w:bookmarkEnd w:id="92"/>
      <w:bookmarkStart w:id="93" w:name="_Toc152042357"/>
      <w:bookmarkStart w:id="94" w:name="_Toc1392"/>
      <w:bookmarkStart w:id="95" w:name="_Toc149922238"/>
      <w:bookmarkStart w:id="96" w:name="_Toc8305366"/>
      <w:bookmarkStart w:id="97" w:name="_Toc16521964"/>
      <w:bookmarkStart w:id="98" w:name="_Toc144974547"/>
      <w:bookmarkStart w:id="99" w:name="_Toc152045580"/>
      <w:r>
        <w:rPr>
          <w:rFonts w:hint="eastAsia" w:ascii="宋体" w:hAnsi="宋体" w:eastAsia="宋体" w:cs="Times New Roman"/>
          <w:b/>
          <w:sz w:val="32"/>
          <w:szCs w:val="32"/>
          <w:highlight w:val="none"/>
          <w:lang w:val="en-US" w:eastAsia="zh-CN" w:bidi="ar-SA"/>
        </w:rPr>
        <w:t>需要补充的其他内容</w:t>
      </w:r>
      <w:bookmarkEnd w:id="93"/>
      <w:bookmarkEnd w:id="94"/>
      <w:bookmarkEnd w:id="95"/>
      <w:bookmarkEnd w:id="96"/>
      <w:bookmarkEnd w:id="97"/>
      <w:bookmarkEnd w:id="98"/>
      <w:bookmarkEnd w:id="99"/>
    </w:p>
    <w:p w14:paraId="72B54915">
      <w:pPr>
        <w:keepNext w:val="0"/>
        <w:keepLines w:val="0"/>
        <w:pageBreakBefore w:val="0"/>
        <w:wordWrap/>
        <w:overflowPunct/>
        <w:bidi w:val="0"/>
        <w:snapToGrid/>
        <w:spacing w:line="460" w:lineRule="exact"/>
        <w:ind w:firstLine="480" w:firstLineChars="200"/>
        <w:jc w:val="both"/>
        <w:textAlignment w:val="auto"/>
        <w:rPr>
          <w:rFonts w:ascii="宋体" w:hAnsi="宋体" w:cs="宋体"/>
          <w:highlight w:val="none"/>
        </w:rPr>
      </w:pPr>
      <w:r>
        <w:rPr>
          <w:rFonts w:hint="eastAsia" w:ascii="宋体" w:hAnsi="宋体" w:cs="宋体"/>
          <w:highlight w:val="none"/>
        </w:rPr>
        <w:t>需要补充的其他内容：见投标人须知前附表。</w:t>
      </w:r>
    </w:p>
    <w:p w14:paraId="657F52AA">
      <w:pPr>
        <w:rPr>
          <w:highlight w:val="none"/>
        </w:rPr>
        <w:sectPr>
          <w:footerReference r:id="rId4" w:type="default"/>
          <w:pgSz w:w="12240" w:h="15840"/>
          <w:pgMar w:top="1400" w:right="1434" w:bottom="1123" w:left="1434" w:header="0" w:footer="918" w:gutter="0"/>
          <w:cols w:space="0" w:num="1"/>
        </w:sectPr>
      </w:pPr>
    </w:p>
    <w:p w14:paraId="4903A55B">
      <w:pPr>
        <w:pStyle w:val="2"/>
        <w:keepNext/>
        <w:keepLines/>
        <w:pageBreakBefore w:val="0"/>
        <w:numPr>
          <w:ilvl w:val="0"/>
          <w:numId w:val="4"/>
        </w:numPr>
        <w:overflowPunct/>
        <w:topLinePunct w:val="0"/>
        <w:bidi w:val="0"/>
        <w:snapToGrid/>
        <w:ind w:left="0" w:leftChars="0" w:firstLine="402" w:firstLineChars="0"/>
        <w:textAlignment w:val="auto"/>
        <w:outlineLvl w:val="0"/>
        <w:rPr>
          <w:rFonts w:hint="eastAsia"/>
          <w:highlight w:val="none"/>
        </w:rPr>
      </w:pPr>
      <w:bookmarkStart w:id="100" w:name="_Toc22828078"/>
      <w:bookmarkStart w:id="101" w:name="_Toc13518"/>
      <w:bookmarkStart w:id="102" w:name="_Toc45697242"/>
      <w:bookmarkStart w:id="103" w:name="_Toc19767"/>
      <w:r>
        <w:rPr>
          <w:rFonts w:hint="eastAsia"/>
          <w:highlight w:val="none"/>
        </w:rPr>
        <w:t>评标办法</w:t>
      </w:r>
      <w:bookmarkEnd w:id="100"/>
      <w:bookmarkEnd w:id="101"/>
      <w:bookmarkEnd w:id="102"/>
      <w:bookmarkEnd w:id="103"/>
    </w:p>
    <w:p w14:paraId="6FD7AE78">
      <w:pPr>
        <w:pStyle w:val="20"/>
        <w:keepNext w:val="0"/>
        <w:keepLines w:val="0"/>
        <w:pageBreakBefore w:val="0"/>
        <w:widowControl w:val="0"/>
        <w:kinsoku/>
        <w:wordWrap/>
        <w:overflowPunct/>
        <w:topLinePunct w:val="0"/>
        <w:autoSpaceDE w:val="0"/>
        <w:autoSpaceDN w:val="0"/>
        <w:bidi w:val="0"/>
        <w:snapToGrid/>
        <w:spacing w:line="360" w:lineRule="auto"/>
        <w:ind w:left="0" w:firstLine="482" w:firstLineChars="200"/>
        <w:jc w:val="both"/>
        <w:textAlignment w:val="auto"/>
        <w:rPr>
          <w:rFonts w:hint="eastAsia" w:ascii="宋体" w:hAnsi="宋体" w:eastAsia="宋体" w:cs="宋体"/>
          <w:b/>
          <w:bCs/>
          <w:sz w:val="24"/>
          <w:highlight w:val="none"/>
        </w:rPr>
      </w:pPr>
      <w:bookmarkStart w:id="104" w:name="bookmark94"/>
      <w:bookmarkEnd w:id="104"/>
      <w:r>
        <w:rPr>
          <w:rFonts w:hint="eastAsia" w:ascii="宋体" w:hAnsi="宋体" w:eastAsia="宋体" w:cs="宋体"/>
          <w:b/>
          <w:bCs/>
          <w:sz w:val="24"/>
          <w:highlight w:val="none"/>
        </w:rPr>
        <w:t>本项目评标办法采用技术标通过制的综合评估法。</w:t>
      </w:r>
    </w:p>
    <w:p w14:paraId="04CF7D1F">
      <w:pPr>
        <w:pStyle w:val="28"/>
        <w:keepNext w:val="0"/>
        <w:keepLines w:val="0"/>
        <w:pageBreakBefore w:val="0"/>
        <w:widowControl w:val="0"/>
        <w:kinsoku/>
        <w:wordWrap/>
        <w:overflowPunct/>
        <w:topLinePunct w:val="0"/>
        <w:bidi w:val="0"/>
        <w:snapToGrid w:val="0"/>
        <w:spacing w:line="360" w:lineRule="auto"/>
        <w:ind w:firstLine="482" w:firstLineChars="200"/>
        <w:jc w:val="both"/>
        <w:textAlignment w:val="auto"/>
        <w:rPr>
          <w:rFonts w:ascii="宋体" w:hAnsi="宋体"/>
          <w:b/>
        </w:rPr>
      </w:pPr>
      <w:r>
        <w:rPr>
          <w:rFonts w:hint="eastAsia" w:ascii="宋体" w:hAnsi="宋体"/>
          <w:b/>
        </w:rPr>
        <w:t>一、</w:t>
      </w:r>
      <w:r>
        <w:rPr>
          <w:rFonts w:ascii="宋体" w:hAnsi="宋体"/>
          <w:b/>
        </w:rPr>
        <w:t>评标程序</w:t>
      </w:r>
    </w:p>
    <w:p w14:paraId="4B88B459">
      <w:pPr>
        <w:pStyle w:val="35"/>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color w:val="auto"/>
          <w:kern w:val="0"/>
          <w:sz w:val="24"/>
          <w:szCs w:val="24"/>
        </w:rPr>
      </w:pPr>
      <w:r>
        <w:rPr>
          <w:rFonts w:hint="eastAsia" w:ascii="仿宋_GB2312" w:hAnsi="Calibri"/>
          <w:color w:val="auto"/>
          <w:kern w:val="0"/>
          <w:sz w:val="24"/>
          <w:szCs w:val="32"/>
        </w:rPr>
        <w:t>（一）</w:t>
      </w:r>
      <w:r>
        <w:rPr>
          <w:rFonts w:hint="eastAsia" w:ascii="仿宋_GB2312" w:hAnsi="Calibri"/>
          <w:color w:val="auto"/>
          <w:kern w:val="0"/>
          <w:sz w:val="24"/>
          <w:szCs w:val="32"/>
          <w:lang w:eastAsia="zh-CN"/>
        </w:rPr>
        <w:t>资信标</w:t>
      </w:r>
      <w:r>
        <w:rPr>
          <w:rFonts w:hint="eastAsia" w:ascii="宋体" w:hAnsi="宋体" w:cs="宋体"/>
          <w:sz w:val="24"/>
          <w:szCs w:val="24"/>
        </w:rPr>
        <w:t>评审</w:t>
      </w:r>
    </w:p>
    <w:p w14:paraId="1A50508E">
      <w:pPr>
        <w:pStyle w:val="35"/>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（二）</w:t>
      </w:r>
      <w:r>
        <w:rPr>
          <w:rFonts w:hint="eastAsia" w:ascii="宋体" w:hAnsi="宋体" w:cs="宋体"/>
          <w:sz w:val="24"/>
          <w:szCs w:val="24"/>
        </w:rPr>
        <w:t>商务标评审</w:t>
      </w:r>
    </w:p>
    <w:p w14:paraId="75CA1E6C">
      <w:pPr>
        <w:pStyle w:val="35"/>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（三）</w:t>
      </w:r>
      <w:r>
        <w:rPr>
          <w:rFonts w:hint="eastAsia" w:ascii="宋体" w:hAnsi="宋体" w:cs="宋体"/>
          <w:sz w:val="24"/>
          <w:szCs w:val="24"/>
        </w:rPr>
        <w:t>评标总得分的确定</w:t>
      </w:r>
    </w:p>
    <w:p w14:paraId="370C6349">
      <w:pPr>
        <w:pStyle w:val="35"/>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kern w:val="0"/>
          <w:sz w:val="24"/>
          <w:szCs w:val="24"/>
        </w:rPr>
        <w:t>（四）</w:t>
      </w:r>
      <w:r>
        <w:rPr>
          <w:rFonts w:hint="eastAsia" w:ascii="宋体" w:hAnsi="宋体" w:cs="宋体"/>
          <w:color w:val="auto"/>
          <w:sz w:val="24"/>
          <w:szCs w:val="24"/>
        </w:rPr>
        <w:t>技术标评审</w:t>
      </w:r>
    </w:p>
    <w:p w14:paraId="20AC2BF8">
      <w:pPr>
        <w:keepNext w:val="0"/>
        <w:keepLines w:val="0"/>
        <w:pageBreakBefore w:val="0"/>
        <w:widowControl w:val="0"/>
        <w:kinsoku/>
        <w:wordWrap/>
        <w:overflowPunct/>
        <w:topLinePunct w:val="0"/>
        <w:bidi w:val="0"/>
        <w:spacing w:line="360" w:lineRule="auto"/>
        <w:ind w:firstLine="480" w:firstLineChars="200"/>
        <w:jc w:val="both"/>
        <w:textAlignment w:val="auto"/>
        <w:rPr>
          <w:rFonts w:ascii="仿宋_GB2312"/>
          <w:color w:val="auto"/>
          <w:szCs w:val="32"/>
        </w:rPr>
      </w:pPr>
      <w:r>
        <w:rPr>
          <w:rFonts w:hint="eastAsia" w:ascii="宋体" w:hAnsi="宋体" w:cs="宋体"/>
          <w:color w:val="auto"/>
        </w:rPr>
        <w:t>（五）</w:t>
      </w:r>
      <w:r>
        <w:rPr>
          <w:rFonts w:hint="eastAsia" w:ascii="宋体" w:hAnsi="宋体" w:cs="宋体"/>
          <w:color w:val="auto"/>
          <w:kern w:val="2"/>
        </w:rPr>
        <w:t>资格审查并推荐中标候选人</w:t>
      </w:r>
    </w:p>
    <w:p w14:paraId="27EF721C">
      <w:pPr>
        <w:pStyle w:val="28"/>
        <w:keepNext w:val="0"/>
        <w:keepLines w:val="0"/>
        <w:pageBreakBefore w:val="0"/>
        <w:widowControl w:val="0"/>
        <w:kinsoku/>
        <w:wordWrap/>
        <w:overflowPunct/>
        <w:topLinePunct w:val="0"/>
        <w:bidi w:val="0"/>
        <w:spacing w:line="360" w:lineRule="auto"/>
        <w:ind w:left="480" w:leftChars="200"/>
        <w:jc w:val="both"/>
        <w:textAlignment w:val="auto"/>
        <w:rPr>
          <w:rFonts w:ascii="宋体" w:hAnsi="宋体"/>
          <w:b/>
          <w:color w:val="auto"/>
        </w:rPr>
      </w:pPr>
      <w:r>
        <w:rPr>
          <w:rFonts w:ascii="宋体" w:hAnsi="宋体"/>
          <w:b/>
          <w:color w:val="auto"/>
        </w:rPr>
        <w:t>二、</w:t>
      </w:r>
      <w:r>
        <w:rPr>
          <w:rFonts w:hint="eastAsia" w:ascii="宋体" w:hAnsi="宋体"/>
          <w:b/>
          <w:color w:val="auto"/>
        </w:rPr>
        <w:t>资信标</w:t>
      </w:r>
      <w:r>
        <w:rPr>
          <w:rFonts w:ascii="宋体" w:hAnsi="宋体"/>
          <w:b/>
          <w:color w:val="auto"/>
        </w:rPr>
        <w:t>评审（</w:t>
      </w:r>
      <w:r>
        <w:rPr>
          <w:rFonts w:hint="eastAsia" w:ascii="宋体" w:hAnsi="宋体"/>
          <w:b/>
          <w:color w:val="auto"/>
          <w:lang w:val="en-US" w:eastAsia="zh-CN"/>
        </w:rPr>
        <w:t>5</w:t>
      </w:r>
      <w:r>
        <w:rPr>
          <w:rFonts w:ascii="宋体" w:hAnsi="宋体"/>
          <w:b/>
          <w:color w:val="auto"/>
        </w:rPr>
        <w:t>分）</w:t>
      </w:r>
    </w:p>
    <w:p w14:paraId="32453B7C">
      <w:pPr>
        <w:pStyle w:val="28"/>
        <w:keepNext w:val="0"/>
        <w:keepLines w:val="0"/>
        <w:pageBreakBefore w:val="0"/>
        <w:widowControl w:val="0"/>
        <w:kinsoku/>
        <w:wordWrap/>
        <w:overflowPunct/>
        <w:topLinePunct w:val="0"/>
        <w:autoSpaceDE w:val="0"/>
        <w:autoSpaceDN w:val="0"/>
        <w:bidi w:val="0"/>
        <w:snapToGrid/>
        <w:spacing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评标委员会发现投标人投标文件资信标存在招标文件规定应当否决投标情形的，应先对投标人进行书面询问核对，情况属实的，否决其投标。</w:t>
      </w:r>
    </w:p>
    <w:p w14:paraId="6A5B422F">
      <w:pPr>
        <w:pStyle w:val="28"/>
        <w:keepNext w:val="0"/>
        <w:keepLines w:val="0"/>
        <w:pageBreakBefore w:val="0"/>
        <w:widowControl w:val="0"/>
        <w:numPr>
          <w:ilvl w:val="0"/>
          <w:numId w:val="64"/>
        </w:numPr>
        <w:kinsoku/>
        <w:wordWrap/>
        <w:overflowPunct/>
        <w:topLinePunct w:val="0"/>
        <w:autoSpaceDE w:val="0"/>
        <w:autoSpaceDN w:val="0"/>
        <w:bidi w:val="0"/>
        <w:snapToGrid/>
        <w:spacing w:line="360" w:lineRule="auto"/>
        <w:ind w:left="0" w:leftChars="0" w:firstLine="420" w:firstLineChars="0"/>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投标人的信用评价分（</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分）</w:t>
      </w:r>
    </w:p>
    <w:p w14:paraId="244415FE">
      <w:pPr>
        <w:keepNext w:val="0"/>
        <w:keepLines w:val="0"/>
        <w:pageBreakBefore w:val="0"/>
        <w:widowControl w:val="0"/>
        <w:kinsoku/>
        <w:wordWrap/>
        <w:overflowPunct/>
        <w:topLinePunct w:val="0"/>
        <w:autoSpaceDE w:val="0"/>
        <w:autoSpaceDN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根据《台州市住房和城乡建设局关于公布建筑工程和市政公用工程企业信用等级划分标准的通知（试行）》（台建〔2022〕228号），浙江省建筑市场监管公共服务系统中房屋建筑工程和市政公用工程施工总承包企业评价等级分为 A、B、C、D、E 五个等级，各等级分值的具体标准如下：</w:t>
      </w:r>
    </w:p>
    <w:p w14:paraId="21EED734">
      <w:pPr>
        <w:keepNext w:val="0"/>
        <w:keepLines w:val="0"/>
        <w:pageBreakBefore w:val="0"/>
        <w:widowControl w:val="0"/>
        <w:kinsoku/>
        <w:wordWrap/>
        <w:overflowPunct/>
        <w:topLinePunct w:val="0"/>
        <w:autoSpaceDE w:val="0"/>
        <w:autoSpaceDN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A级：110分以上（含110分）</w:t>
      </w:r>
    </w:p>
    <w:p w14:paraId="7C60DFA1">
      <w:pPr>
        <w:keepNext w:val="0"/>
        <w:keepLines w:val="0"/>
        <w:pageBreakBefore w:val="0"/>
        <w:widowControl w:val="0"/>
        <w:kinsoku/>
        <w:wordWrap/>
        <w:overflowPunct/>
        <w:topLinePunct w:val="0"/>
        <w:autoSpaceDE w:val="0"/>
        <w:autoSpaceDN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B级：105-110分（含105分）</w:t>
      </w:r>
    </w:p>
    <w:p w14:paraId="1BB9F4B8">
      <w:pPr>
        <w:keepNext w:val="0"/>
        <w:keepLines w:val="0"/>
        <w:pageBreakBefore w:val="0"/>
        <w:widowControl w:val="0"/>
        <w:kinsoku/>
        <w:wordWrap/>
        <w:overflowPunct/>
        <w:topLinePunct w:val="0"/>
        <w:autoSpaceDE w:val="0"/>
        <w:autoSpaceDN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C级：100-105分（含100分）</w:t>
      </w:r>
    </w:p>
    <w:p w14:paraId="6A9022FE">
      <w:pPr>
        <w:keepNext w:val="0"/>
        <w:keepLines w:val="0"/>
        <w:pageBreakBefore w:val="0"/>
        <w:widowControl w:val="0"/>
        <w:kinsoku/>
        <w:wordWrap/>
        <w:overflowPunct/>
        <w:topLinePunct w:val="0"/>
        <w:autoSpaceDE w:val="0"/>
        <w:autoSpaceDN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D级：90-100分（含90分）</w:t>
      </w:r>
    </w:p>
    <w:p w14:paraId="530640D4">
      <w:pPr>
        <w:keepNext w:val="0"/>
        <w:keepLines w:val="0"/>
        <w:pageBreakBefore w:val="0"/>
        <w:widowControl w:val="0"/>
        <w:kinsoku/>
        <w:wordWrap/>
        <w:overflowPunct/>
        <w:topLinePunct w:val="0"/>
        <w:autoSpaceDE w:val="0"/>
        <w:autoSpaceDN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E级：90分以下。</w:t>
      </w:r>
    </w:p>
    <w:p w14:paraId="6F228750">
      <w:pPr>
        <w:keepNext w:val="0"/>
        <w:keepLines w:val="0"/>
        <w:pageBreakBefore w:val="0"/>
        <w:widowControl w:val="0"/>
        <w:kinsoku/>
        <w:wordWrap/>
        <w:overflowPunct/>
        <w:topLinePunct w:val="0"/>
        <w:autoSpaceDE w:val="0"/>
        <w:autoSpaceDN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与招标项目相同专业类别的投标人信用等级</w:t>
      </w:r>
      <w:r>
        <w:rPr>
          <w:rFonts w:hint="eastAsia" w:ascii="宋体" w:hAnsi="宋体" w:cs="宋体"/>
          <w:color w:val="auto"/>
          <w:kern w:val="2"/>
          <w:sz w:val="24"/>
          <w:szCs w:val="24"/>
          <w:highlight w:val="none"/>
          <w:lang w:val="en-US" w:eastAsia="zh-CN"/>
        </w:rPr>
        <w:t>B级</w:t>
      </w:r>
      <w:r>
        <w:rPr>
          <w:rFonts w:hint="eastAsia" w:ascii="宋体" w:hAnsi="宋体" w:eastAsia="宋体" w:cs="宋体"/>
          <w:color w:val="auto"/>
          <w:kern w:val="2"/>
          <w:sz w:val="24"/>
          <w:szCs w:val="24"/>
          <w:highlight w:val="none"/>
        </w:rPr>
        <w:t>及以上的，得3分；</w:t>
      </w:r>
      <w:r>
        <w:rPr>
          <w:rFonts w:hint="eastAsia" w:ascii="宋体" w:hAnsi="宋体" w:cs="宋体"/>
          <w:color w:val="auto"/>
          <w:kern w:val="2"/>
          <w:sz w:val="24"/>
          <w:szCs w:val="24"/>
          <w:highlight w:val="none"/>
          <w:lang w:val="en-US" w:eastAsia="zh-CN"/>
        </w:rPr>
        <w:tab/>
      </w:r>
      <w:r>
        <w:rPr>
          <w:rFonts w:hint="eastAsia" w:ascii="宋体" w:hAnsi="宋体" w:cs="宋体"/>
          <w:color w:val="auto"/>
          <w:kern w:val="2"/>
          <w:sz w:val="24"/>
          <w:szCs w:val="24"/>
          <w:highlight w:val="none"/>
          <w:lang w:val="en-US" w:eastAsia="zh-CN"/>
        </w:rPr>
        <w:t>C</w:t>
      </w:r>
      <w:r>
        <w:rPr>
          <w:rFonts w:hint="eastAsia" w:ascii="宋体" w:hAnsi="宋体" w:eastAsia="宋体" w:cs="宋体"/>
          <w:color w:val="auto"/>
          <w:kern w:val="2"/>
          <w:sz w:val="24"/>
          <w:szCs w:val="24"/>
          <w:highlight w:val="none"/>
        </w:rPr>
        <w:t>的，得2.8分；</w:t>
      </w:r>
      <w:r>
        <w:rPr>
          <w:rFonts w:hint="eastAsia" w:ascii="宋体" w:hAnsi="宋体" w:cs="宋体"/>
          <w:color w:val="auto"/>
          <w:kern w:val="2"/>
          <w:sz w:val="24"/>
          <w:szCs w:val="24"/>
          <w:highlight w:val="none"/>
          <w:lang w:val="en-US" w:eastAsia="zh-CN"/>
        </w:rPr>
        <w:t>D</w:t>
      </w:r>
      <w:r>
        <w:rPr>
          <w:rFonts w:hint="eastAsia" w:ascii="宋体" w:hAnsi="宋体" w:eastAsia="宋体" w:cs="宋体"/>
          <w:color w:val="auto"/>
          <w:kern w:val="2"/>
          <w:sz w:val="24"/>
          <w:szCs w:val="24"/>
          <w:highlight w:val="none"/>
        </w:rPr>
        <w:t>的，得2.3分；</w:t>
      </w:r>
      <w:r>
        <w:rPr>
          <w:rFonts w:hint="eastAsia" w:ascii="宋体" w:hAnsi="宋体" w:cs="宋体"/>
          <w:color w:val="auto"/>
          <w:kern w:val="2"/>
          <w:sz w:val="24"/>
          <w:szCs w:val="24"/>
          <w:highlight w:val="none"/>
          <w:lang w:val="en-US" w:eastAsia="zh-CN"/>
        </w:rPr>
        <w:t>E的，得1.8分，</w:t>
      </w:r>
      <w:r>
        <w:rPr>
          <w:rFonts w:hint="eastAsia" w:ascii="宋体" w:hAnsi="宋体" w:eastAsia="宋体" w:cs="宋体"/>
          <w:color w:val="auto"/>
          <w:kern w:val="2"/>
          <w:sz w:val="24"/>
          <w:szCs w:val="24"/>
          <w:highlight w:val="none"/>
        </w:rPr>
        <w:t>未取得与招标项目相同专业类别信用等级的投标人，其信用评价分为1.</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分。</w:t>
      </w:r>
    </w:p>
    <w:p w14:paraId="0AFBECE8">
      <w:pPr>
        <w:keepNext w:val="0"/>
        <w:keepLines w:val="0"/>
        <w:pageBreakBefore w:val="0"/>
        <w:widowControl w:val="0"/>
        <w:kinsoku/>
        <w:wordWrap/>
        <w:overflowPunct/>
        <w:topLinePunct w:val="0"/>
        <w:autoSpaceDE w:val="0"/>
        <w:autoSpaceDN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投标人的信用等级情况根据本工程投标截止日前两个月，经台州市建筑业信息管理网网站</w:t>
      </w:r>
      <w:r>
        <w:rPr>
          <w:rFonts w:hint="eastAsia" w:ascii="宋体" w:hAnsi="宋体" w:eastAsia="宋体" w:cs="宋体"/>
          <w:color w:val="auto"/>
          <w:kern w:val="2"/>
          <w:sz w:val="24"/>
          <w:szCs w:val="24"/>
          <w:highlight w:val="none"/>
          <w:lang w:val="en-US" w:eastAsia="zh-CN"/>
        </w:rPr>
        <w:t>省信用评价公示公布</w:t>
      </w:r>
      <w:r>
        <w:rPr>
          <w:rFonts w:hint="eastAsia" w:ascii="宋体" w:hAnsi="宋体" w:eastAsia="宋体" w:cs="宋体"/>
          <w:color w:val="auto"/>
          <w:kern w:val="2"/>
          <w:sz w:val="24"/>
          <w:szCs w:val="24"/>
          <w:highlight w:val="none"/>
        </w:rPr>
        <w:t>发布的评审结果为准（例：投标截止日为7月X日采用台州市建筑业信息管理网网站发布的5月份信用等级）。</w:t>
      </w:r>
    </w:p>
    <w:p w14:paraId="09DCB596">
      <w:pPr>
        <w:pStyle w:val="28"/>
        <w:keepNext w:val="0"/>
        <w:keepLines w:val="0"/>
        <w:pageBreakBefore w:val="0"/>
        <w:widowControl w:val="0"/>
        <w:numPr>
          <w:ilvl w:val="0"/>
          <w:numId w:val="64"/>
        </w:numPr>
        <w:kinsoku/>
        <w:wordWrap/>
        <w:overflowPunct/>
        <w:topLinePunct w:val="0"/>
        <w:autoSpaceDE w:val="0"/>
        <w:autoSpaceDN w:val="0"/>
        <w:bidi w:val="0"/>
        <w:snapToGrid/>
        <w:spacing w:line="360" w:lineRule="auto"/>
        <w:ind w:left="0" w:leftChars="0" w:firstLine="420" w:firstLineChars="0"/>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项目负责人</w:t>
      </w:r>
      <w:r>
        <w:rPr>
          <w:rFonts w:hint="eastAsia" w:ascii="宋体" w:hAnsi="宋体" w:eastAsia="宋体" w:cs="宋体"/>
          <w:b/>
          <w:bCs/>
          <w:color w:val="auto"/>
          <w:highlight w:val="none"/>
        </w:rPr>
        <w:t>的信用评价分（</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分）</w:t>
      </w:r>
    </w:p>
    <w:p w14:paraId="7BA3DDEE">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723" w:firstLineChars="300"/>
        <w:jc w:val="both"/>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此项所有项目负责人均得满分。</w:t>
      </w:r>
    </w:p>
    <w:p w14:paraId="144411B9">
      <w:pPr>
        <w:pStyle w:val="28"/>
        <w:keepNext w:val="0"/>
        <w:keepLines w:val="0"/>
        <w:pageBreakBefore w:val="0"/>
        <w:widowControl w:val="0"/>
        <w:numPr>
          <w:ilvl w:val="0"/>
          <w:numId w:val="64"/>
        </w:numPr>
        <w:kinsoku/>
        <w:wordWrap/>
        <w:overflowPunct/>
        <w:topLinePunct w:val="0"/>
        <w:autoSpaceDE w:val="0"/>
        <w:autoSpaceDN w:val="0"/>
        <w:bidi w:val="0"/>
        <w:snapToGrid/>
        <w:spacing w:line="360" w:lineRule="auto"/>
        <w:ind w:left="0" w:leftChars="0" w:firstLine="420" w:firstLineChars="0"/>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资信标得分＝投标人的信用评价分</w:t>
      </w:r>
      <w:r>
        <w:rPr>
          <w:rFonts w:hint="eastAsia" w:ascii="宋体" w:hAnsi="宋体" w:eastAsia="宋体" w:cs="宋体"/>
          <w:b/>
          <w:bCs/>
          <w:color w:val="auto"/>
          <w:highlight w:val="none"/>
          <w:lang w:val="en-US" w:eastAsia="zh-CN"/>
        </w:rPr>
        <w:t>+项目负责人的信用评价分</w:t>
      </w:r>
      <w:r>
        <w:rPr>
          <w:rFonts w:hint="eastAsia" w:ascii="宋体" w:hAnsi="宋体" w:eastAsia="宋体" w:cs="宋体"/>
          <w:b/>
          <w:bCs/>
          <w:color w:val="auto"/>
          <w:highlight w:val="none"/>
          <w:lang w:eastAsia="zh-CN"/>
        </w:rPr>
        <w:t>。</w:t>
      </w:r>
    </w:p>
    <w:p w14:paraId="1FEFB8B6">
      <w:pPr>
        <w:keepNext w:val="0"/>
        <w:keepLines w:val="0"/>
        <w:pageBreakBefore w:val="0"/>
        <w:widowControl w:val="0"/>
        <w:kinsoku/>
        <w:wordWrap/>
        <w:overflowPunct/>
        <w:topLinePunct w:val="0"/>
        <w:bidi w:val="0"/>
        <w:snapToGrid w:val="0"/>
        <w:spacing w:line="360" w:lineRule="auto"/>
        <w:ind w:firstLine="482" w:firstLineChars="200"/>
        <w:jc w:val="both"/>
        <w:textAlignment w:val="auto"/>
        <w:rPr>
          <w:rFonts w:hint="eastAsia" w:ascii="宋体" w:hAnsi="宋体" w:cs="宋体"/>
          <w:b/>
          <w:bCs/>
          <w:color w:val="auto"/>
          <w:kern w:val="2"/>
        </w:rPr>
      </w:pPr>
      <w:r>
        <w:rPr>
          <w:rFonts w:hint="eastAsia" w:ascii="宋体" w:hAnsi="宋体" w:cs="宋体"/>
          <w:b/>
          <w:bCs/>
          <w:color w:val="auto"/>
          <w:kern w:val="2"/>
        </w:rPr>
        <w:t>三、商务标评审（</w:t>
      </w:r>
      <w:r>
        <w:rPr>
          <w:rFonts w:hint="eastAsia" w:ascii="宋体" w:hAnsi="宋体" w:cs="宋体"/>
          <w:b/>
          <w:bCs/>
          <w:color w:val="auto"/>
          <w:kern w:val="2"/>
          <w:lang w:val="en-US" w:eastAsia="zh-CN"/>
        </w:rPr>
        <w:t>95</w:t>
      </w:r>
      <w:r>
        <w:rPr>
          <w:rFonts w:hint="eastAsia" w:ascii="宋体" w:hAnsi="宋体" w:cs="宋体"/>
          <w:b/>
          <w:bCs/>
          <w:color w:val="auto"/>
          <w:kern w:val="2"/>
        </w:rPr>
        <w:t>分）</w:t>
      </w:r>
    </w:p>
    <w:p w14:paraId="6C166077">
      <w:pPr>
        <w:pStyle w:val="28"/>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int="eastAsia" w:ascii="宋体" w:hAnsi="宋体"/>
        </w:rPr>
      </w:pPr>
      <w:r>
        <w:rPr>
          <w:rFonts w:hint="eastAsia" w:ascii="宋体" w:hAnsi="宋体"/>
        </w:rPr>
        <w:t>评标委员会发现投标人投标文件商务标存在招标文件规定应当否决投标情形的，应先对投标人进行书面询问核对，情况属实的，否决其投标。</w:t>
      </w:r>
    </w:p>
    <w:p w14:paraId="14F3C079">
      <w:pPr>
        <w:pStyle w:val="28"/>
        <w:keepNext w:val="0"/>
        <w:keepLines w:val="0"/>
        <w:pageBreakBefore w:val="0"/>
        <w:widowControl w:val="0"/>
        <w:kinsoku/>
        <w:wordWrap/>
        <w:overflowPunct/>
        <w:topLinePunct w:val="0"/>
        <w:autoSpaceDE w:val="0"/>
        <w:autoSpaceDN w:val="0"/>
        <w:bidi w:val="0"/>
        <w:snapToGrid/>
        <w:spacing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评标委员会对确定为实质上响应招标文件要求的投标文件进行复核, 看其是否有计算上、累计上或表达上的错误。修正错误的顺序和原则如下：</w:t>
      </w:r>
    </w:p>
    <w:p w14:paraId="7F7249B4">
      <w:pPr>
        <w:pStyle w:val="28"/>
        <w:keepNext w:val="0"/>
        <w:keepLines w:val="0"/>
        <w:pageBreakBefore w:val="0"/>
        <w:widowControl w:val="0"/>
        <w:numPr>
          <w:ilvl w:val="0"/>
          <w:numId w:val="65"/>
        </w:numPr>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14:paraId="5D859A33">
      <w:pPr>
        <w:pStyle w:val="28"/>
        <w:keepNext w:val="0"/>
        <w:keepLines w:val="0"/>
        <w:pageBreakBefore w:val="0"/>
        <w:widowControl w:val="0"/>
        <w:numPr>
          <w:ilvl w:val="0"/>
          <w:numId w:val="65"/>
        </w:numPr>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在总报价不变的前提下，评标委员会以合理原则，通过调整组价的相应内容使其一致。</w:t>
      </w:r>
    </w:p>
    <w:p w14:paraId="0DFFC25A">
      <w:pPr>
        <w:pStyle w:val="28"/>
        <w:keepNext w:val="0"/>
        <w:keepLines w:val="0"/>
        <w:pageBreakBefore w:val="0"/>
        <w:widowControl w:val="0"/>
        <w:kinsoku/>
        <w:wordWrap/>
        <w:overflowPunct/>
        <w:topLinePunct w:val="0"/>
        <w:autoSpaceDE w:val="0"/>
        <w:autoSpaceDN w:val="0"/>
        <w:bidi w:val="0"/>
        <w:snapToGrid/>
        <w:spacing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14:paraId="5EE7CCCF">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int="eastAsia" w:ascii="宋体" w:hAnsi="宋体" w:cs="宋体"/>
          <w:color w:val="000000"/>
          <w:kern w:val="2"/>
        </w:rPr>
      </w:pPr>
      <w:r>
        <w:rPr>
          <w:rFonts w:hint="eastAsia" w:ascii="宋体" w:hAnsi="宋体" w:cs="宋体"/>
          <w:color w:val="000000"/>
          <w:kern w:val="2"/>
        </w:rPr>
        <w:t>（一）评标标底价</w:t>
      </w:r>
    </w:p>
    <w:p w14:paraId="1E8BD649">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int="eastAsia" w:ascii="宋体" w:hAnsi="宋体" w:cs="宋体"/>
          <w:color w:val="000000"/>
          <w:kern w:val="2"/>
        </w:rPr>
      </w:pPr>
      <w:r>
        <w:rPr>
          <w:rFonts w:hint="eastAsia" w:ascii="宋体" w:hAnsi="宋体" w:cs="宋体"/>
          <w:color w:val="000000"/>
          <w:kern w:val="2"/>
        </w:rPr>
        <w:t>最高投标限价乘以调整系数作为评标标底价，即评标标底价＝最高投标限价×调整系数。（以元为单位，保留整数，小数点后第1位四舍五入）</w:t>
      </w:r>
    </w:p>
    <w:p w14:paraId="7BFB6066">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int="eastAsia" w:ascii="宋体" w:hAnsi="宋体" w:cs="宋体"/>
          <w:color w:val="000000"/>
          <w:kern w:val="2"/>
        </w:rPr>
      </w:pPr>
      <w:r>
        <w:rPr>
          <w:rFonts w:hint="eastAsia" w:ascii="宋体" w:hAnsi="宋体" w:cs="宋体"/>
          <w:color w:val="000000"/>
          <w:kern w:val="2"/>
        </w:rPr>
        <w:t xml:space="preserve">调整系数＝（100–D）%，D值在0.00～0.99范围内随机抽取产生。先从0～9中抽取十分位数字X，再从0～9中抽取百分位数字Y，则抽取的D值即为0.XY。 </w:t>
      </w:r>
    </w:p>
    <w:p w14:paraId="0D715B62">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int="eastAsia" w:ascii="宋体" w:hAnsi="宋体" w:cs="宋体"/>
          <w:color w:val="000000"/>
          <w:kern w:val="2"/>
        </w:rPr>
      </w:pPr>
      <w:r>
        <w:rPr>
          <w:rFonts w:hint="eastAsia" w:ascii="宋体" w:hAnsi="宋体" w:cs="宋体"/>
          <w:color w:val="000000"/>
          <w:kern w:val="2"/>
        </w:rPr>
        <w:t>（二）商务标得分</w:t>
      </w:r>
    </w:p>
    <w:p w14:paraId="7D9743E6">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int="eastAsia"/>
        </w:rPr>
      </w:pPr>
      <w:r>
        <w:rPr>
          <w:rFonts w:hint="eastAsia" w:ascii="宋体" w:hAnsi="宋体" w:cs="宋体"/>
          <w:color w:val="000000"/>
          <w:kern w:val="2"/>
        </w:rPr>
        <w:t>投标人的投标报价等于评标标底价的得</w:t>
      </w:r>
      <w:r>
        <w:rPr>
          <w:rFonts w:hint="eastAsia" w:ascii="宋体" w:hAnsi="宋体" w:cs="宋体"/>
          <w:color w:val="000000"/>
          <w:kern w:val="2"/>
          <w:lang w:val="en-US" w:eastAsia="zh-CN"/>
        </w:rPr>
        <w:t>95</w:t>
      </w:r>
      <w:r>
        <w:rPr>
          <w:rFonts w:hint="eastAsia" w:ascii="宋体" w:hAnsi="宋体" w:cs="宋体"/>
          <w:color w:val="000000"/>
          <w:kern w:val="2"/>
        </w:rPr>
        <w:t>分。偏离评标标底价的，每高于或每低于评标标底价1个百分点的均扣2分，即商务标得分=</w:t>
      </w:r>
      <w:r>
        <w:rPr>
          <w:rFonts w:hint="eastAsia" w:ascii="宋体" w:hAnsi="宋体" w:cs="宋体"/>
          <w:color w:val="000000"/>
          <w:kern w:val="2"/>
          <w:lang w:val="en-US" w:eastAsia="zh-CN"/>
        </w:rPr>
        <w:t>95</w:t>
      </w:r>
      <w:r>
        <w:rPr>
          <w:rFonts w:hint="eastAsia" w:ascii="宋体" w:hAnsi="宋体" w:cs="宋体"/>
          <w:color w:val="000000"/>
          <w:kern w:val="2"/>
        </w:rPr>
        <w:t>-|(投标报价-评标标底价)|/评标标底价×100×2（小数点后保留2位，小数点后第3位四舍五入）。</w:t>
      </w:r>
    </w:p>
    <w:p w14:paraId="6947BBF0">
      <w:pPr>
        <w:keepNext w:val="0"/>
        <w:keepLines w:val="0"/>
        <w:pageBreakBefore w:val="0"/>
        <w:widowControl w:val="0"/>
        <w:kinsoku/>
        <w:wordWrap/>
        <w:overflowPunct/>
        <w:topLinePunct w:val="0"/>
        <w:bidi w:val="0"/>
        <w:snapToGrid w:val="0"/>
        <w:spacing w:line="360" w:lineRule="auto"/>
        <w:ind w:firstLine="482" w:firstLineChars="200"/>
        <w:jc w:val="both"/>
        <w:textAlignment w:val="auto"/>
        <w:rPr>
          <w:rFonts w:hint="eastAsia" w:ascii="宋体" w:hAnsi="宋体" w:cs="宋体"/>
          <w:b/>
          <w:bCs/>
          <w:color w:val="000000"/>
          <w:kern w:val="2"/>
        </w:rPr>
      </w:pPr>
      <w:r>
        <w:rPr>
          <w:rFonts w:hint="eastAsia" w:ascii="宋体" w:hAnsi="宋体" w:cs="宋体"/>
          <w:b/>
          <w:bCs/>
          <w:color w:val="000000"/>
          <w:kern w:val="2"/>
        </w:rPr>
        <w:t>四、评标总得分的确定</w:t>
      </w:r>
    </w:p>
    <w:p w14:paraId="6CA832F9">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int="eastAsia" w:ascii="宋体" w:hAnsi="宋体" w:cs="宋体"/>
          <w:color w:val="000000"/>
          <w:kern w:val="2"/>
        </w:rPr>
      </w:pPr>
      <w:r>
        <w:rPr>
          <w:rFonts w:hint="eastAsia" w:ascii="宋体" w:hAnsi="宋体" w:cs="宋体"/>
          <w:color w:val="000000"/>
          <w:kern w:val="2"/>
        </w:rPr>
        <w:t>投标人的评标总得分＝资信标得分＋商务标得分。</w:t>
      </w:r>
    </w:p>
    <w:p w14:paraId="29BEBEC6">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int="eastAsia" w:ascii="宋体" w:hAnsi="宋体" w:cs="宋体"/>
          <w:color w:val="000000"/>
          <w:kern w:val="2"/>
        </w:rPr>
      </w:pPr>
      <w:r>
        <w:rPr>
          <w:rFonts w:hint="eastAsia" w:ascii="宋体" w:hAnsi="宋体"/>
        </w:rPr>
        <w:t>评标委员会按投标人</w:t>
      </w:r>
      <w:r>
        <w:rPr>
          <w:rFonts w:hint="eastAsia" w:ascii="宋体" w:hAnsi="宋体" w:cs="宋体"/>
          <w:color w:val="000000"/>
          <w:kern w:val="2"/>
        </w:rPr>
        <w:t>的评标总得分</w:t>
      </w:r>
      <w:r>
        <w:rPr>
          <w:rFonts w:hint="eastAsia" w:ascii="宋体" w:hAnsi="宋体"/>
        </w:rPr>
        <w:t>从高到低进行排名，</w:t>
      </w:r>
      <w:r>
        <w:rPr>
          <w:rFonts w:hint="eastAsia" w:ascii="宋体" w:hAnsi="宋体" w:cs="宋体"/>
          <w:color w:val="000000"/>
          <w:kern w:val="2"/>
        </w:rPr>
        <w:t>评标总得分</w:t>
      </w:r>
      <w:r>
        <w:rPr>
          <w:rFonts w:hint="eastAsia" w:ascii="宋体" w:hAnsi="宋体"/>
        </w:rPr>
        <w:t>相同的，</w:t>
      </w:r>
      <w:r>
        <w:rPr>
          <w:rFonts w:hint="eastAsia" w:ascii="宋体" w:hAnsi="宋体" w:cs="宋体"/>
          <w:color w:val="000000"/>
          <w:kern w:val="2"/>
        </w:rPr>
        <w:t>按以下优先顺序确定排名：（一）资信标得分高者，（二）投标报价低者，（三）抽签确定。</w:t>
      </w:r>
    </w:p>
    <w:p w14:paraId="2B2D5CE2">
      <w:pPr>
        <w:pStyle w:val="28"/>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int="eastAsia" w:ascii="宋体" w:hAnsi="宋体"/>
        </w:rPr>
      </w:pPr>
      <w:r>
        <w:rPr>
          <w:rFonts w:hint="eastAsia" w:ascii="宋体" w:hAnsi="宋体"/>
        </w:rPr>
        <w:t>此时所有经评审的有效投标文件（S家）≤30时，所有经评审的有效投标人的投标文件均予以通过；如此时S＞30时，</w:t>
      </w:r>
      <w:r>
        <w:rPr>
          <w:rFonts w:hint="eastAsia" w:ascii="宋体" w:hAnsi="宋体" w:cs="宋体"/>
          <w:color w:val="000000"/>
          <w:kern w:val="2"/>
        </w:rPr>
        <w:t>评标总得分</w:t>
      </w:r>
      <w:r>
        <w:rPr>
          <w:rFonts w:hint="eastAsia" w:ascii="宋体" w:hAnsi="宋体"/>
        </w:rPr>
        <w:t>排名靠前的30家投标文件予以通过，进入技术标评审阶段。其余投标人投标文件不予通过，不再进入技术标评审阶段，其投标文件作无效标处理。</w:t>
      </w:r>
    </w:p>
    <w:p w14:paraId="01CBF204">
      <w:pPr>
        <w:keepNext w:val="0"/>
        <w:keepLines w:val="0"/>
        <w:pageBreakBefore w:val="0"/>
        <w:widowControl w:val="0"/>
        <w:kinsoku/>
        <w:wordWrap/>
        <w:overflowPunct/>
        <w:topLinePunct w:val="0"/>
        <w:bidi w:val="0"/>
        <w:snapToGrid w:val="0"/>
        <w:spacing w:line="360" w:lineRule="auto"/>
        <w:ind w:firstLine="482" w:firstLineChars="200"/>
        <w:jc w:val="both"/>
        <w:textAlignment w:val="auto"/>
        <w:rPr>
          <w:rFonts w:hint="eastAsia" w:ascii="宋体" w:hAnsi="宋体" w:cs="宋体"/>
          <w:b/>
          <w:bCs/>
          <w:color w:val="000000"/>
          <w:kern w:val="2"/>
        </w:rPr>
      </w:pPr>
      <w:r>
        <w:rPr>
          <w:rFonts w:hint="eastAsia" w:ascii="宋体" w:hAnsi="宋体" w:cs="宋体"/>
          <w:b/>
          <w:bCs/>
          <w:color w:val="000000"/>
          <w:kern w:val="2"/>
        </w:rPr>
        <w:t>五、技术标评审</w:t>
      </w:r>
    </w:p>
    <w:p w14:paraId="33611B6B">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color w:val="auto"/>
        </w:rPr>
      </w:pPr>
      <w:r>
        <w:rPr>
          <w:rFonts w:hint="eastAsia"/>
          <w:color w:val="auto"/>
        </w:rPr>
        <w:t>技术文件的编写内容为：针对本工程的特点、难点分析和解决措施，以及重要部位的施工方案及安全保证措施，必须包含《危大工程清单及安全管理措施表》（投标文件格式十）。</w:t>
      </w:r>
    </w:p>
    <w:p w14:paraId="5F26622A">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rPr>
      </w:pPr>
      <w:r>
        <w:rPr>
          <w:rFonts w:hint="eastAsia"/>
        </w:rPr>
        <w:t>评标委员会发现投标人投标文件技术标存在招标文件规定应当否决投标情形的，应先对投标人进行书面询问核对，情况属实的，否决其投标，不再进入下一阶段评审。</w:t>
      </w:r>
    </w:p>
    <w:p w14:paraId="19DC6667">
      <w:pPr>
        <w:keepNext w:val="0"/>
        <w:keepLines w:val="0"/>
        <w:pageBreakBefore w:val="0"/>
        <w:widowControl w:val="0"/>
        <w:kinsoku/>
        <w:wordWrap/>
        <w:overflowPunct/>
        <w:topLinePunct w:val="0"/>
        <w:bidi w:val="0"/>
        <w:snapToGrid w:val="0"/>
        <w:spacing w:line="360" w:lineRule="auto"/>
        <w:ind w:firstLine="482" w:firstLineChars="200"/>
        <w:jc w:val="both"/>
        <w:textAlignment w:val="auto"/>
        <w:rPr>
          <w:rFonts w:hint="eastAsia" w:ascii="宋体" w:hAnsi="宋体" w:cs="宋体"/>
          <w:color w:val="000000"/>
          <w:kern w:val="2"/>
        </w:rPr>
      </w:pPr>
      <w:r>
        <w:rPr>
          <w:rFonts w:hint="eastAsia" w:ascii="宋体" w:hAnsi="宋体" w:cs="宋体"/>
          <w:b/>
          <w:bCs/>
          <w:color w:val="000000"/>
          <w:kern w:val="2"/>
        </w:rPr>
        <w:t>六、</w:t>
      </w:r>
      <w:r>
        <w:rPr>
          <w:rFonts w:hint="eastAsia" w:ascii="宋体" w:hAnsi="宋体"/>
          <w:b/>
          <w:bCs/>
        </w:rPr>
        <w:t>资格审查并</w:t>
      </w:r>
      <w:r>
        <w:rPr>
          <w:rFonts w:hint="eastAsia" w:ascii="宋体" w:hAnsi="宋体" w:cs="宋体"/>
          <w:b/>
          <w:bCs/>
          <w:color w:val="000000"/>
          <w:kern w:val="2"/>
        </w:rPr>
        <w:t>推荐中标候选人</w:t>
      </w:r>
    </w:p>
    <w:p w14:paraId="0BDB6FFA">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rPr>
      </w:pPr>
      <w:r>
        <w:rPr>
          <w:rFonts w:hint="eastAsia"/>
        </w:rPr>
        <w:t>评标委员会按排名顺序</w:t>
      </w:r>
      <w:r>
        <w:rPr>
          <w:rFonts w:hint="eastAsia"/>
          <w:color w:val="000000"/>
        </w:rPr>
        <w:t>依次对拟推荐为中标候选人（中标候选人的人数见投标人须知前附表）的投标人和其拟派的项目负责人</w:t>
      </w:r>
      <w:r>
        <w:rPr>
          <w:rFonts w:hint="eastAsia"/>
        </w:rPr>
        <w:t>的资格和其他要求进行评审。评标委员会发现投标人存在招标文件规定应当否决投标情形的，应先对投标人进行书面询问核对，情况属实的，否决其投标。空缺的名额由之后排名靠前的投标人进行替补，然后再对其资格进行评审，如再不符合要求，再替补，以此类推。</w:t>
      </w:r>
    </w:p>
    <w:p w14:paraId="4E2043E2">
      <w:pPr>
        <w:keepNext w:val="0"/>
        <w:keepLines w:val="0"/>
        <w:pageBreakBefore w:val="0"/>
        <w:widowControl w:val="0"/>
        <w:kinsoku/>
        <w:wordWrap/>
        <w:overflowPunct/>
        <w:topLinePunct w:val="0"/>
        <w:bidi w:val="0"/>
        <w:spacing w:line="360" w:lineRule="auto"/>
        <w:textAlignment w:val="auto"/>
        <w:rPr>
          <w:rFonts w:hint="eastAsia" w:ascii="宋体" w:hAnsi="宋体" w:cs="宋体"/>
          <w:color w:val="000000"/>
          <w:kern w:val="2"/>
        </w:rPr>
      </w:pPr>
      <w:r>
        <w:rPr>
          <w:rFonts w:hint="eastAsia"/>
          <w:color w:val="000000"/>
        </w:rPr>
        <w:t>当有效投标人＜3个时，评标委员会应判定本次投标是否具有竞争力，若评标委员会认为本次投标明显缺乏竞争的，可以否决全部投标</w:t>
      </w:r>
      <w:r>
        <w:rPr>
          <w:rFonts w:hint="eastAsia" w:ascii="宋体" w:hAnsi="宋体" w:cs="宋体"/>
          <w:color w:val="000000"/>
          <w:kern w:val="2"/>
        </w:rPr>
        <w:t>。</w:t>
      </w:r>
      <w:r>
        <w:rPr>
          <w:rFonts w:hint="eastAsia" w:ascii="宋体" w:hAnsi="宋体" w:cs="宋体"/>
          <w:color w:val="000000"/>
          <w:kern w:val="2"/>
        </w:rPr>
        <w:br w:type="page"/>
      </w:r>
    </w:p>
    <w:p w14:paraId="09C4572A">
      <w:pPr>
        <w:pStyle w:val="2"/>
        <w:keepNext/>
        <w:keepLines/>
        <w:pageBreakBefore w:val="0"/>
        <w:numPr>
          <w:ilvl w:val="0"/>
          <w:numId w:val="4"/>
        </w:numPr>
        <w:overflowPunct/>
        <w:topLinePunct w:val="0"/>
        <w:bidi w:val="0"/>
        <w:snapToGrid/>
        <w:ind w:left="0" w:leftChars="0" w:firstLine="402" w:firstLineChars="0"/>
        <w:textAlignment w:val="auto"/>
        <w:outlineLvl w:val="0"/>
        <w:rPr>
          <w:rFonts w:hint="eastAsia"/>
          <w:highlight w:val="none"/>
        </w:rPr>
      </w:pPr>
      <w:bookmarkStart w:id="105" w:name="_Toc45697243"/>
      <w:bookmarkStart w:id="106" w:name="_Toc9131"/>
      <w:bookmarkStart w:id="107" w:name="_Toc25289"/>
      <w:bookmarkStart w:id="108" w:name="_Toc22828079"/>
      <w:r>
        <w:rPr>
          <w:rFonts w:hint="eastAsia"/>
          <w:highlight w:val="none"/>
        </w:rPr>
        <w:t>合同条款及格式</w:t>
      </w:r>
      <w:bookmarkEnd w:id="105"/>
      <w:bookmarkEnd w:id="106"/>
      <w:bookmarkEnd w:id="107"/>
      <w:bookmarkEnd w:id="108"/>
    </w:p>
    <w:p w14:paraId="0A74E550">
      <w:pPr>
        <w:pStyle w:val="8"/>
        <w:kinsoku w:val="0"/>
        <w:ind w:left="0"/>
        <w:rPr>
          <w:rFonts w:ascii="Microsoft JhengHei" w:eastAsia="等线" w:cs="Microsoft JhengHei"/>
          <w:b/>
          <w:bCs/>
          <w:sz w:val="20"/>
          <w:szCs w:val="20"/>
          <w:highlight w:val="none"/>
        </w:rPr>
      </w:pPr>
      <w:bookmarkStart w:id="109" w:name="bookmark180"/>
      <w:bookmarkEnd w:id="109"/>
    </w:p>
    <w:p w14:paraId="2A08718E">
      <w:pPr>
        <w:spacing w:line="440" w:lineRule="exact"/>
        <w:jc w:val="both"/>
        <w:rPr>
          <w:rFonts w:ascii="宋体" w:hAnsi="宋体" w:cs="宋体"/>
          <w:highlight w:val="none"/>
        </w:rPr>
      </w:pPr>
      <w:r>
        <w:rPr>
          <w:rFonts w:hint="eastAsia" w:ascii="宋体" w:hAnsi="宋体" w:cs="宋体"/>
          <w:highlight w:val="none"/>
        </w:rPr>
        <w:t>合同文本采用《建设工程施工合同（示范文本）》（GF-2017-0201）。</w:t>
      </w:r>
    </w:p>
    <w:p w14:paraId="1CB3BDE5">
      <w:pPr>
        <w:spacing w:line="440" w:lineRule="exact"/>
        <w:jc w:val="both"/>
        <w:rPr>
          <w:rFonts w:ascii="宋体" w:hAnsi="宋体" w:cs="宋体"/>
          <w:highlight w:val="none"/>
        </w:rPr>
      </w:pPr>
      <w:r>
        <w:rPr>
          <w:rFonts w:hint="eastAsia" w:ascii="宋体" w:hAnsi="宋体" w:cs="宋体"/>
          <w:highlight w:val="none"/>
        </w:rPr>
        <w:t>合同通用条款采用《建设工程施工合同（示范文本）》的通用条款（GF-2017-0201）。</w:t>
      </w:r>
    </w:p>
    <w:p w14:paraId="65CCE673">
      <w:pPr>
        <w:spacing w:line="440" w:lineRule="exact"/>
        <w:jc w:val="both"/>
        <w:rPr>
          <w:rFonts w:ascii="宋体" w:hAnsi="宋体" w:cs="宋体"/>
          <w:highlight w:val="none"/>
        </w:rPr>
      </w:pPr>
      <w:bookmarkStart w:id="110" w:name="_Toc151471690"/>
      <w:bookmarkStart w:id="111" w:name="_Toc149922241"/>
      <w:r>
        <w:rPr>
          <w:rFonts w:hint="eastAsia" w:ascii="宋体" w:hAnsi="宋体" w:cs="宋体"/>
          <w:highlight w:val="none"/>
        </w:rPr>
        <w:t>合同专用条款中的主要条款将由招标人(发包人)与中标人(承包人)根据投标文件签订。</w:t>
      </w:r>
      <w:bookmarkEnd w:id="110"/>
      <w:bookmarkEnd w:id="111"/>
      <w:bookmarkStart w:id="112" w:name="bookmark181"/>
      <w:bookmarkEnd w:id="112"/>
    </w:p>
    <w:p w14:paraId="70326194">
      <w:pPr>
        <w:rPr>
          <w:sz w:val="32"/>
          <w:szCs w:val="32"/>
          <w:highlight w:val="none"/>
        </w:rPr>
      </w:pPr>
      <w:bookmarkStart w:id="113" w:name="_Toc394573945"/>
      <w:bookmarkStart w:id="114" w:name="_Toc4203"/>
      <w:bookmarkStart w:id="115" w:name="_Toc45697245"/>
      <w:r>
        <w:rPr>
          <w:sz w:val="32"/>
          <w:szCs w:val="32"/>
          <w:highlight w:val="none"/>
        </w:rPr>
        <w:br w:type="page"/>
      </w:r>
    </w:p>
    <w:p w14:paraId="4D93DA85">
      <w:pPr>
        <w:pStyle w:val="27"/>
        <w:jc w:val="center"/>
        <w:rPr>
          <w:sz w:val="32"/>
          <w:szCs w:val="32"/>
          <w:highlight w:val="none"/>
        </w:rPr>
      </w:pPr>
      <w:bookmarkStart w:id="116" w:name="_Toc5019"/>
      <w:r>
        <w:rPr>
          <w:sz w:val="32"/>
          <w:szCs w:val="32"/>
          <w:highlight w:val="none"/>
        </w:rPr>
        <w:t>第一部分</w:t>
      </w:r>
      <w:r>
        <w:rPr>
          <w:rFonts w:hint="eastAsia"/>
          <w:sz w:val="32"/>
          <w:szCs w:val="32"/>
          <w:highlight w:val="none"/>
          <w:lang w:val="en-US" w:eastAsia="zh-CN"/>
        </w:rPr>
        <w:t xml:space="preserve"> </w:t>
      </w:r>
      <w:r>
        <w:rPr>
          <w:sz w:val="32"/>
          <w:szCs w:val="32"/>
          <w:highlight w:val="none"/>
        </w:rPr>
        <w:t>合同协议书</w:t>
      </w:r>
      <w:bookmarkEnd w:id="113"/>
      <w:bookmarkEnd w:id="114"/>
      <w:bookmarkEnd w:id="116"/>
    </w:p>
    <w:p w14:paraId="4ED0E552">
      <w:pPr>
        <w:spacing w:line="360" w:lineRule="auto"/>
        <w:rPr>
          <w:rFonts w:eastAsia="仿宋_GB2312"/>
          <w:highlight w:val="none"/>
          <w:u w:val="single"/>
        </w:rPr>
      </w:pPr>
    </w:p>
    <w:p w14:paraId="16A8A96D">
      <w:pPr>
        <w:spacing w:line="400" w:lineRule="exact"/>
        <w:ind w:firstLine="482" w:firstLineChars="200"/>
        <w:rPr>
          <w:rFonts w:ascii="宋体" w:hAnsi="宋体" w:cs="宋体"/>
          <w:b/>
          <w:highlight w:val="none"/>
          <w:u w:val="single"/>
        </w:rPr>
      </w:pPr>
      <w:r>
        <w:rPr>
          <w:rFonts w:hint="eastAsia" w:ascii="宋体" w:hAnsi="宋体" w:cs="宋体"/>
          <w:b/>
          <w:highlight w:val="none"/>
        </w:rPr>
        <w:t>发包人（全称）：</w:t>
      </w:r>
      <w:r>
        <w:rPr>
          <w:rFonts w:hint="eastAsia" w:ascii="宋体" w:hAnsi="宋体" w:cs="宋体"/>
          <w:b/>
          <w:highlight w:val="none"/>
          <w:u w:val="single"/>
        </w:rPr>
        <w:t xml:space="preserve">  </w:t>
      </w:r>
      <w:r>
        <w:rPr>
          <w:rFonts w:hint="eastAsia" w:ascii="宋体" w:hAnsi="宋体" w:cs="宋体"/>
          <w:b/>
          <w:highlight w:val="none"/>
          <w:u w:val="single"/>
          <w:lang w:eastAsia="zh-CN"/>
        </w:rPr>
        <w:t>浙江三门经济开发区管理委员会</w:t>
      </w:r>
      <w:r>
        <w:rPr>
          <w:rFonts w:hint="eastAsia" w:ascii="宋体" w:hAnsi="宋体" w:cs="宋体"/>
          <w:b/>
          <w:highlight w:val="none"/>
          <w:u w:val="single"/>
        </w:rPr>
        <w:t xml:space="preserve">  </w:t>
      </w:r>
    </w:p>
    <w:p w14:paraId="0AD94687">
      <w:pPr>
        <w:spacing w:line="400" w:lineRule="exact"/>
        <w:ind w:firstLine="482" w:firstLineChars="200"/>
        <w:rPr>
          <w:rFonts w:ascii="宋体" w:hAnsi="宋体" w:cs="宋体"/>
          <w:b/>
          <w:highlight w:val="none"/>
          <w:u w:val="single"/>
        </w:rPr>
      </w:pPr>
      <w:r>
        <w:rPr>
          <w:rFonts w:hint="eastAsia" w:ascii="宋体" w:hAnsi="宋体" w:cs="宋体"/>
          <w:b/>
          <w:highlight w:val="none"/>
        </w:rPr>
        <w:t>承包人（全称）：</w:t>
      </w:r>
      <w:r>
        <w:rPr>
          <w:rFonts w:hint="eastAsia" w:ascii="宋体" w:hAnsi="宋体" w:cs="宋体"/>
          <w:b/>
          <w:highlight w:val="none"/>
          <w:u w:val="single"/>
        </w:rPr>
        <w:t xml:space="preserve">                               </w:t>
      </w:r>
    </w:p>
    <w:p w14:paraId="353B7BBD">
      <w:pPr>
        <w:spacing w:line="400" w:lineRule="exact"/>
        <w:ind w:firstLine="480" w:firstLineChars="200"/>
        <w:rPr>
          <w:rFonts w:ascii="宋体" w:hAnsi="宋体" w:cs="宋体"/>
          <w:highlight w:val="none"/>
        </w:rPr>
      </w:pPr>
      <w:bookmarkStart w:id="117" w:name="_Toc351203481"/>
      <w:r>
        <w:rPr>
          <w:rFonts w:hint="eastAsia" w:ascii="宋体" w:hAnsi="宋体" w:cs="宋体"/>
          <w:highlight w:val="none"/>
        </w:rPr>
        <w:t>根据《</w:t>
      </w:r>
      <w:r>
        <w:rPr>
          <w:rFonts w:hint="eastAsia" w:ascii="宋体" w:hAnsi="宋体" w:cs="宋体"/>
          <w:spacing w:val="-17"/>
          <w:highlight w:val="none"/>
        </w:rPr>
        <w:t>中华人民共和国民法典</w:t>
      </w:r>
      <w:r>
        <w:rPr>
          <w:rFonts w:hint="eastAsia" w:ascii="宋体" w:hAnsi="宋体" w:cs="宋体"/>
          <w:highlight w:val="none"/>
        </w:rPr>
        <w:t>》、《中华人民共和国建筑法》及有关法律规定，遵循平等、自愿、公平和诚实信用的原则，双方就</w:t>
      </w:r>
      <w:r>
        <w:rPr>
          <w:rFonts w:hint="eastAsia" w:ascii="宋体" w:hAnsi="宋体" w:cs="宋体"/>
          <w:bCs/>
          <w:highlight w:val="none"/>
          <w:u w:val="single"/>
          <w:lang w:eastAsia="zh-CN"/>
        </w:rPr>
        <w:t>三门县东部新区泰康路周边提升工程</w:t>
      </w:r>
      <w:r>
        <w:rPr>
          <w:rFonts w:hint="eastAsia" w:ascii="宋体" w:hAnsi="宋体" w:cs="宋体"/>
          <w:highlight w:val="none"/>
        </w:rPr>
        <w:t>施工及有关事项协商一致，共同达成如下协议：</w:t>
      </w:r>
    </w:p>
    <w:p w14:paraId="40FA918D">
      <w:pPr>
        <w:spacing w:line="400" w:lineRule="exact"/>
        <w:ind w:firstLine="482" w:firstLineChars="200"/>
        <w:rPr>
          <w:rFonts w:ascii="宋体" w:hAnsi="宋体" w:cs="宋体"/>
          <w:highlight w:val="none"/>
        </w:rPr>
      </w:pPr>
      <w:r>
        <w:rPr>
          <w:rFonts w:hint="eastAsia" w:ascii="宋体" w:hAnsi="宋体" w:cs="宋体"/>
          <w:b/>
          <w:highlight w:val="none"/>
        </w:rPr>
        <w:t>一、工程概况</w:t>
      </w:r>
      <w:bookmarkEnd w:id="117"/>
    </w:p>
    <w:p w14:paraId="47FFF9E6">
      <w:pPr>
        <w:spacing w:line="400" w:lineRule="exact"/>
        <w:ind w:firstLine="480" w:firstLineChars="200"/>
        <w:rPr>
          <w:rFonts w:ascii="宋体" w:hAnsi="宋体" w:cs="宋体"/>
          <w:bCs/>
          <w:highlight w:val="none"/>
          <w:u w:val="single"/>
        </w:rPr>
      </w:pPr>
      <w:bookmarkStart w:id="118" w:name="_Toc351203482"/>
      <w:r>
        <w:rPr>
          <w:rFonts w:hint="eastAsia" w:ascii="宋体" w:hAnsi="宋体" w:cs="宋体"/>
          <w:bCs/>
          <w:highlight w:val="none"/>
        </w:rPr>
        <w:t>1．工程名称：</w:t>
      </w:r>
      <w:r>
        <w:rPr>
          <w:rFonts w:hint="eastAsia" w:ascii="宋体" w:hAnsi="宋体" w:cs="宋体"/>
          <w:bCs/>
          <w:highlight w:val="none"/>
          <w:u w:val="single"/>
        </w:rPr>
        <w:t></w:t>
      </w:r>
      <w:r>
        <w:rPr>
          <w:rFonts w:hint="eastAsia" w:ascii="宋体" w:hAnsi="宋体" w:cs="宋体"/>
          <w:bCs/>
          <w:highlight w:val="none"/>
          <w:u w:val="single"/>
          <w:lang w:eastAsia="zh-CN"/>
        </w:rPr>
        <w:t>三门县东部新区泰康路周边提升工程</w:t>
      </w:r>
      <w:r>
        <w:rPr>
          <w:rFonts w:hint="eastAsia" w:ascii="宋体" w:hAnsi="宋体" w:cs="宋体"/>
          <w:bCs/>
          <w:highlight w:val="none"/>
          <w:u w:val="single"/>
        </w:rPr>
        <w:t xml:space="preserve">  </w:t>
      </w:r>
      <w:r>
        <w:rPr>
          <w:rFonts w:hint="eastAsia" w:ascii="宋体" w:hAnsi="宋体" w:cs="宋体"/>
          <w:bCs/>
          <w:highlight w:val="none"/>
        </w:rPr>
        <w:t>。</w:t>
      </w:r>
    </w:p>
    <w:p w14:paraId="1AA7723C">
      <w:pPr>
        <w:spacing w:line="400" w:lineRule="exact"/>
        <w:ind w:firstLine="480" w:firstLineChars="200"/>
        <w:rPr>
          <w:rFonts w:ascii="宋体" w:hAnsi="宋体" w:cs="宋体"/>
          <w:bCs/>
          <w:highlight w:val="none"/>
        </w:rPr>
      </w:pPr>
      <w:r>
        <w:rPr>
          <w:rFonts w:hint="eastAsia" w:ascii="宋体" w:hAnsi="宋体" w:cs="宋体"/>
          <w:bCs/>
          <w:highlight w:val="none"/>
        </w:rPr>
        <w:t>2．工程地点：</w:t>
      </w:r>
      <w:r>
        <w:rPr>
          <w:rFonts w:hint="eastAsia" w:ascii="宋体" w:hAnsi="宋体" w:cs="宋体"/>
          <w:bCs/>
          <w:highlight w:val="none"/>
          <w:u w:val="single"/>
        </w:rPr>
        <w:t></w:t>
      </w:r>
      <w:r>
        <w:rPr>
          <w:rFonts w:hint="eastAsia" w:ascii="宋体" w:hAnsi="宋体" w:cs="宋体"/>
          <w:spacing w:val="-3"/>
          <w:highlight w:val="none"/>
          <w:u w:val="single"/>
          <w:lang w:eastAsia="zh-CN"/>
        </w:rPr>
        <w:t>三门县</w:t>
      </w:r>
      <w:r>
        <w:rPr>
          <w:rFonts w:hint="eastAsia" w:ascii="宋体" w:hAnsi="宋体" w:cs="宋体"/>
          <w:bCs/>
          <w:highlight w:val="none"/>
          <w:u w:val="single"/>
        </w:rPr>
        <w:t xml:space="preserve">  </w:t>
      </w:r>
      <w:r>
        <w:rPr>
          <w:rFonts w:hint="eastAsia" w:ascii="宋体" w:hAnsi="宋体" w:cs="宋体"/>
          <w:bCs/>
          <w:highlight w:val="none"/>
        </w:rPr>
        <w:t>。</w:t>
      </w:r>
    </w:p>
    <w:p w14:paraId="0AA1EB96">
      <w:pPr>
        <w:widowControl/>
        <w:spacing w:line="400" w:lineRule="exact"/>
        <w:ind w:firstLine="480" w:firstLineChars="200"/>
        <w:rPr>
          <w:rFonts w:ascii="宋体" w:hAnsi="宋体" w:cs="宋体"/>
          <w:bCs/>
          <w:highlight w:val="none"/>
        </w:rPr>
      </w:pPr>
      <w:r>
        <w:rPr>
          <w:rFonts w:hint="eastAsia" w:ascii="宋体" w:hAnsi="宋体" w:cs="宋体"/>
          <w:bCs/>
          <w:highlight w:val="none"/>
        </w:rPr>
        <w:t>3．工程立项批准文号：</w:t>
      </w:r>
      <w:r>
        <w:rPr>
          <w:rFonts w:hint="eastAsia" w:ascii="宋体" w:hAnsi="宋体" w:cs="宋体"/>
          <w:color w:val="auto"/>
          <w:spacing w:val="-4"/>
          <w:sz w:val="24"/>
          <w:szCs w:val="24"/>
          <w:highlight w:val="none"/>
          <w:u w:val="single"/>
          <w:lang w:val="en-US" w:eastAsia="zh-CN"/>
        </w:rPr>
        <w:t>三发改审【2024】178号</w:t>
      </w:r>
      <w:r>
        <w:rPr>
          <w:rFonts w:hint="eastAsia" w:ascii="宋体" w:hAnsi="宋体" w:cs="宋体"/>
          <w:highlight w:val="none"/>
          <w:u w:val="single"/>
        </w:rPr>
        <w:t xml:space="preserve"> </w:t>
      </w:r>
      <w:r>
        <w:rPr>
          <w:rFonts w:hint="eastAsia" w:ascii="宋体" w:hAnsi="宋体" w:cs="宋体"/>
          <w:bCs/>
          <w:highlight w:val="none"/>
          <w:u w:val="single"/>
        </w:rPr>
        <w:t xml:space="preserve"> </w:t>
      </w:r>
      <w:r>
        <w:rPr>
          <w:rFonts w:hint="eastAsia" w:ascii="宋体" w:hAnsi="宋体" w:cs="宋体"/>
          <w:bCs/>
          <w:highlight w:val="none"/>
        </w:rPr>
        <w:t>。</w:t>
      </w:r>
    </w:p>
    <w:p w14:paraId="1798E001">
      <w:pPr>
        <w:spacing w:line="400" w:lineRule="exact"/>
        <w:ind w:firstLine="480" w:firstLineChars="200"/>
        <w:rPr>
          <w:rFonts w:ascii="宋体" w:hAnsi="宋体" w:cs="宋体"/>
          <w:bCs/>
          <w:highlight w:val="none"/>
        </w:rPr>
      </w:pPr>
      <w:r>
        <w:rPr>
          <w:rFonts w:hint="eastAsia" w:ascii="宋体" w:hAnsi="宋体" w:cs="宋体"/>
          <w:bCs/>
          <w:highlight w:val="none"/>
        </w:rPr>
        <w:t>4．资金来源：</w:t>
      </w:r>
      <w:r>
        <w:rPr>
          <w:rFonts w:hint="eastAsia" w:ascii="宋体" w:hAnsi="宋体" w:cs="宋体"/>
          <w:bCs/>
          <w:highlight w:val="none"/>
          <w:u w:val="single"/>
        </w:rPr>
        <w:t></w:t>
      </w:r>
      <w:r>
        <w:rPr>
          <w:rFonts w:hint="eastAsia"/>
          <w:bCs/>
          <w:szCs w:val="21"/>
          <w:u w:val="single"/>
        </w:rPr>
        <w:t>财政拔款</w:t>
      </w:r>
      <w:r>
        <w:rPr>
          <w:rFonts w:hint="eastAsia" w:ascii="宋体" w:hAnsi="宋体" w:cs="宋体"/>
          <w:bCs/>
          <w:highlight w:val="none"/>
          <w:u w:val="single"/>
        </w:rPr>
        <w:t xml:space="preserve"> </w:t>
      </w:r>
      <w:r>
        <w:rPr>
          <w:rFonts w:hint="eastAsia" w:ascii="宋体" w:hAnsi="宋体" w:cs="宋体"/>
          <w:bCs/>
          <w:highlight w:val="none"/>
        </w:rPr>
        <w:t>。</w:t>
      </w:r>
    </w:p>
    <w:p w14:paraId="032F0DCF">
      <w:pPr>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360" w:lineRule="auto"/>
        <w:ind w:left="440" w:leftChars="0"/>
        <w:textAlignment w:val="auto"/>
        <w:outlineLvl w:val="9"/>
        <w:rPr>
          <w:rFonts w:hAnsi="宋体" w:cs="宋体"/>
          <w:sz w:val="24"/>
          <w:szCs w:val="24"/>
          <w:highlight w:val="none"/>
          <w:u w:val="single"/>
        </w:rPr>
      </w:pPr>
      <w:r>
        <w:rPr>
          <w:rFonts w:hint="eastAsia" w:hAnsi="宋体" w:cs="宋体"/>
          <w:bCs/>
          <w:sz w:val="24"/>
          <w:szCs w:val="24"/>
          <w:highlight w:val="none"/>
        </w:rPr>
        <w:t>5．工程内容：</w:t>
      </w:r>
      <w:r>
        <w:rPr>
          <w:rFonts w:hint="eastAsia" w:hAnsi="宋体" w:cs="宋体"/>
          <w:sz w:val="24"/>
          <w:szCs w:val="24"/>
          <w:highlight w:val="none"/>
          <w:u w:val="single"/>
        </w:rPr>
        <w:t>招标人提供的施工图纸范围内及预算审核书中所包含的所有内容。</w:t>
      </w:r>
      <w:r>
        <w:rPr>
          <w:rFonts w:hint="eastAsia" w:ascii="宋体" w:hAnsi="宋体" w:cs="宋体"/>
          <w:b w:val="0"/>
          <w:bCs w:val="0"/>
          <w:color w:val="auto"/>
          <w:sz w:val="24"/>
          <w:szCs w:val="24"/>
          <w:highlight w:val="none"/>
          <w:u w:val="single"/>
          <w:lang w:val="en-US" w:eastAsia="zh-CN" w:bidi="ar-SA"/>
        </w:rPr>
        <w:t>工程建设内容为施工图范围内的绿化、景观、市政、排水、给水、景观照明等工程</w:t>
      </w:r>
      <w:r>
        <w:rPr>
          <w:rFonts w:hint="eastAsia" w:ascii="宋体" w:hAnsi="宋体" w:eastAsia="宋体" w:cs="宋体"/>
          <w:b w:val="0"/>
          <w:bCs w:val="0"/>
          <w:color w:val="auto"/>
          <w:sz w:val="24"/>
          <w:szCs w:val="24"/>
          <w:highlight w:val="none"/>
          <w:u w:val="single"/>
          <w:lang w:val="en-US" w:eastAsia="zh-CN" w:bidi="ar-SA"/>
        </w:rPr>
        <w:t>。</w:t>
      </w:r>
    </w:p>
    <w:p w14:paraId="57DD3A49">
      <w:pPr>
        <w:spacing w:line="400" w:lineRule="exact"/>
        <w:ind w:firstLine="480" w:firstLineChars="200"/>
        <w:rPr>
          <w:rFonts w:ascii="宋体" w:hAnsi="宋体" w:cs="宋体"/>
          <w:bCs/>
          <w:highlight w:val="none"/>
        </w:rPr>
      </w:pPr>
      <w:r>
        <w:rPr>
          <w:rFonts w:hint="eastAsia" w:ascii="宋体" w:hAnsi="宋体" w:cs="宋体"/>
          <w:bCs/>
          <w:highlight w:val="none"/>
        </w:rPr>
        <w:t>群体工程应附《承包人承揽工程项目一览表》（附件1）。</w:t>
      </w:r>
    </w:p>
    <w:p w14:paraId="55210CEF">
      <w:pPr>
        <w:spacing w:line="400" w:lineRule="exact"/>
        <w:ind w:firstLine="480" w:firstLineChars="200"/>
        <w:rPr>
          <w:rFonts w:ascii="宋体" w:hAnsi="宋体" w:cs="宋体"/>
          <w:bCs/>
          <w:highlight w:val="none"/>
        </w:rPr>
      </w:pPr>
      <w:r>
        <w:rPr>
          <w:rFonts w:hint="eastAsia" w:ascii="宋体" w:hAnsi="宋体" w:cs="宋体"/>
          <w:bCs/>
          <w:highlight w:val="none"/>
        </w:rPr>
        <w:t>6．工程承包范围：</w:t>
      </w:r>
    </w:p>
    <w:p w14:paraId="3805680B">
      <w:pPr>
        <w:keepNext w:val="0"/>
        <w:keepLines w:val="0"/>
        <w:pageBreakBefore w:val="0"/>
        <w:widowControl w:val="0"/>
        <w:numPr>
          <w:ilvl w:val="0"/>
          <w:numId w:val="66"/>
        </w:numPr>
        <w:kinsoku/>
        <w:wordWrap/>
        <w:overflowPunct/>
        <w:topLinePunct w:val="0"/>
        <w:autoSpaceDE w:val="0"/>
        <w:autoSpaceDN w:val="0"/>
        <w:bidi w:val="0"/>
        <w:adjustRightInd w:val="0"/>
        <w:snapToGrid/>
        <w:spacing w:line="400" w:lineRule="exact"/>
        <w:ind w:left="0" w:leftChars="0" w:firstLine="720" w:firstLineChars="300"/>
        <w:textAlignment w:val="auto"/>
        <w:rPr>
          <w:rFonts w:ascii="宋体" w:hAnsi="宋体" w:cs="宋体"/>
          <w:bCs/>
          <w:highlight w:val="none"/>
        </w:rPr>
      </w:pPr>
      <w:r>
        <w:rPr>
          <w:rFonts w:hint="eastAsia" w:ascii="宋体" w:hAnsi="宋体" w:cs="宋体"/>
          <w:bCs/>
          <w:highlight w:val="none"/>
        </w:rPr>
        <w:t>发包人提供的施工图纸范围内所包含的所有内容，为施工总承包；</w:t>
      </w:r>
    </w:p>
    <w:p w14:paraId="0AF272F6">
      <w:pPr>
        <w:pStyle w:val="8"/>
        <w:keepNext w:val="0"/>
        <w:keepLines w:val="0"/>
        <w:pageBreakBefore w:val="0"/>
        <w:widowControl w:val="0"/>
        <w:numPr>
          <w:ilvl w:val="0"/>
          <w:numId w:val="66"/>
        </w:numPr>
        <w:kinsoku/>
        <w:wordWrap/>
        <w:overflowPunct/>
        <w:topLinePunct w:val="0"/>
        <w:autoSpaceDE w:val="0"/>
        <w:autoSpaceDN w:val="0"/>
        <w:bidi w:val="0"/>
        <w:adjustRightInd w:val="0"/>
        <w:snapToGrid/>
        <w:spacing w:line="400" w:lineRule="exact"/>
        <w:ind w:left="0" w:leftChars="0" w:firstLine="720" w:firstLineChars="300"/>
        <w:textAlignment w:val="auto"/>
        <w:rPr>
          <w:rFonts w:ascii="宋体" w:hAnsi="宋体" w:cs="宋体"/>
          <w:highlight w:val="none"/>
          <w:u w:val="single"/>
        </w:rPr>
      </w:pPr>
      <w:r>
        <w:rPr>
          <w:rFonts w:hint="eastAsia" w:ascii="宋体" w:hAnsi="宋体" w:cs="宋体"/>
          <w:highlight w:val="none"/>
        </w:rPr>
        <w:t>不包括发包人另行发包的</w:t>
      </w:r>
      <w:r>
        <w:rPr>
          <w:rFonts w:hint="eastAsia" w:ascii="宋体" w:hAnsi="宋体" w:cs="宋体"/>
          <w:highlight w:val="none"/>
          <w:u w:val="single"/>
        </w:rPr>
        <w:t xml:space="preserve">   /     </w:t>
      </w:r>
      <w:r>
        <w:rPr>
          <w:rFonts w:hint="eastAsia" w:ascii="宋体" w:hAnsi="宋体" w:cs="宋体"/>
          <w:highlight w:val="none"/>
        </w:rPr>
        <w:t>专业工程。</w:t>
      </w:r>
    </w:p>
    <w:p w14:paraId="4344AA16">
      <w:pPr>
        <w:spacing w:line="400" w:lineRule="exact"/>
        <w:ind w:firstLine="482" w:firstLineChars="200"/>
        <w:rPr>
          <w:rFonts w:ascii="宋体" w:hAnsi="宋体" w:cs="宋体"/>
          <w:b/>
          <w:highlight w:val="none"/>
        </w:rPr>
      </w:pPr>
      <w:r>
        <w:rPr>
          <w:rFonts w:hint="eastAsia" w:ascii="宋体" w:hAnsi="宋体" w:cs="宋体"/>
          <w:b/>
          <w:highlight w:val="none"/>
        </w:rPr>
        <w:t>二、合同工期</w:t>
      </w:r>
      <w:bookmarkEnd w:id="118"/>
    </w:p>
    <w:p w14:paraId="2BB6747F">
      <w:pPr>
        <w:spacing w:line="400" w:lineRule="exact"/>
        <w:ind w:firstLine="480" w:firstLineChars="200"/>
        <w:rPr>
          <w:rFonts w:ascii="宋体" w:hAnsi="宋体" w:cs="宋体"/>
          <w:highlight w:val="none"/>
        </w:rPr>
      </w:pPr>
      <w:r>
        <w:rPr>
          <w:rFonts w:hint="eastAsia" w:ascii="宋体" w:hAnsi="宋体" w:cs="宋体"/>
          <w:highlight w:val="none"/>
        </w:rPr>
        <w:t>计划开工日期：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14:paraId="37CF5151">
      <w:pPr>
        <w:spacing w:line="400" w:lineRule="exact"/>
        <w:ind w:firstLine="480" w:firstLineChars="200"/>
        <w:rPr>
          <w:rFonts w:ascii="宋体" w:hAnsi="宋体" w:cs="宋体"/>
          <w:highlight w:val="none"/>
        </w:rPr>
      </w:pPr>
      <w:r>
        <w:rPr>
          <w:rFonts w:hint="eastAsia" w:ascii="宋体" w:hAnsi="宋体" w:cs="宋体"/>
          <w:highlight w:val="none"/>
        </w:rPr>
        <w:t>计划竣工日期：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14:paraId="1DB35788">
      <w:pPr>
        <w:spacing w:line="400" w:lineRule="exact"/>
        <w:ind w:firstLine="480" w:firstLineChars="200"/>
        <w:rPr>
          <w:rFonts w:ascii="宋体" w:hAnsi="宋体" w:cs="宋体"/>
          <w:highlight w:val="none"/>
        </w:rPr>
      </w:pPr>
      <w:r>
        <w:rPr>
          <w:rFonts w:hint="eastAsia" w:ascii="宋体" w:hAnsi="宋体" w:cs="宋体"/>
          <w:highlight w:val="none"/>
        </w:rPr>
        <w:t>工期总日历天数：</w:t>
      </w:r>
      <w:r>
        <w:rPr>
          <w:rFonts w:hint="eastAsia" w:ascii="宋体" w:hAnsi="宋体" w:cs="宋体"/>
          <w:highlight w:val="none"/>
          <w:u w:val="single"/>
        </w:rPr>
        <w:t></w:t>
      </w:r>
      <w:r>
        <w:rPr>
          <w:rFonts w:hint="eastAsia" w:ascii="宋体" w:hAnsi="宋体" w:cs="宋体"/>
          <w:highlight w:val="none"/>
        </w:rPr>
        <w:t>天。工期总日历天数与根据前述计划开竣工日期计算的工期天数不一致的，以工期总日历天数为准。</w:t>
      </w:r>
    </w:p>
    <w:p w14:paraId="0B085141">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19" w:name="_Toc351203483"/>
      <w:r>
        <w:rPr>
          <w:rFonts w:hint="eastAsia" w:ascii="宋体" w:hAnsi="宋体" w:cs="宋体"/>
          <w:b/>
          <w:highlight w:val="none"/>
        </w:rPr>
        <w:t>三、质量标准</w:t>
      </w:r>
      <w:bookmarkEnd w:id="119"/>
    </w:p>
    <w:p w14:paraId="57BCFCDC">
      <w:pPr>
        <w:spacing w:line="400" w:lineRule="exact"/>
        <w:ind w:firstLine="480" w:firstLineChars="200"/>
        <w:rPr>
          <w:rFonts w:ascii="宋体" w:hAnsi="宋体" w:cs="宋体"/>
          <w:highlight w:val="none"/>
        </w:rPr>
      </w:pPr>
      <w:r>
        <w:rPr>
          <w:rFonts w:hint="eastAsia" w:ascii="宋体" w:hAnsi="宋体" w:cs="宋体"/>
          <w:highlight w:val="none"/>
        </w:rPr>
        <w:t>工程质量符合</w:t>
      </w:r>
      <w:r>
        <w:rPr>
          <w:rFonts w:hint="eastAsia" w:ascii="宋体" w:hAnsi="宋体" w:cs="宋体"/>
          <w:highlight w:val="none"/>
          <w:u w:val="single"/>
        </w:rPr>
        <w:t xml:space="preserve">     合格    </w:t>
      </w:r>
      <w:r>
        <w:rPr>
          <w:rFonts w:hint="eastAsia" w:ascii="宋体" w:hAnsi="宋体" w:cs="宋体"/>
          <w:highlight w:val="none"/>
        </w:rPr>
        <w:t>标准。</w:t>
      </w:r>
    </w:p>
    <w:p w14:paraId="0BF362FD">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0" w:name="_Toc351203484"/>
      <w:r>
        <w:rPr>
          <w:rFonts w:hint="eastAsia" w:ascii="宋体" w:hAnsi="宋体" w:cs="宋体"/>
          <w:b/>
          <w:highlight w:val="none"/>
        </w:rPr>
        <w:t>四、签约合同价与合同价格形式</w:t>
      </w:r>
      <w:bookmarkEnd w:id="120"/>
      <w:r>
        <w:rPr>
          <w:rFonts w:hint="eastAsia" w:ascii="宋体" w:hAnsi="宋体" w:cs="宋体"/>
          <w:b/>
          <w:highlight w:val="none"/>
        </w:rPr>
        <w:tab/>
      </w:r>
    </w:p>
    <w:p w14:paraId="79FFF254">
      <w:pPr>
        <w:spacing w:line="400" w:lineRule="exact"/>
        <w:ind w:firstLine="480" w:firstLineChars="200"/>
        <w:rPr>
          <w:rFonts w:ascii="宋体" w:hAnsi="宋体" w:cs="宋体"/>
          <w:highlight w:val="none"/>
        </w:rPr>
      </w:pPr>
      <w:r>
        <w:rPr>
          <w:rFonts w:hint="eastAsia" w:ascii="宋体" w:hAnsi="宋体" w:cs="宋体"/>
          <w:highlight w:val="none"/>
        </w:rPr>
        <w:t>1．签约合同价为：</w:t>
      </w:r>
    </w:p>
    <w:p w14:paraId="7D539AAC">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元）；</w:t>
      </w:r>
    </w:p>
    <w:p w14:paraId="10B718C1">
      <w:pPr>
        <w:spacing w:line="400" w:lineRule="exact"/>
        <w:ind w:firstLine="480" w:firstLineChars="200"/>
        <w:rPr>
          <w:rFonts w:ascii="宋体" w:hAnsi="宋体" w:cs="宋体"/>
          <w:highlight w:val="none"/>
        </w:rPr>
      </w:pPr>
      <w:r>
        <w:rPr>
          <w:rFonts w:hint="eastAsia" w:ascii="宋体" w:hAnsi="宋体" w:cs="宋体"/>
          <w:highlight w:val="none"/>
        </w:rPr>
        <w:t>其中：</w:t>
      </w:r>
    </w:p>
    <w:p w14:paraId="1C71C33F">
      <w:pPr>
        <w:spacing w:line="400" w:lineRule="exact"/>
        <w:ind w:firstLine="480" w:firstLineChars="200"/>
        <w:rPr>
          <w:rFonts w:ascii="宋体" w:hAnsi="宋体" w:cs="宋体"/>
          <w:highlight w:val="none"/>
        </w:rPr>
      </w:pPr>
      <w:r>
        <w:rPr>
          <w:rFonts w:hint="eastAsia" w:ascii="宋体" w:hAnsi="宋体" w:cs="宋体"/>
          <w:highlight w:val="none"/>
        </w:rPr>
        <w:t>（1）安全文明施工费：</w:t>
      </w:r>
    </w:p>
    <w:p w14:paraId="19D79C8D">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063D2193">
      <w:pPr>
        <w:spacing w:line="400" w:lineRule="exact"/>
        <w:ind w:firstLine="480" w:firstLineChars="200"/>
        <w:rPr>
          <w:rFonts w:ascii="宋体" w:hAnsi="宋体" w:cs="宋体"/>
          <w:highlight w:val="none"/>
        </w:rPr>
      </w:pPr>
      <w:r>
        <w:rPr>
          <w:rFonts w:hint="eastAsia" w:ascii="宋体" w:hAnsi="宋体" w:cs="宋体"/>
          <w:highlight w:val="none"/>
        </w:rPr>
        <w:t>（2）材料和工程设备暂估价金额：</w:t>
      </w:r>
    </w:p>
    <w:p w14:paraId="1D8F0293">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7CCAB7F7">
      <w:pPr>
        <w:spacing w:line="400" w:lineRule="exact"/>
        <w:ind w:firstLine="480" w:firstLineChars="200"/>
        <w:rPr>
          <w:rFonts w:ascii="宋体" w:hAnsi="宋体" w:cs="宋体"/>
          <w:highlight w:val="none"/>
        </w:rPr>
      </w:pPr>
      <w:r>
        <w:rPr>
          <w:rFonts w:hint="eastAsia" w:ascii="宋体" w:hAnsi="宋体" w:cs="宋体"/>
          <w:highlight w:val="none"/>
        </w:rPr>
        <w:t>（3）专业工程暂估价金额：</w:t>
      </w:r>
    </w:p>
    <w:p w14:paraId="14D97D37">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37580D18">
      <w:pPr>
        <w:spacing w:line="400" w:lineRule="exact"/>
        <w:ind w:firstLine="480" w:firstLineChars="200"/>
        <w:rPr>
          <w:rFonts w:ascii="宋体" w:hAnsi="宋体" w:cs="宋体"/>
          <w:highlight w:val="none"/>
        </w:rPr>
      </w:pPr>
      <w:r>
        <w:rPr>
          <w:rFonts w:hint="eastAsia" w:ascii="宋体" w:hAnsi="宋体" w:cs="宋体"/>
          <w:highlight w:val="none"/>
        </w:rPr>
        <w:t>（4）暂列金额：</w:t>
      </w:r>
    </w:p>
    <w:p w14:paraId="2E488E40">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43B13F82">
      <w:pPr>
        <w:spacing w:line="400" w:lineRule="exact"/>
        <w:ind w:firstLine="480" w:firstLineChars="200"/>
        <w:rPr>
          <w:rFonts w:ascii="宋体" w:hAnsi="宋体" w:cs="宋体"/>
          <w:highlight w:val="none"/>
        </w:rPr>
      </w:pPr>
      <w:r>
        <w:rPr>
          <w:rFonts w:hint="eastAsia" w:ascii="宋体" w:hAnsi="宋体" w:cs="宋体"/>
          <w:highlight w:val="none"/>
        </w:rPr>
        <w:t>2．合同价格形式：</w:t>
      </w:r>
      <w:r>
        <w:rPr>
          <w:rFonts w:hint="eastAsia" w:ascii="宋体" w:hAnsi="宋体" w:cs="宋体"/>
          <w:highlight w:val="none"/>
          <w:u w:val="single"/>
        </w:rPr>
        <w:t xml:space="preserve">     单价合同        </w:t>
      </w:r>
      <w:r>
        <w:rPr>
          <w:rFonts w:hint="eastAsia" w:ascii="宋体" w:hAnsi="宋体" w:cs="宋体"/>
          <w:highlight w:val="none"/>
        </w:rPr>
        <w:t>。</w:t>
      </w:r>
    </w:p>
    <w:p w14:paraId="222020B9">
      <w:pPr>
        <w:spacing w:line="400" w:lineRule="exact"/>
        <w:ind w:firstLine="480" w:firstLineChars="200"/>
        <w:rPr>
          <w:rFonts w:ascii="宋体" w:hAnsi="宋体" w:cs="宋体"/>
          <w:highlight w:val="none"/>
        </w:rPr>
      </w:pPr>
      <w:bookmarkStart w:id="121" w:name="_Toc351203485"/>
      <w:r>
        <w:rPr>
          <w:rFonts w:hint="eastAsia" w:ascii="宋体" w:hAnsi="宋体" w:cs="宋体"/>
          <w:highlight w:val="none"/>
        </w:rPr>
        <w:t>3．发包人向承包人支付工程价款及其他应当支付的款项均须汇入承包人合同协议书中的银行账户。</w:t>
      </w:r>
    </w:p>
    <w:p w14:paraId="7C90589A">
      <w:pPr>
        <w:spacing w:line="400" w:lineRule="exact"/>
        <w:ind w:firstLine="480" w:firstLineChars="200"/>
        <w:rPr>
          <w:rFonts w:ascii="宋体" w:hAnsi="宋体" w:cs="宋体"/>
          <w:highlight w:val="none"/>
        </w:rPr>
      </w:pPr>
      <w:r>
        <w:rPr>
          <w:rFonts w:hint="eastAsia" w:ascii="宋体" w:hAnsi="宋体" w:cs="宋体"/>
          <w:highlight w:val="none"/>
        </w:rPr>
        <w:t xml:space="preserve"> 承包人完成本合同项下应税行为的计税方式按以下第</w:t>
      </w:r>
      <w:r>
        <w:rPr>
          <w:rFonts w:hint="eastAsia" w:ascii="宋体" w:hAnsi="宋体" w:cs="宋体"/>
          <w:highlight w:val="none"/>
          <w:u w:val="single"/>
        </w:rPr>
        <w:t xml:space="preserve"> （1） </w:t>
      </w:r>
      <w:r>
        <w:rPr>
          <w:rFonts w:hint="eastAsia" w:ascii="宋体" w:hAnsi="宋体" w:cs="宋体"/>
          <w:highlight w:val="none"/>
        </w:rPr>
        <w:t>种方法，并与工程计价时采用的计税方法一致。</w:t>
      </w:r>
    </w:p>
    <w:p w14:paraId="4531650A">
      <w:pPr>
        <w:spacing w:line="400" w:lineRule="exact"/>
        <w:ind w:firstLine="403" w:firstLineChars="168"/>
        <w:rPr>
          <w:rFonts w:ascii="宋体" w:hAnsi="宋体" w:cs="宋体"/>
          <w:highlight w:val="none"/>
        </w:rPr>
      </w:pPr>
      <w:r>
        <w:rPr>
          <w:rFonts w:hint="eastAsia" w:ascii="宋体" w:hAnsi="宋体" w:cs="宋体"/>
          <w:highlight w:val="none"/>
          <w:shd w:val="clear" w:color="auto" w:fill="FFFFFF"/>
        </w:rPr>
        <w:t>（1）一般计税方法。</w:t>
      </w:r>
    </w:p>
    <w:p w14:paraId="480A882B">
      <w:pPr>
        <w:spacing w:line="400" w:lineRule="exact"/>
        <w:ind w:firstLine="403" w:firstLineChars="168"/>
        <w:rPr>
          <w:rFonts w:ascii="宋体" w:hAnsi="宋体" w:cs="宋体"/>
          <w:highlight w:val="none"/>
        </w:rPr>
      </w:pPr>
      <w:r>
        <w:rPr>
          <w:rFonts w:hint="eastAsia" w:ascii="宋体" w:hAnsi="宋体" w:cs="宋体"/>
          <w:highlight w:val="none"/>
        </w:rPr>
        <w:t>（2）</w:t>
      </w:r>
      <w:r>
        <w:rPr>
          <w:rFonts w:hint="eastAsia" w:ascii="宋体" w:hAnsi="宋体" w:cs="宋体"/>
          <w:highlight w:val="none"/>
          <w:shd w:val="clear" w:color="auto" w:fill="FFFFFF"/>
        </w:rPr>
        <w:t>简易计税方法。</w:t>
      </w:r>
    </w:p>
    <w:p w14:paraId="18B66BB7">
      <w:pPr>
        <w:spacing w:line="400" w:lineRule="exact"/>
        <w:ind w:firstLine="482" w:firstLineChars="200"/>
        <w:rPr>
          <w:rFonts w:ascii="宋体" w:hAnsi="宋体" w:cs="宋体"/>
          <w:b/>
          <w:highlight w:val="none"/>
        </w:rPr>
      </w:pPr>
      <w:r>
        <w:rPr>
          <w:rFonts w:hint="eastAsia" w:ascii="宋体" w:hAnsi="宋体" w:cs="宋体"/>
          <w:b/>
          <w:highlight w:val="none"/>
        </w:rPr>
        <w:t>五、</w:t>
      </w:r>
      <w:bookmarkEnd w:id="121"/>
      <w:r>
        <w:rPr>
          <w:rFonts w:hint="eastAsia" w:ascii="宋体" w:hAnsi="宋体" w:cs="宋体"/>
          <w:b/>
          <w:highlight w:val="none"/>
        </w:rPr>
        <w:t>项目经理</w:t>
      </w:r>
    </w:p>
    <w:p w14:paraId="58920A37">
      <w:pPr>
        <w:spacing w:line="400" w:lineRule="exact"/>
        <w:ind w:firstLine="480" w:firstLineChars="200"/>
        <w:rPr>
          <w:rFonts w:ascii="宋体" w:hAnsi="宋体" w:cs="宋体"/>
          <w:highlight w:val="none"/>
        </w:rPr>
      </w:pPr>
      <w:r>
        <w:rPr>
          <w:rFonts w:hint="eastAsia" w:ascii="宋体" w:hAnsi="宋体" w:cs="宋体"/>
          <w:highlight w:val="none"/>
        </w:rPr>
        <w:t>承包人项目经理：</w:t>
      </w:r>
      <w:r>
        <w:rPr>
          <w:rFonts w:hint="eastAsia" w:ascii="宋体" w:hAnsi="宋体" w:cs="宋体"/>
          <w:highlight w:val="none"/>
          <w:u w:val="single"/>
        </w:rPr>
        <w:t xml:space="preserve">                                  </w:t>
      </w:r>
      <w:r>
        <w:rPr>
          <w:rFonts w:hint="eastAsia" w:ascii="宋体" w:hAnsi="宋体" w:cs="宋体"/>
          <w:highlight w:val="none"/>
        </w:rPr>
        <w:t>。</w:t>
      </w:r>
    </w:p>
    <w:p w14:paraId="3BC0923A">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2" w:name="_Toc351203486"/>
      <w:r>
        <w:rPr>
          <w:rFonts w:hint="eastAsia" w:ascii="宋体" w:hAnsi="宋体" w:cs="宋体"/>
          <w:b/>
          <w:highlight w:val="none"/>
        </w:rPr>
        <w:t>六、合同文件构成</w:t>
      </w:r>
      <w:bookmarkEnd w:id="122"/>
    </w:p>
    <w:p w14:paraId="233FBFB5">
      <w:pPr>
        <w:spacing w:line="400" w:lineRule="exact"/>
        <w:ind w:firstLine="480" w:firstLineChars="200"/>
        <w:rPr>
          <w:rFonts w:ascii="宋体" w:hAnsi="宋体" w:cs="宋体"/>
          <w:bCs/>
          <w:highlight w:val="none"/>
        </w:rPr>
      </w:pPr>
      <w:r>
        <w:rPr>
          <w:rFonts w:hint="eastAsia" w:ascii="宋体" w:hAnsi="宋体" w:cs="宋体"/>
          <w:bCs/>
          <w:highlight w:val="none"/>
        </w:rPr>
        <w:t>本协议书与下列文件一起构成合同文件：</w:t>
      </w:r>
    </w:p>
    <w:p w14:paraId="11D68D7F">
      <w:pPr>
        <w:spacing w:line="400" w:lineRule="exact"/>
        <w:ind w:firstLine="480" w:firstLineChars="200"/>
        <w:rPr>
          <w:rFonts w:ascii="宋体" w:hAnsi="宋体" w:cs="宋体"/>
          <w:bCs/>
          <w:highlight w:val="none"/>
        </w:rPr>
      </w:pPr>
      <w:r>
        <w:rPr>
          <w:rFonts w:hint="eastAsia" w:ascii="宋体" w:hAnsi="宋体" w:cs="宋体"/>
          <w:bCs/>
          <w:highlight w:val="none"/>
        </w:rPr>
        <w:t>（1）中标通知书（如果有）；</w:t>
      </w:r>
    </w:p>
    <w:p w14:paraId="65F6B53C">
      <w:pPr>
        <w:spacing w:line="400" w:lineRule="exact"/>
        <w:ind w:firstLine="480" w:firstLineChars="200"/>
        <w:rPr>
          <w:rFonts w:ascii="宋体" w:hAnsi="宋体" w:cs="宋体"/>
          <w:bCs/>
          <w:highlight w:val="none"/>
        </w:rPr>
      </w:pPr>
      <w:r>
        <w:rPr>
          <w:rFonts w:hint="eastAsia" w:ascii="宋体" w:hAnsi="宋体" w:cs="宋体"/>
          <w:bCs/>
          <w:highlight w:val="none"/>
        </w:rPr>
        <w:t>（2）投标函及其附录（如果有）；</w:t>
      </w:r>
    </w:p>
    <w:p w14:paraId="41ECCC2E">
      <w:pPr>
        <w:spacing w:line="400" w:lineRule="exact"/>
        <w:ind w:firstLine="480" w:firstLineChars="200"/>
        <w:rPr>
          <w:rFonts w:ascii="宋体" w:hAnsi="宋体" w:cs="宋体"/>
          <w:bCs/>
          <w:highlight w:val="none"/>
        </w:rPr>
      </w:pPr>
      <w:r>
        <w:rPr>
          <w:rFonts w:hint="eastAsia" w:ascii="宋体" w:hAnsi="宋体" w:cs="宋体"/>
          <w:bCs/>
          <w:highlight w:val="none"/>
        </w:rPr>
        <w:t>（3）专用合同条款及其附件；</w:t>
      </w:r>
    </w:p>
    <w:p w14:paraId="7765139F">
      <w:pPr>
        <w:spacing w:line="400" w:lineRule="exact"/>
        <w:ind w:firstLine="480" w:firstLineChars="200"/>
        <w:rPr>
          <w:rFonts w:ascii="宋体" w:hAnsi="宋体" w:cs="宋体"/>
          <w:bCs/>
          <w:highlight w:val="none"/>
        </w:rPr>
      </w:pPr>
      <w:r>
        <w:rPr>
          <w:rFonts w:hint="eastAsia" w:ascii="宋体" w:hAnsi="宋体" w:cs="宋体"/>
          <w:bCs/>
          <w:highlight w:val="none"/>
        </w:rPr>
        <w:t>（4）通用合同条款；</w:t>
      </w:r>
    </w:p>
    <w:p w14:paraId="7D1D2F2A">
      <w:pPr>
        <w:spacing w:line="400" w:lineRule="exact"/>
        <w:ind w:firstLine="480" w:firstLineChars="200"/>
        <w:rPr>
          <w:rFonts w:ascii="宋体" w:hAnsi="宋体" w:cs="宋体"/>
          <w:bCs/>
          <w:highlight w:val="none"/>
        </w:rPr>
      </w:pPr>
      <w:r>
        <w:rPr>
          <w:rFonts w:hint="eastAsia" w:ascii="宋体" w:hAnsi="宋体" w:cs="宋体"/>
          <w:bCs/>
          <w:highlight w:val="none"/>
        </w:rPr>
        <w:t>（5）技术标准和要求；</w:t>
      </w:r>
    </w:p>
    <w:p w14:paraId="1B47BF62">
      <w:pPr>
        <w:spacing w:line="400" w:lineRule="exact"/>
        <w:ind w:firstLine="480" w:firstLineChars="200"/>
        <w:rPr>
          <w:rFonts w:ascii="宋体" w:hAnsi="宋体" w:cs="宋体"/>
          <w:bCs/>
          <w:highlight w:val="none"/>
        </w:rPr>
      </w:pPr>
      <w:r>
        <w:rPr>
          <w:rFonts w:hint="eastAsia" w:ascii="宋体" w:hAnsi="宋体" w:cs="宋体"/>
          <w:bCs/>
          <w:highlight w:val="none"/>
        </w:rPr>
        <w:t>（6）图纸；</w:t>
      </w:r>
    </w:p>
    <w:p w14:paraId="171E17A3">
      <w:pPr>
        <w:spacing w:line="400" w:lineRule="exact"/>
        <w:ind w:firstLine="480" w:firstLineChars="200"/>
        <w:rPr>
          <w:rFonts w:ascii="宋体" w:hAnsi="宋体" w:cs="宋体"/>
          <w:bCs/>
          <w:highlight w:val="none"/>
        </w:rPr>
      </w:pPr>
      <w:r>
        <w:rPr>
          <w:rFonts w:hint="eastAsia" w:ascii="宋体" w:hAnsi="宋体" w:cs="宋体"/>
          <w:bCs/>
          <w:highlight w:val="none"/>
        </w:rPr>
        <w:t>（7）已标价工程量清单或预算审核书；</w:t>
      </w:r>
    </w:p>
    <w:p w14:paraId="3E1DA051">
      <w:pPr>
        <w:spacing w:line="400" w:lineRule="exact"/>
        <w:ind w:firstLine="480" w:firstLineChars="200"/>
        <w:rPr>
          <w:rFonts w:ascii="宋体" w:hAnsi="宋体" w:cs="宋体"/>
          <w:bCs/>
          <w:highlight w:val="none"/>
        </w:rPr>
      </w:pPr>
      <w:r>
        <w:rPr>
          <w:rFonts w:hint="eastAsia" w:ascii="宋体" w:hAnsi="宋体" w:cs="宋体"/>
          <w:bCs/>
          <w:highlight w:val="none"/>
        </w:rPr>
        <w:t>（8）其他合同文件。</w:t>
      </w:r>
    </w:p>
    <w:p w14:paraId="3CC7761E">
      <w:pPr>
        <w:spacing w:line="400" w:lineRule="exact"/>
        <w:ind w:firstLine="480" w:firstLineChars="200"/>
        <w:rPr>
          <w:rFonts w:ascii="宋体" w:hAnsi="宋体" w:cs="宋体"/>
          <w:bCs/>
          <w:highlight w:val="none"/>
        </w:rPr>
      </w:pPr>
      <w:bookmarkStart w:id="123" w:name="_Toc351203487"/>
      <w:r>
        <w:rPr>
          <w:rFonts w:hint="eastAsia" w:ascii="宋体" w:hAnsi="宋体" w:cs="宋体"/>
          <w:bCs/>
          <w:highlight w:val="none"/>
        </w:rPr>
        <w:t>在合同订立及履行过程中形成的与合同有关的文件均构成合同文件组成部分。</w:t>
      </w:r>
    </w:p>
    <w:p w14:paraId="1468D681">
      <w:pPr>
        <w:spacing w:line="400" w:lineRule="exact"/>
        <w:ind w:firstLine="480" w:firstLineChars="200"/>
        <w:rPr>
          <w:rFonts w:ascii="宋体" w:hAnsi="宋体" w:cs="宋体"/>
          <w:bCs/>
          <w:highlight w:val="none"/>
        </w:rPr>
      </w:pPr>
      <w:r>
        <w:rPr>
          <w:rFonts w:hint="eastAsia" w:ascii="宋体" w:hAnsi="宋体" w:cs="宋体"/>
          <w:bCs/>
          <w:highlight w:val="none"/>
        </w:rPr>
        <w:t>上述各项合同文件包括合同当事人就该项合同文件所作出的补充和修改，属于同一类内容的文件，应以最新签署的为准。专用合同条款及其附件须经合同当事人签字或盖章。</w:t>
      </w:r>
    </w:p>
    <w:p w14:paraId="7F240004">
      <w:pPr>
        <w:spacing w:line="400" w:lineRule="exact"/>
        <w:ind w:firstLine="482" w:firstLineChars="200"/>
        <w:rPr>
          <w:rFonts w:ascii="宋体" w:hAnsi="宋体" w:cs="宋体"/>
          <w:b/>
          <w:bCs/>
          <w:highlight w:val="none"/>
        </w:rPr>
      </w:pPr>
      <w:r>
        <w:rPr>
          <w:rFonts w:hint="eastAsia" w:ascii="宋体" w:hAnsi="宋体" w:cs="宋体"/>
          <w:b/>
          <w:highlight w:val="none"/>
        </w:rPr>
        <w:t>七、</w:t>
      </w:r>
      <w:bookmarkEnd w:id="123"/>
      <w:r>
        <w:rPr>
          <w:rFonts w:hint="eastAsia" w:ascii="宋体" w:hAnsi="宋体" w:cs="宋体"/>
          <w:b/>
          <w:highlight w:val="none"/>
        </w:rPr>
        <w:t>创优目标</w:t>
      </w:r>
    </w:p>
    <w:p w14:paraId="730529CA">
      <w:pPr>
        <w:spacing w:line="400" w:lineRule="exact"/>
        <w:ind w:firstLine="480" w:firstLineChars="200"/>
        <w:rPr>
          <w:rFonts w:ascii="宋体" w:hAnsi="宋体" w:cs="宋体"/>
          <w:bCs/>
          <w:highlight w:val="none"/>
        </w:rPr>
      </w:pPr>
      <w:bookmarkStart w:id="124" w:name="_Toc351203488"/>
      <w:r>
        <w:rPr>
          <w:rFonts w:hint="eastAsia" w:ascii="宋体" w:hAnsi="宋体" w:cs="宋体"/>
          <w:bCs/>
          <w:highlight w:val="none"/>
        </w:rPr>
        <w:t>工程质量创〔/〕优质工程。</w:t>
      </w:r>
    </w:p>
    <w:p w14:paraId="13BA8269">
      <w:pPr>
        <w:spacing w:line="400" w:lineRule="exact"/>
        <w:ind w:firstLine="480" w:firstLineChars="200"/>
        <w:rPr>
          <w:rFonts w:ascii="宋体" w:hAnsi="宋体" w:cs="宋体"/>
          <w:highlight w:val="none"/>
          <w:u w:val="single"/>
        </w:rPr>
      </w:pPr>
      <w:r>
        <w:rPr>
          <w:rFonts w:hint="eastAsia" w:ascii="宋体" w:hAnsi="宋体" w:cs="宋体"/>
          <w:highlight w:val="none"/>
        </w:rPr>
        <w:t>安全文明施工创</w:t>
      </w:r>
      <w:r>
        <w:rPr>
          <w:rFonts w:hint="eastAsia" w:ascii="宋体" w:hAnsi="宋体" w:cs="宋体"/>
          <w:highlight w:val="none"/>
          <w:u w:val="single"/>
        </w:rPr>
        <w:t>[ / ]安全文明标准化工地。</w:t>
      </w:r>
    </w:p>
    <w:p w14:paraId="44CCEBA8">
      <w:pPr>
        <w:spacing w:line="400" w:lineRule="exact"/>
        <w:ind w:firstLine="482" w:firstLineChars="200"/>
        <w:rPr>
          <w:rFonts w:ascii="宋体" w:hAnsi="宋体" w:cs="宋体"/>
          <w:b/>
          <w:highlight w:val="none"/>
        </w:rPr>
      </w:pPr>
      <w:r>
        <w:rPr>
          <w:rFonts w:hint="eastAsia" w:ascii="宋体" w:hAnsi="宋体" w:cs="宋体"/>
          <w:b/>
          <w:highlight w:val="none"/>
        </w:rPr>
        <w:t>八、承诺</w:t>
      </w:r>
    </w:p>
    <w:p w14:paraId="29E73BED">
      <w:pPr>
        <w:spacing w:line="400" w:lineRule="exact"/>
        <w:ind w:firstLine="480" w:firstLineChars="200"/>
        <w:rPr>
          <w:rFonts w:ascii="宋体" w:hAnsi="宋体" w:cs="宋体"/>
          <w:highlight w:val="none"/>
        </w:rPr>
      </w:pPr>
      <w:r>
        <w:rPr>
          <w:rFonts w:hint="eastAsia" w:ascii="宋体" w:hAnsi="宋体" w:cs="宋体"/>
          <w:highlight w:val="none"/>
        </w:rPr>
        <w:t>1．发包人承诺按照法律规定履行项目审批手续、筹集工程建设资金并按照合同约定的期限和方式支付合同价款。</w:t>
      </w:r>
    </w:p>
    <w:p w14:paraId="1E5C8CDC">
      <w:pPr>
        <w:spacing w:line="400" w:lineRule="exact"/>
        <w:ind w:firstLine="480" w:firstLineChars="200"/>
        <w:rPr>
          <w:rFonts w:ascii="宋体" w:hAnsi="宋体" w:cs="宋体"/>
          <w:highlight w:val="none"/>
        </w:rPr>
      </w:pPr>
      <w:r>
        <w:rPr>
          <w:rFonts w:hint="eastAsia" w:ascii="宋体" w:hAnsi="宋体" w:cs="宋体"/>
          <w:highlight w:val="none"/>
        </w:rPr>
        <w:t>2．承包人承诺按照法律规定及合同约定组织完成工程施工，确保工程质量和安全，不进行转包及违法分包，并在缺陷责任期及保修期内承担相应的工程维修责任。</w:t>
      </w:r>
    </w:p>
    <w:p w14:paraId="4B57BC80">
      <w:pPr>
        <w:spacing w:line="400" w:lineRule="exact"/>
        <w:ind w:firstLine="480" w:firstLineChars="200"/>
        <w:rPr>
          <w:rFonts w:ascii="宋体" w:hAnsi="宋体" w:cs="宋体"/>
          <w:highlight w:val="none"/>
        </w:rPr>
      </w:pPr>
      <w:r>
        <w:rPr>
          <w:rFonts w:hint="eastAsia" w:ascii="宋体" w:hAnsi="宋体" w:cs="宋体"/>
          <w:highlight w:val="none"/>
        </w:rPr>
        <w:t>3. 承包人承诺不拖欠工人工资，因拖欠工资造成的一切后果，均由承包人承担，发包人有权将应拔付的工程款，先代付工人工资。</w:t>
      </w:r>
    </w:p>
    <w:p w14:paraId="6B3C3EA0">
      <w:pPr>
        <w:spacing w:line="400" w:lineRule="exact"/>
        <w:ind w:firstLine="480" w:firstLineChars="200"/>
        <w:rPr>
          <w:rFonts w:ascii="宋体" w:hAnsi="宋体" w:cs="宋体"/>
          <w:highlight w:val="none"/>
        </w:rPr>
      </w:pPr>
      <w:r>
        <w:rPr>
          <w:rFonts w:hint="eastAsia" w:ascii="宋体" w:hAnsi="宋体" w:cs="宋体"/>
          <w:highlight w:val="none"/>
        </w:rPr>
        <w:t>4．发包人和承包人通过招投标形式签订合同的，双方理解并承诺不再就同一工程另行签订与合同实质性内容相背离的协议。</w:t>
      </w:r>
    </w:p>
    <w:p w14:paraId="6629372D">
      <w:pPr>
        <w:spacing w:line="400" w:lineRule="exact"/>
        <w:ind w:firstLine="482" w:firstLineChars="200"/>
        <w:rPr>
          <w:rFonts w:ascii="宋体" w:hAnsi="宋体" w:cs="宋体"/>
          <w:bCs/>
          <w:highlight w:val="none"/>
        </w:rPr>
      </w:pPr>
      <w:r>
        <w:rPr>
          <w:rFonts w:hint="eastAsia" w:ascii="宋体" w:hAnsi="宋体" w:cs="宋体"/>
          <w:b/>
          <w:highlight w:val="none"/>
        </w:rPr>
        <w:t xml:space="preserve"> 九、词语含义</w:t>
      </w:r>
      <w:bookmarkEnd w:id="124"/>
    </w:p>
    <w:p w14:paraId="3E3B85B6">
      <w:pPr>
        <w:spacing w:line="400" w:lineRule="exact"/>
        <w:ind w:firstLine="480" w:firstLineChars="200"/>
        <w:rPr>
          <w:rFonts w:ascii="宋体" w:hAnsi="宋体" w:cs="宋体"/>
          <w:bCs/>
          <w:highlight w:val="none"/>
        </w:rPr>
      </w:pPr>
      <w:r>
        <w:rPr>
          <w:rFonts w:hint="eastAsia" w:ascii="宋体" w:hAnsi="宋体" w:cs="宋体"/>
          <w:bCs/>
          <w:highlight w:val="none"/>
        </w:rPr>
        <w:t>本协议书中词语含义与第二部分通用合同条款中赋予的含义相同。</w:t>
      </w:r>
    </w:p>
    <w:p w14:paraId="12E44878">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5" w:name="_Toc351203489"/>
      <w:r>
        <w:rPr>
          <w:rFonts w:hint="eastAsia" w:ascii="宋体" w:hAnsi="宋体" w:cs="宋体"/>
          <w:bCs/>
          <w:highlight w:val="none"/>
        </w:rPr>
        <w:t>十</w:t>
      </w:r>
      <w:r>
        <w:rPr>
          <w:rFonts w:hint="eastAsia" w:ascii="宋体" w:hAnsi="宋体" w:cs="宋体"/>
          <w:b/>
          <w:highlight w:val="none"/>
        </w:rPr>
        <w:t>、签订时间</w:t>
      </w:r>
      <w:bookmarkEnd w:id="125"/>
    </w:p>
    <w:p w14:paraId="40D7CED1">
      <w:pPr>
        <w:spacing w:line="400" w:lineRule="exact"/>
        <w:ind w:firstLine="480" w:firstLineChars="200"/>
        <w:rPr>
          <w:rFonts w:ascii="宋体" w:hAnsi="宋体" w:cs="宋体"/>
          <w:bCs/>
          <w:highlight w:val="none"/>
        </w:rPr>
      </w:pPr>
      <w:r>
        <w:rPr>
          <w:rFonts w:hint="eastAsia" w:ascii="宋体" w:hAnsi="宋体" w:cs="宋体"/>
          <w:bCs/>
          <w:highlight w:val="none"/>
        </w:rPr>
        <w:t>本合同于</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2024</w:t>
      </w:r>
      <w:r>
        <w:rPr>
          <w:rFonts w:hint="eastAsia" w:ascii="宋体" w:hAnsi="宋体" w:cs="宋体"/>
          <w:bCs/>
          <w:highlight w:val="none"/>
          <w:u w:val="single"/>
        </w:rPr>
        <w:t xml:space="preserve">  </w:t>
      </w:r>
      <w:r>
        <w:rPr>
          <w:rFonts w:hint="eastAsia" w:ascii="宋体" w:hAnsi="宋体" w:cs="宋体"/>
          <w:bCs/>
          <w:highlight w:val="none"/>
        </w:rPr>
        <w:t>年</w:t>
      </w:r>
      <w:r>
        <w:rPr>
          <w:rFonts w:hint="eastAsia" w:ascii="宋体" w:hAnsi="宋体" w:cs="宋体"/>
          <w:bCs/>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rPr>
        <w:t>日签订。</w:t>
      </w:r>
    </w:p>
    <w:p w14:paraId="2201BB5C">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6" w:name="_Toc351203490"/>
      <w:r>
        <w:rPr>
          <w:rFonts w:hint="eastAsia" w:ascii="宋体" w:hAnsi="宋体" w:cs="宋体"/>
          <w:b/>
          <w:highlight w:val="none"/>
        </w:rPr>
        <w:t>十一、签订地点</w:t>
      </w:r>
      <w:bookmarkEnd w:id="126"/>
    </w:p>
    <w:p w14:paraId="267366F0">
      <w:pPr>
        <w:spacing w:line="400" w:lineRule="exact"/>
        <w:ind w:firstLine="480" w:firstLineChars="200"/>
        <w:rPr>
          <w:rFonts w:ascii="宋体" w:hAnsi="宋体" w:cs="宋体"/>
          <w:bCs/>
          <w:highlight w:val="none"/>
        </w:rPr>
      </w:pPr>
      <w:r>
        <w:rPr>
          <w:rFonts w:hint="eastAsia" w:ascii="宋体" w:hAnsi="宋体" w:cs="宋体"/>
          <w:bCs/>
          <w:highlight w:val="none"/>
        </w:rPr>
        <w:t>本合同在</w:t>
      </w:r>
      <w:r>
        <w:rPr>
          <w:rFonts w:hint="eastAsia" w:ascii="宋体" w:hAnsi="宋体" w:cs="宋体"/>
          <w:bCs/>
          <w:highlight w:val="none"/>
          <w:u w:val="single"/>
        </w:rPr>
        <w:t xml:space="preserve"> </w:t>
      </w:r>
      <w:r>
        <w:rPr>
          <w:rFonts w:hint="eastAsia" w:ascii="宋体" w:hAnsi="宋体" w:cs="宋体"/>
          <w:b/>
          <w:highlight w:val="none"/>
          <w:u w:val="single"/>
          <w:lang w:eastAsia="zh-CN"/>
        </w:rPr>
        <w:t>浙江三门经济开发区管理委员会</w:t>
      </w:r>
      <w:r>
        <w:rPr>
          <w:rFonts w:hint="eastAsia" w:ascii="宋体" w:hAnsi="宋体" w:cs="宋体"/>
          <w:b/>
          <w:highlight w:val="none"/>
          <w:u w:val="single"/>
          <w:lang w:val="en-US" w:eastAsia="zh-CN"/>
        </w:rPr>
        <w:t>会议室</w:t>
      </w:r>
      <w:r>
        <w:rPr>
          <w:rFonts w:hint="eastAsia" w:ascii="宋体" w:hAnsi="宋体" w:cs="宋体"/>
          <w:bCs/>
          <w:highlight w:val="none"/>
          <w:u w:val="single"/>
        </w:rPr>
        <w:t xml:space="preserve"> </w:t>
      </w:r>
      <w:r>
        <w:rPr>
          <w:rFonts w:hint="eastAsia" w:ascii="宋体" w:hAnsi="宋体" w:cs="宋体"/>
          <w:bCs/>
          <w:highlight w:val="none"/>
        </w:rPr>
        <w:t>签订。</w:t>
      </w:r>
    </w:p>
    <w:p w14:paraId="1E7B0F26">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7" w:name="_Toc351203491"/>
      <w:r>
        <w:rPr>
          <w:rFonts w:hint="eastAsia" w:ascii="宋体" w:hAnsi="宋体" w:cs="宋体"/>
          <w:b/>
          <w:highlight w:val="none"/>
        </w:rPr>
        <w:t>十二、补充协议</w:t>
      </w:r>
      <w:bookmarkEnd w:id="127"/>
    </w:p>
    <w:p w14:paraId="1C5FCA0D">
      <w:pPr>
        <w:spacing w:line="400" w:lineRule="exact"/>
        <w:ind w:firstLine="480" w:firstLineChars="200"/>
        <w:rPr>
          <w:rFonts w:ascii="宋体" w:hAnsi="宋体" w:cs="宋体"/>
          <w:b/>
          <w:bCs/>
          <w:highlight w:val="none"/>
        </w:rPr>
      </w:pPr>
      <w:r>
        <w:rPr>
          <w:rFonts w:hint="eastAsia" w:ascii="宋体" w:hAnsi="宋体" w:cs="宋体"/>
          <w:bCs/>
          <w:highlight w:val="none"/>
        </w:rPr>
        <w:t>合同未尽事宜，合同当事人另行签订补充协议，补充协议是合同的组成部分。</w:t>
      </w:r>
    </w:p>
    <w:p w14:paraId="64F661D1">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8" w:name="_Toc351203492"/>
      <w:r>
        <w:rPr>
          <w:rFonts w:hint="eastAsia" w:ascii="宋体" w:hAnsi="宋体" w:cs="宋体"/>
          <w:b/>
          <w:highlight w:val="none"/>
        </w:rPr>
        <w:t>十三、合同生效</w:t>
      </w:r>
      <w:bookmarkEnd w:id="128"/>
    </w:p>
    <w:p w14:paraId="4D67DB5A">
      <w:pPr>
        <w:spacing w:line="400" w:lineRule="exact"/>
        <w:ind w:firstLine="480" w:firstLineChars="200"/>
        <w:rPr>
          <w:rFonts w:ascii="宋体" w:hAnsi="宋体" w:cs="宋体"/>
          <w:bCs/>
          <w:highlight w:val="none"/>
        </w:rPr>
      </w:pPr>
      <w:r>
        <w:rPr>
          <w:rFonts w:hint="eastAsia" w:ascii="宋体" w:hAnsi="宋体" w:cs="宋体"/>
          <w:bCs/>
          <w:highlight w:val="none"/>
        </w:rPr>
        <w:t>本合同自</w:t>
      </w:r>
      <w:r>
        <w:rPr>
          <w:rFonts w:hint="eastAsia" w:ascii="宋体" w:hAnsi="宋体" w:cs="宋体"/>
          <w:bCs/>
          <w:highlight w:val="none"/>
          <w:u w:val="single"/>
        </w:rPr>
        <w:t>双方法定代表人或委托代理人签字，并加盖公章后</w:t>
      </w:r>
      <w:r>
        <w:rPr>
          <w:rFonts w:hint="eastAsia" w:ascii="宋体" w:hAnsi="宋体" w:cs="宋体"/>
          <w:bCs/>
          <w:highlight w:val="none"/>
        </w:rPr>
        <w:t>生效。</w:t>
      </w:r>
    </w:p>
    <w:p w14:paraId="6EC7E72D">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9" w:name="_Toc351203493"/>
      <w:r>
        <w:rPr>
          <w:rFonts w:hint="eastAsia" w:ascii="宋体" w:hAnsi="宋体" w:cs="宋体"/>
          <w:b/>
          <w:highlight w:val="none"/>
        </w:rPr>
        <w:t>十四、合同份数</w:t>
      </w:r>
      <w:bookmarkEnd w:id="129"/>
    </w:p>
    <w:p w14:paraId="1D8569DB">
      <w:pPr>
        <w:spacing w:line="400" w:lineRule="exact"/>
        <w:ind w:firstLine="480" w:firstLineChars="200"/>
        <w:rPr>
          <w:rFonts w:ascii="宋体" w:hAnsi="宋体" w:cs="宋体"/>
          <w:bCs/>
          <w:highlight w:val="none"/>
        </w:rPr>
      </w:pPr>
      <w:r>
        <w:rPr>
          <w:rFonts w:hint="eastAsia" w:ascii="宋体" w:hAnsi="宋体" w:cs="宋体"/>
          <w:bCs/>
          <w:highlight w:val="none"/>
        </w:rPr>
        <w:t>本合同一式</w:t>
      </w:r>
      <w:r>
        <w:rPr>
          <w:rFonts w:hint="eastAsia" w:ascii="宋体" w:hAnsi="宋体" w:cs="宋体"/>
          <w:bCs/>
          <w:highlight w:val="none"/>
          <w:u w:val="single"/>
        </w:rPr>
        <w:t xml:space="preserve"> 捌 </w:t>
      </w:r>
      <w:r>
        <w:rPr>
          <w:rFonts w:hint="eastAsia" w:ascii="宋体" w:hAnsi="宋体" w:cs="宋体"/>
          <w:bCs/>
          <w:highlight w:val="none"/>
        </w:rPr>
        <w:t>份，均具有同等法律效力，发包人执</w:t>
      </w:r>
      <w:r>
        <w:rPr>
          <w:rFonts w:hint="eastAsia" w:ascii="宋体" w:hAnsi="宋体" w:cs="宋体"/>
          <w:bCs/>
          <w:highlight w:val="none"/>
          <w:u w:val="single"/>
        </w:rPr>
        <w:t xml:space="preserve"> 肆  </w:t>
      </w:r>
      <w:r>
        <w:rPr>
          <w:rFonts w:hint="eastAsia" w:ascii="宋体" w:hAnsi="宋体" w:cs="宋体"/>
          <w:bCs/>
          <w:highlight w:val="none"/>
        </w:rPr>
        <w:t>份，承包人执</w:t>
      </w:r>
      <w:r>
        <w:rPr>
          <w:rFonts w:hint="eastAsia" w:ascii="宋体" w:hAnsi="宋体" w:cs="宋体"/>
          <w:bCs/>
          <w:highlight w:val="none"/>
          <w:u w:val="single"/>
        </w:rPr>
        <w:t xml:space="preserve"> 叁 </w:t>
      </w:r>
      <w:r>
        <w:rPr>
          <w:rFonts w:hint="eastAsia" w:ascii="宋体" w:hAnsi="宋体" w:cs="宋体"/>
          <w:bCs/>
          <w:highlight w:val="none"/>
        </w:rPr>
        <w:t>份，合同备案机构执</w:t>
      </w:r>
      <w:r>
        <w:rPr>
          <w:rFonts w:hint="eastAsia" w:ascii="宋体" w:hAnsi="宋体" w:cs="宋体"/>
          <w:bCs/>
          <w:highlight w:val="none"/>
          <w:u w:val="single"/>
        </w:rPr>
        <w:t xml:space="preserve"> 壹 </w:t>
      </w:r>
      <w:r>
        <w:rPr>
          <w:rFonts w:hint="eastAsia" w:ascii="宋体" w:hAnsi="宋体" w:cs="宋体"/>
          <w:bCs/>
          <w:highlight w:val="none"/>
        </w:rPr>
        <w:t>份。</w:t>
      </w:r>
    </w:p>
    <w:p w14:paraId="45C03997">
      <w:pPr>
        <w:spacing w:line="400" w:lineRule="exact"/>
        <w:ind w:firstLine="480" w:firstLineChars="200"/>
        <w:rPr>
          <w:rFonts w:ascii="宋体" w:hAnsi="宋体" w:cs="宋体"/>
          <w:bCs/>
          <w:highlight w:val="none"/>
        </w:rPr>
      </w:pPr>
    </w:p>
    <w:p w14:paraId="38648B94">
      <w:pPr>
        <w:spacing w:line="400" w:lineRule="exact"/>
        <w:ind w:firstLine="480" w:firstLineChars="200"/>
        <w:rPr>
          <w:rFonts w:ascii="宋体" w:hAnsi="宋体" w:cs="宋体"/>
          <w:bCs/>
          <w:highlight w:val="none"/>
        </w:rPr>
      </w:pPr>
    </w:p>
    <w:p w14:paraId="77DFE6A9">
      <w:pPr>
        <w:spacing w:line="400" w:lineRule="exact"/>
        <w:ind w:firstLine="480" w:firstLineChars="200"/>
        <w:rPr>
          <w:rFonts w:ascii="宋体" w:hAnsi="宋体" w:cs="宋体"/>
          <w:highlight w:val="none"/>
        </w:rPr>
      </w:pPr>
      <w:r>
        <w:rPr>
          <w:rFonts w:hint="eastAsia" w:ascii="宋体" w:hAnsi="宋体" w:cs="宋体"/>
          <w:highlight w:val="none"/>
        </w:rPr>
        <w:t>发包人：  (公章)                       承包人：  (公章)</w:t>
      </w:r>
    </w:p>
    <w:p w14:paraId="7F7E67FE">
      <w:pPr>
        <w:spacing w:line="400" w:lineRule="exact"/>
        <w:ind w:firstLine="480" w:firstLineChars="200"/>
        <w:rPr>
          <w:rFonts w:ascii="宋体" w:hAnsi="宋体" w:cs="宋体"/>
          <w:highlight w:val="none"/>
          <w:u w:val="single"/>
        </w:rPr>
      </w:pPr>
      <w:r>
        <w:rPr>
          <w:rFonts w:hint="eastAsia" w:ascii="宋体" w:hAnsi="宋体" w:cs="宋体"/>
          <w:highlight w:val="none"/>
        </w:rPr>
        <w:t xml:space="preserve">                                 </w:t>
      </w:r>
    </w:p>
    <w:p w14:paraId="15E44002">
      <w:pPr>
        <w:spacing w:line="400" w:lineRule="exact"/>
        <w:ind w:firstLine="480" w:firstLineChars="200"/>
        <w:rPr>
          <w:rFonts w:ascii="宋体" w:hAnsi="宋体" w:cs="宋体"/>
          <w:highlight w:val="none"/>
        </w:rPr>
      </w:pPr>
      <w:r>
        <w:rPr>
          <w:rFonts w:hint="eastAsia" w:ascii="宋体" w:hAnsi="宋体" w:cs="宋体"/>
          <w:highlight w:val="none"/>
        </w:rPr>
        <w:t>法定代表人或其委托代理人：            法定代表人或其委托代理人：</w:t>
      </w:r>
    </w:p>
    <w:p w14:paraId="7E573362">
      <w:pPr>
        <w:spacing w:line="400" w:lineRule="exact"/>
        <w:ind w:firstLine="480" w:firstLineChars="200"/>
        <w:rPr>
          <w:rFonts w:ascii="宋体" w:hAnsi="宋体" w:cs="宋体"/>
          <w:highlight w:val="none"/>
        </w:rPr>
      </w:pPr>
      <w:r>
        <w:rPr>
          <w:rFonts w:hint="eastAsia" w:ascii="宋体" w:hAnsi="宋体" w:cs="宋体"/>
          <w:highlight w:val="none"/>
        </w:rPr>
        <w:t>（签字）                                  （签字）</w:t>
      </w:r>
    </w:p>
    <w:p w14:paraId="46ECB959">
      <w:pPr>
        <w:spacing w:line="400" w:lineRule="exact"/>
        <w:ind w:firstLine="480" w:firstLineChars="200"/>
        <w:rPr>
          <w:rFonts w:ascii="宋体" w:hAnsi="宋体" w:cs="宋体"/>
          <w:highlight w:val="none"/>
          <w:u w:val="single"/>
        </w:rPr>
      </w:pPr>
    </w:p>
    <w:p w14:paraId="2B18B4AE">
      <w:pPr>
        <w:tabs>
          <w:tab w:val="left" w:pos="4410"/>
        </w:tabs>
        <w:spacing w:line="400" w:lineRule="exact"/>
        <w:ind w:firstLine="480" w:firstLineChars="200"/>
        <w:rPr>
          <w:rFonts w:ascii="宋体" w:hAnsi="宋体" w:cs="宋体"/>
          <w:highlight w:val="none"/>
        </w:rPr>
      </w:pPr>
      <w:r>
        <w:rPr>
          <w:rFonts w:hint="eastAsia" w:ascii="宋体" w:hAnsi="宋体" w:cs="宋体"/>
          <w:highlight w:val="none"/>
        </w:rPr>
        <w:t>统一社会信用代码：</w:t>
      </w:r>
      <w:r>
        <w:rPr>
          <w:rFonts w:hint="eastAsia" w:ascii="宋体" w:hAnsi="宋体" w:cs="宋体"/>
          <w:bCs/>
          <w:highlight w:val="none"/>
          <w:u w:val="single"/>
        </w:rPr>
        <w:t xml:space="preserve">                  </w:t>
      </w:r>
      <w:r>
        <w:rPr>
          <w:rFonts w:hint="eastAsia" w:ascii="宋体" w:hAnsi="宋体" w:cs="宋体"/>
          <w:highlight w:val="none"/>
        </w:rPr>
        <w:t xml:space="preserve"> 统一社会信用代码：</w:t>
      </w:r>
      <w:r>
        <w:rPr>
          <w:rFonts w:hint="eastAsia" w:ascii="宋体" w:hAnsi="宋体" w:cs="宋体"/>
          <w:bCs/>
          <w:highlight w:val="none"/>
          <w:u w:val="single"/>
        </w:rPr>
        <w:t xml:space="preserve">                    </w:t>
      </w:r>
      <w:r>
        <w:rPr>
          <w:rFonts w:hint="eastAsia" w:ascii="宋体" w:hAnsi="宋体" w:cs="宋体"/>
          <w:highlight w:val="none"/>
        </w:rPr>
        <w:t xml:space="preserve"> </w:t>
      </w:r>
    </w:p>
    <w:p w14:paraId="7F6A7063">
      <w:pPr>
        <w:spacing w:line="400" w:lineRule="exact"/>
        <w:ind w:firstLine="480" w:firstLineChars="200"/>
        <w:rPr>
          <w:rFonts w:ascii="宋体" w:hAnsi="宋体" w:cs="宋体"/>
          <w:highlight w:val="none"/>
        </w:rPr>
      </w:pPr>
      <w:r>
        <w:rPr>
          <w:rFonts w:hint="eastAsia" w:ascii="宋体" w:hAnsi="宋体" w:cs="宋体"/>
          <w:highlight w:val="none"/>
        </w:rPr>
        <w:t>地  址：</w:t>
      </w:r>
      <w:r>
        <w:rPr>
          <w:rFonts w:hint="eastAsia" w:ascii="宋体" w:hAnsi="宋体" w:cs="宋体"/>
          <w:bCs/>
          <w:highlight w:val="none"/>
          <w:u w:val="single"/>
        </w:rPr>
        <w:t xml:space="preserve">                            </w:t>
      </w:r>
      <w:r>
        <w:rPr>
          <w:rFonts w:hint="eastAsia" w:ascii="宋体" w:hAnsi="宋体" w:cs="宋体"/>
          <w:highlight w:val="none"/>
        </w:rPr>
        <w:t xml:space="preserve"> 地  址：</w:t>
      </w:r>
      <w:r>
        <w:rPr>
          <w:rFonts w:hint="eastAsia" w:ascii="宋体" w:hAnsi="宋体" w:cs="宋体"/>
          <w:bCs/>
          <w:highlight w:val="none"/>
          <w:u w:val="single"/>
        </w:rPr>
        <w:t xml:space="preserve">                               </w:t>
      </w:r>
    </w:p>
    <w:p w14:paraId="2B1EF403">
      <w:pPr>
        <w:spacing w:line="400" w:lineRule="exact"/>
        <w:ind w:firstLine="480" w:firstLineChars="200"/>
        <w:rPr>
          <w:rFonts w:ascii="宋体" w:hAnsi="宋体" w:cs="宋体"/>
          <w:highlight w:val="none"/>
        </w:rPr>
      </w:pPr>
      <w:r>
        <w:rPr>
          <w:rFonts w:hint="eastAsia" w:ascii="宋体" w:hAnsi="宋体" w:cs="宋体"/>
          <w:highlight w:val="none"/>
        </w:rPr>
        <w:t>邮政编码：</w:t>
      </w:r>
      <w:r>
        <w:rPr>
          <w:rFonts w:hint="eastAsia" w:ascii="宋体" w:hAnsi="宋体" w:cs="宋体"/>
          <w:bCs/>
          <w:highlight w:val="none"/>
          <w:u w:val="single"/>
        </w:rPr>
        <w:t xml:space="preserve">                          </w:t>
      </w:r>
      <w:r>
        <w:rPr>
          <w:rFonts w:hint="eastAsia" w:ascii="宋体" w:hAnsi="宋体" w:cs="宋体"/>
          <w:highlight w:val="none"/>
        </w:rPr>
        <w:t xml:space="preserve"> 邮政编码：</w:t>
      </w:r>
      <w:r>
        <w:rPr>
          <w:rFonts w:hint="eastAsia" w:ascii="宋体" w:hAnsi="宋体" w:cs="宋体"/>
          <w:bCs/>
          <w:highlight w:val="none"/>
          <w:u w:val="single"/>
        </w:rPr>
        <w:t xml:space="preserve">                             </w:t>
      </w:r>
    </w:p>
    <w:p w14:paraId="0DFECBC1">
      <w:pPr>
        <w:spacing w:line="400" w:lineRule="exact"/>
        <w:ind w:firstLine="480" w:firstLineChars="200"/>
        <w:rPr>
          <w:rFonts w:ascii="宋体" w:hAnsi="宋体" w:cs="宋体"/>
          <w:highlight w:val="none"/>
        </w:rPr>
      </w:pPr>
      <w:r>
        <w:rPr>
          <w:rFonts w:hint="eastAsia" w:ascii="宋体" w:hAnsi="宋体" w:cs="宋体"/>
          <w:highlight w:val="none"/>
        </w:rPr>
        <w:t>法定代表人：</w:t>
      </w:r>
      <w:r>
        <w:rPr>
          <w:rFonts w:hint="eastAsia" w:ascii="宋体" w:hAnsi="宋体" w:cs="宋体"/>
          <w:bCs/>
          <w:highlight w:val="none"/>
          <w:u w:val="single"/>
        </w:rPr>
        <w:t xml:space="preserve">                        </w:t>
      </w:r>
      <w:r>
        <w:rPr>
          <w:rFonts w:hint="eastAsia" w:ascii="宋体" w:hAnsi="宋体" w:cs="宋体"/>
          <w:highlight w:val="none"/>
        </w:rPr>
        <w:t xml:space="preserve"> 法定代表人：</w:t>
      </w:r>
      <w:r>
        <w:rPr>
          <w:rFonts w:hint="eastAsia" w:ascii="宋体" w:hAnsi="宋体" w:cs="宋体"/>
          <w:bCs/>
          <w:highlight w:val="none"/>
          <w:u w:val="single"/>
        </w:rPr>
        <w:t xml:space="preserve">                           </w:t>
      </w:r>
    </w:p>
    <w:p w14:paraId="11EAD15B">
      <w:pPr>
        <w:spacing w:line="400" w:lineRule="exact"/>
        <w:ind w:firstLine="480" w:firstLineChars="200"/>
        <w:rPr>
          <w:rFonts w:ascii="宋体" w:hAnsi="宋体" w:cs="宋体"/>
          <w:highlight w:val="none"/>
        </w:rPr>
      </w:pPr>
      <w:r>
        <w:rPr>
          <w:rFonts w:hint="eastAsia" w:ascii="宋体" w:hAnsi="宋体" w:cs="宋体"/>
          <w:highlight w:val="none"/>
        </w:rPr>
        <w:t>委托代理人：</w:t>
      </w:r>
      <w:r>
        <w:rPr>
          <w:rFonts w:hint="eastAsia" w:ascii="宋体" w:hAnsi="宋体" w:cs="宋体"/>
          <w:bCs/>
          <w:highlight w:val="none"/>
          <w:u w:val="single"/>
        </w:rPr>
        <w:t xml:space="preserve">                        </w:t>
      </w:r>
      <w:r>
        <w:rPr>
          <w:rFonts w:hint="eastAsia" w:ascii="宋体" w:hAnsi="宋体" w:cs="宋体"/>
          <w:highlight w:val="none"/>
        </w:rPr>
        <w:t xml:space="preserve"> 委托代理人：</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7B9D7AD2">
      <w:pPr>
        <w:spacing w:line="400" w:lineRule="exact"/>
        <w:ind w:firstLine="480" w:firstLineChars="200"/>
        <w:rPr>
          <w:rFonts w:ascii="宋体" w:hAnsi="宋体" w:cs="宋体"/>
          <w:highlight w:val="none"/>
        </w:rPr>
      </w:pPr>
      <w:r>
        <w:rPr>
          <w:rFonts w:hint="eastAsia" w:ascii="宋体" w:hAnsi="宋体" w:cs="宋体"/>
          <w:highlight w:val="none"/>
        </w:rPr>
        <w:t>电  话：</w:t>
      </w:r>
      <w:r>
        <w:rPr>
          <w:rFonts w:hint="eastAsia" w:ascii="宋体" w:hAnsi="宋体" w:cs="宋体"/>
          <w:bCs/>
          <w:highlight w:val="none"/>
          <w:u w:val="single"/>
        </w:rPr>
        <w:t xml:space="preserve">                            </w:t>
      </w:r>
      <w:r>
        <w:rPr>
          <w:rFonts w:hint="eastAsia" w:ascii="宋体" w:hAnsi="宋体" w:cs="宋体"/>
          <w:highlight w:val="none"/>
        </w:rPr>
        <w:t xml:space="preserve"> 电  话：</w:t>
      </w:r>
      <w:r>
        <w:rPr>
          <w:rFonts w:hint="eastAsia" w:ascii="宋体" w:hAnsi="宋体" w:cs="宋体"/>
          <w:bCs/>
          <w:highlight w:val="none"/>
          <w:u w:val="single"/>
        </w:rPr>
        <w:t xml:space="preserve">                               </w:t>
      </w:r>
    </w:p>
    <w:p w14:paraId="13654DE8">
      <w:pPr>
        <w:spacing w:line="400" w:lineRule="exact"/>
        <w:ind w:firstLine="480" w:firstLineChars="200"/>
        <w:rPr>
          <w:rFonts w:ascii="宋体" w:hAnsi="宋体" w:cs="宋体"/>
          <w:highlight w:val="none"/>
        </w:rPr>
      </w:pPr>
      <w:r>
        <w:rPr>
          <w:rFonts w:hint="eastAsia" w:ascii="宋体" w:hAnsi="宋体" w:cs="宋体"/>
          <w:highlight w:val="none"/>
        </w:rPr>
        <w:t>传  真：</w:t>
      </w:r>
      <w:r>
        <w:rPr>
          <w:rFonts w:hint="eastAsia" w:ascii="宋体" w:hAnsi="宋体" w:cs="宋体"/>
          <w:bCs/>
          <w:highlight w:val="none"/>
          <w:u w:val="single"/>
        </w:rPr>
        <w:t xml:space="preserve">                            </w:t>
      </w:r>
      <w:r>
        <w:rPr>
          <w:rFonts w:hint="eastAsia" w:ascii="宋体" w:hAnsi="宋体" w:cs="宋体"/>
          <w:highlight w:val="none"/>
        </w:rPr>
        <w:t xml:space="preserve"> 传  真：</w:t>
      </w:r>
      <w:r>
        <w:rPr>
          <w:rFonts w:hint="eastAsia" w:ascii="宋体" w:hAnsi="宋体" w:cs="宋体"/>
          <w:bCs/>
          <w:highlight w:val="none"/>
          <w:u w:val="single"/>
        </w:rPr>
        <w:t xml:space="preserve">                               </w:t>
      </w:r>
    </w:p>
    <w:p w14:paraId="064E0075">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 xml:space="preserve"> 电子信箱：</w:t>
      </w:r>
      <w:r>
        <w:rPr>
          <w:rFonts w:hint="eastAsia" w:ascii="宋体" w:hAnsi="宋体" w:cs="宋体"/>
          <w:bCs/>
          <w:highlight w:val="none"/>
          <w:u w:val="single"/>
        </w:rPr>
        <w:t xml:space="preserve">                             </w:t>
      </w:r>
    </w:p>
    <w:p w14:paraId="2C5FACBA">
      <w:pPr>
        <w:spacing w:line="400" w:lineRule="exact"/>
        <w:ind w:firstLine="480" w:firstLineChars="200"/>
        <w:rPr>
          <w:rFonts w:ascii="宋体" w:hAnsi="宋体" w:cs="宋体"/>
          <w:bCs/>
          <w:highlight w:val="none"/>
          <w:u w:val="single"/>
        </w:rPr>
      </w:pPr>
      <w:r>
        <w:rPr>
          <w:rFonts w:hint="eastAsia" w:ascii="宋体" w:hAnsi="宋体" w:cs="宋体"/>
          <w:highlight w:val="none"/>
        </w:rPr>
        <w:t>开户银行：</w:t>
      </w:r>
      <w:r>
        <w:rPr>
          <w:rFonts w:hint="eastAsia" w:ascii="宋体" w:hAnsi="宋体" w:cs="宋体"/>
          <w:bCs/>
          <w:highlight w:val="none"/>
          <w:u w:val="single"/>
        </w:rPr>
        <w:t xml:space="preserve">                          </w:t>
      </w:r>
      <w:r>
        <w:rPr>
          <w:rFonts w:hint="eastAsia" w:ascii="宋体" w:hAnsi="宋体" w:cs="宋体"/>
          <w:highlight w:val="none"/>
        </w:rPr>
        <w:t xml:space="preserve"> 开户银行：</w:t>
      </w:r>
      <w:r>
        <w:rPr>
          <w:rFonts w:hint="eastAsia" w:ascii="宋体" w:hAnsi="宋体" w:cs="宋体"/>
          <w:bCs/>
          <w:highlight w:val="none"/>
          <w:u w:val="single"/>
        </w:rPr>
        <w:t xml:space="preserve">                             </w:t>
      </w:r>
    </w:p>
    <w:p w14:paraId="04D57B9B">
      <w:pPr>
        <w:spacing w:line="400" w:lineRule="exact"/>
        <w:ind w:firstLine="480" w:firstLineChars="200"/>
        <w:rPr>
          <w:rFonts w:ascii="宋体" w:hAnsi="宋体" w:cs="宋体"/>
          <w:highlight w:val="none"/>
          <w:u w:val="single"/>
        </w:rPr>
      </w:pPr>
      <w:r>
        <w:rPr>
          <w:rFonts w:hint="eastAsia" w:ascii="宋体" w:hAnsi="宋体" w:cs="宋体"/>
          <w:highlight w:val="none"/>
        </w:rPr>
        <w:t>账  号：</w:t>
      </w:r>
      <w:r>
        <w:rPr>
          <w:rFonts w:hint="eastAsia" w:ascii="宋体" w:hAnsi="宋体" w:cs="宋体"/>
          <w:bCs/>
          <w:highlight w:val="none"/>
          <w:u w:val="single"/>
        </w:rPr>
        <w:t xml:space="preserve">                            </w:t>
      </w:r>
      <w:r>
        <w:rPr>
          <w:rFonts w:hint="eastAsia" w:ascii="宋体" w:hAnsi="宋体" w:cs="宋体"/>
          <w:highlight w:val="none"/>
        </w:rPr>
        <w:t xml:space="preserve"> 账  号：</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7C083BC7">
      <w:pPr>
        <w:spacing w:line="400" w:lineRule="exact"/>
        <w:ind w:firstLine="480" w:firstLineChars="200"/>
        <w:rPr>
          <w:rFonts w:ascii="宋体" w:hAnsi="宋体" w:cs="宋体"/>
          <w:highlight w:val="none"/>
        </w:rPr>
      </w:pPr>
    </w:p>
    <w:p w14:paraId="6A4447D7">
      <w:pPr>
        <w:spacing w:line="400" w:lineRule="exact"/>
        <w:ind w:firstLine="480" w:firstLineChars="200"/>
        <w:rPr>
          <w:rFonts w:ascii="宋体" w:hAnsi="宋体" w:cs="宋体"/>
          <w:highlight w:val="none"/>
        </w:rPr>
      </w:pPr>
    </w:p>
    <w:p w14:paraId="725E2962">
      <w:pPr>
        <w:pStyle w:val="27"/>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130" w:name="_Toc394573946"/>
      <w:bookmarkStart w:id="131" w:name="_Toc16349"/>
      <w:bookmarkStart w:id="132" w:name="_Toc8482"/>
      <w:bookmarkStart w:id="133" w:name="_Toc228163246"/>
      <w:r>
        <w:rPr>
          <w:rFonts w:hint="eastAsia"/>
          <w:sz w:val="32"/>
          <w:szCs w:val="32"/>
          <w:highlight w:val="none"/>
        </w:rPr>
        <w:t>第二部分</w:t>
      </w:r>
      <w:r>
        <w:rPr>
          <w:rFonts w:hint="eastAsia"/>
          <w:sz w:val="32"/>
          <w:szCs w:val="32"/>
          <w:highlight w:val="none"/>
          <w:lang w:val="en-US" w:eastAsia="zh-CN"/>
        </w:rPr>
        <w:t xml:space="preserve"> </w:t>
      </w:r>
      <w:r>
        <w:rPr>
          <w:rFonts w:hint="eastAsia"/>
          <w:sz w:val="32"/>
          <w:szCs w:val="32"/>
          <w:highlight w:val="none"/>
        </w:rPr>
        <w:t>通用合同条款</w:t>
      </w:r>
      <w:bookmarkEnd w:id="130"/>
      <w:bookmarkEnd w:id="131"/>
      <w:bookmarkEnd w:id="132"/>
      <w:bookmarkEnd w:id="133"/>
    </w:p>
    <w:p w14:paraId="78044A06">
      <w:pPr>
        <w:pStyle w:val="35"/>
        <w:ind w:firstLine="420"/>
        <w:rPr>
          <w:rFonts w:ascii="宋体" w:hAnsi="宋体" w:cs="宋体"/>
          <w:color w:val="auto"/>
          <w:sz w:val="24"/>
          <w:szCs w:val="24"/>
          <w:highlight w:val="none"/>
        </w:rPr>
      </w:pPr>
      <w:r>
        <w:rPr>
          <w:rFonts w:hint="eastAsia" w:ascii="宋体" w:hAnsi="宋体" w:cs="宋体"/>
          <w:color w:val="auto"/>
          <w:sz w:val="24"/>
          <w:szCs w:val="24"/>
          <w:highlight w:val="none"/>
        </w:rPr>
        <w:t>合同通用条款采用《建设工程施工合同（示范文本）》的通用条款（GF—2017—0201）</w:t>
      </w:r>
    </w:p>
    <w:p w14:paraId="46AED99A">
      <w:pPr>
        <w:pStyle w:val="27"/>
        <w:jc w:val="center"/>
        <w:rPr>
          <w:sz w:val="32"/>
          <w:szCs w:val="32"/>
          <w:highlight w:val="none"/>
        </w:rPr>
      </w:pPr>
      <w:bookmarkStart w:id="134" w:name="_Toc267919286"/>
      <w:bookmarkStart w:id="135" w:name="_Toc26550"/>
      <w:bookmarkStart w:id="136" w:name="_Toc26372"/>
      <w:bookmarkStart w:id="137" w:name="_Toc394573947"/>
      <w:bookmarkStart w:id="138" w:name="_Toc278377207"/>
      <w:r>
        <w:rPr>
          <w:rFonts w:hint="eastAsia"/>
          <w:sz w:val="32"/>
          <w:szCs w:val="32"/>
          <w:highlight w:val="none"/>
        </w:rPr>
        <w:t>第三部分</w:t>
      </w:r>
      <w:r>
        <w:rPr>
          <w:rFonts w:hint="eastAsia"/>
          <w:sz w:val="32"/>
          <w:szCs w:val="32"/>
          <w:highlight w:val="none"/>
          <w:lang w:val="en-US" w:eastAsia="zh-CN"/>
        </w:rPr>
        <w:t xml:space="preserve"> 专</w:t>
      </w:r>
      <w:r>
        <w:rPr>
          <w:rFonts w:hint="eastAsia"/>
          <w:sz w:val="32"/>
          <w:szCs w:val="32"/>
          <w:highlight w:val="none"/>
        </w:rPr>
        <w:t>用合同条款</w:t>
      </w:r>
      <w:bookmarkEnd w:id="134"/>
      <w:bookmarkEnd w:id="135"/>
      <w:bookmarkEnd w:id="136"/>
      <w:bookmarkEnd w:id="137"/>
      <w:bookmarkEnd w:id="138"/>
    </w:p>
    <w:p w14:paraId="6F6CF54C">
      <w:pPr>
        <w:spacing w:before="0" w:after="0" w:line="400" w:lineRule="exact"/>
        <w:ind w:firstLine="480" w:firstLineChars="200"/>
        <w:outlineLvl w:val="9"/>
        <w:rPr>
          <w:rFonts w:ascii="宋体" w:hAnsi="宋体" w:eastAsia="宋体" w:cs="宋体"/>
          <w:sz w:val="24"/>
          <w:szCs w:val="24"/>
          <w:highlight w:val="none"/>
        </w:rPr>
      </w:pPr>
      <w:bookmarkStart w:id="139" w:name="_Toc351203633"/>
      <w:bookmarkStart w:id="140" w:name="_Toc228163249"/>
      <w:r>
        <w:rPr>
          <w:rFonts w:hint="eastAsia" w:ascii="宋体" w:hAnsi="宋体" w:eastAsia="宋体" w:cs="宋体"/>
          <w:sz w:val="24"/>
          <w:szCs w:val="24"/>
          <w:highlight w:val="none"/>
        </w:rPr>
        <w:t>1</w:t>
      </w:r>
      <w:bookmarkStart w:id="141" w:name="_Toc296346657"/>
      <w:bookmarkStart w:id="142" w:name="_Toc296944495"/>
      <w:bookmarkStart w:id="143" w:name="_Toc296891196"/>
      <w:bookmarkStart w:id="144" w:name="_Toc296347155"/>
      <w:bookmarkStart w:id="145" w:name="_Toc292559361"/>
      <w:bookmarkStart w:id="146" w:name="_Toc292559866"/>
      <w:bookmarkStart w:id="147" w:name="_Toc296890984"/>
      <w:bookmarkStart w:id="148" w:name="_Toc297120456"/>
      <w:bookmarkStart w:id="149" w:name="_Toc296503156"/>
      <w:bookmarkStart w:id="150" w:name="_Toc297048342"/>
      <w:r>
        <w:rPr>
          <w:rFonts w:hint="eastAsia" w:ascii="宋体" w:hAnsi="宋体" w:eastAsia="宋体" w:cs="宋体"/>
          <w:sz w:val="24"/>
          <w:szCs w:val="24"/>
          <w:highlight w:val="none"/>
        </w:rPr>
        <w:t>. 一般约定</w:t>
      </w:r>
      <w:bookmarkEnd w:id="139"/>
    </w:p>
    <w:bookmarkEnd w:id="141"/>
    <w:bookmarkEnd w:id="142"/>
    <w:bookmarkEnd w:id="143"/>
    <w:bookmarkEnd w:id="144"/>
    <w:bookmarkEnd w:id="145"/>
    <w:bookmarkEnd w:id="146"/>
    <w:bookmarkEnd w:id="147"/>
    <w:bookmarkEnd w:id="148"/>
    <w:bookmarkEnd w:id="149"/>
    <w:bookmarkEnd w:id="150"/>
    <w:p w14:paraId="2DE20BA7">
      <w:pPr>
        <w:spacing w:line="400" w:lineRule="exact"/>
        <w:ind w:firstLine="480" w:firstLineChars="200"/>
        <w:outlineLvl w:val="9"/>
        <w:rPr>
          <w:rFonts w:ascii="宋体" w:hAnsi="宋体" w:cs="宋体"/>
          <w:highlight w:val="none"/>
        </w:rPr>
      </w:pPr>
      <w:r>
        <w:rPr>
          <w:rFonts w:hint="eastAsia" w:ascii="宋体" w:hAnsi="宋体" w:cs="宋体"/>
          <w:highlight w:val="none"/>
        </w:rPr>
        <w:t>1.1 词语定义</w:t>
      </w:r>
    </w:p>
    <w:p w14:paraId="06FD6E1E">
      <w:pPr>
        <w:spacing w:line="400" w:lineRule="exact"/>
        <w:ind w:firstLine="480" w:firstLineChars="200"/>
        <w:outlineLvl w:val="9"/>
        <w:rPr>
          <w:rFonts w:ascii="宋体" w:hAnsi="宋体" w:cs="宋体"/>
          <w:highlight w:val="none"/>
        </w:rPr>
      </w:pPr>
      <w:r>
        <w:rPr>
          <w:rFonts w:hint="eastAsia" w:ascii="宋体" w:hAnsi="宋体" w:cs="宋体"/>
          <w:highlight w:val="none"/>
        </w:rPr>
        <w:t>1.1.1合同</w:t>
      </w:r>
    </w:p>
    <w:p w14:paraId="64799BDC">
      <w:pPr>
        <w:spacing w:line="400" w:lineRule="exact"/>
        <w:ind w:firstLine="480" w:firstLineChars="200"/>
        <w:outlineLvl w:val="9"/>
        <w:rPr>
          <w:rFonts w:ascii="宋体" w:hAnsi="宋体" w:cs="宋体"/>
          <w:highlight w:val="none"/>
        </w:rPr>
      </w:pPr>
      <w:r>
        <w:rPr>
          <w:rFonts w:hint="eastAsia" w:ascii="宋体" w:hAnsi="宋体" w:cs="宋体"/>
          <w:highlight w:val="none"/>
        </w:rPr>
        <w:t>1.1.1.10其他合同文件包括：</w:t>
      </w:r>
      <w:r>
        <w:rPr>
          <w:rFonts w:hint="eastAsia" w:ascii="宋体" w:hAnsi="宋体" w:cs="宋体"/>
          <w:highlight w:val="none"/>
          <w:u w:val="single"/>
        </w:rPr>
        <w:t>工程招标文件、《关于印发三门县政府投资项目变更管理办法（试行）的通知》三政办规〔2023〕4号、《关于进一步规范报送工程变更资料的通知》（三发改【2021】42号除投标函及其附录和已标价工程量清单或预算审核书外的其它投标文件，上述管理办法如有变动时，按从新原则执行。</w:t>
      </w:r>
    </w:p>
    <w:p w14:paraId="3E13F179">
      <w:pPr>
        <w:spacing w:line="400" w:lineRule="exact"/>
        <w:ind w:firstLine="480" w:firstLineChars="200"/>
        <w:outlineLvl w:val="9"/>
        <w:rPr>
          <w:rFonts w:ascii="宋体" w:hAnsi="宋体" w:cs="宋体"/>
          <w:highlight w:val="none"/>
        </w:rPr>
      </w:pPr>
      <w:r>
        <w:rPr>
          <w:rFonts w:hint="eastAsia" w:ascii="宋体" w:hAnsi="宋体" w:cs="宋体"/>
          <w:highlight w:val="none"/>
        </w:rPr>
        <w:t>1.1.2 合同当事人及其他相关方</w:t>
      </w:r>
    </w:p>
    <w:p w14:paraId="59CEAE2C">
      <w:pPr>
        <w:spacing w:line="400" w:lineRule="exact"/>
        <w:ind w:firstLine="480" w:firstLineChars="200"/>
        <w:outlineLvl w:val="9"/>
        <w:rPr>
          <w:rFonts w:ascii="宋体" w:hAnsi="宋体" w:cs="宋体"/>
          <w:highlight w:val="none"/>
        </w:rPr>
      </w:pPr>
      <w:r>
        <w:rPr>
          <w:rFonts w:hint="eastAsia" w:ascii="宋体" w:hAnsi="宋体" w:cs="宋体"/>
          <w:highlight w:val="none"/>
        </w:rPr>
        <w:t>1.1.2.4监理人：</w:t>
      </w:r>
    </w:p>
    <w:p w14:paraId="0EA390C0">
      <w:pPr>
        <w:spacing w:line="400" w:lineRule="exact"/>
        <w:ind w:firstLine="480" w:firstLineChars="200"/>
        <w:outlineLvl w:val="9"/>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390B414F">
      <w:pPr>
        <w:spacing w:line="400" w:lineRule="exact"/>
        <w:ind w:firstLine="480" w:firstLineChars="200"/>
        <w:outlineLvl w:val="9"/>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89962C5">
      <w:pPr>
        <w:spacing w:line="400" w:lineRule="exact"/>
        <w:ind w:firstLine="48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58E632E">
      <w:pPr>
        <w:spacing w:line="400" w:lineRule="exact"/>
        <w:ind w:firstLine="48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26F574B">
      <w:pPr>
        <w:spacing w:line="400" w:lineRule="exact"/>
        <w:ind w:firstLine="48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1761E26">
      <w:pPr>
        <w:spacing w:line="400" w:lineRule="exact"/>
        <w:ind w:firstLine="480" w:firstLineChars="200"/>
        <w:outlineLvl w:val="9"/>
        <w:rPr>
          <w:rFonts w:ascii="宋体" w:hAnsi="宋体" w:cs="宋体"/>
          <w:highlight w:val="none"/>
        </w:rPr>
      </w:pPr>
      <w:r>
        <w:rPr>
          <w:rFonts w:hint="eastAsia" w:ascii="宋体" w:hAnsi="宋体" w:cs="宋体"/>
          <w:highlight w:val="none"/>
        </w:rPr>
        <w:t>1.1.2.5 设计人：</w:t>
      </w:r>
    </w:p>
    <w:p w14:paraId="6CB1BC93">
      <w:pPr>
        <w:spacing w:line="400" w:lineRule="exact"/>
        <w:ind w:firstLine="480" w:firstLineChars="200"/>
        <w:outlineLvl w:val="9"/>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6817ECD">
      <w:pPr>
        <w:spacing w:line="400" w:lineRule="exact"/>
        <w:ind w:firstLine="480" w:firstLineChars="200"/>
        <w:outlineLvl w:val="9"/>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rPr>
        <w:t>；</w:t>
      </w:r>
    </w:p>
    <w:p w14:paraId="4D74D617">
      <w:pPr>
        <w:spacing w:line="400" w:lineRule="exact"/>
        <w:ind w:firstLine="48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74E9840">
      <w:pPr>
        <w:spacing w:line="400" w:lineRule="exact"/>
        <w:ind w:firstLine="48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617801C1">
      <w:pPr>
        <w:spacing w:line="400" w:lineRule="exact"/>
        <w:ind w:firstLine="48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32FA5EBE">
      <w:pPr>
        <w:spacing w:line="400" w:lineRule="exact"/>
        <w:ind w:firstLine="480" w:firstLineChars="200"/>
        <w:outlineLvl w:val="9"/>
        <w:rPr>
          <w:rFonts w:ascii="宋体" w:hAnsi="宋体" w:cs="宋体"/>
          <w:highlight w:val="none"/>
        </w:rPr>
      </w:pPr>
      <w:r>
        <w:rPr>
          <w:rFonts w:hint="eastAsia" w:ascii="宋体" w:hAnsi="宋体" w:cs="宋体"/>
          <w:highlight w:val="none"/>
        </w:rPr>
        <w:t>1.1.3 工程和设备</w:t>
      </w:r>
    </w:p>
    <w:p w14:paraId="0740C91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w:t>
      </w:r>
      <w:r>
        <w:rPr>
          <w:rFonts w:hint="eastAsia" w:ascii="宋体" w:hAnsi="宋体" w:cs="宋体"/>
          <w:color w:val="auto"/>
          <w:spacing w:val="-3"/>
          <w:highlight w:val="none"/>
          <w:u w:val="single"/>
          <w:lang w:val="en-US" w:eastAsia="zh-CN"/>
        </w:rPr>
        <w:t xml:space="preserve"> </w:t>
      </w:r>
      <w:r>
        <w:rPr>
          <w:rFonts w:hint="eastAsia" w:ascii="宋体" w:hAnsi="宋体" w:cs="宋体"/>
          <w:color w:val="auto"/>
          <w:highlight w:val="none"/>
          <w:u w:val="single"/>
        </w:rPr>
        <w:t>临时占地</w:t>
      </w:r>
      <w:r>
        <w:rPr>
          <w:rFonts w:hint="eastAsia" w:ascii="宋体" w:hAnsi="宋体" w:cs="宋体"/>
          <w:color w:val="auto"/>
          <w:spacing w:val="-3"/>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F8448C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1.1.3.9 永久占地包括：</w:t>
      </w:r>
      <w:r>
        <w:rPr>
          <w:rFonts w:hint="eastAsia" w:ascii="宋体" w:hAnsi="宋体" w:cs="宋体"/>
          <w:color w:val="auto"/>
          <w:spacing w:val="-3"/>
          <w:highlight w:val="none"/>
          <w:u w:val="single"/>
        </w:rPr>
        <w:t>建设工程规划用地红线范围内的占地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6A1A076">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1.1.3.10 临时占地包括：</w:t>
      </w:r>
      <w:r>
        <w:rPr>
          <w:rFonts w:hint="eastAsia" w:ascii="宋体" w:hAnsi="宋体" w:cs="宋体"/>
          <w:color w:val="auto"/>
          <w:highlight w:val="none"/>
          <w:u w:val="single"/>
        </w:rPr>
        <w:t>承包人应自行勘察现场，结合场地现状、合同要求、项目风险、工程 设计文件、安全文明施工要求等，考虑临时占地的需求。承包人在本项目红线范围内自行考虑临时场地，根据施工</w:t>
      </w:r>
      <w:r>
        <w:rPr>
          <w:rFonts w:hint="eastAsia" w:ascii="宋体" w:hAnsi="宋体" w:cs="宋体"/>
          <w:color w:val="auto"/>
          <w:spacing w:val="-3"/>
          <w:highlight w:val="none"/>
          <w:u w:val="single"/>
        </w:rPr>
        <w:t>现场情况自行合理安排，费用由承包人承担。</w:t>
      </w:r>
    </w:p>
    <w:p w14:paraId="08B75283">
      <w:pPr>
        <w:spacing w:line="400" w:lineRule="exact"/>
        <w:ind w:firstLine="480" w:firstLineChars="200"/>
        <w:outlineLvl w:val="9"/>
        <w:rPr>
          <w:rFonts w:ascii="宋体" w:hAnsi="宋体" w:cs="宋体"/>
          <w:highlight w:val="none"/>
        </w:rPr>
      </w:pPr>
      <w:r>
        <w:rPr>
          <w:rFonts w:hint="eastAsia" w:ascii="宋体" w:hAnsi="宋体" w:cs="宋体"/>
          <w:highlight w:val="none"/>
        </w:rPr>
        <w:t xml:space="preserve">1.3法律 </w:t>
      </w:r>
    </w:p>
    <w:p w14:paraId="672F5D2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适用于合同的其他规范性文件</w:t>
      </w:r>
      <w:r>
        <w:rPr>
          <w:rFonts w:hint="eastAsia" w:ascii="宋体" w:hAnsi="宋体" w:cs="宋体"/>
          <w:highlight w:val="none"/>
          <w:u w:val="single"/>
        </w:rPr>
        <w:t>：</w:t>
      </w:r>
      <w:r>
        <w:rPr>
          <w:rFonts w:hint="eastAsia" w:ascii="宋体" w:hAnsi="宋体" w:cs="宋体"/>
          <w:highlight w:val="none"/>
          <w:u w:val="single"/>
          <w:lang w:eastAsia="zh-CN"/>
        </w:rPr>
        <w:t>《浙江省建设工程计价规则》（2018版）、《浙江省房屋建筑与装饰工程预算定额》（2018版）、《浙江省市政工程预算定额》（2018版）、《浙江省园林绿化及仿古建筑工程预算定额》（2018版）、《市政工程工程量计算规范》 GB50857-2013、《房屋建筑与装饰工程工程量计算规范》 GB50854-2013、《园林绿化工程工程量计算规范》 GB50858-2013；《浙江省通用安装工程预算定额》（2018版）；《通用安装工程工程量计算规范》GB50856-2013及</w:t>
      </w:r>
      <w:r>
        <w:rPr>
          <w:rFonts w:hint="eastAsia" w:ascii="宋体" w:hAnsi="宋体" w:cs="宋体"/>
          <w:highlight w:val="none"/>
          <w:u w:val="single"/>
        </w:rPr>
        <w:t>工程所在地现行的有关工程造价方面规定。</w:t>
      </w:r>
    </w:p>
    <w:p w14:paraId="4F5AC1E3">
      <w:pPr>
        <w:spacing w:line="400" w:lineRule="exact"/>
        <w:ind w:firstLine="482" w:firstLineChars="200"/>
        <w:outlineLvl w:val="9"/>
        <w:rPr>
          <w:rFonts w:ascii="宋体" w:hAnsi="宋体" w:cs="宋体"/>
          <w:b/>
          <w:highlight w:val="none"/>
        </w:rPr>
      </w:pPr>
      <w:r>
        <w:rPr>
          <w:rFonts w:hint="eastAsia" w:ascii="宋体" w:hAnsi="宋体" w:cs="宋体"/>
          <w:b/>
          <w:highlight w:val="none"/>
        </w:rPr>
        <w:t>1.4 标准和规范</w:t>
      </w:r>
    </w:p>
    <w:p w14:paraId="6CAE544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1.4.1适用于工程的标准规范包括：</w:t>
      </w:r>
      <w:r>
        <w:rPr>
          <w:rFonts w:hint="eastAsia" w:ascii="宋体" w:hAnsi="宋体" w:cs="宋体"/>
          <w:highlight w:val="none"/>
          <w:u w:val="single"/>
        </w:rPr>
        <w:t>按现行的国家、省、市施工验收规范、质量评定标准及有关规定。合同工期内的标准、规范，招标文件中的技术要求等</w:t>
      </w:r>
      <w:r>
        <w:rPr>
          <w:rFonts w:hint="eastAsia" w:ascii="宋体" w:hAnsi="宋体" w:cs="宋体"/>
          <w:highlight w:val="none"/>
        </w:rPr>
        <w:t>。</w:t>
      </w:r>
    </w:p>
    <w:p w14:paraId="074F347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u w:val="single"/>
        </w:rPr>
      </w:pPr>
      <w:r>
        <w:rPr>
          <w:rFonts w:hint="eastAsia" w:ascii="宋体" w:hAnsi="宋体" w:cs="宋体"/>
          <w:highlight w:val="none"/>
        </w:rPr>
        <w:t>1.4.2 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14:paraId="63EE92A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发包人提供国外标准、规范的份数：</w:t>
      </w:r>
      <w:r>
        <w:rPr>
          <w:rFonts w:hint="eastAsia" w:ascii="宋体" w:hAnsi="宋体" w:cs="宋体"/>
          <w:highlight w:val="none"/>
          <w:u w:val="single"/>
        </w:rPr>
        <w:t xml:space="preserve">                   /              </w:t>
      </w:r>
      <w:r>
        <w:rPr>
          <w:rFonts w:hint="eastAsia" w:ascii="宋体" w:hAnsi="宋体" w:cs="宋体"/>
          <w:highlight w:val="none"/>
        </w:rPr>
        <w:t>；</w:t>
      </w:r>
    </w:p>
    <w:p w14:paraId="00624B2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14:paraId="4C62B06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1.4.3发包人对工程的技术标准和功能要求的特殊要求：</w:t>
      </w:r>
      <w:r>
        <w:rPr>
          <w:rFonts w:hint="eastAsia" w:ascii="宋体" w:hAnsi="宋体" w:cs="宋体"/>
          <w:highlight w:val="none"/>
          <w:u w:val="single"/>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cs="宋体"/>
          <w:highlight w:val="none"/>
        </w:rPr>
        <w:t>。</w:t>
      </w:r>
    </w:p>
    <w:p w14:paraId="18EBEF20">
      <w:pPr>
        <w:spacing w:line="400" w:lineRule="exact"/>
        <w:ind w:firstLine="482" w:firstLineChars="200"/>
        <w:outlineLvl w:val="9"/>
        <w:rPr>
          <w:rFonts w:ascii="宋体" w:hAnsi="宋体" w:cs="宋体"/>
          <w:b/>
          <w:highlight w:val="none"/>
        </w:rPr>
      </w:pPr>
      <w:r>
        <w:rPr>
          <w:rFonts w:hint="eastAsia" w:ascii="宋体" w:hAnsi="宋体" w:cs="宋体"/>
          <w:b/>
          <w:highlight w:val="none"/>
        </w:rPr>
        <w:t>1.5 合同文件的优先顺序</w:t>
      </w:r>
    </w:p>
    <w:p w14:paraId="0C154E72">
      <w:pPr>
        <w:spacing w:line="400" w:lineRule="exact"/>
        <w:ind w:firstLine="480" w:firstLineChars="200"/>
        <w:outlineLvl w:val="9"/>
        <w:rPr>
          <w:rFonts w:ascii="宋体" w:hAnsi="宋体" w:cs="宋体"/>
          <w:highlight w:val="none"/>
        </w:rPr>
      </w:pPr>
      <w:r>
        <w:rPr>
          <w:rFonts w:hint="eastAsia" w:ascii="宋体" w:hAnsi="宋体" w:cs="宋体"/>
          <w:highlight w:val="none"/>
        </w:rPr>
        <w:t>合同文件组成及优先顺序为：</w:t>
      </w:r>
      <w:r>
        <w:rPr>
          <w:rFonts w:hint="eastAsia" w:ascii="宋体" w:hAnsi="宋体" w:cs="宋体"/>
          <w:highlight w:val="none"/>
          <w:u w:val="single"/>
        </w:rPr>
        <w:t>按合同协议书执行</w:t>
      </w:r>
      <w:r>
        <w:rPr>
          <w:rFonts w:hint="eastAsia" w:ascii="宋体" w:hAnsi="宋体" w:cs="宋体"/>
          <w:highlight w:val="none"/>
        </w:rPr>
        <w:t>。</w:t>
      </w:r>
    </w:p>
    <w:p w14:paraId="6AF67058">
      <w:pPr>
        <w:spacing w:line="400" w:lineRule="exact"/>
        <w:ind w:firstLine="482" w:firstLineChars="200"/>
        <w:outlineLvl w:val="9"/>
        <w:rPr>
          <w:rFonts w:ascii="宋体" w:hAnsi="宋体" w:cs="宋体"/>
          <w:b/>
          <w:highlight w:val="none"/>
        </w:rPr>
      </w:pPr>
      <w:r>
        <w:rPr>
          <w:rFonts w:hint="eastAsia" w:ascii="宋体" w:hAnsi="宋体" w:cs="宋体"/>
          <w:b/>
          <w:highlight w:val="none"/>
        </w:rPr>
        <w:t>1.6 图纸和承包人文件</w:t>
      </w:r>
      <w:r>
        <w:rPr>
          <w:rFonts w:hint="eastAsia" w:ascii="宋体" w:hAnsi="宋体" w:cs="宋体"/>
          <w:b/>
          <w:highlight w:val="none"/>
        </w:rPr>
        <w:tab/>
      </w:r>
    </w:p>
    <w:p w14:paraId="417FA592">
      <w:pPr>
        <w:spacing w:line="400" w:lineRule="exact"/>
        <w:ind w:firstLine="480" w:firstLineChars="200"/>
        <w:outlineLvl w:val="9"/>
        <w:rPr>
          <w:rFonts w:ascii="宋体" w:hAnsi="宋体" w:cs="宋体"/>
          <w:highlight w:val="none"/>
        </w:rPr>
      </w:pPr>
      <w:r>
        <w:rPr>
          <w:rFonts w:hint="eastAsia" w:ascii="宋体" w:hAnsi="宋体" w:cs="宋体"/>
          <w:highlight w:val="none"/>
        </w:rPr>
        <w:t>1.6.1 图纸的提供</w:t>
      </w:r>
    </w:p>
    <w:p w14:paraId="61E908CF">
      <w:pPr>
        <w:spacing w:line="400" w:lineRule="exact"/>
        <w:ind w:firstLine="480" w:firstLineChars="200"/>
        <w:outlineLvl w:val="9"/>
        <w:rPr>
          <w:rFonts w:ascii="宋体" w:hAnsi="宋体" w:cs="宋体"/>
          <w:highlight w:val="none"/>
        </w:rPr>
      </w:pPr>
      <w:r>
        <w:rPr>
          <w:rFonts w:hint="eastAsia" w:ascii="宋体" w:hAnsi="宋体" w:cs="宋体"/>
          <w:highlight w:val="none"/>
        </w:rPr>
        <w:t>发包人向承包人提供图纸的期限：</w:t>
      </w:r>
      <w:r>
        <w:rPr>
          <w:rFonts w:hint="eastAsia" w:ascii="宋体" w:hAnsi="宋体" w:cs="宋体"/>
          <w:highlight w:val="none"/>
          <w:u w:val="single"/>
        </w:rPr>
        <w:t>开工日期前14天前</w:t>
      </w:r>
      <w:r>
        <w:rPr>
          <w:rFonts w:hint="eastAsia" w:ascii="宋体" w:hAnsi="宋体" w:cs="宋体"/>
          <w:highlight w:val="none"/>
        </w:rPr>
        <w:t>；</w:t>
      </w:r>
    </w:p>
    <w:p w14:paraId="30AEE7C4">
      <w:pPr>
        <w:spacing w:line="400" w:lineRule="exact"/>
        <w:ind w:firstLine="480" w:firstLineChars="200"/>
        <w:outlineLvl w:val="9"/>
        <w:rPr>
          <w:rFonts w:ascii="宋体" w:hAnsi="宋体" w:cs="宋体"/>
          <w:highlight w:val="none"/>
        </w:rPr>
      </w:pPr>
      <w:r>
        <w:rPr>
          <w:rFonts w:hint="eastAsia" w:ascii="宋体" w:hAnsi="宋体" w:cs="宋体"/>
          <w:highlight w:val="none"/>
        </w:rPr>
        <w:t>发包人向承包人提供图纸的数量：</w:t>
      </w:r>
      <w:r>
        <w:rPr>
          <w:rFonts w:hint="eastAsia" w:ascii="宋体" w:hAnsi="宋体" w:cs="宋体"/>
          <w:highlight w:val="none"/>
          <w:u w:val="single"/>
        </w:rPr>
        <w:t>纸质施工图〔3 〕套并附目录清单及与其一致的电子版施工图</w:t>
      </w:r>
      <w:r>
        <w:rPr>
          <w:rFonts w:hint="eastAsia" w:ascii="宋体" w:hAnsi="宋体" w:cs="宋体"/>
          <w:highlight w:val="none"/>
        </w:rPr>
        <w:t>；</w:t>
      </w:r>
    </w:p>
    <w:p w14:paraId="48A43FD8">
      <w:pPr>
        <w:spacing w:line="400" w:lineRule="exact"/>
        <w:ind w:firstLine="480" w:firstLineChars="200"/>
        <w:outlineLvl w:val="9"/>
        <w:rPr>
          <w:rFonts w:ascii="宋体" w:hAnsi="宋体" w:cs="宋体"/>
          <w:highlight w:val="none"/>
        </w:rPr>
      </w:pPr>
      <w:r>
        <w:rPr>
          <w:rFonts w:hint="eastAsia" w:ascii="宋体" w:hAnsi="宋体" w:cs="宋体"/>
          <w:highlight w:val="none"/>
        </w:rPr>
        <w:t>发包人向承包人提供图纸的内容：</w:t>
      </w:r>
      <w:r>
        <w:rPr>
          <w:rFonts w:hint="eastAsia" w:ascii="宋体" w:hAnsi="宋体" w:cs="宋体"/>
          <w:highlight w:val="none"/>
          <w:u w:val="single"/>
        </w:rPr>
        <w:t>（须载明施工图纸名称、工程号、版本、出图日期、目录、已有的变更联系单编号等）</w:t>
      </w:r>
      <w:r>
        <w:rPr>
          <w:rFonts w:hint="eastAsia" w:ascii="宋体" w:hAnsi="宋体" w:cs="宋体"/>
          <w:highlight w:val="none"/>
        </w:rPr>
        <w:t>。</w:t>
      </w:r>
    </w:p>
    <w:p w14:paraId="4853AA4C">
      <w:pPr>
        <w:spacing w:line="400" w:lineRule="exact"/>
        <w:ind w:firstLine="480" w:firstLineChars="200"/>
        <w:outlineLvl w:val="9"/>
        <w:rPr>
          <w:rFonts w:ascii="宋体" w:hAnsi="宋体" w:cs="宋体"/>
          <w:highlight w:val="none"/>
        </w:rPr>
      </w:pPr>
      <w:r>
        <w:rPr>
          <w:rFonts w:hint="eastAsia" w:ascii="宋体" w:hAnsi="宋体" w:cs="宋体"/>
          <w:highlight w:val="none"/>
        </w:rPr>
        <w:t>1.6.4 承包人文件</w:t>
      </w:r>
    </w:p>
    <w:p w14:paraId="3BCE74A2">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需要由承包人提供的文件，包括：</w:t>
      </w:r>
      <w:r>
        <w:rPr>
          <w:rFonts w:hint="eastAsia" w:ascii="宋体" w:hAnsi="宋体" w:cs="宋体"/>
          <w:highlight w:val="none"/>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14:paraId="0228DD2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承包人提供的文件的期限为：</w:t>
      </w:r>
      <w:r>
        <w:rPr>
          <w:rFonts w:hint="eastAsia" w:ascii="宋体" w:hAnsi="宋体" w:cs="宋体"/>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14:paraId="5913F536">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承包人提供的文件的数量为：</w:t>
      </w:r>
      <w:r>
        <w:rPr>
          <w:rFonts w:hint="eastAsia" w:ascii="宋体" w:hAnsi="宋体" w:cs="宋体"/>
          <w:highlight w:val="none"/>
          <w:u w:val="single"/>
        </w:rPr>
        <w:t>按发包人要求         </w:t>
      </w:r>
      <w:r>
        <w:rPr>
          <w:rFonts w:hint="eastAsia" w:ascii="宋体" w:hAnsi="宋体" w:cs="宋体"/>
          <w:highlight w:val="none"/>
        </w:rPr>
        <w:t>；</w:t>
      </w:r>
    </w:p>
    <w:p w14:paraId="28B221E1">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承包人提供的文件的形式为：</w:t>
      </w:r>
      <w:r>
        <w:rPr>
          <w:rFonts w:hint="eastAsia" w:ascii="宋体" w:hAnsi="宋体" w:cs="宋体"/>
          <w:highlight w:val="none"/>
          <w:u w:val="single"/>
        </w:rPr>
        <w:t>纸质及电子版本     </w:t>
      </w:r>
      <w:r>
        <w:rPr>
          <w:rFonts w:hint="eastAsia" w:ascii="宋体" w:hAnsi="宋体" w:cs="宋体"/>
          <w:highlight w:val="none"/>
        </w:rPr>
        <w:t>；</w:t>
      </w:r>
    </w:p>
    <w:p w14:paraId="78AE8DF7">
      <w:pPr>
        <w:spacing w:line="400" w:lineRule="exact"/>
        <w:ind w:firstLine="480" w:firstLineChars="200"/>
        <w:outlineLvl w:val="9"/>
        <w:rPr>
          <w:rFonts w:ascii="宋体" w:hAnsi="宋体" w:cs="宋体"/>
          <w:highlight w:val="none"/>
        </w:rPr>
      </w:pPr>
      <w:r>
        <w:rPr>
          <w:rFonts w:hint="eastAsia" w:ascii="宋体" w:hAnsi="宋体" w:cs="宋体"/>
          <w:highlight w:val="none"/>
        </w:rPr>
        <w:t>发包人审批承包人文件的期限：</w:t>
      </w:r>
      <w:r>
        <w:rPr>
          <w:rFonts w:hint="eastAsia" w:ascii="宋体" w:hAnsi="宋体" w:cs="宋体"/>
          <w:highlight w:val="none"/>
          <w:u w:val="single"/>
        </w:rPr>
        <w:t>收到相应文件后7天内 </w:t>
      </w:r>
      <w:r>
        <w:rPr>
          <w:rFonts w:hint="eastAsia" w:ascii="宋体" w:hAnsi="宋体" w:cs="宋体"/>
          <w:highlight w:val="none"/>
        </w:rPr>
        <w:t>。</w:t>
      </w:r>
    </w:p>
    <w:p w14:paraId="71D71033">
      <w:pPr>
        <w:spacing w:line="400" w:lineRule="exact"/>
        <w:ind w:firstLine="480" w:firstLineChars="200"/>
        <w:outlineLvl w:val="9"/>
        <w:rPr>
          <w:rFonts w:ascii="宋体" w:hAnsi="宋体" w:cs="宋体"/>
          <w:highlight w:val="none"/>
        </w:rPr>
      </w:pPr>
      <w:r>
        <w:rPr>
          <w:rFonts w:hint="eastAsia" w:ascii="宋体" w:hAnsi="宋体" w:cs="宋体"/>
          <w:highlight w:val="none"/>
        </w:rPr>
        <w:t>1.6.5 现场图纸准备</w:t>
      </w:r>
    </w:p>
    <w:p w14:paraId="6D3F19A9">
      <w:pPr>
        <w:spacing w:line="400" w:lineRule="exact"/>
        <w:ind w:firstLine="480" w:firstLineChars="200"/>
        <w:outlineLvl w:val="9"/>
        <w:rPr>
          <w:rFonts w:ascii="宋体" w:hAnsi="宋体" w:cs="宋体"/>
          <w:highlight w:val="none"/>
        </w:rPr>
      </w:pPr>
      <w:r>
        <w:rPr>
          <w:rFonts w:hint="eastAsia" w:ascii="宋体" w:hAnsi="宋体" w:cs="宋体"/>
          <w:highlight w:val="none"/>
        </w:rPr>
        <w:t>关于现场图纸准备的约定：</w:t>
      </w:r>
      <w:r>
        <w:rPr>
          <w:rFonts w:hint="eastAsia" w:ascii="宋体" w:hAnsi="宋体" w:cs="宋体"/>
          <w:highlight w:val="none"/>
          <w:u w:val="single"/>
        </w:rPr>
        <w:t>由监理人在现场保管一套完整施工图，供发包人、监理人及有关人员进行工程检查等活动时使用 </w:t>
      </w:r>
      <w:r>
        <w:rPr>
          <w:rFonts w:hint="eastAsia" w:ascii="宋体" w:hAnsi="宋体" w:cs="宋体"/>
          <w:highlight w:val="none"/>
        </w:rPr>
        <w:t>。</w:t>
      </w:r>
    </w:p>
    <w:p w14:paraId="6E659FF5">
      <w:pPr>
        <w:spacing w:line="400" w:lineRule="exact"/>
        <w:ind w:firstLine="480" w:firstLineChars="200"/>
        <w:outlineLvl w:val="9"/>
        <w:rPr>
          <w:rFonts w:ascii="宋体" w:hAnsi="宋体" w:cs="宋体"/>
          <w:highlight w:val="none"/>
        </w:rPr>
      </w:pPr>
      <w:r>
        <w:rPr>
          <w:rFonts w:hint="eastAsia" w:ascii="宋体" w:hAnsi="宋体" w:cs="宋体"/>
          <w:highlight w:val="none"/>
        </w:rPr>
        <w:t>1.7 联络</w:t>
      </w:r>
    </w:p>
    <w:p w14:paraId="1ECCF876">
      <w:pPr>
        <w:spacing w:line="400" w:lineRule="exact"/>
        <w:ind w:firstLine="480" w:firstLineChars="200"/>
        <w:outlineLvl w:val="9"/>
        <w:rPr>
          <w:rFonts w:ascii="宋体" w:hAnsi="宋体" w:cs="宋体"/>
          <w:highlight w:val="none"/>
        </w:rPr>
      </w:pPr>
      <w:r>
        <w:rPr>
          <w:rFonts w:hint="eastAsia" w:ascii="宋体" w:hAnsi="宋体" w:cs="宋体"/>
          <w:highlight w:val="none"/>
        </w:rPr>
        <w:t>1.7.1发包人和承包人应当在</w:t>
      </w:r>
      <w:r>
        <w:rPr>
          <w:rFonts w:hint="eastAsia" w:ascii="宋体" w:hAnsi="宋体" w:cs="宋体"/>
          <w:highlight w:val="none"/>
          <w:u w:val="single"/>
        </w:rPr>
        <w:t></w:t>
      </w:r>
      <w:r>
        <w:rPr>
          <w:rFonts w:hint="eastAsia" w:ascii="宋体" w:hAnsi="宋体" w:cs="宋体"/>
          <w:highlight w:val="none"/>
          <w:u w:val="single"/>
          <w:lang w:val="en-US" w:eastAsia="zh-CN"/>
        </w:rPr>
        <w:t xml:space="preserve">3 </w:t>
      </w:r>
      <w:r>
        <w:rPr>
          <w:rFonts w:hint="eastAsia" w:ascii="宋体" w:hAnsi="宋体" w:cs="宋体"/>
          <w:highlight w:val="none"/>
          <w:u w:val="single"/>
        </w:rPr>
        <w:t xml:space="preserve"> </w:t>
      </w:r>
      <w:r>
        <w:rPr>
          <w:rFonts w:hint="eastAsia" w:ascii="宋体" w:hAnsi="宋体" w:cs="宋体"/>
          <w:highlight w:val="none"/>
        </w:rPr>
        <w:t>天内将与合同有关的通知、批准、证明、证书、指示、指令、要求、请求、同意、意见、确定和决定等书面函件送达对方当事人</w:t>
      </w:r>
      <w:r>
        <w:rPr>
          <w:rFonts w:hint="eastAsia"/>
          <w:highlight w:val="none"/>
        </w:rPr>
        <w:t>，紧急函件应在收到函件及函件工作到期前尽快送达对方，并给对方预留合理反应时间。</w:t>
      </w:r>
    </w:p>
    <w:p w14:paraId="25208B8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1.7.2发包人接收文件的地点：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CB07A3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1643DF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发包人指定的接收人为：</w:t>
      </w:r>
      <w:r>
        <w:rPr>
          <w:rFonts w:hint="eastAsia" w:ascii="宋体" w:hAnsi="宋体" w:cs="宋体"/>
          <w:color w:val="auto"/>
          <w:highlight w:val="none"/>
          <w:u w:val="single"/>
        </w:rPr>
        <w:t xml:space="preserve">    （注：2 人以上及联系电话）     </w:t>
      </w:r>
      <w:r>
        <w:rPr>
          <w:rFonts w:hint="eastAsia" w:ascii="宋体" w:hAnsi="宋体" w:cs="宋体"/>
          <w:color w:val="auto"/>
          <w:highlight w:val="none"/>
        </w:rPr>
        <w:t xml:space="preserve"> 。</w:t>
      </w:r>
    </w:p>
    <w:p w14:paraId="61AA70B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54CB5C3D">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75C9005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承包人指定的接收人为：</w:t>
      </w:r>
      <w:r>
        <w:rPr>
          <w:rFonts w:hint="eastAsia" w:ascii="宋体" w:hAnsi="宋体" w:cs="宋体"/>
          <w:color w:val="auto"/>
          <w:highlight w:val="none"/>
          <w:u w:val="single"/>
        </w:rPr>
        <w:t xml:space="preserve">    （注：2人以上及联系电话）     </w:t>
      </w:r>
      <w:r>
        <w:rPr>
          <w:rFonts w:hint="eastAsia" w:ascii="宋体" w:hAnsi="宋体" w:cs="宋体"/>
          <w:color w:val="auto"/>
          <w:highlight w:val="none"/>
        </w:rPr>
        <w:t xml:space="preserve"> 。</w:t>
      </w:r>
    </w:p>
    <w:p w14:paraId="55C9B87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监理人接收文件的地点：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035EAE31">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监理人接收文件的电子信箱：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64A3E52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监理人指定的接收人为：</w:t>
      </w:r>
      <w:r>
        <w:rPr>
          <w:rFonts w:hint="eastAsia" w:ascii="宋体" w:hAnsi="宋体" w:cs="宋体"/>
          <w:color w:val="auto"/>
          <w:highlight w:val="none"/>
          <w:u w:val="single"/>
        </w:rPr>
        <w:t xml:space="preserve">    （注：2人以上及联系电话）     </w:t>
      </w:r>
      <w:r>
        <w:rPr>
          <w:rFonts w:hint="eastAsia" w:ascii="宋体" w:hAnsi="宋体" w:cs="宋体"/>
          <w:color w:val="auto"/>
          <w:highlight w:val="none"/>
        </w:rPr>
        <w:t xml:space="preserve"> 。</w:t>
      </w:r>
    </w:p>
    <w:p w14:paraId="1729911C">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发包人、承包人、监理人的文件接收地址、接收人（含联系电话）发生变动的，应提前7天通知各方。</w:t>
      </w:r>
    </w:p>
    <w:p w14:paraId="51301CEF">
      <w:pPr>
        <w:spacing w:line="400" w:lineRule="exact"/>
        <w:ind w:firstLine="480" w:firstLineChars="200"/>
        <w:outlineLvl w:val="9"/>
        <w:rPr>
          <w:rFonts w:ascii="宋体" w:hAnsi="宋体" w:cs="宋体"/>
          <w:highlight w:val="none"/>
        </w:rPr>
      </w:pPr>
      <w:r>
        <w:rPr>
          <w:rFonts w:hint="eastAsia" w:ascii="宋体" w:hAnsi="宋体" w:cs="宋体"/>
          <w:highlight w:val="none"/>
        </w:rPr>
        <w:t>1.10 交通运输</w:t>
      </w:r>
    </w:p>
    <w:p w14:paraId="50EFCBB9">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Start w:id="151" w:name="_Toc304295521"/>
      <w:bookmarkStart w:id="152" w:name="_Toc318581155"/>
      <w:bookmarkStart w:id="153" w:name="_Toc300934943"/>
      <w:bookmarkStart w:id="154" w:name="_Toc312677986"/>
      <w:bookmarkStart w:id="155" w:name="_Toc303539100"/>
      <w:r>
        <w:rPr>
          <w:rFonts w:hint="eastAsia" w:ascii="宋体" w:hAnsi="宋体" w:cs="宋体"/>
          <w:highlight w:val="none"/>
        </w:rPr>
        <w:t>.10.1 出入现场的权利</w:t>
      </w:r>
    </w:p>
    <w:p w14:paraId="2441F230">
      <w:pPr>
        <w:spacing w:line="400" w:lineRule="exact"/>
        <w:ind w:firstLine="480" w:firstLineChars="200"/>
        <w:outlineLvl w:val="9"/>
        <w:rPr>
          <w:rFonts w:ascii="宋体" w:hAnsi="宋体" w:cs="宋体"/>
          <w:highlight w:val="none"/>
        </w:rPr>
      </w:pPr>
      <w:r>
        <w:rPr>
          <w:rFonts w:hint="eastAsia" w:ascii="宋体" w:hAnsi="宋体" w:cs="宋体"/>
          <w:highlight w:val="none"/>
        </w:rPr>
        <w:t>关于出入现场的权利的约定：</w:t>
      </w:r>
      <w:r>
        <w:rPr>
          <w:rFonts w:hint="eastAsia" w:ascii="宋体" w:hAnsi="宋体" w:cs="宋体"/>
          <w:highlight w:val="none"/>
          <w:u w:val="single"/>
        </w:rPr>
        <w:t>按通用合同条款</w:t>
      </w:r>
      <w:r>
        <w:rPr>
          <w:rFonts w:hint="eastAsia" w:ascii="宋体" w:hAnsi="宋体" w:cs="宋体"/>
          <w:highlight w:val="none"/>
        </w:rPr>
        <w:t>。</w:t>
      </w:r>
    </w:p>
    <w:bookmarkEnd w:id="151"/>
    <w:bookmarkEnd w:id="152"/>
    <w:bookmarkEnd w:id="153"/>
    <w:bookmarkEnd w:id="154"/>
    <w:bookmarkEnd w:id="155"/>
    <w:p w14:paraId="665F4275">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Start w:id="156" w:name="_Toc312677987"/>
      <w:bookmarkStart w:id="157" w:name="_Toc300934944"/>
      <w:bookmarkStart w:id="158" w:name="_Toc303539101"/>
      <w:bookmarkStart w:id="159" w:name="_Toc304295522"/>
      <w:bookmarkStart w:id="160" w:name="_Toc318581156"/>
      <w:r>
        <w:rPr>
          <w:rFonts w:hint="eastAsia" w:ascii="宋体" w:hAnsi="宋体" w:cs="宋体"/>
          <w:highlight w:val="none"/>
        </w:rPr>
        <w:t>.10.3 场内交通</w:t>
      </w:r>
    </w:p>
    <w:bookmarkEnd w:id="156"/>
    <w:bookmarkEnd w:id="157"/>
    <w:bookmarkEnd w:id="158"/>
    <w:bookmarkEnd w:id="159"/>
    <w:bookmarkEnd w:id="160"/>
    <w:p w14:paraId="2BF5214C">
      <w:pPr>
        <w:spacing w:line="400" w:lineRule="exact"/>
        <w:ind w:firstLine="480" w:firstLineChars="200"/>
        <w:outlineLvl w:val="9"/>
        <w:rPr>
          <w:rFonts w:ascii="宋体" w:hAnsi="宋体" w:cs="宋体"/>
          <w:highlight w:val="none"/>
        </w:rPr>
      </w:pPr>
      <w:r>
        <w:rPr>
          <w:rFonts w:hint="eastAsia" w:ascii="宋体" w:hAnsi="宋体" w:cs="宋体"/>
          <w:highlight w:val="none"/>
        </w:rPr>
        <w:t>关于场外交通和场内交通的边界的约定：</w:t>
      </w:r>
      <w:r>
        <w:rPr>
          <w:rFonts w:hint="eastAsia" w:ascii="宋体" w:hAnsi="宋体" w:cs="宋体"/>
          <w:highlight w:val="none"/>
          <w:u w:val="single"/>
        </w:rPr>
        <w:t>场外交通的边界按现状，场内按施工平面图边界所属范围内</w:t>
      </w:r>
      <w:r>
        <w:rPr>
          <w:rFonts w:hint="eastAsia" w:ascii="宋体" w:hAnsi="宋体" w:cs="宋体"/>
          <w:highlight w:val="none"/>
        </w:rPr>
        <w:t>。</w:t>
      </w:r>
    </w:p>
    <w:p w14:paraId="12F11DC1">
      <w:pPr>
        <w:spacing w:line="400" w:lineRule="exact"/>
        <w:ind w:firstLine="480" w:firstLineChars="200"/>
        <w:outlineLvl w:val="9"/>
        <w:rPr>
          <w:rFonts w:ascii="宋体" w:hAnsi="宋体" w:cs="宋体"/>
          <w:highlight w:val="none"/>
        </w:rPr>
      </w:pPr>
      <w:r>
        <w:rPr>
          <w:rFonts w:hint="eastAsia" w:ascii="宋体" w:hAnsi="宋体" w:cs="宋体"/>
          <w:highlight w:val="none"/>
        </w:rPr>
        <w:t>关于发包人向承包人免费提供满足工程施工需要的场内道路和交通设施的约定：</w:t>
      </w:r>
      <w:r>
        <w:rPr>
          <w:rFonts w:hint="eastAsia" w:ascii="宋体" w:hAnsi="宋体" w:cs="宋体"/>
          <w:b/>
          <w:highlight w:val="none"/>
          <w:u w:val="single"/>
        </w:rPr>
        <w:t>由</w:t>
      </w:r>
      <w:r>
        <w:rPr>
          <w:rFonts w:hint="eastAsia" w:ascii="宋体" w:hAnsi="宋体" w:cs="宋体"/>
          <w:b/>
          <w:bCs/>
          <w:highlight w:val="none"/>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6B0154EB">
      <w:pPr>
        <w:spacing w:line="400" w:lineRule="exact"/>
        <w:ind w:firstLine="480" w:firstLineChars="200"/>
        <w:outlineLvl w:val="9"/>
        <w:rPr>
          <w:rFonts w:ascii="宋体" w:hAnsi="宋体" w:cs="宋体"/>
          <w:highlight w:val="none"/>
        </w:rPr>
      </w:pPr>
      <w:r>
        <w:rPr>
          <w:rFonts w:hint="eastAsia" w:ascii="宋体" w:hAnsi="宋体" w:cs="宋体"/>
          <w:highlight w:val="none"/>
        </w:rPr>
        <w:t>1.10.4超大件和超重件的运输</w:t>
      </w:r>
    </w:p>
    <w:p w14:paraId="71276C32">
      <w:pPr>
        <w:spacing w:line="400" w:lineRule="exact"/>
        <w:ind w:firstLine="480" w:firstLineChars="200"/>
        <w:outlineLvl w:val="9"/>
        <w:rPr>
          <w:rFonts w:ascii="宋体" w:hAnsi="宋体" w:cs="宋体"/>
          <w:highlight w:val="none"/>
        </w:rPr>
      </w:pPr>
      <w:r>
        <w:rPr>
          <w:rFonts w:hint="eastAsia" w:ascii="宋体" w:hAnsi="宋体" w:cs="宋体"/>
          <w:highlight w:val="none"/>
        </w:rPr>
        <w:t>运输超大件或超重件所需的道路和桥梁临时加固改造费用和其他有关费用由</w:t>
      </w:r>
      <w:r>
        <w:rPr>
          <w:rFonts w:hint="eastAsia" w:ascii="宋体" w:hAnsi="宋体" w:cs="宋体"/>
          <w:highlight w:val="none"/>
          <w:u w:val="single"/>
        </w:rPr>
        <w:t>承包人在报价中综合考虑，并承担相应费用</w:t>
      </w:r>
      <w:r>
        <w:rPr>
          <w:rFonts w:hint="eastAsia" w:ascii="宋体" w:hAnsi="宋体" w:cs="宋体"/>
          <w:highlight w:val="none"/>
        </w:rPr>
        <w:t>。</w:t>
      </w:r>
    </w:p>
    <w:p w14:paraId="212EFE10">
      <w:pPr>
        <w:spacing w:line="400" w:lineRule="exact"/>
        <w:ind w:firstLine="480" w:firstLineChars="200"/>
        <w:outlineLvl w:val="9"/>
        <w:rPr>
          <w:rFonts w:ascii="宋体" w:hAnsi="宋体" w:cs="宋体"/>
          <w:highlight w:val="none"/>
        </w:rPr>
      </w:pPr>
      <w:r>
        <w:rPr>
          <w:rFonts w:hint="eastAsia" w:ascii="宋体" w:hAnsi="宋体" w:cs="宋体"/>
          <w:highlight w:val="none"/>
        </w:rPr>
        <w:t>1.11 知识产权</w:t>
      </w:r>
    </w:p>
    <w:p w14:paraId="11EB58F7">
      <w:pPr>
        <w:spacing w:line="400" w:lineRule="exact"/>
        <w:ind w:firstLine="480" w:firstLineChars="200"/>
        <w:outlineLvl w:val="9"/>
        <w:rPr>
          <w:rFonts w:ascii="宋体" w:hAnsi="宋体" w:cs="宋体"/>
          <w:highlight w:val="none"/>
        </w:rPr>
      </w:pPr>
      <w:r>
        <w:rPr>
          <w:rFonts w:hint="eastAsia" w:ascii="宋体" w:hAnsi="宋体" w:cs="宋体"/>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highlight w:val="none"/>
          <w:u w:val="single"/>
        </w:rPr>
        <w:t xml:space="preserve">按通用合同条款  </w:t>
      </w:r>
      <w:r>
        <w:rPr>
          <w:rFonts w:hint="eastAsia" w:ascii="宋体" w:hAnsi="宋体" w:cs="宋体"/>
          <w:highlight w:val="none"/>
        </w:rPr>
        <w:t>。</w:t>
      </w:r>
    </w:p>
    <w:p w14:paraId="30F05B09">
      <w:pPr>
        <w:spacing w:line="400" w:lineRule="exact"/>
        <w:ind w:firstLine="480" w:firstLineChars="200"/>
        <w:outlineLvl w:val="9"/>
        <w:rPr>
          <w:rFonts w:ascii="宋体" w:hAnsi="宋体" w:cs="宋体"/>
          <w:highlight w:val="none"/>
        </w:rPr>
      </w:pPr>
      <w:r>
        <w:rPr>
          <w:rFonts w:hint="eastAsia" w:ascii="宋体" w:hAnsi="宋体" w:cs="宋体"/>
          <w:highlight w:val="none"/>
        </w:rPr>
        <w:t>关于发包人提供的上述文件的使用限制的要求：</w:t>
      </w:r>
      <w:r>
        <w:rPr>
          <w:rFonts w:hint="eastAsia" w:ascii="宋体" w:hAnsi="宋体" w:cs="宋体"/>
          <w:highlight w:val="none"/>
          <w:u w:val="single"/>
        </w:rPr>
        <w:t xml:space="preserve"> 按通用合同条款</w:t>
      </w:r>
      <w:r>
        <w:rPr>
          <w:rFonts w:hint="eastAsia" w:ascii="宋体" w:hAnsi="宋体" w:cs="宋体"/>
          <w:highlight w:val="none"/>
        </w:rPr>
        <w:t>。</w:t>
      </w:r>
    </w:p>
    <w:p w14:paraId="369F24B7">
      <w:pPr>
        <w:spacing w:line="400" w:lineRule="exact"/>
        <w:ind w:firstLine="480" w:firstLineChars="200"/>
        <w:outlineLvl w:val="9"/>
        <w:rPr>
          <w:rFonts w:ascii="宋体" w:hAnsi="宋体" w:cs="宋体"/>
          <w:highlight w:val="none"/>
        </w:rPr>
      </w:pPr>
      <w:r>
        <w:rPr>
          <w:rFonts w:hint="eastAsia" w:ascii="宋体" w:hAnsi="宋体" w:cs="宋体"/>
          <w:highlight w:val="none"/>
        </w:rPr>
        <w:t>1.11.2 关于承包人为实施工程所编制文件的著作权的归属：</w:t>
      </w:r>
      <w:r>
        <w:rPr>
          <w:rFonts w:hint="eastAsia" w:ascii="宋体" w:hAnsi="宋体" w:cs="宋体"/>
          <w:highlight w:val="none"/>
          <w:u w:val="single"/>
        </w:rPr>
        <w:t xml:space="preserve"> 发包人</w:t>
      </w:r>
      <w:r>
        <w:rPr>
          <w:rFonts w:hint="eastAsia" w:ascii="宋体" w:hAnsi="宋体" w:cs="宋体"/>
          <w:highlight w:val="none"/>
        </w:rPr>
        <w:t>。</w:t>
      </w:r>
    </w:p>
    <w:p w14:paraId="26DE27D0">
      <w:pPr>
        <w:spacing w:line="400" w:lineRule="exact"/>
        <w:ind w:firstLine="480" w:firstLineChars="200"/>
        <w:outlineLvl w:val="9"/>
        <w:rPr>
          <w:rFonts w:ascii="宋体" w:hAnsi="宋体" w:cs="宋体"/>
          <w:highlight w:val="none"/>
        </w:rPr>
      </w:pPr>
      <w:r>
        <w:rPr>
          <w:rFonts w:hint="eastAsia" w:ascii="宋体" w:hAnsi="宋体" w:cs="宋体"/>
          <w:highlight w:val="none"/>
        </w:rPr>
        <w:t>关于承包人提供的上述文件的使用限制的要求：</w:t>
      </w:r>
      <w:r>
        <w:rPr>
          <w:rFonts w:hint="eastAsia" w:ascii="宋体" w:hAnsi="宋体" w:cs="宋体"/>
          <w:highlight w:val="none"/>
          <w:u w:val="single"/>
        </w:rPr>
        <w:t>按通用合同条款</w:t>
      </w:r>
      <w:r>
        <w:rPr>
          <w:rFonts w:hint="eastAsia" w:ascii="宋体" w:hAnsi="宋体" w:cs="宋体"/>
          <w:highlight w:val="none"/>
        </w:rPr>
        <w:t>。</w:t>
      </w:r>
    </w:p>
    <w:p w14:paraId="40644A1D">
      <w:pPr>
        <w:spacing w:line="400" w:lineRule="exact"/>
        <w:ind w:firstLine="480" w:firstLineChars="200"/>
        <w:outlineLvl w:val="9"/>
        <w:rPr>
          <w:rFonts w:ascii="宋体" w:hAnsi="宋体" w:cs="宋体"/>
          <w:highlight w:val="none"/>
        </w:rPr>
      </w:pPr>
      <w:r>
        <w:rPr>
          <w:rFonts w:hint="eastAsia" w:ascii="宋体" w:hAnsi="宋体" w:cs="宋体"/>
          <w:highlight w:val="none"/>
        </w:rPr>
        <w:t>1.11.4 承包人在施工过程中所采用的专利、专有技术、技术秘密的使用费的承担方式：</w:t>
      </w:r>
      <w:r>
        <w:rPr>
          <w:rFonts w:hint="eastAsia" w:ascii="宋体" w:hAnsi="宋体" w:cs="宋体"/>
          <w:highlight w:val="none"/>
          <w:u w:val="single"/>
        </w:rPr>
        <w:t xml:space="preserve">包含在合同价内  </w:t>
      </w:r>
      <w:r>
        <w:rPr>
          <w:rFonts w:hint="eastAsia" w:ascii="宋体" w:hAnsi="宋体" w:cs="宋体"/>
          <w:highlight w:val="none"/>
        </w:rPr>
        <w:t>。</w:t>
      </w:r>
    </w:p>
    <w:p w14:paraId="6067D607">
      <w:pPr>
        <w:spacing w:line="400" w:lineRule="exact"/>
        <w:ind w:firstLine="482" w:firstLineChars="200"/>
        <w:outlineLvl w:val="9"/>
        <w:rPr>
          <w:rFonts w:ascii="宋体" w:hAnsi="宋体" w:cs="宋体"/>
          <w:b/>
          <w:highlight w:val="none"/>
        </w:rPr>
      </w:pPr>
      <w:r>
        <w:rPr>
          <w:rFonts w:hint="eastAsia" w:ascii="宋体" w:hAnsi="宋体" w:cs="宋体"/>
          <w:b/>
          <w:highlight w:val="none"/>
        </w:rPr>
        <w:t>1.13工程量清单错误的修正</w:t>
      </w:r>
    </w:p>
    <w:p w14:paraId="285C6B72">
      <w:pPr>
        <w:spacing w:line="400" w:lineRule="exact"/>
        <w:ind w:firstLine="480" w:firstLineChars="200"/>
        <w:outlineLvl w:val="9"/>
        <w:rPr>
          <w:rFonts w:ascii="宋体" w:hAnsi="宋体" w:cs="宋体"/>
          <w:highlight w:val="none"/>
        </w:rPr>
      </w:pPr>
      <w:bookmarkStart w:id="161" w:name="_Toc351203634"/>
      <w:r>
        <w:rPr>
          <w:rFonts w:hint="eastAsia" w:ascii="宋体" w:hAnsi="宋体" w:cs="宋体"/>
          <w:highlight w:val="none"/>
        </w:rPr>
        <w:t>出现工程量清单错误时，是否调整合同价格：</w:t>
      </w:r>
      <w:r>
        <w:rPr>
          <w:rFonts w:hint="eastAsia" w:ascii="宋体" w:hAnsi="宋体" w:cs="宋体"/>
          <w:highlight w:val="none"/>
          <w:u w:val="single"/>
        </w:rPr>
        <w:t>工程量清单特征描述不符引起造价变化的子目及工程量清单漏项子目按专用条款10.4.1（2）（3）（4）条约定调整合同价格 。</w:t>
      </w:r>
    </w:p>
    <w:p w14:paraId="4DB47016">
      <w:pPr>
        <w:spacing w:before="0" w:after="0" w:line="400" w:lineRule="exact"/>
        <w:ind w:firstLine="480" w:firstLineChars="200"/>
        <w:outlineLvl w:val="9"/>
        <w:rPr>
          <w:rFonts w:ascii="宋体" w:hAnsi="宋体" w:eastAsia="宋体" w:cs="宋体"/>
          <w:b w:val="0"/>
          <w:bCs w:val="0"/>
          <w:sz w:val="24"/>
          <w:szCs w:val="24"/>
          <w:highlight w:val="none"/>
          <w:u w:val="single"/>
        </w:rPr>
      </w:pPr>
      <w:r>
        <w:rPr>
          <w:rFonts w:hint="eastAsia" w:ascii="宋体" w:hAnsi="宋体" w:eastAsia="宋体" w:cs="宋体"/>
          <w:b w:val="0"/>
          <w:bCs w:val="0"/>
          <w:sz w:val="24"/>
          <w:szCs w:val="24"/>
          <w:highlight w:val="none"/>
        </w:rPr>
        <w:t>允许调整合同价格的工程量偏差范围：</w:t>
      </w:r>
      <w:r>
        <w:rPr>
          <w:rFonts w:hint="eastAsia" w:ascii="宋体" w:hAnsi="宋体" w:eastAsia="宋体" w:cs="宋体"/>
          <w:b w:val="0"/>
          <w:bCs w:val="0"/>
          <w:sz w:val="24"/>
          <w:szCs w:val="24"/>
          <w:highlight w:val="none"/>
          <w:u w:val="single"/>
        </w:rPr>
        <w:t>因招标工程量清单中的工程量计算偏差或工程变更等引起的工程量变化不调整综合单价；但如综合单价异常（综合单价异常是指：投标综合单价与按本项目招标控制价</w:t>
      </w:r>
      <w:r>
        <w:rPr>
          <w:rFonts w:hint="eastAsia" w:ascii="宋体" w:hAnsi="宋体" w:eastAsia="宋体" w:cs="宋体"/>
          <w:color w:val="auto"/>
          <w:sz w:val="24"/>
          <w:szCs w:val="24"/>
          <w:highlight w:val="none"/>
          <w:u w:val="single"/>
          <w:lang w:val="en-US" w:eastAsia="zh-CN"/>
        </w:rPr>
        <w:t>（或预算审核价）</w:t>
      </w:r>
      <w:r>
        <w:rPr>
          <w:rFonts w:hint="eastAsia" w:ascii="宋体" w:hAnsi="宋体" w:eastAsia="宋体" w:cs="宋体"/>
          <w:b w:val="0"/>
          <w:bCs w:val="0"/>
          <w:sz w:val="24"/>
          <w:szCs w:val="24"/>
          <w:highlight w:val="none"/>
          <w:u w:val="single"/>
        </w:rPr>
        <w:t>编制依据计算的综合单价偏差±30%以上），工程量增加，调整综合单价的工程量偏差范围及综合单价确定方法按专用条款10.4.1（1）（2）（3）（4）条约定，工程量减少按投标综合单价计算，不调整综合单价。</w:t>
      </w:r>
    </w:p>
    <w:p w14:paraId="1A7EDEF1">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2</w:t>
      </w:r>
      <w:bookmarkStart w:id="162" w:name="_Toc296944496"/>
      <w:bookmarkStart w:id="163" w:name="_Toc296347156"/>
      <w:bookmarkStart w:id="164" w:name="_Toc292559867"/>
      <w:bookmarkStart w:id="165" w:name="_Toc292559362"/>
      <w:bookmarkStart w:id="166" w:name="_Toc296346658"/>
      <w:bookmarkStart w:id="167" w:name="_Toc297120457"/>
      <w:bookmarkStart w:id="168" w:name="_Toc297048343"/>
      <w:bookmarkStart w:id="169" w:name="_Toc296891197"/>
      <w:bookmarkStart w:id="170" w:name="_Toc296503157"/>
      <w:bookmarkStart w:id="171" w:name="_Toc296890985"/>
      <w:r>
        <w:rPr>
          <w:rFonts w:hint="eastAsia" w:ascii="宋体" w:hAnsi="宋体" w:eastAsia="宋体" w:cs="宋体"/>
          <w:sz w:val="24"/>
          <w:szCs w:val="24"/>
          <w:highlight w:val="none"/>
        </w:rPr>
        <w:t>. 发包人</w:t>
      </w:r>
      <w:bookmarkEnd w:id="161"/>
    </w:p>
    <w:bookmarkEnd w:id="162"/>
    <w:bookmarkEnd w:id="163"/>
    <w:bookmarkEnd w:id="164"/>
    <w:bookmarkEnd w:id="165"/>
    <w:bookmarkEnd w:id="166"/>
    <w:bookmarkEnd w:id="167"/>
    <w:bookmarkEnd w:id="168"/>
    <w:bookmarkEnd w:id="169"/>
    <w:bookmarkEnd w:id="170"/>
    <w:bookmarkEnd w:id="171"/>
    <w:p w14:paraId="3749D01B">
      <w:pPr>
        <w:spacing w:line="400" w:lineRule="exact"/>
        <w:ind w:firstLine="480" w:firstLineChars="200"/>
        <w:outlineLvl w:val="9"/>
        <w:rPr>
          <w:rFonts w:ascii="宋体" w:hAnsi="宋体" w:cs="宋体"/>
          <w:highlight w:val="none"/>
        </w:rPr>
      </w:pPr>
      <w:r>
        <w:rPr>
          <w:rFonts w:hint="eastAsia" w:ascii="宋体" w:hAnsi="宋体" w:cs="宋体"/>
          <w:highlight w:val="none"/>
        </w:rPr>
        <w:t>2.2 发包人代表</w:t>
      </w:r>
    </w:p>
    <w:p w14:paraId="4DCA9B53">
      <w:pPr>
        <w:spacing w:line="400" w:lineRule="exact"/>
        <w:ind w:firstLine="480" w:firstLineChars="200"/>
        <w:outlineLvl w:val="9"/>
        <w:rPr>
          <w:rFonts w:ascii="宋体" w:hAnsi="宋体" w:cs="宋体"/>
          <w:highlight w:val="none"/>
        </w:rPr>
      </w:pPr>
      <w:r>
        <w:rPr>
          <w:rFonts w:hint="eastAsia" w:ascii="宋体" w:hAnsi="宋体" w:cs="宋体"/>
          <w:highlight w:val="none"/>
        </w:rPr>
        <w:t>发包人代表：</w:t>
      </w:r>
    </w:p>
    <w:p w14:paraId="03E1D1D7">
      <w:pPr>
        <w:spacing w:line="400" w:lineRule="exact"/>
        <w:ind w:firstLine="48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   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14:paraId="592E102F">
      <w:pPr>
        <w:spacing w:line="400" w:lineRule="exact"/>
        <w:ind w:firstLine="480" w:firstLineChars="200"/>
        <w:outlineLvl w:val="9"/>
        <w:rPr>
          <w:rFonts w:ascii="宋体" w:hAnsi="宋体" w:cs="宋体"/>
          <w:highlight w:val="none"/>
        </w:rPr>
      </w:pPr>
      <w:r>
        <w:rPr>
          <w:rFonts w:hint="eastAsia" w:ascii="宋体" w:hAnsi="宋体" w:cs="宋体"/>
          <w:highlight w:val="none"/>
        </w:rPr>
        <w:t>职    务：</w:t>
      </w:r>
      <w:r>
        <w:rPr>
          <w:rFonts w:hint="eastAsia" w:ascii="宋体" w:hAnsi="宋体" w:cs="宋体"/>
          <w:highlight w:val="none"/>
          <w:u w:val="single"/>
        </w:rPr>
        <w:t>             </w:t>
      </w:r>
      <w:r>
        <w:rPr>
          <w:rFonts w:hint="eastAsia" w:ascii="宋体" w:hAnsi="宋体" w:cs="宋体"/>
          <w:highlight w:val="none"/>
        </w:rPr>
        <w:t>；联系电话：</w:t>
      </w:r>
      <w:r>
        <w:rPr>
          <w:rFonts w:hint="eastAsia" w:ascii="宋体" w:hAnsi="宋体" w:cs="宋体"/>
          <w:highlight w:val="none"/>
          <w:u w:val="single"/>
        </w:rPr>
        <w:t>           </w:t>
      </w:r>
      <w:r>
        <w:rPr>
          <w:rFonts w:hint="eastAsia" w:ascii="宋体" w:hAnsi="宋体" w:cs="宋体"/>
          <w:highlight w:val="none"/>
        </w:rPr>
        <w:t>；</w:t>
      </w:r>
    </w:p>
    <w:p w14:paraId="3207D065">
      <w:pPr>
        <w:spacing w:line="400" w:lineRule="exact"/>
        <w:ind w:firstLine="48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；通信地址：</w:t>
      </w:r>
      <w:r>
        <w:rPr>
          <w:rFonts w:hint="eastAsia" w:ascii="宋体" w:hAnsi="宋体" w:cs="宋体"/>
          <w:highlight w:val="none"/>
          <w:u w:val="single"/>
        </w:rPr>
        <w:t xml:space="preserve">                        </w:t>
      </w:r>
      <w:r>
        <w:rPr>
          <w:rFonts w:hint="eastAsia" w:ascii="宋体" w:hAnsi="宋体" w:cs="宋体"/>
          <w:highlight w:val="none"/>
        </w:rPr>
        <w:t>。</w:t>
      </w:r>
    </w:p>
    <w:p w14:paraId="3CF808E4">
      <w:pPr>
        <w:spacing w:line="400" w:lineRule="exact"/>
        <w:ind w:firstLine="480" w:firstLineChars="200"/>
        <w:outlineLvl w:val="9"/>
        <w:rPr>
          <w:rFonts w:ascii="宋体" w:hAnsi="宋体" w:cs="宋体"/>
          <w:b/>
          <w:highlight w:val="none"/>
        </w:rPr>
      </w:pPr>
      <w:r>
        <w:rPr>
          <w:rFonts w:hint="eastAsia" w:ascii="宋体" w:hAnsi="宋体" w:cs="宋体"/>
          <w:highlight w:val="none"/>
        </w:rPr>
        <w:t>发包人对发包人代表的授权范围如下：</w:t>
      </w:r>
      <w:r>
        <w:rPr>
          <w:rFonts w:hint="eastAsia" w:ascii="宋体" w:hAnsi="宋体" w:cs="宋体"/>
          <w:highlight w:val="none"/>
          <w:u w:val="single"/>
        </w:rPr>
        <w:t></w:t>
      </w:r>
      <w:r>
        <w:rPr>
          <w:rFonts w:hint="eastAsia" w:ascii="宋体" w:hAnsi="宋体" w:cs="宋体"/>
          <w:spacing w:val="-7"/>
          <w:highlight w:val="none"/>
          <w:u w:val="single"/>
        </w:rPr>
        <w:t>①有对工程建设的所有外部关系的协调权。 ②</w:t>
      </w:r>
      <w:r>
        <w:rPr>
          <w:rFonts w:hint="eastAsia" w:ascii="宋体" w:hAnsi="宋体" w:cs="宋体"/>
          <w:spacing w:val="-3"/>
          <w:highlight w:val="none"/>
          <w:u w:val="single"/>
        </w:rPr>
        <w:t>对工程图纸会审、协调会的组织、主持权。③对工程设计变更的确认权。④有权要求对不称职的施工、监理人人员更换的权利。⑤有组织主持竣工验收的权利。</w:t>
      </w:r>
      <w:r>
        <w:rPr>
          <w:rFonts w:hint="eastAsia" w:ascii="宋体" w:hAnsi="宋体" w:cs="宋体"/>
          <w:highlight w:val="none"/>
          <w:u w:val="single"/>
        </w:rPr>
        <w:t xml:space="preserve">   </w:t>
      </w:r>
    </w:p>
    <w:p w14:paraId="7769CA6A">
      <w:pPr>
        <w:spacing w:line="400" w:lineRule="exact"/>
        <w:ind w:firstLine="480" w:firstLineChars="200"/>
        <w:outlineLvl w:val="9"/>
        <w:rPr>
          <w:rFonts w:ascii="宋体" w:hAnsi="宋体" w:cs="宋体"/>
          <w:highlight w:val="none"/>
        </w:rPr>
      </w:pPr>
      <w:r>
        <w:rPr>
          <w:rFonts w:hint="eastAsia" w:ascii="宋体" w:hAnsi="宋体" w:cs="宋体"/>
          <w:highlight w:val="none"/>
        </w:rPr>
        <w:t>2.4 施工现场、施工条件和基础资料的提供</w:t>
      </w:r>
    </w:p>
    <w:p w14:paraId="4E52C6E4">
      <w:pPr>
        <w:spacing w:line="400" w:lineRule="exact"/>
        <w:ind w:firstLine="480" w:firstLineChars="200"/>
        <w:outlineLvl w:val="9"/>
        <w:rPr>
          <w:rFonts w:ascii="宋体" w:hAnsi="宋体" w:cs="宋体"/>
          <w:highlight w:val="none"/>
        </w:rPr>
      </w:pPr>
      <w:r>
        <w:rPr>
          <w:rFonts w:hint="eastAsia" w:ascii="宋体" w:hAnsi="宋体" w:cs="宋体"/>
          <w:highlight w:val="none"/>
        </w:rPr>
        <w:t>2.4.1 提供施工现场</w:t>
      </w:r>
    </w:p>
    <w:p w14:paraId="406BC256">
      <w:pPr>
        <w:spacing w:line="400" w:lineRule="exact"/>
        <w:ind w:firstLine="480" w:firstLineChars="200"/>
        <w:outlineLvl w:val="9"/>
        <w:rPr>
          <w:rFonts w:ascii="宋体" w:hAnsi="宋体" w:cs="宋体"/>
          <w:highlight w:val="none"/>
        </w:rPr>
      </w:pPr>
      <w:r>
        <w:rPr>
          <w:rFonts w:hint="eastAsia" w:ascii="宋体" w:hAnsi="宋体" w:cs="宋体"/>
          <w:highlight w:val="none"/>
        </w:rPr>
        <w:t>关于发包人移交施工现场的期限要求：</w:t>
      </w:r>
      <w:r>
        <w:rPr>
          <w:rFonts w:hint="eastAsia" w:ascii="宋体" w:hAnsi="宋体" w:cs="宋体"/>
          <w:highlight w:val="none"/>
          <w:u w:val="single"/>
        </w:rPr>
        <w:t>开工日期7天前  。</w:t>
      </w:r>
    </w:p>
    <w:p w14:paraId="3E688D07">
      <w:pPr>
        <w:spacing w:line="400" w:lineRule="exact"/>
        <w:ind w:firstLine="480" w:firstLineChars="200"/>
        <w:outlineLvl w:val="9"/>
        <w:rPr>
          <w:rFonts w:ascii="宋体" w:hAnsi="宋体" w:cs="宋体"/>
          <w:highlight w:val="none"/>
        </w:rPr>
      </w:pPr>
      <w:r>
        <w:rPr>
          <w:rFonts w:hint="eastAsia" w:ascii="宋体" w:hAnsi="宋体" w:cs="宋体"/>
          <w:highlight w:val="none"/>
        </w:rPr>
        <w:t>2.4.2 提供施工条件</w:t>
      </w:r>
    </w:p>
    <w:p w14:paraId="6B652590">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关于发</w:t>
      </w:r>
      <w:r>
        <w:rPr>
          <w:rFonts w:hint="eastAsia" w:ascii="宋体" w:hAnsi="宋体" w:cs="宋体"/>
          <w:color w:val="auto"/>
          <w:highlight w:val="none"/>
        </w:rPr>
        <w:t>包人应负责提供施工所需要的条件，包括：</w:t>
      </w:r>
      <w:r>
        <w:rPr>
          <w:spacing w:val="-3"/>
          <w:u w:val="single"/>
        </w:rPr>
        <w:t>施工现场临水和临电接入点由发包人落实到位，涉及场地有关的接表、接线及其他接入点之后的工作，施工期间的设施维护工作由承包人负责</w:t>
      </w:r>
      <w:r>
        <w:rPr>
          <w:rFonts w:hint="eastAsia"/>
          <w:spacing w:val="-3"/>
          <w:u w:val="single"/>
        </w:rPr>
        <w:t>。</w:t>
      </w:r>
      <w:r>
        <w:rPr>
          <w:rFonts w:hint="eastAsia" w:ascii="宋体" w:hAnsi="宋体" w:cs="宋体"/>
          <w:color w:val="auto"/>
          <w:highlight w:val="none"/>
          <w:u w:val="single"/>
        </w:rPr>
        <w:t xml:space="preserve"> </w:t>
      </w:r>
    </w:p>
    <w:p w14:paraId="4B093C2E">
      <w:pPr>
        <w:spacing w:line="400" w:lineRule="exact"/>
        <w:ind w:firstLine="480" w:firstLineChars="200"/>
        <w:outlineLvl w:val="9"/>
        <w:rPr>
          <w:rFonts w:ascii="宋体" w:hAnsi="宋体" w:cs="宋体"/>
          <w:highlight w:val="none"/>
        </w:rPr>
      </w:pPr>
      <w:r>
        <w:rPr>
          <w:rFonts w:hint="eastAsia" w:ascii="宋体" w:hAnsi="宋体" w:cs="宋体"/>
          <w:highlight w:val="none"/>
        </w:rPr>
        <w:t>2.5 资金来源证明及支付担保</w:t>
      </w:r>
    </w:p>
    <w:p w14:paraId="63431545">
      <w:pPr>
        <w:spacing w:line="400" w:lineRule="exact"/>
        <w:ind w:firstLine="480" w:firstLineChars="200"/>
        <w:outlineLvl w:val="9"/>
        <w:rPr>
          <w:rFonts w:ascii="宋体" w:hAnsi="宋体" w:cs="宋体"/>
          <w:color w:val="auto"/>
          <w:highlight w:val="none"/>
        </w:rPr>
      </w:pPr>
      <w:r>
        <w:rPr>
          <w:rFonts w:hint="eastAsia" w:ascii="宋体" w:hAnsi="宋体" w:cs="宋体"/>
          <w:highlight w:val="none"/>
        </w:rPr>
        <w:t>发包人提</w:t>
      </w:r>
      <w:r>
        <w:rPr>
          <w:rFonts w:hint="eastAsia" w:ascii="宋体" w:hAnsi="宋体" w:cs="宋体"/>
          <w:color w:val="auto"/>
          <w:highlight w:val="none"/>
        </w:rPr>
        <w:t>供资金来源证明的期限要求：</w:t>
      </w:r>
      <w:r>
        <w:rPr>
          <w:rFonts w:hint="eastAsia"/>
          <w:color w:val="auto"/>
          <w:sz w:val="24"/>
          <w:szCs w:val="24"/>
          <w:highlight w:val="none"/>
          <w:u w:val="single"/>
          <w:lang w:val="en-US" w:eastAsia="zh-CN"/>
        </w:rPr>
        <w:t xml:space="preserve">   /   </w:t>
      </w:r>
      <w:r>
        <w:rPr>
          <w:rFonts w:ascii="宋体" w:hAnsi="宋体" w:eastAsia="宋体" w:cs="宋体"/>
          <w:color w:val="auto"/>
          <w:sz w:val="24"/>
          <w:szCs w:val="24"/>
          <w:highlight w:val="none"/>
        </w:rPr>
        <w:t>。</w:t>
      </w:r>
    </w:p>
    <w:p w14:paraId="66461145">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发包人是否提供支付担保：</w:t>
      </w:r>
      <w:r>
        <w:rPr>
          <w:rFonts w:hint="eastAsia"/>
          <w:color w:val="auto"/>
          <w:sz w:val="24"/>
          <w:szCs w:val="24"/>
          <w:highlight w:val="none"/>
          <w:u w:val="single"/>
          <w:lang w:val="en-US" w:eastAsia="zh-CN"/>
        </w:rPr>
        <w:t xml:space="preserve">  /   </w:t>
      </w:r>
      <w:r>
        <w:rPr>
          <w:rFonts w:hint="eastAsia" w:ascii="宋体" w:hAnsi="宋体" w:cs="宋体"/>
          <w:color w:val="auto"/>
          <w:highlight w:val="none"/>
        </w:rPr>
        <w:t>。</w:t>
      </w:r>
    </w:p>
    <w:p w14:paraId="7FB73826">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发包人提供支付担保的形式：</w:t>
      </w:r>
      <w:r>
        <w:rPr>
          <w:rFonts w:hint="eastAsia"/>
          <w:color w:val="auto"/>
          <w:sz w:val="24"/>
          <w:szCs w:val="24"/>
          <w:highlight w:val="none"/>
          <w:u w:val="single"/>
          <w:lang w:val="en-US" w:eastAsia="zh-CN"/>
        </w:rPr>
        <w:t xml:space="preserve">  /   </w:t>
      </w:r>
      <w:r>
        <w:rPr>
          <w:rFonts w:hint="eastAsia" w:ascii="宋体" w:hAnsi="宋体" w:cs="宋体"/>
          <w:color w:val="auto"/>
          <w:highlight w:val="none"/>
          <w:u w:val="single"/>
        </w:rPr>
        <w:t>。</w:t>
      </w:r>
    </w:p>
    <w:p w14:paraId="3EC9B4EF">
      <w:pPr>
        <w:spacing w:line="400" w:lineRule="exact"/>
        <w:ind w:firstLine="482" w:firstLineChars="200"/>
        <w:outlineLvl w:val="9"/>
        <w:rPr>
          <w:rFonts w:ascii="宋体" w:hAnsi="宋体" w:cs="宋体"/>
          <w:b/>
          <w:bCs/>
          <w:color w:val="auto"/>
          <w:highlight w:val="none"/>
        </w:rPr>
      </w:pPr>
      <w:bookmarkStart w:id="172" w:name="_Toc351203635"/>
      <w:r>
        <w:rPr>
          <w:rFonts w:hint="eastAsia" w:ascii="宋体" w:hAnsi="宋体" w:cs="宋体"/>
          <w:b/>
          <w:bCs/>
          <w:color w:val="auto"/>
          <w:highlight w:val="none"/>
        </w:rPr>
        <w:t>2.6 支付合同价款</w:t>
      </w:r>
    </w:p>
    <w:p w14:paraId="707261B3">
      <w:pPr>
        <w:spacing w:line="400" w:lineRule="exact"/>
        <w:ind w:firstLine="480" w:firstLineChars="200"/>
        <w:outlineLvl w:val="9"/>
        <w:rPr>
          <w:rFonts w:ascii="宋体" w:hAnsi="宋体" w:cs="宋体"/>
          <w:highlight w:val="none"/>
        </w:rPr>
      </w:pPr>
      <w:r>
        <w:rPr>
          <w:rFonts w:hint="eastAsia" w:ascii="宋体" w:hAnsi="宋体" w:cs="宋体"/>
          <w:highlight w:val="none"/>
        </w:rPr>
        <w:t>发包人应按合同约定向承包人及时支付合同价款。</w:t>
      </w:r>
    </w:p>
    <w:p w14:paraId="1760A912">
      <w:pPr>
        <w:spacing w:line="400" w:lineRule="exact"/>
        <w:ind w:firstLine="482" w:firstLineChars="200"/>
        <w:outlineLvl w:val="9"/>
        <w:rPr>
          <w:rFonts w:ascii="宋体" w:hAnsi="宋体" w:cs="宋体"/>
          <w:b/>
          <w:bCs/>
          <w:highlight w:val="none"/>
        </w:rPr>
      </w:pPr>
      <w:r>
        <w:rPr>
          <w:rFonts w:hint="eastAsia" w:ascii="宋体" w:hAnsi="宋体" w:cs="宋体"/>
          <w:b/>
          <w:bCs/>
          <w:highlight w:val="none"/>
        </w:rPr>
        <w:t>2.7 组织竣工验收</w:t>
      </w:r>
    </w:p>
    <w:p w14:paraId="2A1AEA0E">
      <w:pPr>
        <w:spacing w:line="400" w:lineRule="exact"/>
        <w:ind w:firstLine="480" w:firstLineChars="200"/>
        <w:outlineLvl w:val="9"/>
        <w:rPr>
          <w:rFonts w:ascii="宋体" w:hAnsi="宋体" w:cs="宋体"/>
          <w:highlight w:val="none"/>
        </w:rPr>
      </w:pPr>
      <w:r>
        <w:rPr>
          <w:rFonts w:hint="eastAsia" w:ascii="宋体" w:hAnsi="宋体" w:cs="宋体"/>
          <w:highlight w:val="none"/>
        </w:rPr>
        <w:t>发包人应按合同约定及时组织竣工验收。</w:t>
      </w:r>
    </w:p>
    <w:p w14:paraId="0CF712CB">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承包人完成合同范围内工程内容，发包人应根据施工图纸、现行施工验收规范和质量验收标准及时组织工程质量验收。</w:t>
      </w:r>
    </w:p>
    <w:p w14:paraId="3E3D8426">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3</w:t>
      </w:r>
      <w:bookmarkStart w:id="173" w:name="_Toc296890986"/>
      <w:bookmarkStart w:id="174" w:name="_Toc292559363"/>
      <w:bookmarkStart w:id="175" w:name="_Toc297048344"/>
      <w:bookmarkStart w:id="176" w:name="_Toc297120458"/>
      <w:bookmarkStart w:id="177" w:name="_Toc292559868"/>
      <w:bookmarkStart w:id="178" w:name="_Toc296346659"/>
      <w:bookmarkStart w:id="179" w:name="_Toc296944497"/>
      <w:bookmarkStart w:id="180" w:name="_Toc296503158"/>
      <w:bookmarkStart w:id="181" w:name="_Toc296347157"/>
      <w:bookmarkStart w:id="182" w:name="_Toc296891198"/>
      <w:r>
        <w:rPr>
          <w:rFonts w:hint="eastAsia" w:ascii="宋体" w:hAnsi="宋体" w:eastAsia="宋体" w:cs="宋体"/>
          <w:sz w:val="24"/>
          <w:szCs w:val="24"/>
          <w:highlight w:val="none"/>
        </w:rPr>
        <w:t>. 承包人</w:t>
      </w:r>
      <w:bookmarkEnd w:id="172"/>
    </w:p>
    <w:bookmarkEnd w:id="173"/>
    <w:bookmarkEnd w:id="174"/>
    <w:bookmarkEnd w:id="175"/>
    <w:bookmarkEnd w:id="176"/>
    <w:bookmarkEnd w:id="177"/>
    <w:bookmarkEnd w:id="178"/>
    <w:bookmarkEnd w:id="179"/>
    <w:bookmarkEnd w:id="180"/>
    <w:bookmarkEnd w:id="181"/>
    <w:bookmarkEnd w:id="182"/>
    <w:p w14:paraId="7BD23D86">
      <w:pPr>
        <w:spacing w:line="400" w:lineRule="exact"/>
        <w:ind w:firstLine="480" w:firstLineChars="200"/>
        <w:outlineLvl w:val="9"/>
        <w:rPr>
          <w:rFonts w:ascii="宋体" w:hAnsi="宋体" w:cs="宋体"/>
          <w:highlight w:val="none"/>
        </w:rPr>
      </w:pPr>
      <w:r>
        <w:rPr>
          <w:rFonts w:hint="eastAsia" w:ascii="宋体" w:hAnsi="宋体" w:cs="宋体"/>
          <w:highlight w:val="none"/>
        </w:rPr>
        <w:t>3.1 承包人的一般义务</w:t>
      </w:r>
    </w:p>
    <w:p w14:paraId="54BA35CB">
      <w:pPr>
        <w:spacing w:line="400" w:lineRule="exact"/>
        <w:ind w:firstLine="480" w:firstLineChars="200"/>
        <w:outlineLvl w:val="9"/>
        <w:rPr>
          <w:rFonts w:ascii="宋体" w:hAnsi="宋体" w:cs="宋体"/>
          <w:b/>
          <w:bCs/>
          <w:highlight w:val="none"/>
        </w:rPr>
      </w:pPr>
      <w:r>
        <w:rPr>
          <w:rFonts w:hint="eastAsia" w:ascii="宋体" w:hAnsi="宋体" w:cs="宋体"/>
          <w:highlight w:val="none"/>
        </w:rPr>
        <w:t>（9）承包人提交的竣工资料的内容：</w:t>
      </w:r>
      <w:r>
        <w:rPr>
          <w:rFonts w:hint="eastAsia" w:ascii="宋体" w:hAnsi="宋体" w:cs="宋体"/>
          <w:b/>
          <w:bCs/>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b/>
          <w:bCs/>
          <w:highlight w:val="none"/>
        </w:rPr>
        <w:t>。</w:t>
      </w:r>
    </w:p>
    <w:p w14:paraId="4B145CCE">
      <w:pPr>
        <w:spacing w:line="400" w:lineRule="exact"/>
        <w:ind w:firstLine="480" w:firstLineChars="200"/>
        <w:outlineLvl w:val="9"/>
        <w:rPr>
          <w:rFonts w:ascii="宋体" w:hAnsi="宋体" w:cs="宋体"/>
          <w:highlight w:val="none"/>
        </w:rPr>
      </w:pPr>
      <w:r>
        <w:rPr>
          <w:rFonts w:hint="eastAsia" w:ascii="宋体" w:hAnsi="宋体" w:cs="宋体"/>
          <w:highlight w:val="none"/>
        </w:rPr>
        <w:t>承包人需要提交的竣工资料套数：</w:t>
      </w:r>
      <w:r>
        <w:rPr>
          <w:rFonts w:hint="eastAsia" w:ascii="宋体" w:hAnsi="宋体" w:cs="宋体"/>
          <w:highlight w:val="none"/>
          <w:u w:val="single"/>
        </w:rPr>
        <w:t xml:space="preserve">  按发包人实际需求   </w:t>
      </w:r>
      <w:r>
        <w:rPr>
          <w:rFonts w:hint="eastAsia" w:ascii="宋体" w:hAnsi="宋体" w:cs="宋体"/>
          <w:highlight w:val="none"/>
        </w:rPr>
        <w:t>。</w:t>
      </w:r>
    </w:p>
    <w:p w14:paraId="352C6E24">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承包人提交的竣工资料的费用承担：</w:t>
      </w:r>
      <w:r>
        <w:rPr>
          <w:rFonts w:hint="eastAsia" w:ascii="宋体" w:hAnsi="宋体" w:cs="宋体"/>
          <w:highlight w:val="none"/>
          <w:u w:val="single"/>
        </w:rPr>
        <w:t xml:space="preserve">由承包人承担  </w:t>
      </w:r>
      <w:r>
        <w:rPr>
          <w:rFonts w:hint="eastAsia" w:ascii="宋体" w:hAnsi="宋体" w:cs="宋体"/>
          <w:highlight w:val="none"/>
        </w:rPr>
        <w:t>。</w:t>
      </w:r>
    </w:p>
    <w:p w14:paraId="7A2E5673">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承包人提交的竣工资料移交时间：</w:t>
      </w:r>
      <w:r>
        <w:rPr>
          <w:rFonts w:hint="eastAsia" w:ascii="宋体" w:hAnsi="宋体" w:cs="宋体"/>
          <w:highlight w:val="none"/>
          <w:u w:val="single"/>
        </w:rPr>
        <w:t>工程竣工验收合格后7天内</w:t>
      </w:r>
      <w:r>
        <w:rPr>
          <w:rFonts w:hint="eastAsia" w:ascii="宋体" w:hAnsi="宋体" w:cs="宋体"/>
          <w:highlight w:val="none"/>
        </w:rPr>
        <w:t>。</w:t>
      </w:r>
    </w:p>
    <w:p w14:paraId="738E29EE">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承包人提交的竣工资料形式要求：</w:t>
      </w:r>
      <w:r>
        <w:rPr>
          <w:rFonts w:hint="eastAsia" w:ascii="宋体" w:hAnsi="宋体" w:cs="宋体"/>
          <w:highlight w:val="none"/>
          <w:u w:val="single"/>
        </w:rPr>
        <w:t xml:space="preserve">   纸质及相关电子数据  </w:t>
      </w:r>
      <w:r>
        <w:rPr>
          <w:rFonts w:hint="eastAsia" w:ascii="宋体" w:hAnsi="宋体" w:cs="宋体"/>
          <w:highlight w:val="none"/>
        </w:rPr>
        <w:t>。</w:t>
      </w:r>
    </w:p>
    <w:p w14:paraId="34D5B80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（10）承包人应履行的其他义务：</w:t>
      </w:r>
    </w:p>
    <w:p w14:paraId="3987D04F">
      <w:pPr>
        <w:pStyle w:val="28"/>
        <w:numPr>
          <w:ilvl w:val="0"/>
          <w:numId w:val="67"/>
        </w:numPr>
        <w:tabs>
          <w:tab w:val="left" w:pos="1345"/>
        </w:tabs>
        <w:spacing w:line="400" w:lineRule="exact"/>
        <w:ind w:left="425" w:leftChars="0" w:hanging="425" w:firstLineChars="0"/>
        <w:outlineLvl w:val="9"/>
        <w:rPr>
          <w:rFonts w:ascii="宋体" w:hAnsi="宋体" w:cs="宋体"/>
          <w:highlight w:val="none"/>
          <w:u w:val="single"/>
        </w:rPr>
      </w:pPr>
      <w:r>
        <w:rPr>
          <w:rFonts w:hint="eastAsia" w:ascii="宋体" w:hAnsi="宋体" w:cs="宋体"/>
          <w:spacing w:val="-4"/>
          <w:highlight w:val="none"/>
          <w:u w:val="single"/>
        </w:rPr>
        <w:t>向发包人、监理人提供施工现场办公室各1</w:t>
      </w:r>
      <w:r>
        <w:rPr>
          <w:rFonts w:hint="eastAsia" w:ascii="宋体" w:hAnsi="宋体" w:cs="宋体"/>
          <w:spacing w:val="-3"/>
          <w:highlight w:val="none"/>
          <w:u w:val="single"/>
        </w:rPr>
        <w:t>间免费使用</w:t>
      </w:r>
      <w:r>
        <w:rPr>
          <w:rFonts w:hint="eastAsia" w:ascii="宋体" w:hAnsi="宋体" w:cs="宋体"/>
          <w:highlight w:val="none"/>
          <w:u w:val="single"/>
        </w:rPr>
        <w:t>。</w:t>
      </w:r>
    </w:p>
    <w:p w14:paraId="7FD4563A">
      <w:pPr>
        <w:numPr>
          <w:ilvl w:val="0"/>
          <w:numId w:val="67"/>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highlight w:val="none"/>
          <w:u w:val="single"/>
        </w:rPr>
        <w:t>在施工中必须严格按照规</w:t>
      </w:r>
      <w:r>
        <w:rPr>
          <w:rFonts w:hint="eastAsia" w:ascii="宋体" w:hAnsi="宋体" w:cs="宋体"/>
          <w:color w:val="auto"/>
          <w:highlight w:val="none"/>
          <w:u w:val="single"/>
        </w:rPr>
        <w:t>范操作，</w:t>
      </w:r>
      <w:r>
        <w:rPr>
          <w:rFonts w:hint="eastAsia" w:ascii="宋体" w:hAnsi="宋体" w:cs="宋体"/>
          <w:color w:val="auto"/>
          <w:spacing w:val="-3"/>
          <w:highlight w:val="none"/>
          <w:u w:val="single"/>
        </w:rPr>
        <w:t>并针对周围树木、管线和邻近建筑物实际情况</w:t>
      </w:r>
      <w:r>
        <w:rPr>
          <w:rFonts w:hint="eastAsia" w:ascii="宋体" w:hAnsi="宋体" w:cs="宋体"/>
          <w:color w:val="auto"/>
          <w:highlight w:val="none"/>
          <w:u w:val="single"/>
        </w:rPr>
        <w:t>，采取相应防护措施，对不按规范要求施工或未采取防护措施的，造成的损失由承包人承担。</w:t>
      </w:r>
    </w:p>
    <w:p w14:paraId="4C321C8B">
      <w:pPr>
        <w:numPr>
          <w:ilvl w:val="0"/>
          <w:numId w:val="67"/>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本项目施工安全由承包人负总责。</w:t>
      </w:r>
    </w:p>
    <w:p w14:paraId="42B99FA5">
      <w:pPr>
        <w:numPr>
          <w:ilvl w:val="0"/>
          <w:numId w:val="67"/>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按当地有关部门要求，由承包人办理的有关施工场地交通、环卫和施工噪音管理等手续。</w:t>
      </w:r>
    </w:p>
    <w:p w14:paraId="1C34EE2B">
      <w:pPr>
        <w:pStyle w:val="28"/>
        <w:numPr>
          <w:ilvl w:val="0"/>
          <w:numId w:val="0"/>
        </w:numPr>
        <w:tabs>
          <w:tab w:val="left" w:pos="1120"/>
        </w:tabs>
        <w:spacing w:line="400" w:lineRule="exact"/>
        <w:ind w:leftChars="0"/>
        <w:outlineLvl w:val="9"/>
        <w:rPr>
          <w:rFonts w:ascii="宋体" w:hAnsi="宋体" w:cs="宋体"/>
          <w:b/>
          <w:color w:val="auto"/>
          <w:highlight w:val="none"/>
          <w:u w:val="single"/>
        </w:rPr>
      </w:pPr>
      <w:r>
        <w:rPr>
          <w:rFonts w:hint="eastAsia" w:ascii="宋体" w:hAnsi="宋体" w:cs="宋体"/>
          <w:b/>
          <w:color w:val="auto"/>
          <w:highlight w:val="none"/>
          <w:u w:val="single"/>
          <w:lang w:val="en-US" w:eastAsia="zh-CN"/>
        </w:rPr>
        <w:t>e.</w:t>
      </w:r>
      <w:r>
        <w:rPr>
          <w:rFonts w:hint="eastAsia" w:ascii="宋体" w:hAnsi="宋体" w:cs="宋体"/>
          <w:b/>
          <w:color w:val="auto"/>
          <w:highlight w:val="none"/>
          <w:u w:val="single"/>
        </w:rPr>
        <w:t>其他：</w:t>
      </w:r>
    </w:p>
    <w:p w14:paraId="54E664DA">
      <w:pPr>
        <w:spacing w:line="400" w:lineRule="exact"/>
        <w:ind w:firstLine="482" w:firstLineChars="200"/>
        <w:outlineLvl w:val="9"/>
        <w:rPr>
          <w:rFonts w:ascii="宋体" w:hAnsi="宋体" w:cs="宋体"/>
          <w:b/>
          <w:color w:val="auto"/>
          <w:highlight w:val="none"/>
          <w:u w:val="single"/>
        </w:rPr>
      </w:pPr>
      <w:r>
        <w:rPr>
          <w:rFonts w:hint="eastAsia" w:ascii="宋体" w:hAnsi="宋体" w:cs="宋体"/>
          <w:b/>
          <w:color w:val="auto"/>
          <w:highlight w:val="none"/>
        </w:rPr>
        <w:t>①</w:t>
      </w:r>
      <w:r>
        <w:rPr>
          <w:rFonts w:hint="eastAsia" w:ascii="宋体" w:hAnsi="宋体" w:cs="宋体"/>
          <w:b/>
          <w:color w:val="auto"/>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color w:val="auto"/>
          <w:highlight w:val="none"/>
        </w:rPr>
        <w:t>。</w:t>
      </w:r>
    </w:p>
    <w:p w14:paraId="288BABA7">
      <w:pPr>
        <w:snapToGrid w:val="0"/>
        <w:spacing w:line="400" w:lineRule="exact"/>
        <w:ind w:firstLine="506" w:firstLineChars="210"/>
        <w:outlineLvl w:val="9"/>
        <w:rPr>
          <w:rFonts w:ascii="宋体" w:hAnsi="宋体" w:cs="宋体"/>
          <w:b/>
          <w:color w:val="auto"/>
          <w:highlight w:val="none"/>
          <w:u w:val="single"/>
        </w:rPr>
      </w:pPr>
      <w:r>
        <w:rPr>
          <w:rFonts w:hint="eastAsia" w:ascii="宋体" w:hAnsi="宋体" w:cs="宋体"/>
          <w:b/>
          <w:color w:val="auto"/>
          <w:highlight w:val="none"/>
        </w:rPr>
        <w:t>②</w:t>
      </w:r>
      <w:r>
        <w:rPr>
          <w:rFonts w:hint="eastAsia" w:ascii="宋体" w:hAnsi="宋体" w:cs="宋体"/>
          <w:b/>
          <w:color w:val="auto"/>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5CE37EDF">
      <w:pPr>
        <w:widowControl/>
        <w:spacing w:line="400" w:lineRule="exact"/>
        <w:ind w:firstLine="482" w:firstLineChars="200"/>
        <w:outlineLvl w:val="9"/>
        <w:rPr>
          <w:rFonts w:ascii="宋体" w:hAnsi="宋体" w:cs="宋体"/>
          <w:b/>
          <w:highlight w:val="none"/>
          <w:u w:val="single"/>
        </w:rPr>
      </w:pPr>
      <w:r>
        <w:rPr>
          <w:rFonts w:hint="eastAsia" w:ascii="宋体" w:hAnsi="宋体" w:cs="宋体"/>
          <w:b/>
          <w:highlight w:val="none"/>
        </w:rPr>
        <w:t>③</w:t>
      </w:r>
      <w:r>
        <w:rPr>
          <w:rFonts w:hint="eastAsia" w:ascii="宋体" w:hAnsi="宋体" w:cs="宋体"/>
          <w:b/>
          <w:highlight w:val="none"/>
          <w:u w:val="single"/>
        </w:rPr>
        <w:t>对发包人的现场监督工作予以充分的配合与协助。承包人服从发包人、监理公司的管理，做好交叉施工事宜及其他与本工程施工相关的工作。</w:t>
      </w:r>
    </w:p>
    <w:p w14:paraId="706A9ED6">
      <w:pPr>
        <w:widowControl/>
        <w:spacing w:line="400" w:lineRule="exact"/>
        <w:ind w:firstLine="482" w:firstLineChars="200"/>
        <w:outlineLvl w:val="9"/>
        <w:rPr>
          <w:rFonts w:ascii="宋体" w:hAnsi="宋体" w:cs="宋体"/>
          <w:b/>
          <w:highlight w:val="none"/>
          <w:u w:val="single"/>
        </w:rPr>
      </w:pPr>
      <w:r>
        <w:rPr>
          <w:rFonts w:hint="eastAsia" w:ascii="宋体" w:hAnsi="宋体" w:cs="宋体"/>
          <w:b/>
          <w:highlight w:val="none"/>
        </w:rPr>
        <w:t>④</w:t>
      </w:r>
      <w:r>
        <w:rPr>
          <w:rFonts w:hint="eastAsia" w:ascii="宋体" w:hAnsi="宋体" w:cs="宋体"/>
          <w:b/>
          <w:highlight w:val="none"/>
          <w:u w:val="single"/>
        </w:rPr>
        <w:t>承包人承担施工期间的水、电费用，承包人必须每月按水、电部门的计价标准，按所需缴纳金额及时足额向水、电部门缴纳，若承包人不按时缴纳，则发包人有权采取相应措施。</w:t>
      </w:r>
    </w:p>
    <w:p w14:paraId="0100A383">
      <w:pPr>
        <w:tabs>
          <w:tab w:val="left" w:pos="450"/>
        </w:tabs>
        <w:snapToGrid w:val="0"/>
        <w:spacing w:line="400" w:lineRule="exact"/>
        <w:ind w:firstLine="542" w:firstLineChars="225"/>
        <w:outlineLvl w:val="9"/>
        <w:rPr>
          <w:rFonts w:ascii="宋体" w:hAnsi="宋体" w:cs="宋体"/>
          <w:b/>
          <w:highlight w:val="none"/>
          <w:u w:val="single"/>
        </w:rPr>
      </w:pPr>
      <w:r>
        <w:rPr>
          <w:rFonts w:hint="eastAsia" w:ascii="宋体" w:hAnsi="宋体" w:cs="宋体"/>
          <w:b/>
          <w:highlight w:val="none"/>
        </w:rPr>
        <w:t>⑤</w:t>
      </w:r>
      <w:r>
        <w:rPr>
          <w:rFonts w:hint="eastAsia" w:ascii="宋体" w:hAnsi="宋体" w:cs="宋体"/>
          <w:b/>
          <w:highlight w:val="none"/>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0143141D">
      <w:pPr>
        <w:widowControl/>
        <w:spacing w:line="400" w:lineRule="exact"/>
        <w:ind w:firstLine="482" w:firstLineChars="200"/>
        <w:outlineLvl w:val="9"/>
        <w:rPr>
          <w:rFonts w:ascii="宋体" w:hAnsi="宋体" w:cs="宋体"/>
          <w:b/>
          <w:highlight w:val="none"/>
          <w:u w:val="single"/>
        </w:rPr>
      </w:pPr>
      <w:r>
        <w:rPr>
          <w:rFonts w:hint="eastAsia" w:ascii="宋体" w:hAnsi="宋体" w:cs="宋体"/>
          <w:b/>
          <w:highlight w:val="none"/>
        </w:rPr>
        <w:t>⑥</w:t>
      </w:r>
      <w:r>
        <w:rPr>
          <w:rFonts w:hint="eastAsia" w:ascii="宋体" w:hAnsi="宋体" w:cs="宋体"/>
          <w:b/>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2C3EC866">
      <w:pPr>
        <w:snapToGrid w:val="0"/>
        <w:spacing w:line="400" w:lineRule="exact"/>
        <w:ind w:firstLine="506" w:firstLineChars="210"/>
        <w:outlineLvl w:val="9"/>
        <w:rPr>
          <w:rFonts w:ascii="宋体" w:hAnsi="宋体" w:cs="宋体"/>
          <w:b/>
          <w:highlight w:val="none"/>
          <w:u w:val="single"/>
        </w:rPr>
      </w:pPr>
      <w:r>
        <w:rPr>
          <w:rFonts w:hint="eastAsia" w:ascii="宋体" w:hAnsi="宋体" w:cs="宋体"/>
          <w:b/>
          <w:highlight w:val="none"/>
        </w:rPr>
        <w:t>⑦</w:t>
      </w:r>
      <w:r>
        <w:rPr>
          <w:rFonts w:hint="eastAsia" w:ascii="宋体" w:hAnsi="宋体" w:cs="宋体"/>
          <w:b/>
          <w:highlight w:val="none"/>
          <w:u w:val="single"/>
        </w:rPr>
        <w:t>施工现场的标语、条幅和围挡图案、廉政文化宣传等制作，在悬挂和喷涂前应征得发包人同意，如发包人提出修改意见，承包人应无条件修改，直到符合要求为止，合同价款不予调整。</w:t>
      </w:r>
    </w:p>
    <w:p w14:paraId="3D34F73E">
      <w:pPr>
        <w:snapToGrid w:val="0"/>
        <w:spacing w:line="400" w:lineRule="exact"/>
        <w:ind w:firstLine="506" w:firstLineChars="210"/>
        <w:outlineLvl w:val="9"/>
        <w:rPr>
          <w:rFonts w:ascii="宋体" w:hAnsi="宋体" w:cs="宋体"/>
          <w:b/>
          <w:highlight w:val="none"/>
          <w:u w:val="single"/>
        </w:rPr>
      </w:pPr>
      <w:r>
        <w:rPr>
          <w:rFonts w:hint="eastAsia" w:ascii="宋体" w:hAnsi="宋体" w:cs="宋体"/>
          <w:b/>
          <w:highlight w:val="none"/>
        </w:rPr>
        <w:t>⑧</w:t>
      </w:r>
      <w:r>
        <w:rPr>
          <w:rFonts w:hint="eastAsia" w:ascii="宋体" w:hAnsi="宋体" w:cs="宋体"/>
          <w:b/>
          <w:highlight w:val="none"/>
          <w:u w:val="single"/>
        </w:rPr>
        <w:t>承包人在合同履行过程中，应严格遵守和执行发包人制定的各项管理制度和规定，严格执行发包人关于工程设计变更、签证等方面的审批程序及制度。</w:t>
      </w:r>
    </w:p>
    <w:p w14:paraId="622A086E">
      <w:pPr>
        <w:tabs>
          <w:tab w:val="left" w:pos="450"/>
        </w:tabs>
        <w:snapToGrid w:val="0"/>
        <w:spacing w:line="400" w:lineRule="exact"/>
        <w:ind w:firstLine="542" w:firstLineChars="225"/>
        <w:outlineLvl w:val="9"/>
        <w:rPr>
          <w:rFonts w:ascii="宋体" w:hAnsi="宋体" w:cs="宋体"/>
          <w:b/>
          <w:highlight w:val="none"/>
          <w:u w:val="single"/>
        </w:rPr>
      </w:pPr>
      <w:r>
        <w:rPr>
          <w:rFonts w:hint="eastAsia" w:ascii="宋体" w:hAnsi="宋体" w:cs="宋体"/>
          <w:b/>
          <w:highlight w:val="none"/>
        </w:rPr>
        <w:t>⑨</w:t>
      </w:r>
      <w:r>
        <w:rPr>
          <w:rFonts w:hint="eastAsia" w:ascii="宋体" w:hAnsi="宋体" w:cs="宋体"/>
          <w:b/>
          <w:highlight w:val="none"/>
          <w:u w:val="single"/>
        </w:rPr>
        <w:t>由承包人的质量安全职能部门每月对本工程施工现场的质量、安全文明、进度等进行全面督查，并将督查结果向发包人汇报。</w:t>
      </w:r>
    </w:p>
    <w:p w14:paraId="4D9095A9">
      <w:pPr>
        <w:tabs>
          <w:tab w:val="left" w:pos="450"/>
        </w:tabs>
        <w:snapToGrid w:val="0"/>
        <w:spacing w:line="400" w:lineRule="exact"/>
        <w:ind w:firstLine="542" w:firstLineChars="225"/>
        <w:outlineLvl w:val="9"/>
        <w:rPr>
          <w:rFonts w:ascii="宋体" w:hAnsi="宋体" w:cs="宋体"/>
          <w:b/>
          <w:highlight w:val="none"/>
          <w:u w:val="single"/>
        </w:rPr>
      </w:pPr>
      <w:r>
        <w:rPr>
          <w:rFonts w:hint="eastAsia" w:ascii="宋体" w:hAnsi="宋体" w:cs="宋体"/>
          <w:b/>
          <w:highlight w:val="none"/>
        </w:rPr>
        <w:t>⑩</w:t>
      </w:r>
      <w:r>
        <w:rPr>
          <w:rFonts w:hint="eastAsia" w:ascii="宋体" w:hAnsi="宋体" w:cs="宋体"/>
          <w:b/>
          <w:highlight w:val="none"/>
          <w:u w:val="single"/>
        </w:rPr>
        <w:t>已竣工工程未验收合格之前，承包人按协议条款约定负责已完工程的保护工作，保护期间发生损坏，责任方自费予以修复至符合验收条件。</w:t>
      </w:r>
    </w:p>
    <w:p w14:paraId="5DFFB746">
      <w:pPr>
        <w:numPr>
          <w:ilvl w:val="0"/>
          <w:numId w:val="67"/>
        </w:numPr>
        <w:tabs>
          <w:tab w:val="left" w:pos="450"/>
        </w:tabs>
        <w:snapToGrid w:val="0"/>
        <w:spacing w:line="400" w:lineRule="exact"/>
        <w:ind w:left="425" w:leftChars="0" w:hanging="425" w:firstLineChars="0"/>
        <w:outlineLvl w:val="9"/>
        <w:rPr>
          <w:rFonts w:ascii="宋体" w:hAnsi="宋体" w:cs="宋体"/>
          <w:b/>
          <w:highlight w:val="none"/>
          <w:u w:val="single"/>
        </w:rPr>
      </w:pPr>
      <w:r>
        <w:rPr>
          <w:rFonts w:hint="eastAsia" w:ascii="宋体" w:hAnsi="宋体" w:cs="宋体"/>
          <w:b/>
          <w:highlight w:val="none"/>
          <w:u w:val="single"/>
        </w:rPr>
        <w:t>农民工工资按三人社[2019]41号《关于印发三门县建设领域民工工资管理办法（试行）的通知》执行。</w:t>
      </w:r>
    </w:p>
    <w:p w14:paraId="2480B75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（11）承包人诚实信用的承诺：</w:t>
      </w:r>
      <w:r>
        <w:rPr>
          <w:rFonts w:hint="eastAsia" w:ascii="宋体" w:hAnsi="宋体" w:cs="宋体"/>
          <w:highlight w:val="none"/>
          <w:u w:val="single"/>
        </w:rPr>
        <w:t xml:space="preserve"> 承包人向发包人承诺按照本合同约定及现场</w:t>
      </w:r>
      <w:r>
        <w:rPr>
          <w:rFonts w:hint="eastAsia" w:ascii="宋体" w:hAnsi="宋体" w:cs="宋体"/>
          <w:highlight w:val="none"/>
          <w:u w:val="single"/>
          <w:lang w:val="en-US" w:eastAsia="zh-CN"/>
        </w:rPr>
        <w:t>发包人</w:t>
      </w:r>
      <w:r>
        <w:rPr>
          <w:rFonts w:hint="eastAsia" w:ascii="宋体" w:hAnsi="宋体" w:cs="宋体"/>
          <w:highlight w:val="none"/>
          <w:u w:val="single"/>
        </w:rPr>
        <w:t>和监理工程师的指令进行施工。竣工后，保修期内承担工程质量保修责任，并履行本合同约定的全部义务 。</w:t>
      </w:r>
    </w:p>
    <w:p w14:paraId="73BB35D9">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（12）承包人使用新技术、工法、工艺的承诺：</w:t>
      </w:r>
      <w:r>
        <w:rPr>
          <w:rFonts w:hint="eastAsia" w:ascii="宋体" w:hAnsi="宋体" w:cs="宋体"/>
          <w:highlight w:val="none"/>
          <w:u w:val="single"/>
        </w:rPr>
        <w:t xml:space="preserve">            /         。</w:t>
      </w:r>
    </w:p>
    <w:p w14:paraId="47300FAA">
      <w:pPr>
        <w:spacing w:line="400" w:lineRule="exact"/>
        <w:ind w:firstLine="480" w:firstLineChars="200"/>
        <w:outlineLvl w:val="9"/>
        <w:rPr>
          <w:rFonts w:ascii="宋体" w:hAnsi="宋体" w:cs="宋体"/>
          <w:highlight w:val="none"/>
        </w:rPr>
      </w:pPr>
      <w:r>
        <w:rPr>
          <w:rFonts w:hint="eastAsia" w:ascii="宋体" w:hAnsi="宋体" w:cs="宋体"/>
          <w:highlight w:val="none"/>
        </w:rPr>
        <w:t>3.2 项目经理</w:t>
      </w:r>
    </w:p>
    <w:p w14:paraId="40E458AF">
      <w:pPr>
        <w:spacing w:line="400" w:lineRule="exact"/>
        <w:ind w:firstLine="480" w:firstLineChars="200"/>
        <w:outlineLvl w:val="9"/>
        <w:rPr>
          <w:rFonts w:ascii="宋体" w:hAnsi="宋体" w:cs="宋体"/>
          <w:highlight w:val="none"/>
        </w:rPr>
      </w:pPr>
      <w:r>
        <w:rPr>
          <w:rFonts w:hint="eastAsia" w:ascii="宋体" w:hAnsi="宋体" w:cs="宋体"/>
          <w:highlight w:val="none"/>
        </w:rPr>
        <w:t>3.2.1 项目经理：</w:t>
      </w:r>
    </w:p>
    <w:p w14:paraId="743A4516">
      <w:pPr>
        <w:spacing w:line="400" w:lineRule="exact"/>
        <w:ind w:firstLine="48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14:paraId="73A33598">
      <w:pPr>
        <w:spacing w:line="400" w:lineRule="exact"/>
        <w:ind w:firstLine="480" w:firstLineChars="200"/>
        <w:outlineLvl w:val="9"/>
        <w:rPr>
          <w:rFonts w:ascii="宋体" w:hAnsi="宋体" w:cs="宋体"/>
          <w:highlight w:val="none"/>
        </w:rPr>
      </w:pPr>
      <w:r>
        <w:rPr>
          <w:rFonts w:hint="eastAsia" w:ascii="宋体" w:hAnsi="宋体" w:cs="宋体"/>
          <w:highlight w:val="none"/>
        </w:rPr>
        <w:t>建造师执业资格等级：</w:t>
      </w:r>
      <w:r>
        <w:rPr>
          <w:rFonts w:hint="eastAsia" w:ascii="宋体" w:hAnsi="宋体" w:cs="宋体"/>
          <w:highlight w:val="none"/>
          <w:u w:val="single"/>
        </w:rPr>
        <w:t>   </w:t>
      </w:r>
      <w:r>
        <w:rPr>
          <w:rFonts w:hint="eastAsia" w:ascii="宋体" w:hAnsi="宋体" w:cs="宋体"/>
          <w:highlight w:val="none"/>
        </w:rPr>
        <w:t>；建造师注册证书号：</w:t>
      </w:r>
      <w:r>
        <w:rPr>
          <w:rFonts w:hint="eastAsia" w:ascii="宋体" w:hAnsi="宋体" w:cs="宋体"/>
          <w:highlight w:val="none"/>
          <w:u w:val="single"/>
        </w:rPr>
        <w:t> </w:t>
      </w:r>
      <w:r>
        <w:rPr>
          <w:rFonts w:hint="eastAsia" w:ascii="宋体" w:hAnsi="宋体" w:cs="宋体"/>
          <w:highlight w:val="none"/>
        </w:rPr>
        <w:t>；</w:t>
      </w:r>
    </w:p>
    <w:p w14:paraId="6DC7AA2B">
      <w:pPr>
        <w:spacing w:line="400" w:lineRule="exact"/>
        <w:ind w:firstLine="480" w:firstLineChars="200"/>
        <w:outlineLvl w:val="9"/>
        <w:rPr>
          <w:rFonts w:ascii="宋体" w:hAnsi="宋体" w:cs="宋体"/>
          <w:highlight w:val="none"/>
        </w:rPr>
      </w:pPr>
      <w:r>
        <w:rPr>
          <w:rFonts w:hint="eastAsia" w:ascii="宋体" w:hAnsi="宋体" w:cs="宋体"/>
          <w:highlight w:val="none"/>
        </w:rPr>
        <w:t>建造师执业印章号：</w:t>
      </w:r>
      <w:r>
        <w:rPr>
          <w:rFonts w:hint="eastAsia" w:ascii="宋体" w:hAnsi="宋体" w:cs="宋体"/>
          <w:highlight w:val="none"/>
          <w:u w:val="single"/>
        </w:rPr>
        <w:t> </w:t>
      </w:r>
      <w:r>
        <w:rPr>
          <w:rFonts w:hint="eastAsia" w:ascii="宋体" w:hAnsi="宋体" w:cs="宋体"/>
          <w:highlight w:val="none"/>
        </w:rPr>
        <w:t>；安全生产考核合格证书号：</w:t>
      </w:r>
      <w:r>
        <w:rPr>
          <w:rFonts w:hint="eastAsia" w:ascii="宋体" w:hAnsi="宋体" w:cs="宋体"/>
          <w:highlight w:val="none"/>
          <w:u w:val="single"/>
        </w:rPr>
        <w:t>  </w:t>
      </w:r>
      <w:r>
        <w:rPr>
          <w:rFonts w:hint="eastAsia" w:ascii="宋体" w:hAnsi="宋体" w:cs="宋体"/>
          <w:highlight w:val="none"/>
        </w:rPr>
        <w:t>；</w:t>
      </w:r>
    </w:p>
    <w:p w14:paraId="5B87149E">
      <w:pPr>
        <w:spacing w:line="400" w:lineRule="exact"/>
        <w:ind w:firstLine="48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single"/>
        </w:rPr>
        <w:t>     </w:t>
      </w:r>
      <w:r>
        <w:rPr>
          <w:rFonts w:hint="eastAsia" w:ascii="宋体" w:hAnsi="宋体" w:cs="宋体"/>
          <w:highlight w:val="none"/>
        </w:rPr>
        <w:t>；电子信箱：</w:t>
      </w:r>
      <w:r>
        <w:rPr>
          <w:rFonts w:hint="eastAsia" w:ascii="宋体" w:hAnsi="宋体" w:cs="宋体"/>
          <w:highlight w:val="none"/>
          <w:u w:val="single"/>
        </w:rPr>
        <w:t>           </w:t>
      </w:r>
      <w:r>
        <w:rPr>
          <w:rFonts w:hint="eastAsia" w:ascii="宋体" w:hAnsi="宋体" w:cs="宋体"/>
          <w:highlight w:val="none"/>
        </w:rPr>
        <w:t>；</w:t>
      </w:r>
    </w:p>
    <w:p w14:paraId="0EC5F0CC">
      <w:pPr>
        <w:spacing w:line="400" w:lineRule="exact"/>
        <w:ind w:firstLine="48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highlight w:val="none"/>
          <w:u w:val="single"/>
        </w:rPr>
        <w:t>                                   </w:t>
      </w:r>
      <w:r>
        <w:rPr>
          <w:rFonts w:hint="eastAsia" w:ascii="宋体" w:hAnsi="宋体" w:cs="宋体"/>
          <w:highlight w:val="none"/>
        </w:rPr>
        <w:t>；</w:t>
      </w:r>
    </w:p>
    <w:p w14:paraId="52B35BF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承包人对项目经理的授权范围如下：</w:t>
      </w:r>
      <w:r>
        <w:rPr>
          <w:rFonts w:hint="eastAsia" w:ascii="宋体" w:hAnsi="宋体" w:cs="宋体"/>
          <w:highlight w:val="none"/>
          <w:u w:val="single"/>
        </w:rPr>
        <w:t xml:space="preserve">                                     </w:t>
      </w:r>
      <w:r>
        <w:rPr>
          <w:rFonts w:hint="eastAsia" w:ascii="宋体" w:hAnsi="宋体" w:cs="宋体"/>
          <w:highlight w:val="none"/>
        </w:rPr>
        <w:t>。</w:t>
      </w:r>
    </w:p>
    <w:p w14:paraId="16C31B6B">
      <w:pPr>
        <w:pStyle w:val="8"/>
        <w:keepNext w:val="0"/>
        <w:keepLines w:val="0"/>
        <w:pageBreakBefore w:val="0"/>
        <w:widowControl w:val="0"/>
        <w:kinsoku/>
        <w:wordWrap/>
        <w:overflowPunct/>
        <w:topLinePunct w:val="0"/>
        <w:autoSpaceDE w:val="0"/>
        <w:autoSpaceDN w:val="0"/>
        <w:bidi w:val="0"/>
        <w:adjustRightInd w:val="0"/>
        <w:snapToGrid/>
        <w:spacing w:line="400" w:lineRule="exact"/>
        <w:ind w:left="0" w:firstLine="480" w:firstLineChars="200"/>
        <w:textAlignment w:val="auto"/>
        <w:outlineLvl w:val="9"/>
        <w:rPr>
          <w:rFonts w:ascii="宋体" w:hAnsi="宋体" w:cs="宋体"/>
          <w:highlight w:val="none"/>
          <w:u w:val="single"/>
        </w:rPr>
      </w:pPr>
      <w:r>
        <w:rPr>
          <w:rFonts w:hint="eastAsia" w:ascii="宋体" w:hAnsi="宋体" w:cs="宋体"/>
          <w:highlight w:val="none"/>
        </w:rPr>
        <w:t>关于项目经理每月在施工现场的时间要求：</w:t>
      </w:r>
      <w:r>
        <w:rPr>
          <w:rFonts w:hint="eastAsia" w:ascii="宋体" w:hAnsi="宋体" w:cs="宋体"/>
          <w:highlight w:val="none"/>
          <w:u w:val="single"/>
        </w:rPr>
        <w:t xml:space="preserve"> 月到岗须不少于24天；月到岗达不到约定天数，按相关行业主管部发布的规定处理；遇有工程检查、验收或参观等活动时，无特殊原因不得离开施工现场。</w:t>
      </w:r>
    </w:p>
    <w:p w14:paraId="15DF046B">
      <w:pPr>
        <w:spacing w:line="400" w:lineRule="exact"/>
        <w:ind w:firstLine="480" w:firstLineChars="200"/>
        <w:outlineLvl w:val="9"/>
        <w:rPr>
          <w:rFonts w:ascii="宋体" w:hAnsi="宋体" w:cs="宋体"/>
          <w:spacing w:val="-1"/>
          <w:highlight w:val="none"/>
          <w:u w:val="single"/>
        </w:rPr>
      </w:pPr>
      <w:r>
        <w:rPr>
          <w:rFonts w:hint="eastAsia" w:ascii="宋体" w:hAnsi="宋体" w:cs="宋体"/>
          <w:highlight w:val="none"/>
        </w:rPr>
        <w:t>承包人未提交劳动合同，以及没有为项目经理缴纳社会保险证明的违约责任：</w:t>
      </w:r>
      <w:r>
        <w:rPr>
          <w:rFonts w:hint="eastAsia" w:ascii="宋体" w:hAnsi="宋体" w:cs="宋体"/>
          <w:spacing w:val="-1"/>
          <w:highlight w:val="none"/>
          <w:u w:val="single"/>
        </w:rPr>
        <w:t>发包人有权要求更换项目</w:t>
      </w:r>
      <w:r>
        <w:rPr>
          <w:rFonts w:hint="eastAsia" w:ascii="宋体" w:hAnsi="宋体" w:cs="宋体"/>
          <w:spacing w:val="-1"/>
          <w:highlight w:val="none"/>
          <w:u w:val="single"/>
          <w:lang w:val="en-US" w:eastAsia="zh-CN"/>
        </w:rPr>
        <w:t>经理</w:t>
      </w:r>
      <w:r>
        <w:rPr>
          <w:rFonts w:hint="eastAsia" w:ascii="宋体" w:hAnsi="宋体" w:cs="宋体"/>
          <w:spacing w:val="-1"/>
          <w:highlight w:val="none"/>
          <w:u w:val="single"/>
        </w:rPr>
        <w:t>，由此增加的费用和（或）延误的工期由承包人承担，并承担违约责任。</w:t>
      </w:r>
    </w:p>
    <w:p w14:paraId="132A5D8C">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项目经理未经批准，擅自离开施工现场的违约责任：</w:t>
      </w:r>
      <w:r>
        <w:rPr>
          <w:rFonts w:hint="eastAsia" w:ascii="宋体" w:hAnsi="宋体" w:cs="宋体"/>
          <w:highlight w:val="none"/>
          <w:u w:val="single" w:color="000000"/>
        </w:rPr>
        <w:t>月</w:t>
      </w:r>
      <w:r>
        <w:rPr>
          <w:rFonts w:hint="eastAsia" w:ascii="宋体" w:hAnsi="宋体" w:cs="宋体"/>
          <w:spacing w:val="-3"/>
          <w:highlight w:val="none"/>
          <w:u w:val="single" w:color="000000"/>
        </w:rPr>
        <w:t>到</w:t>
      </w:r>
      <w:r>
        <w:rPr>
          <w:rFonts w:hint="eastAsia" w:ascii="宋体" w:hAnsi="宋体" w:cs="宋体"/>
          <w:highlight w:val="none"/>
          <w:u w:val="single" w:color="000000"/>
        </w:rPr>
        <w:t>岗率</w:t>
      </w:r>
      <w:r>
        <w:rPr>
          <w:rFonts w:hint="eastAsia" w:ascii="宋体" w:hAnsi="宋体" w:cs="宋体"/>
          <w:spacing w:val="-3"/>
          <w:highlight w:val="none"/>
          <w:u w:val="single" w:color="000000"/>
        </w:rPr>
        <w:t>须不少于24天，不足天数，</w:t>
      </w:r>
      <w:r>
        <w:rPr>
          <w:rFonts w:hint="eastAsia" w:ascii="宋体" w:hAnsi="宋体" w:cs="宋体"/>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E4B3FD4">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3.2.3 承包人擅自更换项目经理的违约责任：</w:t>
      </w:r>
      <w:r>
        <w:rPr>
          <w:rFonts w:hint="eastAsia" w:ascii="宋体" w:hAnsi="宋体" w:cs="宋体"/>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2BFC9D8C">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3.2.4 承包人无正当理由拒绝更换项目经理的违约责任：</w:t>
      </w:r>
      <w:r>
        <w:rPr>
          <w:rFonts w:hint="eastAsia" w:ascii="宋体" w:hAnsi="宋体" w:cs="宋体"/>
          <w:highlight w:val="none"/>
          <w:u w:val="single"/>
        </w:rPr>
        <w:t>发包人可通知承包人全部解除合同，所有履约担保金归发包人，同时赔偿发包人损失。</w:t>
      </w:r>
    </w:p>
    <w:p w14:paraId="66C9FF57">
      <w:pPr>
        <w:spacing w:line="400" w:lineRule="exact"/>
        <w:ind w:firstLine="480" w:firstLineChars="200"/>
        <w:outlineLvl w:val="9"/>
        <w:rPr>
          <w:rFonts w:ascii="宋体" w:hAnsi="宋体" w:cs="宋体"/>
          <w:highlight w:val="none"/>
        </w:rPr>
      </w:pPr>
      <w:r>
        <w:rPr>
          <w:rFonts w:hint="eastAsia" w:ascii="宋体" w:hAnsi="宋体" w:cs="宋体"/>
          <w:highlight w:val="none"/>
        </w:rPr>
        <w:t>3.3 承包人人员</w:t>
      </w:r>
    </w:p>
    <w:p w14:paraId="4EE47518">
      <w:pPr>
        <w:spacing w:line="400" w:lineRule="exact"/>
        <w:ind w:firstLine="480" w:firstLineChars="200"/>
        <w:outlineLvl w:val="9"/>
        <w:rPr>
          <w:rFonts w:ascii="宋体" w:hAnsi="宋体" w:cs="宋体"/>
          <w:highlight w:val="none"/>
        </w:rPr>
      </w:pPr>
      <w:r>
        <w:rPr>
          <w:rFonts w:hint="eastAsia" w:ascii="宋体" w:hAnsi="宋体" w:cs="宋体"/>
          <w:highlight w:val="none"/>
        </w:rPr>
        <w:t>3.3.1 承包人提交项目管理机构及施工现场管理人员安排报告的期限：</w:t>
      </w:r>
      <w:r>
        <w:rPr>
          <w:rFonts w:hint="eastAsia" w:ascii="宋体" w:hAnsi="宋体" w:cs="宋体"/>
          <w:highlight w:val="none"/>
          <w:u w:val="single"/>
        </w:rPr>
        <w:t xml:space="preserve"> 接到开工通知（或确定开工日期）后7天内 </w:t>
      </w:r>
      <w:r>
        <w:rPr>
          <w:rFonts w:hint="eastAsia" w:ascii="宋体" w:hAnsi="宋体" w:cs="宋体"/>
          <w:highlight w:val="none"/>
        </w:rPr>
        <w:t>。</w:t>
      </w:r>
    </w:p>
    <w:p w14:paraId="01FE496E">
      <w:pPr>
        <w:spacing w:line="400" w:lineRule="exact"/>
        <w:ind w:firstLine="480" w:firstLineChars="200"/>
        <w:outlineLvl w:val="9"/>
        <w:rPr>
          <w:rFonts w:ascii="宋体" w:hAnsi="宋体" w:cs="宋体"/>
          <w:highlight w:val="none"/>
        </w:rPr>
      </w:pPr>
      <w:r>
        <w:rPr>
          <w:rFonts w:hint="eastAsia" w:ascii="宋体" w:hAnsi="宋体" w:cs="宋体"/>
          <w:highlight w:val="none"/>
        </w:rPr>
        <w:t>3.3.3 承包人无正当理由拒绝撤换主要施工管理人员的违约责任：</w:t>
      </w:r>
      <w:r>
        <w:rPr>
          <w:rFonts w:hint="eastAsia" w:ascii="宋体" w:hAnsi="宋体" w:cs="宋体"/>
          <w:highlight w:val="none"/>
          <w:u w:val="single"/>
        </w:rPr>
        <w:t>发包人可通知承包人全部解除合同，所有履约担保金归发包人，同时赔偿发包人损失。</w:t>
      </w:r>
    </w:p>
    <w:p w14:paraId="364F2723">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3.3.4 承包人主要施工管理人员离开施工现场的批准要求：</w:t>
      </w:r>
      <w:r>
        <w:rPr>
          <w:rFonts w:hint="eastAsia" w:ascii="宋体" w:hAnsi="宋体" w:cs="宋体"/>
          <w:highlight w:val="none"/>
          <w:u w:val="single"/>
        </w:rPr>
        <w:t>按通用条款执行；未经批准擅自离开施工现场按相关行业主管部</w:t>
      </w:r>
      <w:r>
        <w:rPr>
          <w:rFonts w:hint="eastAsia" w:ascii="宋体" w:hAnsi="宋体" w:cs="宋体"/>
          <w:highlight w:val="none"/>
          <w:u w:val="single"/>
          <w:lang w:val="en-US" w:eastAsia="zh-CN"/>
        </w:rPr>
        <w:t>门</w:t>
      </w:r>
      <w:r>
        <w:rPr>
          <w:rFonts w:hint="eastAsia" w:ascii="宋体" w:hAnsi="宋体" w:cs="宋体"/>
          <w:highlight w:val="none"/>
          <w:u w:val="single"/>
        </w:rPr>
        <w:t>发布的规定处理；另遇有工程检查、验收或参观等活动时，无特殊原因不得请假。</w:t>
      </w:r>
    </w:p>
    <w:p w14:paraId="05AA1902">
      <w:pPr>
        <w:spacing w:line="400" w:lineRule="exact"/>
        <w:ind w:firstLine="480" w:firstLineChars="200"/>
        <w:outlineLvl w:val="9"/>
        <w:rPr>
          <w:rFonts w:ascii="宋体" w:hAnsi="宋体" w:cs="宋体"/>
          <w:highlight w:val="none"/>
        </w:rPr>
      </w:pPr>
      <w:r>
        <w:rPr>
          <w:rFonts w:hint="eastAsia" w:ascii="宋体" w:hAnsi="宋体" w:cs="宋体"/>
          <w:highlight w:val="none"/>
        </w:rPr>
        <w:t>3.3.5承包人擅自更换主要施工管理人员的违约责任：</w:t>
      </w:r>
      <w:r>
        <w:rPr>
          <w:rFonts w:hint="eastAsia" w:ascii="宋体" w:hAnsi="宋体" w:cs="宋体"/>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23BCFEDC">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承包人主要施工管理人员擅自离开施工现场的违约责任</w:t>
      </w:r>
      <w:r>
        <w:rPr>
          <w:rFonts w:hint="eastAsia" w:ascii="宋体" w:hAnsi="宋体" w:cs="宋体"/>
          <w:highlight w:val="none"/>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14:paraId="0377FE90">
      <w:pPr>
        <w:spacing w:line="400" w:lineRule="exact"/>
        <w:ind w:firstLine="480" w:firstLineChars="200"/>
        <w:outlineLvl w:val="9"/>
        <w:rPr>
          <w:rFonts w:ascii="宋体" w:hAnsi="宋体" w:cs="宋体"/>
          <w:highlight w:val="none"/>
        </w:rPr>
      </w:pPr>
      <w:r>
        <w:rPr>
          <w:rFonts w:hint="eastAsia" w:ascii="宋体" w:hAnsi="宋体" w:cs="宋体"/>
          <w:highlight w:val="none"/>
        </w:rPr>
        <w:t>3</w:t>
      </w:r>
      <w:bookmarkStart w:id="183" w:name="_Toc296346660"/>
      <w:bookmarkStart w:id="184" w:name="_Toc296347158"/>
      <w:bookmarkStart w:id="185" w:name="_Toc297123492"/>
      <w:bookmarkStart w:id="186" w:name="_Toc297048345"/>
      <w:bookmarkStart w:id="187" w:name="_Toc296944498"/>
      <w:bookmarkStart w:id="188" w:name="_Toc297120459"/>
      <w:bookmarkStart w:id="189" w:name="_Toc312677988"/>
      <w:bookmarkStart w:id="190" w:name="_Toc303539102"/>
      <w:bookmarkStart w:id="191" w:name="_Toc300934945"/>
      <w:bookmarkStart w:id="192" w:name="_Toc296503159"/>
      <w:bookmarkStart w:id="193" w:name="_Toc296890987"/>
      <w:bookmarkStart w:id="194" w:name="_Toc304295523"/>
      <w:bookmarkStart w:id="195" w:name="_Toc296891199"/>
      <w:bookmarkStart w:id="196" w:name="_Toc297216151"/>
      <w:bookmarkStart w:id="197" w:name="_Toc292559364"/>
      <w:bookmarkStart w:id="198" w:name="_Toc292559869"/>
      <w:r>
        <w:rPr>
          <w:rFonts w:hint="eastAsia" w:ascii="宋体" w:hAnsi="宋体" w:cs="宋体"/>
          <w:highlight w:val="none"/>
        </w:rPr>
        <w:t>.5 分包</w:t>
      </w:r>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14:paraId="2C1A49BF">
      <w:pPr>
        <w:spacing w:line="400" w:lineRule="exact"/>
        <w:ind w:firstLine="480" w:firstLineChars="200"/>
        <w:outlineLvl w:val="9"/>
        <w:rPr>
          <w:rFonts w:ascii="宋体" w:hAnsi="宋体" w:cs="宋体"/>
          <w:highlight w:val="none"/>
        </w:rPr>
      </w:pPr>
      <w:bookmarkStart w:id="199" w:name="_Toc318581159"/>
      <w:bookmarkStart w:id="200" w:name="_Toc312677990"/>
      <w:r>
        <w:rPr>
          <w:rFonts w:hint="eastAsia" w:ascii="宋体" w:hAnsi="宋体" w:cs="宋体"/>
          <w:highlight w:val="none"/>
        </w:rPr>
        <w:t>3</w:t>
      </w:r>
      <w:bookmarkStart w:id="201" w:name="_Toc297120460"/>
      <w:bookmarkStart w:id="202" w:name="_Toc296346661"/>
      <w:bookmarkStart w:id="203" w:name="_Toc303539103"/>
      <w:bookmarkStart w:id="204" w:name="_Toc296890988"/>
      <w:bookmarkStart w:id="205" w:name="_Toc292559365"/>
      <w:bookmarkStart w:id="206" w:name="_Toc300934946"/>
      <w:bookmarkStart w:id="207" w:name="_Toc296347159"/>
      <w:bookmarkStart w:id="208" w:name="_Toc296503160"/>
      <w:bookmarkStart w:id="209" w:name="_Toc296891200"/>
      <w:bookmarkStart w:id="210" w:name="_Toc297048346"/>
      <w:bookmarkStart w:id="211" w:name="_Toc297216152"/>
      <w:bookmarkStart w:id="212" w:name="_Toc297123493"/>
      <w:bookmarkStart w:id="213" w:name="_Toc296944499"/>
      <w:bookmarkStart w:id="214" w:name="_Toc292559870"/>
      <w:bookmarkStart w:id="215" w:name="_Toc304295524"/>
      <w:bookmarkStart w:id="216" w:name="_Toc312677989"/>
      <w:bookmarkStart w:id="217" w:name="_Toc318581158"/>
      <w:r>
        <w:rPr>
          <w:rFonts w:hint="eastAsia" w:ascii="宋体" w:hAnsi="宋体" w:cs="宋体"/>
          <w:highlight w:val="none"/>
        </w:rPr>
        <w:t>.5.1 分包的一般约定</w:t>
      </w:r>
    </w:p>
    <w:p w14:paraId="26C38D44">
      <w:pPr>
        <w:spacing w:line="400" w:lineRule="exact"/>
        <w:ind w:firstLine="480" w:firstLineChars="200"/>
        <w:outlineLvl w:val="9"/>
        <w:rPr>
          <w:rFonts w:ascii="宋体" w:hAnsi="宋体" w:cs="宋体"/>
          <w:highlight w:val="none"/>
        </w:rPr>
      </w:pPr>
      <w:r>
        <w:rPr>
          <w:rFonts w:hint="eastAsia" w:ascii="宋体" w:hAnsi="宋体" w:cs="宋体"/>
          <w:highlight w:val="none"/>
        </w:rPr>
        <w:t>禁止分包的工程包括：</w:t>
      </w:r>
      <w:r>
        <w:rPr>
          <w:rFonts w:hint="eastAsia" w:ascii="宋体" w:hAnsi="宋体" w:cs="宋体"/>
          <w:highlight w:val="none"/>
          <w:u w:val="single"/>
        </w:rPr>
        <w:t xml:space="preserve">   工程主体结构、关键性工作      </w:t>
      </w:r>
      <w:r>
        <w:rPr>
          <w:rFonts w:hint="eastAsia" w:ascii="宋体" w:hAnsi="宋体" w:cs="宋体"/>
          <w:highlight w:val="none"/>
        </w:rPr>
        <w:t>。</w:t>
      </w:r>
    </w:p>
    <w:p w14:paraId="772B389C">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主体结构、关键性工作的范围：</w:t>
      </w:r>
      <w:r>
        <w:rPr>
          <w:rFonts w:hint="eastAsia" w:ascii="宋体" w:hAnsi="宋体" w:cs="宋体"/>
          <w:highlight w:val="none"/>
          <w:u w:val="single"/>
        </w:rPr>
        <w:t xml:space="preserve">       /         </w:t>
      </w:r>
      <w:r>
        <w:rPr>
          <w:rFonts w:hint="eastAsia" w:ascii="宋体" w:hAnsi="宋体" w:cs="宋体"/>
          <w:highlight w:val="none"/>
        </w:rPr>
        <w:t>。</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Start w:id="218" w:name="_Toc303539104"/>
      <w:bookmarkStart w:id="219" w:name="_Toc296890989"/>
      <w:bookmarkStart w:id="220" w:name="_Toc304295525"/>
      <w:bookmarkStart w:id="221" w:name="_Toc297216153"/>
      <w:bookmarkStart w:id="222" w:name="_Toc296503161"/>
      <w:bookmarkStart w:id="223" w:name="_Toc296944500"/>
      <w:bookmarkStart w:id="224" w:name="_Toc297120461"/>
      <w:bookmarkStart w:id="225" w:name="_Toc296347160"/>
      <w:bookmarkStart w:id="226" w:name="_Toc296346662"/>
      <w:bookmarkStart w:id="227" w:name="_Toc297048347"/>
      <w:bookmarkStart w:id="228" w:name="_Toc300934947"/>
      <w:bookmarkStart w:id="229" w:name="_Toc296891201"/>
      <w:bookmarkStart w:id="230" w:name="_Toc297123494"/>
    </w:p>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10E4A51C">
      <w:pPr>
        <w:spacing w:line="400" w:lineRule="exact"/>
        <w:ind w:firstLine="360" w:firstLineChars="150"/>
        <w:outlineLvl w:val="9"/>
        <w:rPr>
          <w:rFonts w:ascii="宋体" w:hAnsi="宋体" w:cs="宋体"/>
          <w:highlight w:val="none"/>
        </w:rPr>
      </w:pPr>
      <w:r>
        <w:rPr>
          <w:rFonts w:hint="eastAsia" w:ascii="宋体" w:hAnsi="宋体" w:cs="宋体"/>
          <w:highlight w:val="none"/>
        </w:rPr>
        <w:t xml:space="preserve"> 3.5.2分包的确定</w:t>
      </w:r>
    </w:p>
    <w:p w14:paraId="40547AB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14:paraId="138C8AFC">
      <w:pPr>
        <w:spacing w:line="400" w:lineRule="exact"/>
        <w:ind w:firstLine="480" w:firstLineChars="200"/>
        <w:outlineLvl w:val="9"/>
        <w:rPr>
          <w:rFonts w:ascii="宋体" w:hAnsi="宋体" w:cs="宋体"/>
          <w:highlight w:val="none"/>
        </w:rPr>
      </w:pPr>
      <w:r>
        <w:rPr>
          <w:rFonts w:hint="eastAsia" w:ascii="宋体" w:hAnsi="宋体" w:cs="宋体"/>
          <w:highlight w:val="none"/>
        </w:rPr>
        <w:t>其他关于分包的约定：</w:t>
      </w:r>
      <w:r>
        <w:rPr>
          <w:rFonts w:hint="eastAsia" w:ascii="宋体" w:hAnsi="宋体" w:cs="宋体"/>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14:paraId="7A6762EC">
      <w:pPr>
        <w:spacing w:line="400" w:lineRule="exact"/>
        <w:ind w:firstLine="480" w:firstLineChars="200"/>
        <w:outlineLvl w:val="9"/>
        <w:rPr>
          <w:rFonts w:ascii="宋体" w:hAnsi="宋体" w:cs="宋体"/>
          <w:highlight w:val="none"/>
        </w:rPr>
      </w:pPr>
      <w:r>
        <w:rPr>
          <w:rFonts w:hint="eastAsia" w:ascii="宋体" w:hAnsi="宋体" w:cs="宋体"/>
          <w:highlight w:val="none"/>
        </w:rPr>
        <w:t>3.5.4 分包合同价款</w:t>
      </w:r>
    </w:p>
    <w:p w14:paraId="2D2220CA">
      <w:pPr>
        <w:spacing w:line="400" w:lineRule="exact"/>
        <w:ind w:firstLine="480" w:firstLineChars="200"/>
        <w:outlineLvl w:val="9"/>
        <w:rPr>
          <w:rFonts w:ascii="宋体" w:hAnsi="宋体" w:cs="宋体"/>
          <w:highlight w:val="none"/>
        </w:rPr>
      </w:pPr>
      <w:r>
        <w:rPr>
          <w:rFonts w:hint="eastAsia" w:ascii="宋体" w:hAnsi="宋体" w:cs="宋体"/>
          <w:highlight w:val="none"/>
        </w:rPr>
        <w:t>关于分包合同价款支付的约定：</w:t>
      </w:r>
      <w:r>
        <w:rPr>
          <w:rFonts w:hint="eastAsia" w:ascii="宋体" w:hAnsi="宋体" w:cs="宋体"/>
          <w:highlight w:val="none"/>
          <w:u w:val="single"/>
        </w:rPr>
        <w:t xml:space="preserve">     /                </w:t>
      </w:r>
      <w:r>
        <w:rPr>
          <w:rFonts w:hint="eastAsia" w:ascii="宋体" w:hAnsi="宋体" w:cs="宋体"/>
          <w:highlight w:val="none"/>
        </w:rPr>
        <w:t>。</w:t>
      </w:r>
    </w:p>
    <w:bookmarkEnd w:id="199"/>
    <w:bookmarkEnd w:id="200"/>
    <w:p w14:paraId="678FB0A7">
      <w:pPr>
        <w:spacing w:line="400" w:lineRule="exact"/>
        <w:ind w:firstLine="480" w:firstLineChars="200"/>
        <w:outlineLvl w:val="9"/>
        <w:rPr>
          <w:rFonts w:ascii="宋体" w:hAnsi="宋体" w:cs="宋体"/>
          <w:highlight w:val="none"/>
        </w:rPr>
      </w:pPr>
      <w:r>
        <w:rPr>
          <w:rFonts w:hint="eastAsia" w:ascii="宋体" w:hAnsi="宋体" w:cs="宋体"/>
          <w:highlight w:val="none"/>
        </w:rPr>
        <w:t>3.6 工程照管与成品、半成品保护</w:t>
      </w:r>
    </w:p>
    <w:p w14:paraId="3E4C4B51">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承包人负责照管工程及工程相关的材料、工程设备的起始时间：</w:t>
      </w:r>
      <w:r>
        <w:rPr>
          <w:rFonts w:hint="eastAsia" w:ascii="宋体" w:hAnsi="宋体" w:cs="宋体"/>
          <w:highlight w:val="none"/>
          <w:u w:val="single"/>
        </w:rPr>
        <w:t>按通用合同条款执行</w:t>
      </w:r>
      <w:r>
        <w:rPr>
          <w:rFonts w:hint="eastAsia" w:ascii="宋体" w:hAnsi="宋体" w:cs="宋体"/>
          <w:highlight w:val="none"/>
        </w:rPr>
        <w:t>。</w:t>
      </w:r>
    </w:p>
    <w:p w14:paraId="107E9784">
      <w:pPr>
        <w:spacing w:line="400" w:lineRule="exact"/>
        <w:ind w:firstLine="480" w:firstLineChars="200"/>
        <w:outlineLvl w:val="9"/>
        <w:rPr>
          <w:rFonts w:ascii="宋体" w:hAnsi="宋体" w:cs="宋体"/>
          <w:highlight w:val="none"/>
        </w:rPr>
      </w:pPr>
      <w:r>
        <w:rPr>
          <w:rFonts w:hint="eastAsia" w:ascii="宋体" w:hAnsi="宋体" w:cs="宋体"/>
          <w:highlight w:val="none"/>
        </w:rPr>
        <w:t>3.7 履约担保</w:t>
      </w:r>
    </w:p>
    <w:p w14:paraId="5A463691">
      <w:pPr>
        <w:spacing w:line="400" w:lineRule="exact"/>
        <w:ind w:firstLine="480" w:firstLineChars="200"/>
        <w:outlineLvl w:val="9"/>
        <w:rPr>
          <w:rFonts w:ascii="宋体" w:hAnsi="宋体" w:cs="宋体"/>
          <w:highlight w:val="none"/>
        </w:rPr>
      </w:pPr>
      <w:bookmarkStart w:id="231" w:name="_Toc351203636"/>
      <w:r>
        <w:rPr>
          <w:rFonts w:hint="eastAsia" w:ascii="宋体" w:hAnsi="宋体" w:cs="宋体"/>
          <w:highlight w:val="none"/>
        </w:rPr>
        <w:t>承包人是否提供履约担保：</w:t>
      </w:r>
      <w:r>
        <w:rPr>
          <w:rFonts w:hint="eastAsia" w:ascii="宋体" w:hAnsi="宋体" w:cs="宋体"/>
          <w:highlight w:val="none"/>
          <w:u w:val="single"/>
        </w:rPr>
        <w:t xml:space="preserve"> </w:t>
      </w:r>
      <w:r>
        <w:rPr>
          <w:rFonts w:hint="eastAsia" w:ascii="宋体" w:hAnsi="宋体" w:cs="宋体"/>
          <w:highlight w:val="none"/>
          <w:u w:val="single"/>
          <w:lang w:val="en-US" w:eastAsia="zh-CN"/>
        </w:rPr>
        <w:t>是</w:t>
      </w:r>
      <w:r>
        <w:rPr>
          <w:rFonts w:hint="eastAsia" w:ascii="宋体" w:hAnsi="宋体" w:cs="宋体"/>
          <w:highlight w:val="none"/>
          <w:u w:val="single"/>
        </w:rPr>
        <w:t xml:space="preserve"> </w:t>
      </w:r>
      <w:r>
        <w:rPr>
          <w:rFonts w:hint="eastAsia" w:ascii="宋体" w:hAnsi="宋体" w:cs="宋体"/>
          <w:highlight w:val="none"/>
        </w:rPr>
        <w:t>。</w:t>
      </w:r>
    </w:p>
    <w:p w14:paraId="6DA7EA83">
      <w:pPr>
        <w:widowControl/>
        <w:spacing w:line="400" w:lineRule="exact"/>
        <w:ind w:firstLine="480" w:firstLineChars="200"/>
        <w:outlineLvl w:val="9"/>
        <w:rPr>
          <w:rFonts w:ascii="宋体" w:hAnsi="宋体" w:cs="宋体"/>
          <w:highlight w:val="none"/>
        </w:rPr>
      </w:pPr>
      <w:r>
        <w:rPr>
          <w:rFonts w:hint="eastAsia" w:ascii="宋体" w:hAnsi="宋体" w:cs="宋体"/>
          <w:highlight w:val="none"/>
        </w:rPr>
        <w:t>承包人提供履约担保的形式、金额</w:t>
      </w:r>
      <w:r>
        <w:rPr>
          <w:rFonts w:hint="eastAsia" w:ascii="宋体" w:hAnsi="宋体" w:cs="宋体"/>
          <w:highlight w:val="none"/>
          <w:lang w:val="en-US" w:eastAsia="zh-CN"/>
        </w:rPr>
        <w:t>及期限</w:t>
      </w:r>
      <w:r>
        <w:rPr>
          <w:rFonts w:hint="eastAsia" w:ascii="宋体" w:hAnsi="宋体" w:cs="宋体"/>
          <w:highlight w:val="none"/>
        </w:rPr>
        <w:t>：</w:t>
      </w:r>
      <w:r>
        <w:rPr>
          <w:rFonts w:hint="eastAsia" w:ascii="宋体" w:hAnsi="宋体" w:cs="宋体"/>
          <w:b/>
          <w:highlight w:val="none"/>
          <w:u w:val="single"/>
        </w:rPr>
        <w:t>履约担保在签订工程合同时提供，履约担保的形式为履约保函（银行保函、保险机构保证保险保单，融资担保公司保函），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Pr>
          <w:rFonts w:hint="eastAsia" w:ascii="宋体" w:hAnsi="宋体" w:cs="宋体"/>
          <w:b/>
          <w:highlight w:val="none"/>
        </w:rPr>
        <w:t>。</w:t>
      </w:r>
    </w:p>
    <w:p w14:paraId="45C84AAF">
      <w:pPr>
        <w:spacing w:line="400" w:lineRule="exact"/>
        <w:ind w:firstLine="482" w:firstLineChars="200"/>
        <w:outlineLvl w:val="9"/>
        <w:rPr>
          <w:rFonts w:ascii="宋体" w:hAnsi="宋体" w:cs="宋体"/>
          <w:b/>
          <w:highlight w:val="none"/>
          <w:u w:val="single"/>
        </w:rPr>
      </w:pPr>
      <w:r>
        <w:rPr>
          <w:rFonts w:hint="eastAsia" w:ascii="宋体" w:hAnsi="宋体" w:cs="宋体"/>
          <w:b/>
          <w:highlight w:val="none"/>
          <w:u w:val="single"/>
        </w:rPr>
        <w:t>以现金形式提交履约担保的，发包人在工程完工验收合格后10天内，向承包人全额返还；承包人应保证履约担保在工程完工验收合格前持续有效。</w:t>
      </w:r>
    </w:p>
    <w:p w14:paraId="5741AAB7">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4</w:t>
      </w:r>
      <w:bookmarkStart w:id="232" w:name="_Toc297120462"/>
      <w:bookmarkStart w:id="233" w:name="_Toc292559366"/>
      <w:bookmarkStart w:id="234" w:name="_Toc296891202"/>
      <w:bookmarkStart w:id="235" w:name="_Toc296346663"/>
      <w:bookmarkStart w:id="236" w:name="_Toc296347161"/>
      <w:bookmarkStart w:id="237" w:name="_Toc267251413"/>
      <w:bookmarkStart w:id="238" w:name="_Toc292559871"/>
      <w:bookmarkStart w:id="239" w:name="_Toc297048348"/>
      <w:bookmarkStart w:id="240" w:name="_Toc296503162"/>
      <w:bookmarkStart w:id="241" w:name="_Toc296944501"/>
      <w:bookmarkStart w:id="242" w:name="_Toc296890990"/>
      <w:r>
        <w:rPr>
          <w:rFonts w:hint="eastAsia" w:ascii="宋体" w:hAnsi="宋体" w:eastAsia="宋体" w:cs="宋体"/>
          <w:sz w:val="24"/>
          <w:szCs w:val="24"/>
          <w:highlight w:val="none"/>
        </w:rPr>
        <w:t>. 监</w:t>
      </w:r>
      <w:bookmarkEnd w:id="232"/>
      <w:bookmarkEnd w:id="233"/>
      <w:bookmarkEnd w:id="234"/>
      <w:bookmarkEnd w:id="235"/>
      <w:bookmarkEnd w:id="236"/>
      <w:bookmarkEnd w:id="237"/>
      <w:bookmarkEnd w:id="238"/>
      <w:bookmarkEnd w:id="239"/>
      <w:bookmarkEnd w:id="240"/>
      <w:bookmarkEnd w:id="241"/>
      <w:bookmarkEnd w:id="242"/>
      <w:r>
        <w:rPr>
          <w:rFonts w:hint="eastAsia" w:ascii="宋体" w:hAnsi="宋体" w:eastAsia="宋体" w:cs="宋体"/>
          <w:sz w:val="24"/>
          <w:szCs w:val="24"/>
          <w:highlight w:val="none"/>
        </w:rPr>
        <w:t>理人</w:t>
      </w:r>
      <w:bookmarkEnd w:id="231"/>
    </w:p>
    <w:p w14:paraId="3F82E817">
      <w:pPr>
        <w:spacing w:line="400" w:lineRule="exact"/>
        <w:ind w:firstLine="480" w:firstLineChars="200"/>
        <w:outlineLvl w:val="9"/>
        <w:rPr>
          <w:rFonts w:ascii="宋体" w:hAnsi="宋体" w:cs="宋体"/>
          <w:highlight w:val="none"/>
        </w:rPr>
      </w:pPr>
      <w:bookmarkStart w:id="243" w:name="_Toc267251418"/>
      <w:r>
        <w:rPr>
          <w:rFonts w:hint="eastAsia" w:ascii="宋体" w:hAnsi="宋体" w:cs="宋体"/>
          <w:highlight w:val="none"/>
        </w:rPr>
        <w:t>4.1监理人的一般规定</w:t>
      </w:r>
    </w:p>
    <w:p w14:paraId="4BFE990B">
      <w:pPr>
        <w:spacing w:line="400" w:lineRule="exact"/>
        <w:ind w:firstLine="480" w:firstLineChars="200"/>
        <w:outlineLvl w:val="9"/>
        <w:rPr>
          <w:rFonts w:ascii="宋体" w:hAnsi="宋体" w:cs="宋体"/>
          <w:highlight w:val="none"/>
        </w:rPr>
      </w:pPr>
      <w:r>
        <w:rPr>
          <w:rFonts w:hint="eastAsia" w:ascii="宋体" w:hAnsi="宋体" w:cs="宋体"/>
          <w:highlight w:val="none"/>
        </w:rPr>
        <w:t>关于监理人的监理内容：</w:t>
      </w:r>
      <w:r>
        <w:rPr>
          <w:rFonts w:hint="eastAsia" w:ascii="宋体" w:hAnsi="宋体" w:cs="宋体"/>
          <w:highlight w:val="none"/>
          <w:u w:val="single"/>
        </w:rPr>
        <w:t xml:space="preserve"> 按本工程监理合同约定内容</w:t>
      </w:r>
      <w:r>
        <w:rPr>
          <w:rFonts w:hint="eastAsia" w:ascii="宋体" w:hAnsi="宋体" w:cs="宋体"/>
          <w:highlight w:val="none"/>
        </w:rPr>
        <w:t>。</w:t>
      </w:r>
    </w:p>
    <w:p w14:paraId="1183AD85">
      <w:pPr>
        <w:spacing w:line="400" w:lineRule="exact"/>
        <w:ind w:firstLine="480" w:firstLineChars="200"/>
        <w:outlineLvl w:val="9"/>
        <w:rPr>
          <w:rFonts w:ascii="宋体" w:hAnsi="宋体" w:cs="宋体"/>
          <w:highlight w:val="none"/>
        </w:rPr>
      </w:pPr>
      <w:r>
        <w:rPr>
          <w:rFonts w:hint="eastAsia" w:ascii="宋体" w:hAnsi="宋体" w:cs="宋体"/>
          <w:highlight w:val="none"/>
        </w:rPr>
        <w:t>关于监理人的监理权限：〔</w:t>
      </w:r>
      <w:r>
        <w:rPr>
          <w:rFonts w:hint="eastAsia" w:ascii="宋体" w:hAnsi="宋体" w:cs="宋体"/>
          <w:highlight w:val="none"/>
          <w:u w:val="single"/>
        </w:rPr>
        <w:t>按本工程监理合同约定内容，涉及工程变更（含设计变更等参建各方变更）均需报发包人审批后生效</w:t>
      </w:r>
      <w:r>
        <w:rPr>
          <w:rFonts w:hint="eastAsia" w:ascii="宋体" w:hAnsi="宋体" w:cs="宋体"/>
          <w:highlight w:val="none"/>
        </w:rPr>
        <w:t>〕。</w:t>
      </w:r>
    </w:p>
    <w:p w14:paraId="3CFC3297">
      <w:pPr>
        <w:spacing w:line="400" w:lineRule="exact"/>
        <w:ind w:firstLine="480" w:firstLineChars="200"/>
        <w:outlineLvl w:val="9"/>
        <w:rPr>
          <w:rFonts w:ascii="宋体" w:hAnsi="宋体" w:cs="宋体"/>
          <w:highlight w:val="none"/>
        </w:rPr>
      </w:pPr>
      <w:r>
        <w:rPr>
          <w:rFonts w:hint="eastAsia" w:ascii="宋体" w:hAnsi="宋体" w:cs="宋体"/>
          <w:highlight w:val="none"/>
        </w:rPr>
        <w:t>关于监理人在施工现场的办公场所、生活场所的提供和费用承担的约定：</w:t>
      </w:r>
      <w:r>
        <w:rPr>
          <w:rFonts w:hint="eastAsia" w:ascii="宋体" w:hAnsi="宋体" w:cs="宋体"/>
          <w:highlight w:val="none"/>
          <w:u w:val="single"/>
        </w:rPr>
        <w:t xml:space="preserve"> 由承包人免费提供办公室1间使用。</w:t>
      </w:r>
    </w:p>
    <w:p w14:paraId="05C25F3D">
      <w:pPr>
        <w:spacing w:line="400" w:lineRule="exact"/>
        <w:ind w:firstLine="480" w:firstLineChars="200"/>
        <w:outlineLvl w:val="9"/>
        <w:rPr>
          <w:rFonts w:ascii="宋体" w:hAnsi="宋体" w:cs="宋体"/>
          <w:highlight w:val="none"/>
        </w:rPr>
      </w:pPr>
      <w:r>
        <w:rPr>
          <w:rFonts w:hint="eastAsia" w:ascii="宋体" w:hAnsi="宋体" w:cs="宋体"/>
          <w:highlight w:val="none"/>
        </w:rPr>
        <w:t>4.2 监理人员</w:t>
      </w:r>
    </w:p>
    <w:p w14:paraId="696F7291">
      <w:pPr>
        <w:spacing w:line="400" w:lineRule="exact"/>
        <w:ind w:firstLine="480" w:firstLineChars="200"/>
        <w:outlineLvl w:val="9"/>
        <w:rPr>
          <w:rFonts w:ascii="宋体" w:hAnsi="宋体" w:cs="宋体"/>
          <w:highlight w:val="none"/>
        </w:rPr>
      </w:pPr>
      <w:r>
        <w:rPr>
          <w:rFonts w:hint="eastAsia" w:ascii="宋体" w:hAnsi="宋体" w:cs="宋体"/>
          <w:highlight w:val="none"/>
        </w:rPr>
        <w:t>总监理工程师：</w:t>
      </w:r>
    </w:p>
    <w:p w14:paraId="60259ECE">
      <w:pPr>
        <w:spacing w:line="400" w:lineRule="exact"/>
        <w:ind w:firstLine="48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w:t>
      </w:r>
      <w:r>
        <w:rPr>
          <w:rFonts w:hint="eastAsia" w:ascii="宋体" w:hAnsi="宋体" w:cs="宋体"/>
          <w:highlight w:val="none"/>
        </w:rPr>
        <w:t>；职    务：</w:t>
      </w:r>
      <w:r>
        <w:rPr>
          <w:rFonts w:hint="eastAsia" w:ascii="宋体" w:hAnsi="宋体" w:cs="宋体"/>
          <w:highlight w:val="none"/>
          <w:u w:val="single"/>
        </w:rPr>
        <w:t>   </w:t>
      </w:r>
      <w:r>
        <w:rPr>
          <w:rFonts w:hint="eastAsia" w:ascii="宋体" w:hAnsi="宋体" w:cs="宋体"/>
          <w:highlight w:val="none"/>
        </w:rPr>
        <w:t>；</w:t>
      </w:r>
    </w:p>
    <w:p w14:paraId="07BCDA7F">
      <w:pPr>
        <w:spacing w:line="400" w:lineRule="exact"/>
        <w:ind w:firstLine="480" w:firstLineChars="200"/>
        <w:outlineLvl w:val="9"/>
        <w:rPr>
          <w:rFonts w:ascii="宋体" w:hAnsi="宋体" w:cs="宋体"/>
          <w:highlight w:val="none"/>
        </w:rPr>
      </w:pPr>
      <w:r>
        <w:rPr>
          <w:rFonts w:hint="eastAsia" w:ascii="宋体" w:hAnsi="宋体" w:cs="宋体"/>
          <w:highlight w:val="none"/>
        </w:rPr>
        <w:t>监理工程师执业资格证书号：</w:t>
      </w:r>
      <w:r>
        <w:rPr>
          <w:rFonts w:hint="eastAsia" w:ascii="宋体" w:hAnsi="宋体" w:cs="宋体"/>
          <w:highlight w:val="none"/>
          <w:u w:val="single"/>
        </w:rPr>
        <w:t> </w:t>
      </w:r>
      <w:r>
        <w:rPr>
          <w:rFonts w:hint="eastAsia" w:ascii="宋体" w:hAnsi="宋体" w:cs="宋体"/>
          <w:highlight w:val="none"/>
        </w:rPr>
        <w:t>；联系电话：</w:t>
      </w:r>
      <w:r>
        <w:rPr>
          <w:rFonts w:hint="eastAsia" w:ascii="宋体" w:hAnsi="宋体" w:cs="宋体"/>
          <w:highlight w:val="none"/>
          <w:u w:val="single"/>
        </w:rPr>
        <w:t>   </w:t>
      </w:r>
      <w:r>
        <w:rPr>
          <w:rFonts w:hint="eastAsia" w:ascii="宋体" w:hAnsi="宋体" w:cs="宋体"/>
          <w:highlight w:val="none"/>
        </w:rPr>
        <w:t>；</w:t>
      </w:r>
    </w:p>
    <w:p w14:paraId="64937FA7">
      <w:pPr>
        <w:spacing w:line="400" w:lineRule="exact"/>
        <w:ind w:firstLine="48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  </w:t>
      </w:r>
      <w:r>
        <w:rPr>
          <w:rFonts w:hint="eastAsia" w:ascii="宋体" w:hAnsi="宋体" w:cs="宋体"/>
          <w:highlight w:val="none"/>
        </w:rPr>
        <w:t>；通信地址：</w:t>
      </w:r>
      <w:r>
        <w:rPr>
          <w:rFonts w:hint="eastAsia" w:ascii="宋体" w:hAnsi="宋体" w:cs="宋体"/>
          <w:highlight w:val="none"/>
          <w:u w:val="single"/>
        </w:rPr>
        <w:t>  </w:t>
      </w:r>
      <w:r>
        <w:rPr>
          <w:rFonts w:hint="eastAsia" w:ascii="宋体" w:hAnsi="宋体" w:cs="宋体"/>
          <w:highlight w:val="none"/>
        </w:rPr>
        <w:t>；</w:t>
      </w:r>
    </w:p>
    <w:p w14:paraId="63FBF93B">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关于监理人的其他约定：</w:t>
      </w:r>
    </w:p>
    <w:p w14:paraId="4384326A">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（1）监理人授权超出合同约定，承包人有权提出异议，如监理人对于承包人合理的异议不予接受，则承包人可要求发包人就该事项作出处理决定；</w:t>
      </w:r>
    </w:p>
    <w:p w14:paraId="5DC27674">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（2）对于监理人更换其委派的监理人员的，监理人在征得发包人同意后应当提前48小时书面通知承包人；</w:t>
      </w:r>
    </w:p>
    <w:p w14:paraId="27594D3E">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（3）监理人对其监理人员的任何授权，承包人均应当要求监理人提供书面的授权，否则，承包人有权拒绝接受监理人员的指示。</w:t>
      </w:r>
    </w:p>
    <w:p w14:paraId="567249E3">
      <w:pPr>
        <w:spacing w:line="400" w:lineRule="exact"/>
        <w:ind w:firstLine="480" w:firstLineChars="200"/>
        <w:outlineLvl w:val="9"/>
        <w:rPr>
          <w:rFonts w:ascii="宋体" w:hAnsi="宋体" w:cs="宋体"/>
          <w:highlight w:val="none"/>
        </w:rPr>
      </w:pPr>
      <w:r>
        <w:rPr>
          <w:rFonts w:hint="eastAsia" w:ascii="宋体" w:hAnsi="宋体" w:cs="宋体"/>
          <w:highlight w:val="none"/>
        </w:rPr>
        <w:t>4.4 商定或确定</w:t>
      </w:r>
    </w:p>
    <w:p w14:paraId="2C1C1586">
      <w:pPr>
        <w:spacing w:line="400" w:lineRule="exact"/>
        <w:ind w:firstLine="480" w:firstLineChars="200"/>
        <w:outlineLvl w:val="9"/>
        <w:rPr>
          <w:rFonts w:ascii="宋体" w:hAnsi="宋体" w:cs="宋体"/>
          <w:highlight w:val="none"/>
        </w:rPr>
      </w:pPr>
      <w:r>
        <w:rPr>
          <w:rFonts w:hint="eastAsia" w:ascii="宋体" w:hAnsi="宋体" w:cs="宋体"/>
          <w:highlight w:val="none"/>
        </w:rPr>
        <w:t>在发包人和承包人不能通过协商达成一致意见时，发包人授权监理人对以下事项进行确定：</w:t>
      </w:r>
    </w:p>
    <w:p w14:paraId="71BBAE7D">
      <w:pPr>
        <w:spacing w:line="400" w:lineRule="exact"/>
        <w:ind w:firstLine="480" w:firstLineChars="200"/>
        <w:outlineLvl w:val="9"/>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 xml:space="preserve">                                                              </w:t>
      </w:r>
      <w:r>
        <w:rPr>
          <w:rFonts w:hint="eastAsia" w:ascii="宋体" w:hAnsi="宋体" w:cs="宋体"/>
          <w:highlight w:val="none"/>
        </w:rPr>
        <w:t>；</w:t>
      </w:r>
    </w:p>
    <w:p w14:paraId="11368C13">
      <w:pPr>
        <w:spacing w:line="400" w:lineRule="exact"/>
        <w:ind w:firstLine="48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rPr>
        <w:t>；</w:t>
      </w:r>
    </w:p>
    <w:p w14:paraId="71AD55A0">
      <w:pPr>
        <w:spacing w:line="400" w:lineRule="exact"/>
        <w:ind w:firstLine="48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                                                              </w:t>
      </w:r>
      <w:r>
        <w:rPr>
          <w:rFonts w:hint="eastAsia" w:ascii="宋体" w:hAnsi="宋体" w:cs="宋体"/>
          <w:highlight w:val="none"/>
        </w:rPr>
        <w:t>。</w:t>
      </w:r>
    </w:p>
    <w:p w14:paraId="65E3764C">
      <w:pPr>
        <w:spacing w:before="0" w:after="0" w:line="400" w:lineRule="exact"/>
        <w:ind w:firstLine="480" w:firstLineChars="200"/>
        <w:outlineLvl w:val="9"/>
        <w:rPr>
          <w:rFonts w:ascii="宋体" w:hAnsi="宋体" w:eastAsia="宋体" w:cs="宋体"/>
          <w:sz w:val="24"/>
          <w:szCs w:val="24"/>
          <w:highlight w:val="none"/>
        </w:rPr>
      </w:pPr>
      <w:bookmarkStart w:id="244" w:name="_Toc351203637"/>
      <w:r>
        <w:rPr>
          <w:rFonts w:hint="eastAsia" w:ascii="宋体" w:hAnsi="宋体" w:eastAsia="宋体" w:cs="宋体"/>
          <w:sz w:val="24"/>
          <w:szCs w:val="24"/>
          <w:highlight w:val="none"/>
        </w:rPr>
        <w:t>5</w:t>
      </w:r>
      <w:bookmarkEnd w:id="243"/>
      <w:bookmarkStart w:id="245" w:name="_Toc292559367"/>
      <w:bookmarkStart w:id="246" w:name="_Toc296891203"/>
      <w:bookmarkStart w:id="247" w:name="_Toc297120463"/>
      <w:bookmarkStart w:id="248" w:name="_Toc292559872"/>
      <w:bookmarkStart w:id="249" w:name="_Toc296503163"/>
      <w:bookmarkStart w:id="250" w:name="_Toc296346664"/>
      <w:bookmarkStart w:id="251" w:name="_Toc296347162"/>
      <w:bookmarkStart w:id="252" w:name="_Toc297048349"/>
      <w:bookmarkStart w:id="253" w:name="_Toc296890991"/>
      <w:bookmarkStart w:id="254" w:name="_Toc296944502"/>
      <w:r>
        <w:rPr>
          <w:rFonts w:hint="eastAsia" w:ascii="宋体" w:hAnsi="宋体" w:eastAsia="宋体" w:cs="宋体"/>
          <w:sz w:val="24"/>
          <w:szCs w:val="24"/>
          <w:highlight w:val="none"/>
        </w:rPr>
        <w:t>. 工程质量</w:t>
      </w:r>
      <w:bookmarkEnd w:id="244"/>
    </w:p>
    <w:p w14:paraId="08449AC6">
      <w:pPr>
        <w:spacing w:line="400" w:lineRule="exact"/>
        <w:ind w:firstLine="480" w:firstLineChars="200"/>
        <w:outlineLvl w:val="9"/>
        <w:rPr>
          <w:rFonts w:ascii="宋体" w:hAnsi="宋体" w:cs="宋体"/>
          <w:highlight w:val="none"/>
        </w:rPr>
      </w:pPr>
      <w:bookmarkStart w:id="255" w:name="_Toc297216155"/>
      <w:bookmarkStart w:id="256" w:name="_Toc297123496"/>
      <w:bookmarkStart w:id="257" w:name="_Toc304295527"/>
      <w:bookmarkStart w:id="258" w:name="_Toc303539106"/>
      <w:bookmarkStart w:id="259" w:name="_Toc318581164"/>
      <w:bookmarkStart w:id="260" w:name="_Toc312677997"/>
      <w:bookmarkStart w:id="261" w:name="_Toc300934949"/>
      <w:r>
        <w:rPr>
          <w:rFonts w:hint="eastAsia" w:ascii="宋体" w:hAnsi="宋体" w:cs="宋体"/>
          <w:highlight w:val="none"/>
        </w:rPr>
        <w:t>5.1 质量要求</w:t>
      </w:r>
    </w:p>
    <w:p w14:paraId="5DF04099">
      <w:pPr>
        <w:spacing w:line="400" w:lineRule="exact"/>
        <w:ind w:firstLine="480" w:firstLineChars="200"/>
        <w:outlineLvl w:val="9"/>
        <w:rPr>
          <w:rFonts w:ascii="宋体" w:hAnsi="宋体" w:cs="宋体"/>
          <w:highlight w:val="none"/>
        </w:rPr>
      </w:pPr>
      <w:r>
        <w:rPr>
          <w:rFonts w:hint="eastAsia" w:ascii="宋体" w:hAnsi="宋体" w:cs="宋体"/>
          <w:highlight w:val="none"/>
        </w:rPr>
        <w:t>5.1.1 特殊质量标准和要求：</w:t>
      </w:r>
      <w:r>
        <w:rPr>
          <w:rFonts w:hint="eastAsia" w:ascii="宋体" w:hAnsi="宋体" w:cs="宋体"/>
          <w:highlight w:val="none"/>
          <w:u w:val="single"/>
        </w:rPr>
        <w:t xml:space="preserve">               /                           </w:t>
      </w:r>
      <w:r>
        <w:rPr>
          <w:rFonts w:hint="eastAsia" w:ascii="宋体" w:hAnsi="宋体" w:cs="宋体"/>
          <w:highlight w:val="none"/>
        </w:rPr>
        <w:t>。</w:t>
      </w:r>
    </w:p>
    <w:p w14:paraId="00A90279">
      <w:pPr>
        <w:spacing w:line="400" w:lineRule="exact"/>
        <w:ind w:firstLine="480" w:firstLineChars="200"/>
        <w:outlineLvl w:val="9"/>
        <w:rPr>
          <w:rFonts w:ascii="宋体" w:hAnsi="宋体" w:cs="宋体"/>
          <w:highlight w:val="none"/>
        </w:rPr>
      </w:pPr>
      <w:r>
        <w:rPr>
          <w:rFonts w:hint="eastAsia" w:ascii="宋体" w:hAnsi="宋体" w:cs="宋体"/>
          <w:highlight w:val="none"/>
        </w:rPr>
        <w:t>关于工程奖项的约定：</w:t>
      </w:r>
      <w:r>
        <w:rPr>
          <w:rFonts w:hint="eastAsia" w:ascii="宋体" w:hAnsi="宋体" w:cs="宋体"/>
          <w:highlight w:val="none"/>
          <w:u w:val="single"/>
        </w:rPr>
        <w:t xml:space="preserve">                      /                         </w:t>
      </w:r>
      <w:r>
        <w:rPr>
          <w:rFonts w:hint="eastAsia" w:ascii="宋体" w:hAnsi="宋体" w:cs="宋体"/>
          <w:highlight w:val="none"/>
        </w:rPr>
        <w:t>。</w:t>
      </w:r>
    </w:p>
    <w:p w14:paraId="7B4C0127">
      <w:pPr>
        <w:spacing w:line="400" w:lineRule="exact"/>
        <w:ind w:firstLine="480" w:firstLineChars="200"/>
        <w:outlineLvl w:val="9"/>
        <w:rPr>
          <w:rFonts w:ascii="宋体" w:hAnsi="宋体" w:cs="宋体"/>
          <w:highlight w:val="none"/>
        </w:rPr>
      </w:pPr>
      <w:r>
        <w:rPr>
          <w:rFonts w:hint="eastAsia" w:ascii="宋体" w:hAnsi="宋体" w:cs="宋体"/>
          <w:highlight w:val="none"/>
        </w:rPr>
        <w:t>5.3 隐蔽工程检查</w:t>
      </w:r>
    </w:p>
    <w:p w14:paraId="29D1BB75">
      <w:pPr>
        <w:spacing w:line="400" w:lineRule="exact"/>
        <w:ind w:firstLine="480" w:firstLineChars="200"/>
        <w:outlineLvl w:val="9"/>
        <w:rPr>
          <w:rFonts w:ascii="宋体" w:hAnsi="宋体" w:cs="宋体"/>
          <w:highlight w:val="none"/>
        </w:rPr>
      </w:pPr>
      <w:r>
        <w:rPr>
          <w:rFonts w:hint="eastAsia" w:ascii="宋体" w:hAnsi="宋体" w:cs="宋体"/>
          <w:highlight w:val="none"/>
        </w:rPr>
        <w:t>5.3.2承包人提前通知监理人隐蔽工程检查的期限的约定：</w:t>
      </w:r>
      <w:r>
        <w:rPr>
          <w:rFonts w:hint="eastAsia" w:ascii="宋体" w:hAnsi="宋体" w:cs="宋体"/>
          <w:highlight w:val="none"/>
          <w:u w:val="single"/>
        </w:rPr>
        <w:t xml:space="preserve"> 按通用合同条款执行。</w:t>
      </w:r>
    </w:p>
    <w:p w14:paraId="5F4884E4">
      <w:pPr>
        <w:spacing w:line="400" w:lineRule="exact"/>
        <w:ind w:firstLine="480" w:firstLineChars="200"/>
        <w:outlineLvl w:val="9"/>
        <w:rPr>
          <w:rFonts w:ascii="宋体" w:hAnsi="宋体" w:cs="宋体"/>
          <w:highlight w:val="none"/>
        </w:rPr>
      </w:pPr>
      <w:r>
        <w:rPr>
          <w:rFonts w:hint="eastAsia" w:ascii="宋体" w:hAnsi="宋体" w:cs="宋体"/>
          <w:highlight w:val="none"/>
        </w:rPr>
        <w:t>监理人不能按时进行检查时，应提前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14:paraId="4303E5BD">
      <w:pPr>
        <w:spacing w:line="400" w:lineRule="exact"/>
        <w:ind w:firstLine="480" w:firstLineChars="200"/>
        <w:outlineLvl w:val="9"/>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小时，由此导致工期延误的，工期予以顺延。</w:t>
      </w:r>
    </w:p>
    <w:p w14:paraId="26C7E44C">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重要节点的隐蔽工程验收过程、验收部位</w:t>
      </w:r>
      <w:r>
        <w:rPr>
          <w:rFonts w:hint="eastAsia" w:ascii="宋体" w:hAnsi="宋体" w:cs="宋体"/>
          <w:color w:val="auto"/>
          <w:highlight w:val="none"/>
          <w:u w:val="single"/>
        </w:rPr>
        <w:t>除办理纸质验收记录，承包人还应保留验收部位、验收过程、验收人员相片、影像等资料。</w:t>
      </w:r>
    </w:p>
    <w:p w14:paraId="08DD4DF8">
      <w:pPr>
        <w:spacing w:before="0" w:after="0" w:line="400" w:lineRule="exact"/>
        <w:ind w:firstLine="480" w:firstLineChars="200"/>
        <w:outlineLvl w:val="9"/>
        <w:rPr>
          <w:rFonts w:ascii="宋体" w:hAnsi="宋体" w:eastAsia="宋体" w:cs="宋体"/>
          <w:b w:val="0"/>
          <w:sz w:val="24"/>
          <w:szCs w:val="24"/>
          <w:highlight w:val="none"/>
        </w:rPr>
      </w:pPr>
      <w:bookmarkStart w:id="262" w:name="_Toc351203638"/>
      <w:r>
        <w:rPr>
          <w:rFonts w:hint="eastAsia" w:ascii="宋体" w:hAnsi="宋体" w:eastAsia="宋体" w:cs="宋体"/>
          <w:sz w:val="24"/>
          <w:szCs w:val="24"/>
          <w:highlight w:val="none"/>
        </w:rPr>
        <w:t>6. 安全文明施工与环境保护</w:t>
      </w:r>
      <w:bookmarkEnd w:id="262"/>
    </w:p>
    <w:p w14:paraId="2B4B3C8F">
      <w:pPr>
        <w:spacing w:line="400" w:lineRule="exact"/>
        <w:ind w:firstLine="480" w:firstLineChars="200"/>
        <w:outlineLvl w:val="9"/>
        <w:rPr>
          <w:rFonts w:ascii="宋体" w:hAnsi="宋体" w:cs="宋体"/>
          <w:highlight w:val="none"/>
        </w:rPr>
      </w:pPr>
      <w:r>
        <w:rPr>
          <w:rFonts w:hint="eastAsia" w:ascii="宋体" w:hAnsi="宋体" w:cs="宋体"/>
          <w:highlight w:val="none"/>
        </w:rPr>
        <w:t>6.1安全文明施工</w:t>
      </w:r>
    </w:p>
    <w:p w14:paraId="5F4AC534">
      <w:pPr>
        <w:spacing w:line="400" w:lineRule="exact"/>
        <w:ind w:firstLine="480" w:firstLineChars="200"/>
        <w:outlineLvl w:val="9"/>
        <w:rPr>
          <w:rFonts w:ascii="宋体" w:hAnsi="宋体" w:cs="宋体"/>
          <w:highlight w:val="none"/>
        </w:rPr>
      </w:pPr>
      <w:r>
        <w:rPr>
          <w:rFonts w:hint="eastAsia" w:ascii="宋体" w:hAnsi="宋体" w:cs="宋体"/>
          <w:highlight w:val="none"/>
        </w:rPr>
        <w:t>6.1.1 项目安全生产的达标目标及相应事项的约定：</w:t>
      </w:r>
      <w:r>
        <w:rPr>
          <w:rFonts w:hint="eastAsia" w:ascii="宋体" w:hAnsi="宋体" w:cs="宋体"/>
          <w:highlight w:val="none"/>
          <w:u w:val="single"/>
        </w:rPr>
        <w:t xml:space="preserve"> 按《浙江省建筑施工安全标准化管理规定》（浙建建〔2012〕54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349D6B52">
      <w:pPr>
        <w:pStyle w:val="28"/>
        <w:tabs>
          <w:tab w:val="left" w:pos="1516"/>
        </w:tabs>
        <w:spacing w:line="400" w:lineRule="exact"/>
        <w:outlineLvl w:val="9"/>
        <w:rPr>
          <w:rFonts w:ascii="宋体" w:hAnsi="宋体" w:cs="宋体"/>
          <w:highlight w:val="none"/>
        </w:rPr>
      </w:pPr>
      <w:r>
        <w:rPr>
          <w:rFonts w:hint="eastAsia" w:ascii="宋体" w:hAnsi="宋体" w:cs="宋体"/>
          <w:spacing w:val="-8"/>
          <w:highlight w:val="none"/>
          <w:u w:val="single"/>
        </w:rPr>
        <w:t>（1）承包人在施工期间，应严格执行工程所在地有关建设工程安全、文明施工的规定，由于</w:t>
      </w:r>
      <w:r>
        <w:rPr>
          <w:rFonts w:hint="eastAsia" w:ascii="宋体" w:hAnsi="宋体" w:cs="宋体"/>
          <w:spacing w:val="-3"/>
          <w:highlight w:val="none"/>
          <w:u w:val="single"/>
        </w:rPr>
        <w:t>管理不善引起政府有关部门罚款或责令停工整改等，其发生的费用或导致的损失应由承包人自行承担，在施工单位整改前发包人保留因此而缓付工程进度款的权利</w:t>
      </w:r>
      <w:r>
        <w:rPr>
          <w:rFonts w:hint="eastAsia" w:ascii="宋体" w:hAnsi="宋体" w:cs="宋体"/>
          <w:highlight w:val="none"/>
        </w:rPr>
        <w:t>。</w:t>
      </w:r>
    </w:p>
    <w:p w14:paraId="407A209F">
      <w:pPr>
        <w:pStyle w:val="28"/>
        <w:tabs>
          <w:tab w:val="left" w:pos="1516"/>
        </w:tabs>
        <w:spacing w:line="400" w:lineRule="exact"/>
        <w:outlineLvl w:val="9"/>
        <w:rPr>
          <w:rFonts w:ascii="宋体" w:hAnsi="宋体" w:cs="宋体"/>
          <w:highlight w:val="none"/>
        </w:rPr>
      </w:pPr>
      <w:r>
        <w:rPr>
          <w:rFonts w:hint="eastAsia" w:ascii="宋体" w:hAnsi="宋体" w:cs="宋体"/>
          <w:spacing w:val="-3"/>
          <w:highlight w:val="none"/>
          <w:u w:val="single"/>
        </w:rPr>
        <w:t>（2）承包人在施工过程中造成发包人或第三方人身、财产等损失的，由承包人承担赔偿责任</w:t>
      </w:r>
      <w:r>
        <w:rPr>
          <w:rFonts w:hint="eastAsia" w:ascii="宋体" w:hAnsi="宋体" w:cs="宋体"/>
          <w:highlight w:val="none"/>
        </w:rPr>
        <w:t>。</w:t>
      </w:r>
    </w:p>
    <w:p w14:paraId="1F60EB48">
      <w:pPr>
        <w:spacing w:line="400" w:lineRule="exact"/>
        <w:ind w:firstLine="480" w:firstLineChars="200"/>
        <w:outlineLvl w:val="9"/>
        <w:rPr>
          <w:rFonts w:ascii="宋体" w:hAnsi="宋体" w:cs="宋体"/>
          <w:highlight w:val="none"/>
        </w:rPr>
      </w:pPr>
      <w:r>
        <w:rPr>
          <w:rFonts w:hint="eastAsia" w:ascii="宋体" w:hAnsi="宋体" w:cs="宋体"/>
          <w:highlight w:val="none"/>
        </w:rPr>
        <w:t>6.1.4 关于治安保卫的特别约定：</w:t>
      </w:r>
      <w:r>
        <w:rPr>
          <w:rFonts w:hint="eastAsia" w:ascii="宋体" w:hAnsi="宋体" w:cs="宋体"/>
          <w:highlight w:val="none"/>
          <w:u w:val="single"/>
        </w:rPr>
        <w:t>按通用合同条款</w:t>
      </w:r>
      <w:r>
        <w:rPr>
          <w:rFonts w:hint="eastAsia" w:ascii="宋体" w:hAnsi="宋体" w:cs="宋体"/>
          <w:highlight w:val="none"/>
        </w:rPr>
        <w:t>。</w:t>
      </w:r>
    </w:p>
    <w:p w14:paraId="200CC85A">
      <w:pPr>
        <w:spacing w:line="400" w:lineRule="exact"/>
        <w:ind w:firstLine="480" w:firstLineChars="200"/>
        <w:outlineLvl w:val="9"/>
        <w:rPr>
          <w:rFonts w:ascii="宋体" w:hAnsi="宋体" w:cs="宋体"/>
          <w:highlight w:val="none"/>
        </w:rPr>
      </w:pPr>
      <w:r>
        <w:rPr>
          <w:rFonts w:hint="eastAsia" w:ascii="宋体" w:hAnsi="宋体" w:cs="宋体"/>
          <w:highlight w:val="none"/>
        </w:rPr>
        <w:t>关于编制施工场地治安管理计划的约定：</w:t>
      </w:r>
      <w:r>
        <w:rPr>
          <w:rFonts w:hint="eastAsia" w:ascii="宋体" w:hAnsi="宋体" w:cs="宋体"/>
          <w:highlight w:val="none"/>
          <w:u w:val="single"/>
        </w:rPr>
        <w:t>按通用合同条款</w:t>
      </w:r>
      <w:r>
        <w:rPr>
          <w:rFonts w:hint="eastAsia" w:ascii="宋体" w:hAnsi="宋体" w:cs="宋体"/>
          <w:highlight w:val="none"/>
        </w:rPr>
        <w:t>。</w:t>
      </w:r>
    </w:p>
    <w:p w14:paraId="2ACFA974">
      <w:pPr>
        <w:spacing w:line="400" w:lineRule="exact"/>
        <w:ind w:firstLine="480" w:firstLineChars="200"/>
        <w:outlineLvl w:val="9"/>
        <w:rPr>
          <w:rFonts w:ascii="宋体" w:hAnsi="宋体" w:cs="宋体"/>
          <w:highlight w:val="none"/>
        </w:rPr>
      </w:pPr>
      <w:r>
        <w:rPr>
          <w:rFonts w:hint="eastAsia" w:ascii="宋体" w:hAnsi="宋体" w:cs="宋体"/>
          <w:highlight w:val="none"/>
        </w:rPr>
        <w:t>6.1.5 文明施工</w:t>
      </w:r>
    </w:p>
    <w:p w14:paraId="5D5AC28C">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合同当事人对文明施工的要求：</w:t>
      </w:r>
      <w:r>
        <w:rPr>
          <w:rFonts w:hint="eastAsia" w:ascii="宋体" w:hAnsi="宋体" w:cs="宋体"/>
          <w:highlight w:val="none"/>
          <w:u w:val="single"/>
        </w:rPr>
        <w:t>按省、市发有关文明施工管理规定执行。</w:t>
      </w:r>
    </w:p>
    <w:p w14:paraId="56D0292F">
      <w:pPr>
        <w:spacing w:line="400" w:lineRule="exact"/>
        <w:ind w:firstLine="480" w:firstLineChars="200"/>
        <w:outlineLvl w:val="9"/>
        <w:rPr>
          <w:rFonts w:hint="eastAsia" w:ascii="宋体" w:hAnsi="宋体" w:cs="宋体"/>
          <w:color w:val="FF0000"/>
          <w:highlight w:val="none"/>
          <w:u w:val="single"/>
        </w:rPr>
      </w:pPr>
      <w:r>
        <w:rPr>
          <w:rFonts w:hint="eastAsia" w:ascii="宋体" w:hAnsi="宋体" w:cs="宋体"/>
          <w:highlight w:val="none"/>
        </w:rPr>
        <w:t>6.1.6 关于安全</w:t>
      </w:r>
      <w:r>
        <w:rPr>
          <w:rFonts w:hint="eastAsia" w:ascii="宋体" w:hAnsi="宋体" w:cs="宋体"/>
          <w:color w:val="auto"/>
          <w:highlight w:val="none"/>
        </w:rPr>
        <w:t>文明施工费支付比例和支付期限的约定：</w:t>
      </w:r>
      <w:r>
        <w:rPr>
          <w:rFonts w:hint="eastAsia" w:ascii="宋体" w:hAnsi="宋体" w:cs="宋体"/>
          <w:color w:val="auto"/>
          <w:highlight w:val="none"/>
          <w:u w:val="single"/>
        </w:rPr>
        <w:t>安全文明施工费预付费用包含在工程预付款内，与工程预付款一并支付，支付比例为安全文明施工费（不含创标化工地增加费）总额的50%，</w:t>
      </w:r>
      <w:r>
        <w:rPr>
          <w:rFonts w:hint="eastAsia" w:ascii="宋体" w:hAnsi="宋体" w:cs="宋体"/>
          <w:color w:val="auto"/>
          <w:spacing w:val="-3"/>
          <w:highlight w:val="none"/>
          <w:u w:val="single"/>
        </w:rPr>
        <w:t>金额为</w:t>
      </w:r>
      <w:r>
        <w:rPr>
          <w:rFonts w:hint="eastAsia" w:ascii="宋体" w:hAnsi="宋体" w:cs="宋体"/>
          <w:color w:val="auto"/>
          <w:highlight w:val="none"/>
          <w:u w:val="single"/>
        </w:rPr>
        <w:t>（</w:t>
      </w:r>
      <w:r>
        <w:rPr>
          <w:rFonts w:hint="eastAsia" w:ascii="宋体" w:hAnsi="宋体" w:cs="宋体"/>
          <w:color w:val="auto"/>
          <w:spacing w:val="2"/>
          <w:highlight w:val="none"/>
          <w:u w:val="single"/>
        </w:rPr>
        <w:t xml:space="preserve"> </w:t>
      </w:r>
      <w:r>
        <w:rPr>
          <w:rFonts w:hint="eastAsia" w:ascii="宋体" w:hAnsi="宋体" w:cs="宋体"/>
          <w:color w:val="auto"/>
          <w:highlight w:val="none"/>
          <w:u w:val="single"/>
        </w:rPr>
        <w:t>）</w:t>
      </w:r>
      <w:r>
        <w:rPr>
          <w:rFonts w:hint="eastAsia" w:ascii="宋体" w:hAnsi="宋体" w:cs="宋体"/>
          <w:color w:val="auto"/>
          <w:spacing w:val="-3"/>
          <w:highlight w:val="none"/>
          <w:u w:val="single"/>
        </w:rPr>
        <w:t>元</w:t>
      </w:r>
      <w:r>
        <w:rPr>
          <w:rFonts w:hint="eastAsia" w:ascii="宋体" w:hAnsi="宋体" w:cs="宋体"/>
          <w:color w:val="auto"/>
          <w:highlight w:val="none"/>
          <w:u w:val="single"/>
        </w:rPr>
        <w:t>。其余部分与进度款同期支付。安全文明施工费承包人应专款专用，在财务账目中应单独列项。</w:t>
      </w:r>
    </w:p>
    <w:p w14:paraId="4485AD68">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highlight w:val="none"/>
        </w:rPr>
        <w:t>。</w:t>
      </w:r>
    </w:p>
    <w:bookmarkEnd w:id="255"/>
    <w:bookmarkEnd w:id="256"/>
    <w:bookmarkEnd w:id="257"/>
    <w:bookmarkEnd w:id="258"/>
    <w:bookmarkEnd w:id="259"/>
    <w:bookmarkEnd w:id="260"/>
    <w:bookmarkEnd w:id="261"/>
    <w:p w14:paraId="3EB5B6B4">
      <w:pPr>
        <w:spacing w:before="0" w:after="0" w:line="400" w:lineRule="exact"/>
        <w:ind w:firstLine="480" w:firstLineChars="200"/>
        <w:outlineLvl w:val="9"/>
        <w:rPr>
          <w:rFonts w:ascii="宋体" w:hAnsi="宋体" w:eastAsia="宋体" w:cs="宋体"/>
          <w:sz w:val="24"/>
          <w:szCs w:val="24"/>
          <w:highlight w:val="none"/>
        </w:rPr>
      </w:pPr>
      <w:bookmarkStart w:id="263" w:name="_Toc351203639"/>
      <w:r>
        <w:rPr>
          <w:rFonts w:hint="eastAsia" w:ascii="宋体" w:hAnsi="宋体" w:eastAsia="宋体" w:cs="宋体"/>
          <w:sz w:val="24"/>
          <w:szCs w:val="24"/>
          <w:highlight w:val="none"/>
        </w:rPr>
        <w:t>7. 工期和进度</w:t>
      </w:r>
      <w:bookmarkEnd w:id="263"/>
    </w:p>
    <w:p w14:paraId="2F31E9E8">
      <w:pPr>
        <w:spacing w:line="400" w:lineRule="exact"/>
        <w:ind w:firstLine="480" w:firstLineChars="200"/>
        <w:outlineLvl w:val="9"/>
        <w:rPr>
          <w:rFonts w:ascii="宋体" w:hAnsi="宋体" w:cs="宋体"/>
          <w:highlight w:val="none"/>
        </w:rPr>
      </w:pPr>
      <w:r>
        <w:rPr>
          <w:rFonts w:hint="eastAsia" w:ascii="宋体" w:hAnsi="宋体" w:cs="宋体"/>
          <w:highlight w:val="none"/>
        </w:rPr>
        <w:t>7.1 施工组织设计</w:t>
      </w:r>
    </w:p>
    <w:p w14:paraId="2ACCB543">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7.1.1 合同当事人约定的施工组织设计应包括的其他内容：</w:t>
      </w:r>
      <w:r>
        <w:rPr>
          <w:rFonts w:hint="eastAsia" w:ascii="宋体" w:hAnsi="宋体" w:cs="宋体"/>
          <w:highlight w:val="none"/>
          <w:u w:val="single"/>
        </w:rPr>
        <w:t xml:space="preserve"> 对特殊工艺施工、危险性较大分部分项工程施工</w:t>
      </w:r>
      <w:r>
        <w:rPr>
          <w:rFonts w:hint="eastAsia" w:ascii="宋体" w:hAnsi="宋体" w:cs="宋体"/>
          <w:color w:val="auto"/>
          <w:highlight w:val="none"/>
          <w:u w:val="single"/>
        </w:rPr>
        <w:t>（如基坑支护方案、高大支模架方案等专项施工方案），应按规定组织专家论证及办理审批手续。</w:t>
      </w:r>
    </w:p>
    <w:p w14:paraId="0EC078C8">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25FB3329">
      <w:pPr>
        <w:spacing w:line="400" w:lineRule="exact"/>
        <w:ind w:firstLine="480" w:firstLineChars="200"/>
        <w:outlineLvl w:val="9"/>
        <w:rPr>
          <w:rFonts w:ascii="宋体" w:hAnsi="宋体" w:cs="宋体"/>
          <w:highlight w:val="none"/>
        </w:rPr>
      </w:pPr>
      <w:r>
        <w:rPr>
          <w:rFonts w:hint="eastAsia" w:ascii="宋体" w:hAnsi="宋体" w:cs="宋体"/>
          <w:highlight w:val="none"/>
        </w:rPr>
        <w:t>7.1.2 施工组织设计的提交和修改</w:t>
      </w:r>
    </w:p>
    <w:p w14:paraId="3A958918">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承包人提交详细施工组织设计的期限的约定：</w:t>
      </w:r>
      <w:r>
        <w:rPr>
          <w:rFonts w:hint="eastAsia" w:ascii="宋体" w:hAnsi="宋体" w:cs="宋体"/>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highlight w:val="none"/>
        </w:rPr>
        <w:t>；</w:t>
      </w:r>
    </w:p>
    <w:p w14:paraId="0F91B755">
      <w:pPr>
        <w:spacing w:line="400" w:lineRule="exact"/>
        <w:ind w:firstLine="480" w:firstLineChars="200"/>
        <w:outlineLvl w:val="9"/>
        <w:rPr>
          <w:rFonts w:ascii="宋体" w:hAnsi="宋体" w:cs="宋体"/>
          <w:highlight w:val="none"/>
        </w:rPr>
      </w:pPr>
      <w:r>
        <w:rPr>
          <w:rFonts w:hint="eastAsia" w:ascii="宋体" w:hAnsi="宋体" w:cs="宋体"/>
          <w:highlight w:val="none"/>
        </w:rPr>
        <w:t>发包人和监理人在收到详细的施工组织设计后确认或提出修改意见的期限：</w:t>
      </w:r>
      <w:r>
        <w:rPr>
          <w:rFonts w:hint="eastAsia" w:ascii="宋体" w:hAnsi="宋体" w:cs="宋体"/>
          <w:highlight w:val="none"/>
          <w:u w:val="single"/>
        </w:rPr>
        <w:t>收到相应文件后7天内</w:t>
      </w:r>
      <w:r>
        <w:rPr>
          <w:rFonts w:hint="eastAsia" w:ascii="宋体" w:hAnsi="宋体" w:cs="宋体"/>
          <w:highlight w:val="none"/>
        </w:rPr>
        <w:t>。</w:t>
      </w:r>
    </w:p>
    <w:p w14:paraId="7AFCF538">
      <w:pPr>
        <w:spacing w:line="400" w:lineRule="exact"/>
        <w:ind w:firstLine="480" w:firstLineChars="200"/>
        <w:outlineLvl w:val="9"/>
        <w:rPr>
          <w:rFonts w:ascii="宋体" w:hAnsi="宋体" w:cs="宋体"/>
          <w:highlight w:val="none"/>
        </w:rPr>
      </w:pPr>
      <w:r>
        <w:rPr>
          <w:rFonts w:hint="eastAsia" w:ascii="宋体" w:hAnsi="宋体" w:cs="宋体"/>
          <w:highlight w:val="none"/>
        </w:rPr>
        <w:t>7</w:t>
      </w:r>
      <w:bookmarkStart w:id="264" w:name="_Toc297216173"/>
      <w:bookmarkStart w:id="265" w:name="_Toc303539123"/>
      <w:bookmarkStart w:id="266" w:name="_Toc312678005"/>
      <w:bookmarkStart w:id="267" w:name="_Toc312677479"/>
      <w:bookmarkStart w:id="268" w:name="_Toc300934966"/>
      <w:bookmarkStart w:id="269" w:name="_Toc297123514"/>
      <w:bookmarkStart w:id="270" w:name="_Toc304295541"/>
      <w:r>
        <w:rPr>
          <w:rFonts w:hint="eastAsia" w:ascii="宋体" w:hAnsi="宋体" w:cs="宋体"/>
          <w:highlight w:val="none"/>
        </w:rPr>
        <w:t>.2 施工进度计划</w:t>
      </w:r>
    </w:p>
    <w:p w14:paraId="62B2A38A">
      <w:pPr>
        <w:spacing w:line="400" w:lineRule="exact"/>
        <w:ind w:firstLine="480" w:firstLineChars="200"/>
        <w:outlineLvl w:val="9"/>
        <w:rPr>
          <w:rFonts w:ascii="宋体" w:hAnsi="宋体" w:cs="宋体"/>
          <w:highlight w:val="none"/>
        </w:rPr>
      </w:pPr>
      <w:r>
        <w:rPr>
          <w:rFonts w:hint="eastAsia" w:ascii="宋体" w:hAnsi="宋体" w:cs="宋体"/>
          <w:highlight w:val="none"/>
        </w:rPr>
        <w:t>7.2.2 施工进度计划的修订</w:t>
      </w:r>
    </w:p>
    <w:p w14:paraId="254A96D7">
      <w:pPr>
        <w:spacing w:line="400" w:lineRule="exact"/>
        <w:ind w:firstLine="480" w:firstLineChars="200"/>
        <w:outlineLvl w:val="9"/>
        <w:rPr>
          <w:rFonts w:ascii="宋体" w:hAnsi="宋体" w:cs="宋体"/>
          <w:highlight w:val="none"/>
        </w:rPr>
      </w:pPr>
      <w:r>
        <w:rPr>
          <w:rFonts w:hint="eastAsia" w:ascii="宋体" w:hAnsi="宋体" w:cs="宋体"/>
          <w:highlight w:val="none"/>
        </w:rPr>
        <w:t>发包人和监理人在收到修订的施工进度计划后确认或提出修改意见的期限：</w:t>
      </w:r>
      <w:r>
        <w:rPr>
          <w:rFonts w:hint="eastAsia" w:ascii="宋体" w:hAnsi="宋体" w:cs="宋体"/>
          <w:highlight w:val="none"/>
          <w:u w:val="single"/>
        </w:rPr>
        <w:t xml:space="preserve"> 收到相应文件后7天内 </w:t>
      </w:r>
      <w:r>
        <w:rPr>
          <w:rFonts w:hint="eastAsia" w:ascii="宋体" w:hAnsi="宋体" w:cs="宋体"/>
          <w:highlight w:val="none"/>
        </w:rPr>
        <w:t>。</w:t>
      </w:r>
    </w:p>
    <w:p w14:paraId="7EA4AFC8">
      <w:pPr>
        <w:spacing w:line="400" w:lineRule="exact"/>
        <w:ind w:firstLine="480" w:firstLineChars="200"/>
        <w:outlineLvl w:val="9"/>
        <w:rPr>
          <w:rFonts w:ascii="宋体" w:hAnsi="宋体" w:cs="宋体"/>
          <w:highlight w:val="none"/>
        </w:rPr>
      </w:pPr>
      <w:r>
        <w:rPr>
          <w:rFonts w:hint="eastAsia" w:ascii="宋体" w:hAnsi="宋体" w:cs="宋体"/>
          <w:highlight w:val="none"/>
        </w:rPr>
        <w:t>7.3 开工</w:t>
      </w:r>
    </w:p>
    <w:bookmarkEnd w:id="264"/>
    <w:bookmarkEnd w:id="265"/>
    <w:bookmarkEnd w:id="266"/>
    <w:bookmarkEnd w:id="267"/>
    <w:bookmarkEnd w:id="268"/>
    <w:bookmarkEnd w:id="269"/>
    <w:bookmarkEnd w:id="270"/>
    <w:p w14:paraId="6D1C0E0A">
      <w:pPr>
        <w:spacing w:line="400" w:lineRule="exact"/>
        <w:ind w:firstLine="480" w:firstLineChars="200"/>
        <w:outlineLvl w:val="9"/>
        <w:rPr>
          <w:rFonts w:ascii="宋体" w:hAnsi="宋体" w:cs="宋体"/>
          <w:highlight w:val="none"/>
        </w:rPr>
      </w:pPr>
      <w:r>
        <w:rPr>
          <w:rFonts w:hint="eastAsia" w:ascii="宋体" w:hAnsi="宋体" w:cs="宋体"/>
          <w:highlight w:val="none"/>
        </w:rPr>
        <w:t>7.3.1 开工准备</w:t>
      </w:r>
    </w:p>
    <w:p w14:paraId="5678407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关于承包人提交工程开工报审表的期限：</w:t>
      </w:r>
      <w:r>
        <w:rPr>
          <w:rFonts w:hint="eastAsia" w:ascii="宋体" w:hAnsi="宋体" w:cs="宋体"/>
          <w:highlight w:val="none"/>
          <w:u w:val="single"/>
        </w:rPr>
        <w:t xml:space="preserve">接到开工通知（或确定开工日期）后7天内 </w:t>
      </w:r>
      <w:r>
        <w:rPr>
          <w:rFonts w:hint="eastAsia" w:ascii="宋体" w:hAnsi="宋体" w:cs="宋体"/>
          <w:highlight w:val="none"/>
        </w:rPr>
        <w:t>。</w:t>
      </w:r>
    </w:p>
    <w:p w14:paraId="34E20D41">
      <w:pPr>
        <w:spacing w:line="400" w:lineRule="exact"/>
        <w:ind w:firstLine="480" w:firstLineChars="200"/>
        <w:outlineLvl w:val="9"/>
        <w:rPr>
          <w:rFonts w:ascii="宋体" w:hAnsi="宋体" w:cs="宋体"/>
          <w:highlight w:val="none"/>
        </w:rPr>
      </w:pPr>
      <w:r>
        <w:rPr>
          <w:rFonts w:hint="eastAsia" w:ascii="宋体" w:hAnsi="宋体" w:cs="宋体"/>
          <w:highlight w:val="none"/>
        </w:rPr>
        <w:t>关于发包人应完成的其他开工准备工作及期限：</w:t>
      </w:r>
      <w:r>
        <w:rPr>
          <w:rFonts w:hint="eastAsia" w:ascii="宋体" w:hAnsi="宋体" w:cs="宋体"/>
          <w:highlight w:val="none"/>
          <w:u w:val="single"/>
        </w:rPr>
        <w:t>开工前7天</w:t>
      </w:r>
      <w:r>
        <w:rPr>
          <w:rFonts w:hint="eastAsia" w:ascii="宋体" w:hAnsi="宋体" w:cs="宋体"/>
          <w:highlight w:val="none"/>
        </w:rPr>
        <w:t>。</w:t>
      </w:r>
    </w:p>
    <w:p w14:paraId="1314B542">
      <w:pPr>
        <w:spacing w:line="400" w:lineRule="exact"/>
        <w:ind w:firstLine="480" w:firstLineChars="200"/>
        <w:outlineLvl w:val="9"/>
        <w:rPr>
          <w:rFonts w:ascii="宋体" w:hAnsi="宋体" w:cs="宋体"/>
          <w:highlight w:val="none"/>
        </w:rPr>
      </w:pPr>
      <w:r>
        <w:rPr>
          <w:rFonts w:hint="eastAsia" w:ascii="宋体" w:hAnsi="宋体" w:cs="宋体"/>
          <w:highlight w:val="none"/>
        </w:rPr>
        <w:t>关于承包人应完成的其他开工准备工作及期限：</w:t>
      </w:r>
      <w:r>
        <w:rPr>
          <w:rFonts w:hint="eastAsia" w:ascii="宋体" w:hAnsi="宋体" w:cs="宋体"/>
          <w:highlight w:val="none"/>
          <w:u w:val="single"/>
        </w:rPr>
        <w:t>开工前。</w:t>
      </w:r>
    </w:p>
    <w:p w14:paraId="296DAC9B">
      <w:pPr>
        <w:spacing w:line="400" w:lineRule="exact"/>
        <w:ind w:firstLine="480" w:firstLineChars="200"/>
        <w:outlineLvl w:val="9"/>
        <w:rPr>
          <w:rFonts w:ascii="宋体" w:hAnsi="宋体" w:cs="宋体"/>
          <w:highlight w:val="none"/>
        </w:rPr>
      </w:pPr>
      <w:r>
        <w:rPr>
          <w:rFonts w:hint="eastAsia" w:ascii="宋体" w:hAnsi="宋体" w:cs="宋体"/>
          <w:highlight w:val="none"/>
        </w:rPr>
        <w:t>7.3.2开工通知</w:t>
      </w:r>
    </w:p>
    <w:p w14:paraId="6FB07CC3">
      <w:pPr>
        <w:spacing w:line="400" w:lineRule="exact"/>
        <w:ind w:firstLine="480" w:firstLineChars="200"/>
        <w:outlineLvl w:val="9"/>
        <w:rPr>
          <w:rFonts w:ascii="宋体" w:hAnsi="宋体" w:cs="宋体"/>
          <w:highlight w:val="none"/>
        </w:rPr>
      </w:pPr>
      <w:r>
        <w:rPr>
          <w:rFonts w:hint="eastAsia" w:ascii="宋体" w:hAnsi="宋体" w:cs="宋体"/>
          <w:highlight w:val="none"/>
        </w:rPr>
        <w:t>发包人（或监理人）在计划开工日期前7天向承包人发出开工通知，工期自开工通知中载明的开工日期起算。</w:t>
      </w:r>
    </w:p>
    <w:p w14:paraId="716CCC4D">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因发包人原因造成监理人未能在计划开工日期之日起 90 天内发出开工通知的，承包人有权提出价格调整要求，或者解除合同。发包人应当承担由此增加的费用或赔偿承包人的损失。</w:t>
      </w:r>
    </w:p>
    <w:p w14:paraId="54B278F3">
      <w:pPr>
        <w:spacing w:line="400" w:lineRule="exact"/>
        <w:ind w:firstLine="480" w:firstLineChars="200"/>
        <w:outlineLvl w:val="9"/>
        <w:rPr>
          <w:rFonts w:ascii="宋体" w:hAnsi="宋体" w:cs="宋体"/>
          <w:highlight w:val="none"/>
        </w:rPr>
      </w:pPr>
      <w:r>
        <w:rPr>
          <w:rFonts w:hint="eastAsia" w:ascii="宋体" w:hAnsi="宋体" w:cs="宋体"/>
          <w:highlight w:val="none"/>
        </w:rPr>
        <w:t>7.4 测量放线</w:t>
      </w:r>
    </w:p>
    <w:p w14:paraId="78E7CD21">
      <w:pPr>
        <w:spacing w:line="400" w:lineRule="exact"/>
        <w:ind w:firstLine="480" w:firstLineChars="200"/>
        <w:outlineLvl w:val="9"/>
        <w:rPr>
          <w:rFonts w:ascii="宋体" w:hAnsi="宋体" w:cs="宋体"/>
          <w:highlight w:val="none"/>
        </w:rPr>
      </w:pPr>
      <w:r>
        <w:rPr>
          <w:rFonts w:hint="eastAsia" w:ascii="宋体" w:hAnsi="宋体" w:cs="宋体"/>
          <w:highlight w:val="none"/>
        </w:rPr>
        <w:t>7.4.1发包人通过监理人向承包人提供测量基准点、基准线和水准点及其书面资料的期限：</w:t>
      </w:r>
      <w:r>
        <w:rPr>
          <w:rFonts w:hint="eastAsia" w:ascii="宋体" w:hAnsi="宋体" w:cs="宋体"/>
          <w:highlight w:val="none"/>
          <w:u w:val="single"/>
        </w:rPr>
        <w:t>按通用合同条款执行。</w:t>
      </w:r>
    </w:p>
    <w:p w14:paraId="68EF37E2">
      <w:pPr>
        <w:spacing w:line="400" w:lineRule="exact"/>
        <w:ind w:firstLine="480" w:firstLineChars="200"/>
        <w:outlineLvl w:val="9"/>
        <w:rPr>
          <w:rFonts w:ascii="宋体" w:hAnsi="宋体" w:cs="宋体"/>
          <w:highlight w:val="none"/>
        </w:rPr>
      </w:pPr>
      <w:r>
        <w:rPr>
          <w:rFonts w:hint="eastAsia" w:ascii="宋体" w:hAnsi="宋体" w:cs="宋体"/>
          <w:highlight w:val="none"/>
        </w:rPr>
        <w:t>7</w:t>
      </w:r>
      <w:bookmarkStart w:id="271" w:name="_Toc303539125"/>
      <w:bookmarkStart w:id="272" w:name="_Toc297216175"/>
      <w:bookmarkStart w:id="273" w:name="_Toc300934968"/>
      <w:bookmarkStart w:id="274" w:name="_Toc297123516"/>
      <w:bookmarkStart w:id="275" w:name="_Toc304295546"/>
      <w:bookmarkStart w:id="276" w:name="_Toc312678010"/>
      <w:bookmarkStart w:id="277" w:name="_Toc312677484"/>
      <w:r>
        <w:rPr>
          <w:rFonts w:hint="eastAsia" w:ascii="宋体" w:hAnsi="宋体" w:cs="宋体"/>
          <w:highlight w:val="none"/>
        </w:rPr>
        <w:t>.5 工期延误</w:t>
      </w:r>
    </w:p>
    <w:bookmarkEnd w:id="271"/>
    <w:bookmarkEnd w:id="272"/>
    <w:bookmarkEnd w:id="273"/>
    <w:bookmarkEnd w:id="274"/>
    <w:bookmarkEnd w:id="275"/>
    <w:bookmarkEnd w:id="276"/>
    <w:bookmarkEnd w:id="277"/>
    <w:p w14:paraId="021FF70C">
      <w:pPr>
        <w:spacing w:line="400" w:lineRule="exact"/>
        <w:ind w:firstLine="480" w:firstLineChars="200"/>
        <w:outlineLvl w:val="9"/>
        <w:rPr>
          <w:rFonts w:ascii="宋体" w:hAnsi="宋体" w:cs="宋体"/>
          <w:highlight w:val="none"/>
        </w:rPr>
      </w:pPr>
      <w:bookmarkStart w:id="278" w:name="_Toc318581171"/>
      <w:bookmarkStart w:id="279" w:name="_Toc312678014"/>
      <w:r>
        <w:rPr>
          <w:rFonts w:hint="eastAsia" w:ascii="宋体" w:hAnsi="宋体" w:cs="宋体"/>
          <w:highlight w:val="none"/>
        </w:rPr>
        <w:t>7.5.1 因发包人原因导致工期延误</w:t>
      </w:r>
    </w:p>
    <w:p w14:paraId="5FDCA3D9">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（7）因发包人原因导致工期延误的其他情形：</w:t>
      </w:r>
      <w:r>
        <w:rPr>
          <w:rFonts w:hint="eastAsia" w:ascii="宋体" w:hAnsi="宋体" w:cs="宋体"/>
          <w:highlight w:val="none"/>
          <w:u w:val="single"/>
        </w:rPr>
        <w:t>①重大设计变更；②因政策处理不完善导致无法施工</w:t>
      </w:r>
      <w:r>
        <w:rPr>
          <w:rFonts w:hint="eastAsia" w:ascii="宋体" w:hAnsi="宋体" w:cs="宋体"/>
          <w:highlight w:val="none"/>
        </w:rPr>
        <w:t>。</w:t>
      </w:r>
    </w:p>
    <w:p w14:paraId="756B650C">
      <w:pPr>
        <w:autoSpaceDE/>
        <w:autoSpaceDN/>
        <w:adjustRightInd/>
        <w:spacing w:line="400" w:lineRule="exact"/>
        <w:ind w:firstLine="480" w:firstLineChars="200"/>
        <w:outlineLvl w:val="9"/>
        <w:rPr>
          <w:rFonts w:hint="eastAsia" w:ascii="宋体" w:hAnsi="宋体" w:cs="宋体"/>
          <w:highlight w:val="none"/>
        </w:rPr>
      </w:pPr>
      <w:r>
        <w:rPr>
          <w:rFonts w:hint="eastAsia" w:ascii="宋体" w:hAnsi="宋体" w:cs="宋体"/>
          <w:highlight w:val="none"/>
        </w:rPr>
        <w:t>7</w:t>
      </w:r>
      <w:bookmarkStart w:id="280" w:name="_Toc312678012"/>
      <w:bookmarkStart w:id="281" w:name="_Toc318581169"/>
      <w:bookmarkStart w:id="282" w:name="_Toc312677486"/>
      <w:bookmarkStart w:id="283" w:name="_Toc304295548"/>
      <w:bookmarkStart w:id="284" w:name="_Toc297123518"/>
      <w:bookmarkStart w:id="285" w:name="_Toc303539127"/>
      <w:bookmarkStart w:id="286" w:name="_Toc300934970"/>
      <w:bookmarkStart w:id="287" w:name="_Toc297216177"/>
      <w:r>
        <w:rPr>
          <w:rFonts w:hint="eastAsia" w:ascii="宋体" w:hAnsi="宋体" w:cs="宋体"/>
          <w:highlight w:val="none"/>
        </w:rPr>
        <w:t>.5.2 因承包人原因导致工期延误</w:t>
      </w:r>
      <w:bookmarkEnd w:id="280"/>
      <w:bookmarkEnd w:id="281"/>
      <w:bookmarkEnd w:id="282"/>
    </w:p>
    <w:p w14:paraId="2DF15947">
      <w:pPr>
        <w:autoSpaceDE/>
        <w:autoSpaceDN/>
        <w:adjustRightInd/>
        <w:spacing w:line="400" w:lineRule="exact"/>
        <w:ind w:firstLine="480" w:firstLineChars="200"/>
        <w:outlineLvl w:val="9"/>
        <w:rPr>
          <w:rFonts w:ascii="宋体" w:hAnsi="宋体" w:cs="宋体"/>
          <w:color w:val="0000FF"/>
          <w:highlight w:val="none"/>
        </w:rPr>
      </w:pPr>
      <w:r>
        <w:rPr>
          <w:rFonts w:hint="eastAsia" w:ascii="宋体" w:hAnsi="宋体" w:cs="宋体"/>
          <w:highlight w:val="none"/>
        </w:rPr>
        <w:t>因</w:t>
      </w:r>
      <w:bookmarkStart w:id="288" w:name="_Toc312677487"/>
      <w:bookmarkStart w:id="289" w:name="_Toc312678013"/>
      <w:bookmarkStart w:id="290" w:name="_Toc318581170"/>
      <w:r>
        <w:rPr>
          <w:rFonts w:hint="eastAsia" w:ascii="宋体" w:hAnsi="宋体" w:cs="宋体"/>
          <w:highlight w:val="none"/>
        </w:rPr>
        <w:t>承包人原因造成工期延误，逾期竣工违约金的计算方法为：</w:t>
      </w:r>
      <w:bookmarkEnd w:id="283"/>
      <w:bookmarkEnd w:id="284"/>
      <w:bookmarkEnd w:id="285"/>
      <w:bookmarkEnd w:id="286"/>
      <w:bookmarkEnd w:id="287"/>
      <w:bookmarkEnd w:id="288"/>
      <w:bookmarkEnd w:id="289"/>
      <w:r>
        <w:rPr>
          <w:rFonts w:ascii="宋体" w:hAnsi="宋体"/>
          <w:szCs w:val="21"/>
          <w:u w:val="single"/>
        </w:rPr>
        <w:t>承包人应在合同约定的时间内竣工（经监理审核属合理工期索赔延期的除外），每延误一天的误期赔偿费人</w:t>
      </w:r>
      <w:r>
        <w:rPr>
          <w:spacing w:val="-3"/>
          <w:u w:val="single"/>
        </w:rPr>
        <w:t>民币</w:t>
      </w:r>
      <w:r>
        <w:rPr>
          <w:rFonts w:hint="eastAsia"/>
          <w:u w:val="single"/>
        </w:rPr>
        <w:t>5000</w:t>
      </w:r>
      <w:r>
        <w:rPr>
          <w:u w:val="single"/>
        </w:rPr>
        <w:t>元</w:t>
      </w:r>
      <w:r>
        <w:rPr>
          <w:rFonts w:hint="eastAsia" w:ascii="宋体" w:hAnsi="宋体" w:cs="宋体"/>
          <w:highlight w:val="none"/>
          <w:u w:val="single"/>
        </w:rPr>
        <w:t xml:space="preserve">   </w:t>
      </w:r>
      <w:r>
        <w:rPr>
          <w:rFonts w:hint="eastAsia" w:ascii="宋体" w:hAnsi="宋体" w:cs="宋体"/>
          <w:highlight w:val="none"/>
        </w:rPr>
        <w:t>。</w:t>
      </w:r>
    </w:p>
    <w:bookmarkEnd w:id="290"/>
    <w:p w14:paraId="176DFC82">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因承包人原因造成工期延误，逾期竣工违约金的上限：</w:t>
      </w:r>
      <w:r>
        <w:rPr>
          <w:rFonts w:hint="eastAsia" w:ascii="宋体" w:hAnsi="宋体" w:cs="宋体"/>
          <w:highlight w:val="none"/>
          <w:u w:val="single"/>
        </w:rPr>
        <w:t>履约保证金额度，对发包人造成损失超过违约金的，除承担违约金外同时赔偿发包人损失</w:t>
      </w:r>
      <w:r>
        <w:rPr>
          <w:rFonts w:hint="eastAsia" w:ascii="宋体" w:hAnsi="宋体" w:cs="宋体"/>
          <w:highlight w:val="none"/>
        </w:rPr>
        <w:t>。</w:t>
      </w:r>
    </w:p>
    <w:bookmarkEnd w:id="278"/>
    <w:bookmarkEnd w:id="279"/>
    <w:p w14:paraId="72B9F890">
      <w:pPr>
        <w:spacing w:line="400" w:lineRule="exact"/>
        <w:ind w:firstLine="480" w:firstLineChars="200"/>
        <w:outlineLvl w:val="9"/>
        <w:rPr>
          <w:rFonts w:ascii="宋体" w:hAnsi="宋体" w:cs="宋体"/>
          <w:highlight w:val="none"/>
        </w:rPr>
      </w:pPr>
      <w:r>
        <w:rPr>
          <w:rFonts w:hint="eastAsia" w:ascii="宋体" w:hAnsi="宋体" w:cs="宋体"/>
          <w:highlight w:val="none"/>
        </w:rPr>
        <w:t>7</w:t>
      </w:r>
      <w:bookmarkStart w:id="291" w:name="_Toc312678015"/>
      <w:bookmarkStart w:id="292" w:name="_Toc300934971"/>
      <w:bookmarkStart w:id="293" w:name="_Toc304295549"/>
      <w:bookmarkStart w:id="294" w:name="_Toc297123519"/>
      <w:bookmarkStart w:id="295" w:name="_Toc303539128"/>
      <w:bookmarkStart w:id="296" w:name="_Toc297216178"/>
      <w:r>
        <w:rPr>
          <w:rFonts w:hint="eastAsia" w:ascii="宋体" w:hAnsi="宋体" w:cs="宋体"/>
          <w:highlight w:val="none"/>
        </w:rPr>
        <w:t>.6 不</w:t>
      </w:r>
      <w:bookmarkEnd w:id="291"/>
      <w:bookmarkEnd w:id="292"/>
      <w:bookmarkEnd w:id="293"/>
      <w:bookmarkEnd w:id="294"/>
      <w:bookmarkEnd w:id="295"/>
      <w:bookmarkEnd w:id="296"/>
      <w:r>
        <w:rPr>
          <w:rFonts w:hint="eastAsia" w:ascii="宋体" w:hAnsi="宋体" w:cs="宋体"/>
          <w:highlight w:val="none"/>
        </w:rPr>
        <w:t>利物质条件</w:t>
      </w:r>
    </w:p>
    <w:p w14:paraId="67E25ED8">
      <w:pPr>
        <w:spacing w:line="400" w:lineRule="exact"/>
        <w:ind w:firstLine="480" w:firstLineChars="200"/>
        <w:outlineLvl w:val="9"/>
        <w:rPr>
          <w:rFonts w:ascii="宋体" w:hAnsi="宋体" w:cs="宋体"/>
          <w:highlight w:val="none"/>
        </w:rPr>
      </w:pPr>
      <w:bookmarkStart w:id="297" w:name="_Toc318581172"/>
      <w:bookmarkStart w:id="298" w:name="_Toc297216179"/>
      <w:bookmarkStart w:id="299" w:name="_Toc304295550"/>
      <w:bookmarkStart w:id="300" w:name="_Toc312678016"/>
      <w:bookmarkStart w:id="301" w:name="_Toc303539129"/>
      <w:bookmarkStart w:id="302" w:name="_Toc297123520"/>
      <w:bookmarkStart w:id="303" w:name="_Toc300934972"/>
      <w:r>
        <w:rPr>
          <w:rFonts w:hint="eastAsia" w:ascii="宋体" w:hAnsi="宋体" w:cs="宋体"/>
          <w:highlight w:val="none"/>
        </w:rPr>
        <w:t>不利物质条件的其他情形和有关约定：</w:t>
      </w:r>
    </w:p>
    <w:p w14:paraId="4225F345">
      <w:pPr>
        <w:spacing w:line="400" w:lineRule="exact"/>
        <w:ind w:firstLine="480" w:firstLineChars="200"/>
        <w:outlineLvl w:val="9"/>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每天连续停水、停电超过8小时以上。</w:t>
      </w:r>
    </w:p>
    <w:p w14:paraId="7FDAD833">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因政府行政命令（因承包人原因的除外）。</w:t>
      </w:r>
    </w:p>
    <w:p w14:paraId="78217469">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非因双方原因而无法控制的爆炸、火灾等事件。</w:t>
      </w:r>
    </w:p>
    <w:p w14:paraId="052BBCB0">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（4）</w:t>
      </w:r>
      <w:r>
        <w:rPr>
          <w:rFonts w:hint="eastAsia" w:ascii="宋体" w:hAnsi="宋体" w:cs="宋体"/>
          <w:highlight w:val="none"/>
          <w:u w:val="single"/>
        </w:rPr>
        <w:t>施工场地周围地下管线保护，地下障碍物和污染物排除，邻近建筑物、构筑物的保护要求。</w:t>
      </w:r>
    </w:p>
    <w:p w14:paraId="04069582">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（5）地质勘探资料未涉及的地下管道、暗沟、岩层等。</w:t>
      </w:r>
    </w:p>
    <w:p w14:paraId="13272F65">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97"/>
    <w:bookmarkEnd w:id="298"/>
    <w:bookmarkEnd w:id="299"/>
    <w:bookmarkEnd w:id="300"/>
    <w:bookmarkEnd w:id="301"/>
    <w:bookmarkEnd w:id="302"/>
    <w:bookmarkEnd w:id="303"/>
    <w:p w14:paraId="4904668B">
      <w:pPr>
        <w:spacing w:line="400" w:lineRule="exact"/>
        <w:ind w:firstLine="480" w:firstLineChars="200"/>
        <w:outlineLvl w:val="9"/>
        <w:rPr>
          <w:rFonts w:ascii="宋体" w:hAnsi="宋体" w:cs="宋体"/>
          <w:highlight w:val="none"/>
        </w:rPr>
      </w:pPr>
      <w:r>
        <w:rPr>
          <w:rFonts w:hint="eastAsia" w:ascii="宋体" w:hAnsi="宋体" w:cs="宋体"/>
          <w:highlight w:val="none"/>
        </w:rPr>
        <w:t>7</w:t>
      </w:r>
      <w:bookmarkStart w:id="304" w:name="_Toc303539130"/>
      <w:bookmarkStart w:id="305" w:name="_Toc297123521"/>
      <w:bookmarkStart w:id="306" w:name="_Toc297216180"/>
      <w:bookmarkStart w:id="307" w:name="_Toc300934973"/>
      <w:bookmarkStart w:id="308" w:name="_Toc312678017"/>
      <w:bookmarkStart w:id="309" w:name="_Toc304295551"/>
      <w:r>
        <w:rPr>
          <w:rFonts w:hint="eastAsia" w:ascii="宋体" w:hAnsi="宋体" w:cs="宋体"/>
          <w:highlight w:val="none"/>
        </w:rPr>
        <w:t>.7异常恶劣的气候条件</w:t>
      </w:r>
    </w:p>
    <w:bookmarkEnd w:id="304"/>
    <w:bookmarkEnd w:id="305"/>
    <w:bookmarkEnd w:id="306"/>
    <w:bookmarkEnd w:id="307"/>
    <w:bookmarkEnd w:id="308"/>
    <w:bookmarkEnd w:id="309"/>
    <w:p w14:paraId="49D6686E">
      <w:pPr>
        <w:spacing w:line="400" w:lineRule="exact"/>
        <w:ind w:firstLine="480" w:firstLineChars="200"/>
        <w:outlineLvl w:val="9"/>
        <w:rPr>
          <w:rFonts w:ascii="宋体" w:hAnsi="宋体" w:cs="宋体"/>
          <w:highlight w:val="none"/>
        </w:rPr>
      </w:pPr>
      <w:r>
        <w:rPr>
          <w:rFonts w:hint="eastAsia" w:ascii="宋体" w:hAnsi="宋体" w:cs="宋体"/>
          <w:highlight w:val="none"/>
        </w:rPr>
        <w:t>发包人和承包人同意以下情形视为异常恶劣的气候条件：</w:t>
      </w:r>
    </w:p>
    <w:p w14:paraId="09F7D6D9">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8-10级（含10级）持续24小时的大风（台风）；</w:t>
      </w:r>
    </w:p>
    <w:p w14:paraId="65EF0777">
      <w:pPr>
        <w:spacing w:line="400" w:lineRule="exact"/>
        <w:ind w:firstLine="48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24小时内持续降雨且降水量为200mm以上 </w:t>
      </w:r>
      <w:r>
        <w:rPr>
          <w:rFonts w:hint="eastAsia" w:ascii="宋体" w:hAnsi="宋体" w:cs="宋体"/>
          <w:highlight w:val="none"/>
        </w:rPr>
        <w:t>；</w:t>
      </w:r>
    </w:p>
    <w:p w14:paraId="5B393A90">
      <w:pPr>
        <w:spacing w:line="400" w:lineRule="exact"/>
        <w:ind w:firstLine="48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40摄氏度及以上且持续2天以上的高温天气 </w:t>
      </w:r>
      <w:r>
        <w:rPr>
          <w:rFonts w:hint="eastAsia" w:ascii="宋体" w:hAnsi="宋体" w:cs="宋体"/>
          <w:highlight w:val="none"/>
        </w:rPr>
        <w:t>。</w:t>
      </w:r>
    </w:p>
    <w:p w14:paraId="21138F7E">
      <w:pPr>
        <w:spacing w:line="400" w:lineRule="exact"/>
        <w:ind w:firstLine="480" w:firstLineChars="200"/>
        <w:outlineLvl w:val="9"/>
        <w:rPr>
          <w:rFonts w:ascii="宋体" w:hAnsi="宋体" w:cs="宋体"/>
          <w:color w:val="auto"/>
          <w:highlight w:val="none"/>
        </w:rPr>
      </w:pPr>
      <w:r>
        <w:rPr>
          <w:rFonts w:hint="eastAsia" w:ascii="宋体" w:hAnsi="宋体" w:cs="宋体"/>
          <w:highlight w:val="none"/>
          <w:u w:val="single"/>
        </w:rPr>
        <w:t>承包人为克服异常恶劣的气候条件，所采取合理措施而增加的费用和延误的工期由发包人承担；承包人虽然采取了合理</w:t>
      </w:r>
      <w:r>
        <w:rPr>
          <w:rFonts w:hint="eastAsia" w:ascii="宋体" w:hAnsi="宋体" w:cs="宋体"/>
          <w:color w:val="auto"/>
          <w:highlight w:val="none"/>
          <w:u w:val="single"/>
        </w:rPr>
        <w:t>的措施，但异常恶劣的气候条件发生后，仍导致了工程现场损失，则参照通用合同条款17.3处理。</w:t>
      </w:r>
    </w:p>
    <w:p w14:paraId="63BBCF5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7.9 提前竣工的奖励</w:t>
      </w:r>
    </w:p>
    <w:p w14:paraId="307F692E">
      <w:pPr>
        <w:spacing w:line="400" w:lineRule="exact"/>
        <w:ind w:firstLine="480" w:firstLineChars="200"/>
        <w:outlineLvl w:val="9"/>
        <w:rPr>
          <w:rFonts w:ascii="宋体" w:hAnsi="宋体" w:cs="宋体"/>
          <w:highlight w:val="none"/>
        </w:rPr>
      </w:pPr>
      <w:r>
        <w:rPr>
          <w:rFonts w:hint="eastAsia" w:ascii="宋体" w:hAnsi="宋体" w:cs="宋体"/>
          <w:highlight w:val="none"/>
        </w:rPr>
        <w:t>7.9.2提前竣工的奖励：</w:t>
      </w:r>
      <w:r>
        <w:rPr>
          <w:rFonts w:hint="eastAsia" w:ascii="宋体" w:hAnsi="宋体" w:cs="宋体"/>
          <w:highlight w:val="none"/>
          <w:u w:val="single"/>
        </w:rPr>
        <w:t xml:space="preserve"> </w:t>
      </w:r>
      <w:r>
        <w:rPr>
          <w:rFonts w:ascii="宋体" w:hAnsi="宋体"/>
          <w:szCs w:val="21"/>
          <w:u w:val="single"/>
        </w:rPr>
        <w:t>每</w:t>
      </w:r>
      <w:r>
        <w:rPr>
          <w:rFonts w:hint="eastAsia" w:ascii="宋体" w:hAnsi="宋体"/>
          <w:szCs w:val="21"/>
          <w:u w:val="single"/>
        </w:rPr>
        <w:t>提前</w:t>
      </w:r>
      <w:r>
        <w:rPr>
          <w:rFonts w:ascii="宋体" w:hAnsi="宋体"/>
          <w:szCs w:val="21"/>
          <w:u w:val="single"/>
        </w:rPr>
        <w:t>一天</w:t>
      </w:r>
      <w:r>
        <w:rPr>
          <w:rFonts w:hint="eastAsia" w:ascii="宋体" w:hAnsi="宋体"/>
          <w:szCs w:val="21"/>
          <w:u w:val="single"/>
        </w:rPr>
        <w:t>奖励</w:t>
      </w:r>
      <w:r>
        <w:rPr>
          <w:rFonts w:ascii="宋体" w:hAnsi="宋体"/>
          <w:szCs w:val="21"/>
          <w:u w:val="single"/>
        </w:rPr>
        <w:t>人</w:t>
      </w:r>
      <w:r>
        <w:rPr>
          <w:spacing w:val="-3"/>
          <w:u w:val="single"/>
        </w:rPr>
        <w:t>民币</w:t>
      </w:r>
      <w:r>
        <w:rPr>
          <w:rFonts w:hint="eastAsia"/>
          <w:u w:val="single"/>
        </w:rPr>
        <w:t>5000</w:t>
      </w:r>
      <w:r>
        <w:rPr>
          <w:u w:val="single"/>
        </w:rPr>
        <w:t>元</w:t>
      </w:r>
      <w:r>
        <w:rPr>
          <w:rFonts w:hint="eastAsia" w:ascii="宋体" w:hAnsi="宋体" w:cs="宋体"/>
          <w:highlight w:val="none"/>
          <w:u w:val="single"/>
        </w:rPr>
        <w:t xml:space="preserve"> </w:t>
      </w:r>
      <w:r>
        <w:rPr>
          <w:rFonts w:hint="eastAsia" w:ascii="宋体" w:hAnsi="宋体" w:cs="宋体"/>
          <w:highlight w:val="none"/>
        </w:rPr>
        <w:t>。</w:t>
      </w:r>
    </w:p>
    <w:p w14:paraId="13D69C2A">
      <w:pPr>
        <w:spacing w:line="400" w:lineRule="exact"/>
        <w:ind w:firstLine="720" w:firstLineChars="300"/>
        <w:outlineLvl w:val="9"/>
        <w:rPr>
          <w:rFonts w:ascii="宋体" w:hAnsi="宋体" w:cs="宋体"/>
          <w:highlight w:val="none"/>
        </w:rPr>
      </w:pPr>
      <w:r>
        <w:rPr>
          <w:rFonts w:hint="eastAsia" w:ascii="宋体" w:hAnsi="宋体" w:cs="宋体"/>
          <w:highlight w:val="none"/>
        </w:rPr>
        <w:t>提前竣工奖励的上限：</w:t>
      </w:r>
      <w:r>
        <w:rPr>
          <w:rFonts w:hint="eastAsia" w:ascii="宋体" w:hAnsi="宋体" w:cs="宋体"/>
          <w:highlight w:val="none"/>
          <w:u w:val="single"/>
        </w:rPr>
        <w:t xml:space="preserve"> </w:t>
      </w:r>
      <w:r>
        <w:rPr>
          <w:rFonts w:hint="eastAsia"/>
          <w:szCs w:val="21"/>
          <w:u w:val="single"/>
        </w:rPr>
        <w:t>履约保证金额度</w:t>
      </w:r>
      <w:r>
        <w:rPr>
          <w:rFonts w:hint="eastAsia" w:ascii="宋体" w:hAnsi="宋体" w:cs="宋体"/>
          <w:highlight w:val="none"/>
          <w:u w:val="single"/>
        </w:rPr>
        <w:t xml:space="preserve"> </w:t>
      </w:r>
      <w:r>
        <w:rPr>
          <w:rFonts w:hint="eastAsia" w:ascii="宋体" w:hAnsi="宋体" w:cs="宋体"/>
          <w:highlight w:val="none"/>
        </w:rPr>
        <w:t>。</w:t>
      </w:r>
    </w:p>
    <w:p w14:paraId="13EEDF57">
      <w:pPr>
        <w:spacing w:before="0" w:after="0" w:line="400" w:lineRule="exact"/>
        <w:ind w:firstLine="480" w:firstLineChars="200"/>
        <w:outlineLvl w:val="9"/>
        <w:rPr>
          <w:rFonts w:ascii="宋体" w:hAnsi="宋体" w:eastAsia="宋体" w:cs="宋体"/>
          <w:sz w:val="24"/>
          <w:szCs w:val="24"/>
          <w:highlight w:val="none"/>
        </w:rPr>
      </w:pPr>
      <w:bookmarkStart w:id="310" w:name="_Toc351203640"/>
      <w:r>
        <w:rPr>
          <w:rFonts w:hint="eastAsia" w:ascii="宋体" w:hAnsi="宋体" w:eastAsia="宋体" w:cs="宋体"/>
          <w:sz w:val="24"/>
          <w:szCs w:val="24"/>
          <w:highlight w:val="none"/>
        </w:rPr>
        <w:t>8. 材料与设备</w:t>
      </w:r>
      <w:bookmarkEnd w:id="310"/>
    </w:p>
    <w:bookmarkEnd w:id="245"/>
    <w:bookmarkEnd w:id="246"/>
    <w:bookmarkEnd w:id="247"/>
    <w:bookmarkEnd w:id="248"/>
    <w:bookmarkEnd w:id="249"/>
    <w:bookmarkEnd w:id="250"/>
    <w:bookmarkEnd w:id="251"/>
    <w:bookmarkEnd w:id="252"/>
    <w:bookmarkEnd w:id="253"/>
    <w:bookmarkEnd w:id="254"/>
    <w:p w14:paraId="264331AB">
      <w:pPr>
        <w:spacing w:line="400" w:lineRule="exact"/>
        <w:ind w:firstLine="480" w:firstLineChars="200"/>
        <w:outlineLvl w:val="9"/>
        <w:rPr>
          <w:rFonts w:ascii="宋体" w:hAnsi="宋体" w:cs="宋体"/>
          <w:highlight w:val="none"/>
        </w:rPr>
      </w:pPr>
      <w:bookmarkStart w:id="311" w:name="_Toc312677494"/>
      <w:bookmarkStart w:id="312" w:name="_Toc304295557"/>
      <w:bookmarkStart w:id="313" w:name="_Toc296890996"/>
      <w:bookmarkStart w:id="314" w:name="_Toc296944507"/>
      <w:bookmarkStart w:id="315" w:name="_Toc296346669"/>
      <w:bookmarkStart w:id="316" w:name="_Toc312678020"/>
      <w:bookmarkStart w:id="317" w:name="_Toc297123528"/>
      <w:bookmarkStart w:id="318" w:name="_Toc297048354"/>
      <w:bookmarkStart w:id="319" w:name="_Toc296347167"/>
      <w:bookmarkStart w:id="320" w:name="_Toc296891208"/>
      <w:bookmarkStart w:id="321" w:name="_Toc303539137"/>
      <w:bookmarkStart w:id="322" w:name="_Toc300934980"/>
      <w:bookmarkStart w:id="323" w:name="_Toc296503168"/>
      <w:bookmarkStart w:id="324" w:name="_Toc318581173"/>
      <w:bookmarkStart w:id="325" w:name="_Toc297216187"/>
      <w:bookmarkStart w:id="326" w:name="_Toc297120468"/>
      <w:bookmarkStart w:id="327" w:name="_Toc280868655"/>
      <w:bookmarkStart w:id="328" w:name="_Toc280868656"/>
      <w:bookmarkStart w:id="329" w:name="_Toc267251424"/>
      <w:r>
        <w:rPr>
          <w:rFonts w:hint="eastAsia" w:ascii="宋体" w:hAnsi="宋体" w:cs="宋体"/>
          <w:highlight w:val="none"/>
        </w:rPr>
        <w:t>8.1 发包人供应材料与工程设备</w:t>
      </w:r>
    </w:p>
    <w:p w14:paraId="43222636">
      <w:pPr>
        <w:spacing w:line="400" w:lineRule="exact"/>
        <w:ind w:firstLine="615"/>
        <w:outlineLvl w:val="9"/>
        <w:rPr>
          <w:rFonts w:ascii="宋体" w:hAnsi="宋体" w:cs="宋体"/>
          <w:highlight w:val="none"/>
        </w:rPr>
      </w:pPr>
      <w:r>
        <w:rPr>
          <w:rFonts w:hint="eastAsia" w:ascii="宋体" w:hAnsi="宋体" w:cs="宋体"/>
          <w:highlight w:val="none"/>
        </w:rPr>
        <w:t>本工程中</w:t>
      </w:r>
      <w:r>
        <w:rPr>
          <w:rFonts w:hint="eastAsia" w:ascii="宋体" w:hAnsi="宋体" w:cs="宋体"/>
          <w:highlight w:val="none"/>
          <w:u w:val="single"/>
        </w:rPr>
        <w:t xml:space="preserve">     /    </w:t>
      </w:r>
      <w:r>
        <w:rPr>
          <w:rFonts w:hint="eastAsia" w:ascii="宋体" w:hAnsi="宋体" w:cs="宋体"/>
          <w:highlight w:val="none"/>
        </w:rPr>
        <w:t>材料由发包人提供，详见附件2：发包人供应材料设备一览表。</w:t>
      </w:r>
    </w:p>
    <w:p w14:paraId="6B80BABE">
      <w:pPr>
        <w:spacing w:line="400" w:lineRule="exact"/>
        <w:ind w:firstLine="615"/>
        <w:outlineLvl w:val="9"/>
        <w:rPr>
          <w:rFonts w:ascii="宋体" w:hAnsi="宋体" w:cs="宋体"/>
          <w:highlight w:val="none"/>
        </w:rPr>
      </w:pPr>
      <w:r>
        <w:rPr>
          <w:rFonts w:hint="eastAsia" w:ascii="宋体" w:hAnsi="宋体" w:cs="宋体"/>
          <w:highlight w:val="none"/>
        </w:rPr>
        <w:t>发包人提供的</w:t>
      </w:r>
      <w:r>
        <w:rPr>
          <w:rFonts w:hint="eastAsia" w:ascii="宋体" w:hAnsi="宋体" w:cs="宋体"/>
          <w:highlight w:val="none"/>
          <w:u w:val="single"/>
        </w:rPr>
        <w:t xml:space="preserve">      /      </w:t>
      </w:r>
      <w:r>
        <w:rPr>
          <w:rFonts w:hint="eastAsia" w:ascii="宋体" w:hAnsi="宋体" w:cs="宋体"/>
          <w:highlight w:val="none"/>
        </w:rPr>
        <w:t>材料费用（除税价款）在每期应付工程款（或竣工结算）的税前工程造价中扣回。（适用一般计税方法）</w:t>
      </w:r>
    </w:p>
    <w:p w14:paraId="62554C09">
      <w:pPr>
        <w:spacing w:line="400" w:lineRule="exact"/>
        <w:ind w:firstLine="615"/>
        <w:outlineLvl w:val="9"/>
        <w:rPr>
          <w:rFonts w:ascii="宋体" w:hAnsi="宋体" w:cs="宋体"/>
          <w:highlight w:val="none"/>
        </w:rPr>
      </w:pPr>
      <w:r>
        <w:rPr>
          <w:rFonts w:hint="eastAsia" w:ascii="宋体" w:hAnsi="宋体" w:cs="宋体"/>
          <w:highlight w:val="none"/>
          <w:u w:val="single"/>
        </w:rPr>
        <w:t>（注：应具体约定发包人提供材料数量、价格的计算方法</w:t>
      </w:r>
      <w:r>
        <w:rPr>
          <w:rFonts w:hint="eastAsia" w:ascii="宋体" w:hAnsi="宋体" w:cs="宋体"/>
          <w:highlight w:val="none"/>
        </w:rPr>
        <w:t>）</w:t>
      </w:r>
    </w:p>
    <w:p w14:paraId="4FB1ADC7">
      <w:pPr>
        <w:spacing w:line="400" w:lineRule="exact"/>
        <w:ind w:firstLine="480" w:firstLineChars="200"/>
        <w:outlineLvl w:val="9"/>
        <w:rPr>
          <w:rFonts w:ascii="宋体" w:hAnsi="宋体" w:cs="宋体"/>
          <w:highlight w:val="none"/>
        </w:rPr>
      </w:pPr>
      <w:r>
        <w:rPr>
          <w:rFonts w:hint="eastAsia" w:ascii="宋体" w:hAnsi="宋体" w:cs="宋体"/>
          <w:highlight w:val="none"/>
        </w:rPr>
        <w:t>8.2 承包人采购材料与工程设备</w:t>
      </w:r>
    </w:p>
    <w:p w14:paraId="7EB16365">
      <w:pPr>
        <w:numPr>
          <w:ilvl w:val="0"/>
          <w:numId w:val="68"/>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材料品牌、规</w:t>
      </w:r>
      <w:r>
        <w:rPr>
          <w:rFonts w:hint="eastAsia" w:ascii="宋体" w:hAnsi="宋体" w:cs="宋体"/>
          <w:color w:val="auto"/>
          <w:highlight w:val="none"/>
          <w:u w:val="single"/>
        </w:rPr>
        <w:t>格和使用要求：按招标文件（相应）技术标准和要求执行。凡是招标文件注明规格、型号或品牌、产地的材料，承包人必须按照招标文件要求采购和施工；如需调整，必须经得发包人认可。</w:t>
      </w:r>
    </w:p>
    <w:p w14:paraId="2B785295">
      <w:pPr>
        <w:numPr>
          <w:ilvl w:val="0"/>
          <w:numId w:val="68"/>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本工程已确定承包价的建筑材料均由承包人自行询价、采购、运输和保管。</w:t>
      </w:r>
    </w:p>
    <w:p w14:paraId="5F439B0F">
      <w:pPr>
        <w:numPr>
          <w:ilvl w:val="0"/>
          <w:numId w:val="68"/>
        </w:numPr>
        <w:spacing w:line="400" w:lineRule="exact"/>
        <w:ind w:left="425" w:leftChars="0" w:hanging="425" w:firstLineChars="0"/>
        <w:outlineLvl w:val="9"/>
        <w:rPr>
          <w:rFonts w:ascii="宋体" w:hAnsi="宋体" w:cs="宋体"/>
          <w:color w:val="auto"/>
          <w:highlight w:val="none"/>
          <w:u w:val="single"/>
        </w:rPr>
      </w:pPr>
      <w:r>
        <w:rPr>
          <w:szCs w:val="21"/>
          <w:u w:val="single"/>
        </w:rPr>
        <w:t>本工程要求使用材料要求</w:t>
      </w:r>
      <w:r>
        <w:rPr>
          <w:rFonts w:hint="eastAsia"/>
          <w:szCs w:val="21"/>
          <w:u w:val="single"/>
        </w:rPr>
        <w:t>：</w:t>
      </w:r>
      <w:r>
        <w:rPr>
          <w:rFonts w:hint="eastAsia"/>
          <w:szCs w:val="21"/>
          <w:u w:val="single"/>
          <w:lang w:val="en-US" w:eastAsia="zh-CN"/>
        </w:rPr>
        <w:t>塘渣</w:t>
      </w:r>
      <w:r>
        <w:rPr>
          <w:rFonts w:hint="eastAsia"/>
          <w:szCs w:val="21"/>
          <w:u w:val="single"/>
        </w:rPr>
        <w:t>来源必须合法</w:t>
      </w:r>
      <w:r>
        <w:rPr>
          <w:szCs w:val="21"/>
          <w:u w:val="single"/>
        </w:rPr>
        <w:t>。</w:t>
      </w:r>
    </w:p>
    <w:p w14:paraId="6D3BB5CC">
      <w:pPr>
        <w:numPr>
          <w:ilvl w:val="0"/>
          <w:numId w:val="68"/>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所有材料必须有质保书或合格证，符合施工图纸和规范要求，且品牌、产地需报发包人备案，否则，因此产生的后果均由承包人负责。</w:t>
      </w:r>
    </w:p>
    <w:p w14:paraId="0628348E">
      <w:pPr>
        <w:keepNext w:val="0"/>
        <w:keepLines w:val="0"/>
        <w:pageBreakBefore w:val="0"/>
        <w:numPr>
          <w:ilvl w:val="0"/>
          <w:numId w:val="68"/>
        </w:numPr>
        <w:kinsoku/>
        <w:wordWrap/>
        <w:overflowPunct/>
        <w:topLinePunct w:val="0"/>
        <w:autoSpaceDE/>
        <w:autoSpaceDN/>
        <w:bidi w:val="0"/>
        <w:adjustRightInd/>
        <w:snapToGrid/>
        <w:spacing w:line="400" w:lineRule="exact"/>
        <w:ind w:left="425" w:leftChars="0" w:hanging="425" w:firstLineChars="0"/>
        <w:textAlignment w:val="auto"/>
        <w:outlineLvl w:val="9"/>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根据工程需要，发包人有权对承包人投标时确认的品牌进行更换，更换后的材料价格由发包人签证进行结算。</w:t>
      </w:r>
    </w:p>
    <w:p w14:paraId="7481EA3F">
      <w:pPr>
        <w:numPr>
          <w:ilvl w:val="0"/>
          <w:numId w:val="68"/>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合同中原暂定价材料或由工程变更产生的无价材料（按有关规定可不组织招标采购的）由承包人采购时，应由发包人签证确定价格后采购，发包人收到承包人价格确定申请后，7 日内审批完毕。</w:t>
      </w:r>
    </w:p>
    <w:p w14:paraId="38108670">
      <w:pPr>
        <w:spacing w:line="400" w:lineRule="exact"/>
        <w:ind w:firstLine="480" w:firstLineChars="200"/>
        <w:outlineLvl w:val="9"/>
        <w:rPr>
          <w:rFonts w:ascii="宋体" w:hAnsi="宋体" w:cs="宋体"/>
          <w:highlight w:val="none"/>
        </w:rPr>
      </w:pPr>
      <w:r>
        <w:rPr>
          <w:rFonts w:hint="eastAsia" w:ascii="宋体" w:hAnsi="宋体" w:cs="宋体"/>
          <w:highlight w:val="none"/>
        </w:rPr>
        <w:t>8</w:t>
      </w:r>
      <w:bookmarkStart w:id="330" w:name="_Toc312677493"/>
      <w:bookmarkStart w:id="331" w:name="_Toc297048353"/>
      <w:bookmarkStart w:id="332" w:name="_Toc312678019"/>
      <w:bookmarkStart w:id="333" w:name="_Toc280868654"/>
      <w:bookmarkStart w:id="334" w:name="_Toc296944506"/>
      <w:bookmarkStart w:id="335" w:name="_Toc296890995"/>
      <w:bookmarkStart w:id="336" w:name="_Toc297216186"/>
      <w:bookmarkStart w:id="337" w:name="_Toc304295556"/>
      <w:bookmarkStart w:id="338" w:name="_Toc292559877"/>
      <w:bookmarkStart w:id="339" w:name="_Toc296503167"/>
      <w:bookmarkStart w:id="340" w:name="_Toc297120467"/>
      <w:bookmarkStart w:id="341" w:name="_Toc297123527"/>
      <w:bookmarkStart w:id="342" w:name="_Toc300934979"/>
      <w:bookmarkStart w:id="343" w:name="_Toc292559372"/>
      <w:bookmarkStart w:id="344" w:name="_Toc296346668"/>
      <w:bookmarkStart w:id="345" w:name="_Toc296891207"/>
      <w:bookmarkStart w:id="346" w:name="_Toc303539136"/>
      <w:bookmarkStart w:id="347" w:name="_Toc296347166"/>
      <w:r>
        <w:rPr>
          <w:rFonts w:hint="eastAsia" w:ascii="宋体" w:hAnsi="宋体" w:cs="宋体"/>
          <w:highlight w:val="none"/>
        </w:rPr>
        <w:t>.4材料与工程设备的保管与使用</w:t>
      </w:r>
    </w:p>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14:paraId="418829D7">
      <w:pPr>
        <w:spacing w:line="400" w:lineRule="exact"/>
        <w:ind w:firstLine="480" w:firstLineChars="200"/>
        <w:outlineLvl w:val="9"/>
        <w:rPr>
          <w:rFonts w:ascii="宋体" w:hAnsi="宋体" w:cs="宋体"/>
          <w:highlight w:val="none"/>
        </w:rPr>
      </w:pPr>
      <w:r>
        <w:rPr>
          <w:rFonts w:hint="eastAsia" w:ascii="宋体" w:hAnsi="宋体" w:cs="宋体"/>
          <w:highlight w:val="none"/>
        </w:rPr>
        <w:t>8</w:t>
      </w:r>
      <w:bookmarkStart w:id="348" w:name="_Toc292559373"/>
      <w:bookmarkStart w:id="349" w:name="_Toc292559878"/>
      <w:r>
        <w:rPr>
          <w:rFonts w:hint="eastAsia" w:ascii="宋体" w:hAnsi="宋体" w:cs="宋体"/>
          <w:highlight w:val="none"/>
        </w:rPr>
        <w:t>.4.1发包人供应的材料设备的保管费用的承担：</w:t>
      </w:r>
      <w:bookmarkEnd w:id="348"/>
      <w:bookmarkEnd w:id="349"/>
    </w:p>
    <w:p w14:paraId="70708170">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发包人支付承包人保管费（或称总承包服务费），以提供材料金额（含进项税）为基数，乘以费率（  /  ）%计算。</w:t>
      </w:r>
    </w:p>
    <w:p w14:paraId="5E2D8149">
      <w:pPr>
        <w:spacing w:line="400" w:lineRule="exact"/>
        <w:ind w:firstLine="48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发包人支付承包人保管费（或称总承包服务费），以提供设备金额（含进项税）为基数，乘以费率（  /   ）%计算。</w:t>
      </w:r>
    </w:p>
    <w:p w14:paraId="41FF2218">
      <w:pPr>
        <w:spacing w:line="400" w:lineRule="exact"/>
        <w:ind w:firstLine="480" w:firstLineChars="200"/>
        <w:outlineLvl w:val="9"/>
        <w:rPr>
          <w:rFonts w:ascii="宋体" w:hAnsi="宋体" w:cs="宋体"/>
          <w:highlight w:val="none"/>
        </w:rPr>
      </w:pPr>
      <w:r>
        <w:rPr>
          <w:rFonts w:hint="eastAsia" w:ascii="宋体" w:hAnsi="宋体" w:cs="宋体"/>
          <w:highlight w:val="none"/>
        </w:rPr>
        <w:t>8.6 样品</w:t>
      </w:r>
    </w:p>
    <w:p w14:paraId="018BB7E9">
      <w:pPr>
        <w:spacing w:line="400" w:lineRule="exact"/>
        <w:ind w:firstLine="480" w:firstLineChars="200"/>
        <w:outlineLvl w:val="9"/>
        <w:rPr>
          <w:rFonts w:ascii="宋体" w:hAnsi="宋体" w:cs="宋体"/>
          <w:highlight w:val="none"/>
        </w:rPr>
      </w:pPr>
      <w:r>
        <w:rPr>
          <w:rFonts w:hint="eastAsia" w:ascii="宋体" w:hAnsi="宋体" w:cs="宋体"/>
          <w:highlight w:val="none"/>
        </w:rPr>
        <w:t>8.6.1 样品的报送与封存</w:t>
      </w:r>
    </w:p>
    <w:p w14:paraId="04F4A966">
      <w:pPr>
        <w:spacing w:line="400" w:lineRule="exact"/>
        <w:ind w:firstLine="480" w:firstLineChars="200"/>
        <w:outlineLvl w:val="9"/>
        <w:rPr>
          <w:rFonts w:ascii="宋体" w:hAnsi="宋体" w:cs="宋体"/>
          <w:highlight w:val="none"/>
        </w:rPr>
      </w:pPr>
      <w:r>
        <w:rPr>
          <w:rFonts w:hint="eastAsia" w:ascii="宋体" w:hAnsi="宋体" w:cs="宋体"/>
          <w:highlight w:val="none"/>
        </w:rPr>
        <w:t>需要承包人报送样品的材料或工程设备，样品的种类、名称、规格、数量要求：</w:t>
      </w:r>
      <w:r>
        <w:rPr>
          <w:rFonts w:hint="eastAsia" w:ascii="宋体" w:hAnsi="宋体" w:cs="宋体"/>
          <w:spacing w:val="-2"/>
          <w:highlight w:val="none"/>
          <w:u w:val="single"/>
        </w:rPr>
        <w:t>承包人须按发包</w:t>
      </w:r>
      <w:r>
        <w:rPr>
          <w:rFonts w:hint="eastAsia" w:ascii="宋体" w:hAnsi="宋体" w:cs="宋体"/>
          <w:spacing w:val="-3"/>
          <w:highlight w:val="none"/>
          <w:u w:val="single"/>
        </w:rPr>
        <w:t>人要求提供样品，样品的报送与封存按合同通用条款执行。样品费用包含在合同价内，不再另行计取，承包人综合考虑。</w:t>
      </w:r>
    </w:p>
    <w:p w14:paraId="151BF4C2">
      <w:pPr>
        <w:spacing w:line="400" w:lineRule="exact"/>
        <w:ind w:firstLine="480" w:firstLineChars="200"/>
        <w:outlineLvl w:val="9"/>
        <w:rPr>
          <w:rFonts w:ascii="宋体" w:hAnsi="宋体" w:cs="宋体"/>
          <w:highlight w:val="none"/>
        </w:rPr>
      </w:pPr>
      <w:r>
        <w:rPr>
          <w:rFonts w:hint="eastAsia" w:ascii="宋体" w:hAnsi="宋体" w:cs="宋体"/>
          <w:highlight w:val="none"/>
        </w:rPr>
        <w:t>8.8 施工设备和临时设施</w:t>
      </w:r>
    </w:p>
    <w:p w14:paraId="43E04D82">
      <w:pPr>
        <w:spacing w:line="400" w:lineRule="exact"/>
        <w:ind w:firstLine="480" w:firstLineChars="200"/>
        <w:outlineLvl w:val="9"/>
        <w:rPr>
          <w:rFonts w:ascii="宋体" w:hAnsi="宋体" w:cs="宋体"/>
          <w:highlight w:val="none"/>
        </w:rPr>
      </w:pPr>
      <w:r>
        <w:rPr>
          <w:rFonts w:hint="eastAsia" w:ascii="宋体" w:hAnsi="宋体" w:cs="宋体"/>
          <w:highlight w:val="none"/>
        </w:rPr>
        <w:t>8.8.1 承包人提供的施工设备和临时设施</w:t>
      </w:r>
    </w:p>
    <w:p w14:paraId="7F69BBF3">
      <w:pPr>
        <w:spacing w:line="400" w:lineRule="exact"/>
        <w:ind w:firstLine="480" w:firstLineChars="200"/>
        <w:outlineLvl w:val="9"/>
        <w:rPr>
          <w:rFonts w:ascii="宋体" w:hAnsi="宋体" w:cs="宋体"/>
          <w:highlight w:val="none"/>
        </w:rPr>
      </w:pPr>
      <w:r>
        <w:rPr>
          <w:rFonts w:hint="eastAsia" w:ascii="宋体" w:hAnsi="宋体" w:cs="宋体"/>
          <w:highlight w:val="none"/>
        </w:rPr>
        <w:t>关于修建临时设施费用承担的约定：</w:t>
      </w:r>
      <w:r>
        <w:rPr>
          <w:rFonts w:hint="eastAsia" w:ascii="宋体" w:hAnsi="宋体" w:cs="宋体"/>
          <w:highlight w:val="none"/>
          <w:u w:val="single"/>
        </w:rPr>
        <w:t xml:space="preserve"> 由承包人承担  </w:t>
      </w:r>
      <w:r>
        <w:rPr>
          <w:rFonts w:hint="eastAsia" w:ascii="宋体" w:hAnsi="宋体" w:cs="宋体"/>
          <w:highlight w:val="none"/>
        </w:rPr>
        <w:t>。</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14:paraId="33314DBD">
      <w:pPr>
        <w:spacing w:before="0" w:after="0" w:line="400" w:lineRule="exact"/>
        <w:ind w:firstLine="480" w:firstLineChars="200"/>
        <w:outlineLvl w:val="9"/>
        <w:rPr>
          <w:rFonts w:ascii="宋体" w:hAnsi="宋体" w:eastAsia="宋体" w:cs="宋体"/>
          <w:sz w:val="24"/>
          <w:szCs w:val="24"/>
          <w:highlight w:val="none"/>
        </w:rPr>
      </w:pPr>
      <w:bookmarkStart w:id="350" w:name="_Toc351203641"/>
      <w:r>
        <w:rPr>
          <w:rFonts w:hint="eastAsia" w:ascii="宋体" w:hAnsi="宋体" w:eastAsia="宋体" w:cs="宋体"/>
          <w:sz w:val="24"/>
          <w:szCs w:val="24"/>
          <w:highlight w:val="none"/>
        </w:rPr>
        <w:t>9</w:t>
      </w:r>
      <w:bookmarkEnd w:id="327"/>
      <w:bookmarkEnd w:id="328"/>
      <w:bookmarkEnd w:id="329"/>
      <w:bookmarkStart w:id="351" w:name="_Toc297123533"/>
      <w:bookmarkStart w:id="352" w:name="_Toc312678021"/>
      <w:bookmarkStart w:id="353" w:name="_Toc303539139"/>
      <w:bookmarkStart w:id="354" w:name="_Toc300934982"/>
      <w:bookmarkStart w:id="355" w:name="_Toc297216192"/>
      <w:bookmarkStart w:id="356" w:name="_Toc312677495"/>
      <w:bookmarkStart w:id="357" w:name="_Toc304295559"/>
      <w:bookmarkStart w:id="358" w:name="_Toc296944512"/>
      <w:bookmarkStart w:id="359" w:name="_Toc297120473"/>
      <w:bookmarkStart w:id="360" w:name="_Toc296891001"/>
      <w:bookmarkStart w:id="361" w:name="_Toc267251428"/>
      <w:bookmarkStart w:id="362" w:name="_Toc296347172"/>
      <w:bookmarkStart w:id="363" w:name="_Toc296503173"/>
      <w:bookmarkStart w:id="364" w:name="_Toc296346674"/>
      <w:bookmarkStart w:id="365" w:name="_Toc296891213"/>
      <w:bookmarkStart w:id="366" w:name="_Toc267251427"/>
      <w:bookmarkStart w:id="367" w:name="_Toc297048359"/>
      <w:bookmarkStart w:id="368" w:name="_Toc292559883"/>
      <w:bookmarkStart w:id="369" w:name="_Toc292559378"/>
      <w:r>
        <w:rPr>
          <w:rFonts w:hint="eastAsia" w:ascii="宋体" w:hAnsi="宋体" w:eastAsia="宋体" w:cs="宋体"/>
          <w:sz w:val="24"/>
          <w:szCs w:val="24"/>
          <w:highlight w:val="none"/>
        </w:rPr>
        <w:t>. 试验与检验</w:t>
      </w:r>
      <w:bookmarkEnd w:id="350"/>
    </w:p>
    <w:bookmarkEnd w:id="351"/>
    <w:bookmarkEnd w:id="352"/>
    <w:bookmarkEnd w:id="353"/>
    <w:bookmarkEnd w:id="354"/>
    <w:bookmarkEnd w:id="355"/>
    <w:bookmarkEnd w:id="356"/>
    <w:bookmarkEnd w:id="357"/>
    <w:p w14:paraId="0004F60B">
      <w:pPr>
        <w:spacing w:line="400" w:lineRule="exact"/>
        <w:ind w:firstLine="480" w:firstLineChars="200"/>
        <w:outlineLvl w:val="9"/>
        <w:rPr>
          <w:rFonts w:ascii="宋体" w:hAnsi="宋体" w:cs="宋体"/>
          <w:highlight w:val="none"/>
        </w:rPr>
      </w:pPr>
      <w:bookmarkStart w:id="370" w:name="_Toc312677498"/>
      <w:bookmarkStart w:id="371" w:name="_Toc318581174"/>
      <w:bookmarkStart w:id="372" w:name="_Toc300934985"/>
      <w:bookmarkStart w:id="373" w:name="_Toc297123536"/>
      <w:bookmarkStart w:id="374" w:name="_Toc304295562"/>
      <w:bookmarkStart w:id="375" w:name="_Toc303539142"/>
      <w:bookmarkStart w:id="376" w:name="_Toc312678024"/>
      <w:bookmarkStart w:id="377" w:name="_Toc297216195"/>
      <w:r>
        <w:rPr>
          <w:rFonts w:hint="eastAsia" w:ascii="宋体" w:hAnsi="宋体" w:cs="宋体"/>
          <w:highlight w:val="none"/>
        </w:rPr>
        <w:t>9</w:t>
      </w:r>
      <w:bookmarkStart w:id="378" w:name="_Toc297216193"/>
      <w:bookmarkStart w:id="379" w:name="_Toc297123534"/>
      <w:bookmarkStart w:id="380" w:name="_Toc300934983"/>
      <w:bookmarkStart w:id="381" w:name="_Toc312677496"/>
      <w:bookmarkStart w:id="382" w:name="_Toc303539140"/>
      <w:bookmarkStart w:id="383" w:name="_Toc312678022"/>
      <w:bookmarkStart w:id="384" w:name="_Toc304295560"/>
      <w:r>
        <w:rPr>
          <w:rFonts w:hint="eastAsia" w:ascii="宋体" w:hAnsi="宋体" w:cs="宋体"/>
          <w:highlight w:val="none"/>
        </w:rPr>
        <w:t>.1试验设备与试验人员</w:t>
      </w:r>
    </w:p>
    <w:bookmarkEnd w:id="378"/>
    <w:bookmarkEnd w:id="379"/>
    <w:bookmarkEnd w:id="380"/>
    <w:bookmarkEnd w:id="381"/>
    <w:bookmarkEnd w:id="382"/>
    <w:bookmarkEnd w:id="383"/>
    <w:bookmarkEnd w:id="384"/>
    <w:p w14:paraId="7BCEE2F7">
      <w:pPr>
        <w:spacing w:line="400" w:lineRule="exact"/>
        <w:ind w:firstLine="480" w:firstLineChars="200"/>
        <w:outlineLvl w:val="9"/>
        <w:rPr>
          <w:rFonts w:ascii="宋体" w:hAnsi="宋体" w:cs="宋体"/>
          <w:highlight w:val="none"/>
        </w:rPr>
      </w:pPr>
      <w:r>
        <w:rPr>
          <w:rFonts w:hint="eastAsia" w:ascii="宋体" w:hAnsi="宋体" w:cs="宋体"/>
          <w:highlight w:val="none"/>
        </w:rPr>
        <w:t>9</w:t>
      </w:r>
      <w:bookmarkStart w:id="385" w:name="_Toc303539141"/>
      <w:bookmarkStart w:id="386" w:name="_Toc312677497"/>
      <w:bookmarkStart w:id="387" w:name="_Toc297216194"/>
      <w:bookmarkStart w:id="388" w:name="_Toc304295561"/>
      <w:bookmarkStart w:id="389" w:name="_Toc312678023"/>
      <w:bookmarkStart w:id="390" w:name="_Toc297123535"/>
      <w:bookmarkStart w:id="391" w:name="_Toc300934984"/>
      <w:r>
        <w:rPr>
          <w:rFonts w:hint="eastAsia" w:ascii="宋体" w:hAnsi="宋体" w:cs="宋体"/>
          <w:highlight w:val="none"/>
        </w:rPr>
        <w:t>.1.2 试验设备</w:t>
      </w:r>
    </w:p>
    <w:p w14:paraId="4D176404">
      <w:pPr>
        <w:spacing w:line="400" w:lineRule="exact"/>
        <w:ind w:firstLine="480" w:firstLineChars="200"/>
        <w:outlineLvl w:val="9"/>
        <w:rPr>
          <w:rFonts w:ascii="宋体" w:hAnsi="宋体" w:cs="宋体"/>
          <w:highlight w:val="none"/>
        </w:rPr>
      </w:pPr>
      <w:r>
        <w:rPr>
          <w:rFonts w:hint="eastAsia" w:ascii="宋体" w:hAnsi="宋体" w:cs="宋体"/>
          <w:highlight w:val="none"/>
        </w:rPr>
        <w:t>施工现场需要配置的试验场所：</w:t>
      </w:r>
      <w:bookmarkEnd w:id="385"/>
      <w:bookmarkEnd w:id="386"/>
      <w:bookmarkEnd w:id="387"/>
      <w:bookmarkEnd w:id="388"/>
      <w:bookmarkEnd w:id="389"/>
      <w:bookmarkEnd w:id="390"/>
      <w:bookmarkEnd w:id="391"/>
      <w:r>
        <w:rPr>
          <w:rFonts w:hint="eastAsia" w:ascii="宋体" w:hAnsi="宋体" w:cs="宋体"/>
          <w:highlight w:val="none"/>
          <w:u w:val="single"/>
        </w:rPr>
        <w:t xml:space="preserve">按规范及（当地）建设行政主管部门要求配置   </w:t>
      </w:r>
      <w:r>
        <w:rPr>
          <w:rFonts w:hint="eastAsia" w:ascii="宋体" w:hAnsi="宋体" w:cs="宋体"/>
          <w:highlight w:val="none"/>
        </w:rPr>
        <w:t>。</w:t>
      </w:r>
    </w:p>
    <w:p w14:paraId="2140A878">
      <w:pPr>
        <w:spacing w:line="400" w:lineRule="exact"/>
        <w:ind w:firstLine="480" w:firstLineChars="200"/>
        <w:outlineLvl w:val="9"/>
        <w:rPr>
          <w:rFonts w:ascii="宋体" w:hAnsi="宋体" w:cs="宋体"/>
          <w:highlight w:val="none"/>
        </w:rPr>
      </w:pPr>
      <w:r>
        <w:rPr>
          <w:rFonts w:hint="eastAsia" w:ascii="宋体" w:hAnsi="宋体" w:cs="宋体"/>
          <w:highlight w:val="none"/>
        </w:rPr>
        <w:t>施工现场需要配备的试验设备：</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14:paraId="722882E6">
      <w:pPr>
        <w:spacing w:line="400" w:lineRule="exact"/>
        <w:ind w:firstLine="480" w:firstLineChars="200"/>
        <w:outlineLvl w:val="9"/>
        <w:rPr>
          <w:rFonts w:ascii="宋体" w:hAnsi="宋体" w:cs="宋体"/>
          <w:highlight w:val="none"/>
        </w:rPr>
      </w:pPr>
      <w:r>
        <w:rPr>
          <w:rFonts w:hint="eastAsia" w:ascii="宋体" w:hAnsi="宋体" w:cs="宋体"/>
          <w:highlight w:val="none"/>
        </w:rPr>
        <w:t>施工现场需要具备的其他试验条件：</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14:paraId="321259FF">
      <w:pPr>
        <w:spacing w:line="400" w:lineRule="exact"/>
        <w:ind w:firstLine="480" w:firstLineChars="200"/>
        <w:outlineLvl w:val="9"/>
        <w:rPr>
          <w:rFonts w:ascii="宋体" w:hAnsi="宋体" w:cs="宋体"/>
          <w:highlight w:val="none"/>
        </w:rPr>
      </w:pPr>
      <w:r>
        <w:rPr>
          <w:rFonts w:hint="eastAsia" w:ascii="宋体" w:hAnsi="宋体" w:cs="宋体"/>
          <w:highlight w:val="none"/>
        </w:rPr>
        <w:t>9.3 材料、工程设备和工程的试验和检验</w:t>
      </w:r>
    </w:p>
    <w:p w14:paraId="77BD2962">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9.3.4材料、设备和工程的试验和检验的费用：</w:t>
      </w:r>
      <w:r>
        <w:rPr>
          <w:rFonts w:hint="eastAsia" w:ascii="宋体" w:hAnsi="宋体" w:cs="宋体"/>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348D7A7">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234511C6">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0B61C61E">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5D3F4718">
      <w:pPr>
        <w:spacing w:line="400" w:lineRule="exact"/>
        <w:ind w:firstLine="480" w:firstLineChars="200"/>
        <w:outlineLvl w:val="9"/>
        <w:rPr>
          <w:rFonts w:ascii="宋体" w:hAnsi="宋体" w:cs="宋体"/>
          <w:highlight w:val="none"/>
        </w:rPr>
      </w:pPr>
      <w:r>
        <w:rPr>
          <w:rFonts w:hint="eastAsia" w:ascii="宋体" w:hAnsi="宋体" w:cs="宋体"/>
          <w:highlight w:val="none"/>
        </w:rPr>
        <w:t>9.4 现场工艺试验</w:t>
      </w:r>
    </w:p>
    <w:p w14:paraId="592C51B4">
      <w:pPr>
        <w:spacing w:line="400" w:lineRule="exact"/>
        <w:ind w:firstLine="480" w:firstLineChars="200"/>
        <w:outlineLvl w:val="9"/>
        <w:rPr>
          <w:rFonts w:ascii="宋体" w:hAnsi="宋体" w:cs="宋体"/>
          <w:highlight w:val="none"/>
        </w:rPr>
      </w:pPr>
      <w:r>
        <w:rPr>
          <w:rFonts w:hint="eastAsia" w:ascii="宋体" w:hAnsi="宋体" w:cs="宋体"/>
          <w:highlight w:val="none"/>
        </w:rPr>
        <w:t>现场工艺试验的有关约定：</w:t>
      </w:r>
      <w:r>
        <w:rPr>
          <w:rFonts w:hint="eastAsia" w:ascii="宋体" w:hAnsi="宋体" w:cs="宋体"/>
          <w:spacing w:val="-9"/>
          <w:highlight w:val="none"/>
          <w:u w:val="single"/>
        </w:rPr>
        <w:t>按通用合同条款执行，试验检验应符合施工图纸、验收规范要</w:t>
      </w:r>
      <w:r>
        <w:rPr>
          <w:rFonts w:hint="eastAsia" w:ascii="宋体" w:hAnsi="宋体" w:cs="宋体"/>
          <w:highlight w:val="none"/>
          <w:u w:val="single"/>
        </w:rPr>
        <w:t>求，并符合</w:t>
      </w:r>
      <w:r>
        <w:rPr>
          <w:rFonts w:hint="eastAsia" w:ascii="宋体" w:hAnsi="宋体" w:cs="宋体"/>
          <w:spacing w:val="-3"/>
          <w:highlight w:val="none"/>
          <w:u w:val="single"/>
        </w:rPr>
        <w:t>工程所在地质量监督部门的要求</w:t>
      </w:r>
      <w:r>
        <w:rPr>
          <w:rFonts w:hint="eastAsia" w:ascii="宋体" w:hAnsi="宋体" w:cs="宋体"/>
          <w:highlight w:val="none"/>
        </w:rPr>
        <w:t>。</w:t>
      </w:r>
    </w:p>
    <w:bookmarkEnd w:id="370"/>
    <w:bookmarkEnd w:id="371"/>
    <w:bookmarkEnd w:id="372"/>
    <w:bookmarkEnd w:id="373"/>
    <w:bookmarkEnd w:id="374"/>
    <w:bookmarkEnd w:id="375"/>
    <w:bookmarkEnd w:id="376"/>
    <w:bookmarkEnd w:id="377"/>
    <w:p w14:paraId="0C239C6E">
      <w:pPr>
        <w:spacing w:before="0" w:after="0" w:line="400" w:lineRule="exact"/>
        <w:ind w:firstLine="480" w:firstLineChars="200"/>
        <w:outlineLvl w:val="9"/>
        <w:rPr>
          <w:rFonts w:ascii="宋体" w:hAnsi="宋体" w:eastAsia="宋体" w:cs="宋体"/>
          <w:sz w:val="24"/>
          <w:szCs w:val="24"/>
          <w:highlight w:val="none"/>
        </w:rPr>
      </w:pPr>
      <w:bookmarkStart w:id="392" w:name="_Toc351203642"/>
      <w:r>
        <w:rPr>
          <w:rFonts w:hint="eastAsia" w:ascii="宋体" w:hAnsi="宋体" w:eastAsia="宋体" w:cs="宋体"/>
          <w:sz w:val="24"/>
          <w:szCs w:val="24"/>
          <w:highlight w:val="none"/>
        </w:rPr>
        <w:t>1</w:t>
      </w:r>
      <w:bookmarkEnd w:id="358"/>
      <w:bookmarkEnd w:id="359"/>
      <w:bookmarkEnd w:id="360"/>
      <w:bookmarkEnd w:id="361"/>
      <w:bookmarkEnd w:id="362"/>
      <w:bookmarkEnd w:id="363"/>
      <w:bookmarkEnd w:id="364"/>
      <w:bookmarkEnd w:id="365"/>
      <w:bookmarkEnd w:id="366"/>
      <w:bookmarkEnd w:id="367"/>
      <w:bookmarkEnd w:id="368"/>
      <w:bookmarkEnd w:id="369"/>
      <w:bookmarkStart w:id="393" w:name="_Toc296347192"/>
      <w:bookmarkStart w:id="394" w:name="_Toc296944532"/>
      <w:bookmarkStart w:id="395" w:name="_Toc296891021"/>
      <w:bookmarkStart w:id="396" w:name="_Toc300934989"/>
      <w:bookmarkStart w:id="397" w:name="_Toc292559903"/>
      <w:bookmarkStart w:id="398" w:name="_Toc296891233"/>
      <w:bookmarkStart w:id="399" w:name="_Toc292559398"/>
      <w:bookmarkStart w:id="400" w:name="_Toc296503193"/>
      <w:bookmarkStart w:id="401" w:name="_Toc297048379"/>
      <w:bookmarkStart w:id="402" w:name="_Toc304295566"/>
      <w:bookmarkStart w:id="403" w:name="_Toc297123540"/>
      <w:bookmarkStart w:id="404" w:name="_Toc297216199"/>
      <w:bookmarkStart w:id="405" w:name="_Toc303539146"/>
      <w:bookmarkStart w:id="406" w:name="_Toc297120493"/>
      <w:bookmarkStart w:id="407" w:name="_Toc296346694"/>
      <w:bookmarkStart w:id="408" w:name="_Toc312678025"/>
      <w:bookmarkStart w:id="409" w:name="_Toc312677499"/>
      <w:bookmarkStart w:id="410" w:name="_Toc267251439"/>
      <w:bookmarkStart w:id="411" w:name="_Toc267251437"/>
      <w:bookmarkStart w:id="412" w:name="_Toc267251433"/>
      <w:bookmarkStart w:id="413" w:name="_Toc267251435"/>
      <w:bookmarkStart w:id="414" w:name="_Toc267251440"/>
      <w:bookmarkStart w:id="415" w:name="_Toc267251441"/>
      <w:bookmarkStart w:id="416" w:name="_Toc267251442"/>
      <w:r>
        <w:rPr>
          <w:rFonts w:hint="eastAsia" w:ascii="宋体" w:hAnsi="宋体" w:eastAsia="宋体" w:cs="宋体"/>
          <w:sz w:val="24"/>
          <w:szCs w:val="24"/>
          <w:highlight w:val="none"/>
        </w:rPr>
        <w:t>0. 变更</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bookmarkEnd w:id="408"/>
    <w:bookmarkEnd w:id="409"/>
    <w:p w14:paraId="2C796CD7">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Start w:id="417" w:name="_Toc292559904"/>
      <w:bookmarkStart w:id="418" w:name="_Toc297120494"/>
      <w:bookmarkStart w:id="419" w:name="_Toc296347193"/>
      <w:bookmarkStart w:id="420" w:name="_Toc312678026"/>
      <w:bookmarkStart w:id="421" w:name="_Toc296346695"/>
      <w:bookmarkStart w:id="422" w:name="_Toc300934990"/>
      <w:bookmarkStart w:id="423" w:name="_Toc296503194"/>
      <w:bookmarkStart w:id="424" w:name="_Toc296891234"/>
      <w:bookmarkStart w:id="425" w:name="_Toc303539147"/>
      <w:bookmarkStart w:id="426" w:name="_Toc297216200"/>
      <w:bookmarkStart w:id="427" w:name="_Toc296891022"/>
      <w:bookmarkStart w:id="428" w:name="_Toc297048380"/>
      <w:bookmarkStart w:id="429" w:name="_Toc296944533"/>
      <w:bookmarkStart w:id="430" w:name="_Toc304295567"/>
      <w:bookmarkStart w:id="431" w:name="_Toc312677500"/>
      <w:bookmarkStart w:id="432" w:name="_Toc292559399"/>
      <w:bookmarkStart w:id="433" w:name="_Toc297123541"/>
      <w:r>
        <w:rPr>
          <w:rFonts w:hint="eastAsia" w:ascii="宋体" w:hAnsi="宋体" w:cs="宋体"/>
          <w:highlight w:val="none"/>
        </w:rPr>
        <w:t>0.1变更的范围</w:t>
      </w:r>
    </w:p>
    <w:p w14:paraId="23418B96">
      <w:pPr>
        <w:spacing w:line="400" w:lineRule="exact"/>
        <w:ind w:firstLine="480" w:firstLineChars="200"/>
        <w:outlineLvl w:val="9"/>
        <w:rPr>
          <w:rFonts w:ascii="宋体" w:hAnsi="宋体" w:cs="宋体"/>
          <w:highlight w:val="none"/>
        </w:rPr>
      </w:pPr>
      <w:r>
        <w:rPr>
          <w:rFonts w:hint="eastAsia" w:ascii="宋体" w:hAnsi="宋体" w:cs="宋体"/>
          <w:highlight w:val="none"/>
        </w:rPr>
        <w:t>关于变更的范围的约定：</w:t>
      </w:r>
      <w:r>
        <w:rPr>
          <w:rFonts w:hint="eastAsia" w:ascii="宋体" w:hAnsi="宋体" w:cs="宋体"/>
          <w:highlight w:val="none"/>
          <w:u w:val="single"/>
        </w:rPr>
        <w:t>按通用合同条款。工程变更引起工程量的减少或增加，承包人不得因此拒绝施工。</w:t>
      </w:r>
    </w:p>
    <w:p w14:paraId="68E45DD0">
      <w:pPr>
        <w:spacing w:line="400" w:lineRule="exact"/>
        <w:ind w:firstLine="480" w:firstLineChars="200"/>
        <w:outlineLvl w:val="9"/>
        <w:rPr>
          <w:rFonts w:ascii="宋体" w:hAnsi="宋体" w:cs="宋体"/>
          <w:highlight w:val="none"/>
        </w:rPr>
      </w:pPr>
      <w:r>
        <w:rPr>
          <w:rFonts w:hint="eastAsia" w:ascii="宋体" w:hAnsi="宋体" w:cs="宋体"/>
          <w:highlight w:val="none"/>
        </w:rPr>
        <w:t>10.4 变更估价</w:t>
      </w:r>
    </w:p>
    <w:p w14:paraId="361CA043">
      <w:pPr>
        <w:spacing w:line="400" w:lineRule="exact"/>
        <w:ind w:firstLine="480" w:firstLineChars="200"/>
        <w:outlineLvl w:val="9"/>
        <w:rPr>
          <w:rFonts w:ascii="宋体" w:hAnsi="宋体" w:cs="宋体"/>
          <w:highlight w:val="none"/>
        </w:rPr>
      </w:pPr>
      <w:r>
        <w:rPr>
          <w:rFonts w:hint="eastAsia" w:ascii="宋体" w:hAnsi="宋体" w:cs="宋体"/>
          <w:highlight w:val="none"/>
        </w:rPr>
        <w:t>10.4.1 变更估价原则</w:t>
      </w:r>
    </w:p>
    <w:p w14:paraId="494E9C0E">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 xml:space="preserve">关于变更估价的约定: </w:t>
      </w:r>
    </w:p>
    <w:p w14:paraId="630BD8D2">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21E738F4">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综合单价异常：</w:t>
      </w:r>
      <w:r>
        <w:rPr>
          <w:rFonts w:hint="eastAsia" w:ascii="宋体" w:hAnsi="宋体" w:cs="宋体"/>
          <w:b/>
          <w:bCs/>
          <w:highlight w:val="none"/>
          <w:u w:val="single"/>
        </w:rPr>
        <w:t>投标综合单价与按本项目招标控制价（或预算审核价）编制依据计算的综合单价偏差±30%以上）</w:t>
      </w:r>
    </w:p>
    <w:p w14:paraId="38EE180A">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（2）变更后项目与投标人已标价工程量清单中没有适用的综合单价，但有类似的工程项目综合单价，承包人可参照类似工程项目综合单价计算，并报发包人确定。</w:t>
      </w:r>
    </w:p>
    <w:p w14:paraId="1298FE1E">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a、</w:t>
      </w:r>
      <w:r>
        <w:rPr>
          <w:rFonts w:hint="eastAsia" w:ascii="宋体" w:hAnsi="宋体" w:cs="宋体"/>
          <w:highlight w:val="none"/>
          <w:u w:val="single"/>
        </w:rPr>
        <w:t>某种材料（或半成品及成品）等级、标准变化的，清单组合子目不变，仅调整不同的材料市场价格之差；</w:t>
      </w:r>
    </w:p>
    <w:p w14:paraId="050AB852">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b、</w:t>
      </w:r>
      <w:r>
        <w:rPr>
          <w:rFonts w:hint="eastAsia" w:ascii="宋体" w:hAnsi="宋体" w:cs="宋体"/>
          <w:highlight w:val="none"/>
          <w:u w:val="single"/>
        </w:rPr>
        <w:t>清单项目组合内容中某一个（或多个）定额子目发生变化，不影响其他特征及工程内容价格的，仅调整发生变化的定额子目价格。</w:t>
      </w:r>
    </w:p>
    <w:p w14:paraId="050D244B">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c、</w:t>
      </w:r>
      <w:r>
        <w:rPr>
          <w:rFonts w:hint="eastAsia" w:ascii="宋体" w:hAnsi="宋体" w:cs="宋体"/>
          <w:highlight w:val="none"/>
          <w:u w:val="single"/>
        </w:rPr>
        <w:t>如该类似工程项目的综合单价异常，则不宜参照，按专用条款10.4.1（3）（4）款重新计算综合单价。</w:t>
      </w:r>
    </w:p>
    <w:p w14:paraId="1DC42F38">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（3）变更后项目与已标价工程量清单没有适用的综合单价，由承包人按招标控制价（或预算审核价）编制依据计算综合单价，乘以投标总报价与招标控制价</w:t>
      </w:r>
      <w:r>
        <w:rPr>
          <w:rFonts w:hint="eastAsia" w:ascii="宋体" w:hAnsi="宋体" w:eastAsia="宋体"/>
          <w:color w:val="auto"/>
          <w:sz w:val="24"/>
          <w:szCs w:val="24"/>
          <w:highlight w:val="none"/>
          <w:u w:val="single"/>
          <w:lang w:val="en-US" w:eastAsia="zh-CN"/>
        </w:rPr>
        <w:t>（或预算审核价）</w:t>
      </w:r>
      <w:r>
        <w:rPr>
          <w:rFonts w:hint="eastAsia" w:ascii="宋体" w:hAnsi="宋体" w:cs="宋体"/>
          <w:highlight w:val="none"/>
          <w:u w:val="single"/>
        </w:rPr>
        <w:t>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3509D02F">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（4）如按以上编制依据缺项的内容，承包人应通过市场调查等手段提出单价，并报发包人确定后执行。</w:t>
      </w:r>
    </w:p>
    <w:p w14:paraId="0320F758">
      <w:pPr>
        <w:spacing w:line="400" w:lineRule="exact"/>
        <w:ind w:firstLine="480" w:firstLineChars="200"/>
        <w:outlineLvl w:val="9"/>
        <w:rPr>
          <w:rFonts w:ascii="宋体" w:hAnsi="宋体" w:cs="宋体"/>
          <w:bCs/>
          <w:highlight w:val="none"/>
          <w:u w:val="single"/>
        </w:rPr>
      </w:pPr>
      <w:r>
        <w:rPr>
          <w:rFonts w:hint="eastAsia" w:ascii="宋体" w:hAnsi="宋体" w:cs="宋体"/>
          <w:bCs/>
          <w:highlight w:val="none"/>
          <w:u w:val="single"/>
        </w:rPr>
        <w:t>（5）清单项目组合内容项目特征描述中，局部工程内容对应的工程数量变化，可仅调整计算变化部分的差价。</w:t>
      </w:r>
    </w:p>
    <w:p w14:paraId="1F45F2F4">
      <w:pPr>
        <w:spacing w:line="400" w:lineRule="exact"/>
        <w:ind w:firstLine="480" w:firstLineChars="200"/>
        <w:outlineLvl w:val="9"/>
        <w:rPr>
          <w:rFonts w:ascii="宋体" w:hAnsi="宋体" w:cs="宋体"/>
          <w:highlight w:val="none"/>
        </w:rPr>
      </w:pPr>
      <w:r>
        <w:rPr>
          <w:rFonts w:hint="eastAsia" w:ascii="宋体" w:hAnsi="宋体" w:cs="宋体"/>
          <w:highlight w:val="none"/>
        </w:rPr>
        <w:t>10.4.2 变更估价程序</w:t>
      </w:r>
    </w:p>
    <w:p w14:paraId="0CDF4BA9">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承包人收到发包人、监理人、设计单位的变更指示后14天内向发包人提交变更估价申请。</w:t>
      </w:r>
    </w:p>
    <w:p w14:paraId="65CFFF86">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承包人提出工程变更、施工方案调整等变更应同时提交变更估价申请。</w:t>
      </w:r>
    </w:p>
    <w:p w14:paraId="3B53FFE8">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承包人提交的变更估价申请，发包人和监理人应予以签收，并在 14 天内审批完毕。</w:t>
      </w:r>
    </w:p>
    <w:p w14:paraId="31226B2E">
      <w:pPr>
        <w:spacing w:line="400" w:lineRule="exact"/>
        <w:ind w:firstLine="482" w:firstLineChars="200"/>
        <w:outlineLvl w:val="9"/>
        <w:rPr>
          <w:rFonts w:ascii="宋体" w:hAnsi="宋体" w:cs="宋体"/>
          <w:b/>
          <w:highlight w:val="none"/>
          <w:u w:val="single"/>
        </w:rPr>
      </w:pPr>
      <w:r>
        <w:rPr>
          <w:rFonts w:hint="eastAsia" w:ascii="宋体" w:hAnsi="宋体" w:cs="宋体"/>
          <w:b/>
          <w:highlight w:val="none"/>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14:paraId="1C5CC394">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Start w:id="434" w:name="_Toc297120497"/>
      <w:bookmarkStart w:id="435" w:name="_Toc296891025"/>
      <w:bookmarkStart w:id="436" w:name="_Toc300934993"/>
      <w:bookmarkStart w:id="437" w:name="_Toc292559907"/>
      <w:bookmarkStart w:id="438" w:name="_Toc297216203"/>
      <w:bookmarkStart w:id="439" w:name="_Toc296346698"/>
      <w:bookmarkStart w:id="440" w:name="_Toc297123544"/>
      <w:bookmarkStart w:id="441" w:name="_Toc297048383"/>
      <w:bookmarkStart w:id="442" w:name="_Toc303539150"/>
      <w:bookmarkStart w:id="443" w:name="_Toc296503197"/>
      <w:bookmarkStart w:id="444" w:name="_Toc296944536"/>
      <w:bookmarkStart w:id="445" w:name="_Toc296891237"/>
      <w:bookmarkStart w:id="446" w:name="_Toc292559402"/>
      <w:bookmarkStart w:id="447" w:name="_Toc296347196"/>
      <w:bookmarkStart w:id="448" w:name="_Toc312678029"/>
      <w:bookmarkStart w:id="449" w:name="_Toc312677503"/>
      <w:bookmarkStart w:id="450" w:name="_Toc304295570"/>
      <w:r>
        <w:rPr>
          <w:rFonts w:hint="eastAsia" w:ascii="宋体" w:hAnsi="宋体" w:cs="宋体"/>
          <w:highlight w:val="none"/>
        </w:rPr>
        <w:t>0.5承</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Start w:id="451" w:name="_Toc296891031"/>
      <w:bookmarkStart w:id="452" w:name="_Toc303539151"/>
      <w:bookmarkStart w:id="453" w:name="_Toc292559408"/>
      <w:bookmarkStart w:id="454" w:name="_Toc296944542"/>
      <w:bookmarkStart w:id="455" w:name="_Toc297123545"/>
      <w:bookmarkStart w:id="456" w:name="_Toc300934994"/>
      <w:bookmarkStart w:id="457" w:name="_Toc297216204"/>
      <w:bookmarkStart w:id="458" w:name="_Toc297048389"/>
      <w:bookmarkStart w:id="459" w:name="_Toc296891243"/>
      <w:bookmarkStart w:id="460" w:name="_Toc296347202"/>
      <w:bookmarkStart w:id="461" w:name="_Toc292559913"/>
      <w:bookmarkStart w:id="462" w:name="_Toc297120503"/>
      <w:bookmarkStart w:id="463" w:name="_Toc296503203"/>
      <w:bookmarkStart w:id="464" w:name="_Toc296346704"/>
      <w:r>
        <w:rPr>
          <w:rFonts w:hint="eastAsia" w:ascii="宋体" w:hAnsi="宋体" w:cs="宋体"/>
          <w:highlight w:val="none"/>
        </w:rPr>
        <w:t>包人的合理化建议</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7246A66A">
      <w:pPr>
        <w:spacing w:line="400" w:lineRule="exact"/>
        <w:ind w:firstLine="480" w:firstLineChars="200"/>
        <w:outlineLvl w:val="9"/>
        <w:rPr>
          <w:rFonts w:ascii="宋体" w:hAnsi="宋体" w:cs="宋体"/>
          <w:highlight w:val="none"/>
        </w:rPr>
      </w:pPr>
      <w:r>
        <w:rPr>
          <w:rFonts w:hint="eastAsia" w:ascii="宋体" w:hAnsi="宋体" w:cs="宋体"/>
          <w:highlight w:val="none"/>
        </w:rPr>
        <w:t>监理人审查承包人合理化建议的期限：</w:t>
      </w:r>
      <w:r>
        <w:rPr>
          <w:rFonts w:hint="eastAsia" w:ascii="宋体" w:hAnsi="宋体" w:cs="宋体"/>
          <w:highlight w:val="none"/>
          <w:u w:val="single"/>
        </w:rPr>
        <w:t xml:space="preserve"> 按通用条款执行  </w:t>
      </w:r>
      <w:r>
        <w:rPr>
          <w:rFonts w:hint="eastAsia" w:ascii="宋体" w:hAnsi="宋体" w:cs="宋体"/>
          <w:highlight w:val="none"/>
        </w:rPr>
        <w:t>。</w:t>
      </w:r>
    </w:p>
    <w:p w14:paraId="282F6B1F">
      <w:pPr>
        <w:spacing w:line="400" w:lineRule="exact"/>
        <w:ind w:firstLine="480" w:firstLineChars="200"/>
        <w:outlineLvl w:val="9"/>
        <w:rPr>
          <w:rFonts w:ascii="宋体" w:hAnsi="宋体" w:cs="宋体"/>
          <w:highlight w:val="none"/>
        </w:rPr>
      </w:pPr>
      <w:r>
        <w:rPr>
          <w:rFonts w:hint="eastAsia" w:ascii="宋体" w:hAnsi="宋体" w:cs="宋体"/>
          <w:highlight w:val="none"/>
        </w:rPr>
        <w:t>发包人审批承包人合理化建议的期限：</w:t>
      </w:r>
      <w:r>
        <w:rPr>
          <w:rFonts w:hint="eastAsia" w:ascii="宋体" w:hAnsi="宋体" w:cs="宋体"/>
          <w:highlight w:val="none"/>
          <w:u w:val="single"/>
        </w:rPr>
        <w:t xml:space="preserve">按通用条款执行   </w:t>
      </w:r>
      <w:r>
        <w:rPr>
          <w:rFonts w:hint="eastAsia" w:ascii="宋体" w:hAnsi="宋体" w:cs="宋体"/>
          <w:highlight w:val="none"/>
        </w:rPr>
        <w:t>。</w:t>
      </w:r>
    </w:p>
    <w:p w14:paraId="14DD50CE">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w:t>
      </w:r>
      <w:bookmarkStart w:id="465" w:name="_Toc297120504"/>
      <w:bookmarkStart w:id="466" w:name="_Toc304295571"/>
      <w:bookmarkStart w:id="467" w:name="_Toc297123546"/>
      <w:bookmarkStart w:id="468" w:name="_Toc296503204"/>
      <w:bookmarkStart w:id="469" w:name="_Toc312678030"/>
      <w:bookmarkStart w:id="470" w:name="_Toc297048390"/>
      <w:bookmarkStart w:id="471" w:name="_Toc297216205"/>
      <w:bookmarkStart w:id="472" w:name="_Toc318581175"/>
      <w:bookmarkStart w:id="473" w:name="_Toc303539152"/>
      <w:bookmarkStart w:id="474" w:name="_Toc296346705"/>
      <w:bookmarkStart w:id="475" w:name="_Toc296891244"/>
      <w:bookmarkStart w:id="476" w:name="_Toc300934995"/>
      <w:bookmarkStart w:id="477" w:name="_Toc296891032"/>
      <w:bookmarkStart w:id="478" w:name="_Toc292559914"/>
      <w:bookmarkStart w:id="479" w:name="_Toc312677504"/>
      <w:bookmarkStart w:id="480" w:name="_Toc292559409"/>
      <w:bookmarkStart w:id="481" w:name="_Toc296347203"/>
      <w:bookmarkStart w:id="482" w:name="_Toc296944543"/>
      <w:r>
        <w:rPr>
          <w:rFonts w:hint="eastAsia" w:ascii="宋体" w:hAnsi="宋体" w:cs="宋体"/>
          <w:highlight w:val="none"/>
        </w:rPr>
        <w:t>包人提出的合理化建议降低了合同价格或者提高了工程经济效益的奖励的方法和金额为：</w:t>
      </w:r>
      <w:r>
        <w:rPr>
          <w:rFonts w:hint="eastAsia" w:ascii="宋体" w:hAnsi="宋体" w:cs="宋体"/>
          <w:highlight w:val="none"/>
          <w:u w:val="single"/>
        </w:rPr>
        <w:t xml:space="preserve">                </w:t>
      </w:r>
      <w:r>
        <w:rPr>
          <w:rFonts w:hint="eastAsia" w:ascii="宋体" w:hAnsi="宋体" w:cs="宋体"/>
          <w:highlight w:val="none"/>
        </w:rPr>
        <w:t>。</w:t>
      </w:r>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14:paraId="72324D61">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Start w:id="483" w:name="_Toc297048385"/>
      <w:bookmarkStart w:id="484" w:name="_Toc296891027"/>
      <w:bookmarkStart w:id="485" w:name="_Toc312677507"/>
      <w:bookmarkStart w:id="486" w:name="_Toc292559909"/>
      <w:bookmarkStart w:id="487" w:name="_Toc296891239"/>
      <w:bookmarkStart w:id="488" w:name="_Toc300934997"/>
      <w:bookmarkStart w:id="489" w:name="_Toc297216207"/>
      <w:bookmarkStart w:id="490" w:name="_Toc297123548"/>
      <w:bookmarkStart w:id="491" w:name="_Toc296944538"/>
      <w:bookmarkStart w:id="492" w:name="_Toc312678033"/>
      <w:bookmarkStart w:id="493" w:name="_Toc292559404"/>
      <w:bookmarkStart w:id="494" w:name="_Toc296346700"/>
      <w:bookmarkStart w:id="495" w:name="_Toc296503199"/>
      <w:bookmarkStart w:id="496" w:name="_Toc303539154"/>
      <w:bookmarkStart w:id="497" w:name="_Toc304295574"/>
      <w:bookmarkStart w:id="498" w:name="_Toc296347198"/>
      <w:bookmarkStart w:id="499" w:name="_Toc297120499"/>
      <w:r>
        <w:rPr>
          <w:rFonts w:hint="eastAsia" w:ascii="宋体" w:hAnsi="宋体" w:cs="宋体"/>
          <w:highlight w:val="none"/>
        </w:rPr>
        <w:t>0.7 暂估价</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14:paraId="21BBD3B1">
      <w:pPr>
        <w:autoSpaceDE w:val="0"/>
        <w:autoSpaceDN w:val="0"/>
        <w:adjustRightInd w:val="0"/>
        <w:spacing w:line="360" w:lineRule="exact"/>
        <w:ind w:firstLine="480" w:firstLineChars="200"/>
        <w:rPr>
          <w:rFonts w:ascii="宋体" w:hAnsi="宋体" w:cs="宋体"/>
          <w:highlight w:val="none"/>
        </w:rPr>
      </w:pPr>
      <w:bookmarkStart w:id="500" w:name="_Toc312678034"/>
      <w:bookmarkStart w:id="501" w:name="_Toc312677508"/>
      <w:bookmarkStart w:id="502" w:name="_Toc318581176"/>
      <w:r>
        <w:rPr>
          <w:color w:val="auto"/>
          <w:szCs w:val="21"/>
          <w:highlight w:val="none"/>
        </w:rPr>
        <w:t>暂估价材料和工程设备的明细详见附件11：《暂估价一览表》</w:t>
      </w:r>
      <w:r>
        <w:rPr>
          <w:rFonts w:hint="eastAsia" w:ascii="宋体" w:hAnsi="宋体" w:cs="宋体"/>
          <w:color w:val="auto"/>
          <w:highlight w:val="none"/>
        </w:rPr>
        <w:t>。</w:t>
      </w:r>
    </w:p>
    <w:bookmarkEnd w:id="500"/>
    <w:bookmarkEnd w:id="501"/>
    <w:bookmarkEnd w:id="502"/>
    <w:p w14:paraId="79D0AA36">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Start w:id="503" w:name="_Toc312678035"/>
      <w:bookmarkStart w:id="504" w:name="_Toc318581177"/>
      <w:bookmarkStart w:id="505" w:name="_Toc312677509"/>
      <w:r>
        <w:rPr>
          <w:rFonts w:hint="eastAsia" w:ascii="宋体" w:hAnsi="宋体" w:cs="宋体"/>
          <w:highlight w:val="none"/>
        </w:rPr>
        <w:t>0.7.1 依法必须招标的暂估价项目</w:t>
      </w:r>
    </w:p>
    <w:bookmarkEnd w:id="503"/>
    <w:bookmarkEnd w:id="504"/>
    <w:bookmarkEnd w:id="505"/>
    <w:p w14:paraId="0869C6C4">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无承包价（暂定</w:t>
      </w:r>
      <w:r>
        <w:rPr>
          <w:rFonts w:hint="eastAsia" w:ascii="宋体" w:hAnsi="宋体" w:cs="宋体"/>
          <w:color w:val="auto"/>
          <w:highlight w:val="none"/>
          <w:u w:val="single"/>
        </w:rPr>
        <w:t>价）或工程变更新增的单项材料、设备、专业分包工程估算价在（</w:t>
      </w:r>
      <w:r>
        <w:rPr>
          <w:rFonts w:hint="eastAsia" w:ascii="宋体" w:hAnsi="宋体" w:cs="宋体"/>
          <w:color w:val="auto"/>
          <w:highlight w:val="none"/>
          <w:u w:val="single"/>
          <w:lang w:val="en-US" w:eastAsia="zh-CN"/>
        </w:rPr>
        <w:t>50</w:t>
      </w:r>
      <w:r>
        <w:rPr>
          <w:rFonts w:hint="eastAsia" w:ascii="宋体" w:hAnsi="宋体" w:cs="宋体"/>
          <w:color w:val="auto"/>
          <w:highlight w:val="none"/>
          <w:u w:val="single"/>
        </w:rPr>
        <w:t>）万元以上的（指可以向同一家供应商采购的同类材料总价），须由发、承包双方通过招标确定价格、供应商或分包人。承包人应按照施工进度计划，在招标工作启动前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ascii="宋体" w:hAnsi="宋体" w:eastAsia="宋体"/>
          <w:color w:val="auto"/>
          <w:sz w:val="24"/>
          <w:szCs w:val="24"/>
          <w:highlight w:val="none"/>
          <w:u w:val="single"/>
        </w:rPr>
        <w:t>，招标工作接受有管辖权的建设工程招投标监督部门的监督。</w:t>
      </w:r>
      <w:r>
        <w:rPr>
          <w:rFonts w:hint="eastAsia" w:ascii="宋体" w:hAnsi="宋体" w:cs="宋体"/>
          <w:color w:val="auto"/>
          <w:highlight w:val="none"/>
          <w:u w:val="single"/>
        </w:rPr>
        <w:t>与组织招标工作有关的费用由发包人承担。</w:t>
      </w:r>
    </w:p>
    <w:p w14:paraId="4D8D8D13">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10.7.2 不属于依法必须招标的暂估价项目：</w:t>
      </w:r>
      <w:r>
        <w:rPr>
          <w:rFonts w:hint="eastAsia" w:ascii="宋体" w:hAnsi="宋体" w:cs="宋体"/>
          <w:highlight w:val="none"/>
          <w:u w:val="single"/>
        </w:rPr>
        <w:t xml:space="preserve"> 按通用合同条款。</w:t>
      </w:r>
    </w:p>
    <w:p w14:paraId="4B8DD811">
      <w:pPr>
        <w:spacing w:line="400" w:lineRule="exact"/>
        <w:ind w:firstLine="480" w:firstLineChars="200"/>
        <w:outlineLvl w:val="9"/>
        <w:rPr>
          <w:rFonts w:ascii="宋体" w:hAnsi="宋体" w:cs="宋体"/>
          <w:highlight w:val="none"/>
        </w:rPr>
      </w:pPr>
      <w:r>
        <w:rPr>
          <w:rFonts w:hint="eastAsia" w:ascii="宋体" w:hAnsi="宋体" w:cs="宋体"/>
          <w:highlight w:val="none"/>
        </w:rPr>
        <w:t>第3种方式：承包人直接实施的暂估价项目</w:t>
      </w:r>
    </w:p>
    <w:p w14:paraId="0643B6DB">
      <w:pPr>
        <w:spacing w:line="400" w:lineRule="exact"/>
        <w:ind w:firstLine="480" w:firstLineChars="200"/>
        <w:outlineLvl w:val="9"/>
        <w:rPr>
          <w:rFonts w:ascii="宋体" w:hAnsi="宋体" w:cs="宋体"/>
          <w:highlight w:val="none"/>
        </w:rPr>
      </w:pPr>
      <w:r>
        <w:rPr>
          <w:rFonts w:hint="eastAsia" w:ascii="宋体" w:hAnsi="宋体" w:cs="宋体"/>
          <w:highlight w:val="none"/>
        </w:rPr>
        <w:t>承包人直接实施的暂估价项目的约定：</w:t>
      </w:r>
      <w:r>
        <w:rPr>
          <w:rFonts w:hint="eastAsia" w:ascii="宋体" w:hAnsi="宋体" w:cs="宋体"/>
          <w:highlight w:val="none"/>
          <w:u w:val="single"/>
        </w:rPr>
        <w:t xml:space="preserve">  </w:t>
      </w:r>
      <w:r>
        <w:rPr>
          <w:rFonts w:hint="eastAsia" w:ascii="宋体" w:hAnsi="宋体" w:cs="宋体"/>
          <w:b/>
          <w:highlight w:val="none"/>
          <w:u w:val="single"/>
        </w:rPr>
        <w:t xml:space="preserve"> </w:t>
      </w:r>
      <w:r>
        <w:rPr>
          <w:rFonts w:hint="eastAsia" w:ascii="宋体" w:hAnsi="宋体"/>
          <w:b/>
          <w:color w:val="000000"/>
          <w:szCs w:val="21"/>
          <w:highlight w:val="none"/>
          <w:u w:val="single"/>
        </w:rPr>
        <w:t>暂估价材料、工程设备和暂估项目型号规格、除税单价、品牌在采购前1个月内需征得发包人同意，由发包人签证后纳入总造价按实结算，其综合单价的确定方法按本合同专用条款10.4.1款约定执行。</w:t>
      </w:r>
      <w:r>
        <w:rPr>
          <w:rFonts w:hint="eastAsia" w:ascii="宋体" w:hAnsi="宋体" w:cs="宋体"/>
          <w:b/>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5A12CD2">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10.7.4专业发包工程管理费：</w:t>
      </w:r>
      <w:r>
        <w:rPr>
          <w:rFonts w:hint="eastAsia" w:ascii="宋体" w:hAnsi="宋体" w:cs="宋体"/>
          <w:highlight w:val="none"/>
          <w:u w:val="single"/>
        </w:rPr>
        <w:t xml:space="preserve">本项目无专业发包 </w:t>
      </w:r>
    </w:p>
    <w:p w14:paraId="323F35E0">
      <w:pPr>
        <w:pStyle w:val="8"/>
        <w:spacing w:line="400" w:lineRule="exact"/>
        <w:outlineLvl w:val="9"/>
        <w:rPr>
          <w:rFonts w:ascii="宋体" w:hAnsi="宋体" w:cs="宋体"/>
          <w:highlight w:val="none"/>
          <w:u w:val="single"/>
        </w:rPr>
      </w:pPr>
      <w:r>
        <w:rPr>
          <w:rFonts w:hint="eastAsia" w:ascii="宋体" w:hAnsi="宋体" w:cs="宋体"/>
          <w:highlight w:val="none"/>
        </w:rPr>
        <w:t>需总承包人配合的具体事项：</w:t>
      </w:r>
      <w:r>
        <w:rPr>
          <w:rFonts w:hint="eastAsia" w:ascii="宋体" w:hAnsi="宋体" w:cs="宋体"/>
          <w:highlight w:val="none"/>
          <w:u w:val="single"/>
        </w:rPr>
        <w:t xml:space="preserve">  </w:t>
      </w:r>
      <w:r>
        <w:rPr>
          <w:rFonts w:hint="eastAsia" w:ascii="宋体" w:hAnsi="宋体" w:cs="宋体"/>
          <w:b/>
          <w:highlight w:val="none"/>
          <w:u w:val="single"/>
        </w:rPr>
        <w:t xml:space="preserve">  /  </w:t>
      </w:r>
      <w:r>
        <w:rPr>
          <w:rFonts w:hint="eastAsia" w:ascii="宋体" w:hAnsi="宋体" w:cs="宋体"/>
          <w:highlight w:val="none"/>
          <w:u w:val="single"/>
        </w:rPr>
        <w:t xml:space="preserve">   </w:t>
      </w:r>
      <w:r>
        <w:rPr>
          <w:rFonts w:hint="eastAsia" w:ascii="宋体" w:hAnsi="宋体" w:cs="宋体"/>
          <w:highlight w:val="none"/>
        </w:rPr>
        <w:t>。</w:t>
      </w:r>
    </w:p>
    <w:p w14:paraId="4FCFC384">
      <w:pPr>
        <w:pStyle w:val="20"/>
        <w:spacing w:line="400" w:lineRule="exact"/>
        <w:ind w:firstLine="240"/>
        <w:outlineLvl w:val="9"/>
        <w:rPr>
          <w:rFonts w:ascii="宋体" w:hAnsi="宋体" w:cs="宋体"/>
          <w:sz w:val="24"/>
          <w:highlight w:val="none"/>
        </w:rPr>
      </w:pPr>
      <w:r>
        <w:rPr>
          <w:rFonts w:hint="eastAsia" w:ascii="宋体" w:hAnsi="宋体" w:cs="宋体"/>
          <w:sz w:val="24"/>
          <w:highlight w:val="none"/>
        </w:rPr>
        <w:t>发包人另行发包的专业工程：</w:t>
      </w:r>
      <w:r>
        <w:rPr>
          <w:rFonts w:hint="eastAsia" w:ascii="宋体" w:hAnsi="宋体" w:cs="宋体"/>
          <w:sz w:val="24"/>
          <w:highlight w:val="none"/>
          <w:u w:val="single"/>
        </w:rPr>
        <w:t xml:space="preserve">  </w:t>
      </w:r>
      <w:r>
        <w:rPr>
          <w:rFonts w:hint="eastAsia" w:ascii="宋体" w:hAnsi="宋体" w:cs="宋体"/>
          <w:b/>
          <w:sz w:val="24"/>
          <w:highlight w:val="none"/>
          <w:u w:val="single"/>
        </w:rPr>
        <w:t xml:space="preserve">   / </w:t>
      </w:r>
      <w:r>
        <w:rPr>
          <w:rFonts w:hint="eastAsia" w:ascii="宋体" w:hAnsi="宋体" w:cs="宋体"/>
          <w:sz w:val="24"/>
          <w:highlight w:val="none"/>
          <w:u w:val="single"/>
        </w:rPr>
        <w:t xml:space="preserve">   </w:t>
      </w:r>
      <w:r>
        <w:rPr>
          <w:rFonts w:hint="eastAsia" w:ascii="宋体" w:hAnsi="宋体" w:cs="宋体"/>
          <w:sz w:val="24"/>
          <w:highlight w:val="none"/>
        </w:rPr>
        <w:t>。</w:t>
      </w:r>
    </w:p>
    <w:p w14:paraId="02612A44">
      <w:pPr>
        <w:spacing w:line="400" w:lineRule="exact"/>
        <w:ind w:firstLine="480" w:firstLineChars="200"/>
        <w:outlineLvl w:val="9"/>
        <w:rPr>
          <w:rFonts w:ascii="宋体" w:hAnsi="宋体" w:cs="宋体"/>
          <w:highlight w:val="none"/>
        </w:rPr>
      </w:pPr>
      <w:r>
        <w:rPr>
          <w:rFonts w:hint="eastAsia" w:ascii="宋体" w:hAnsi="宋体" w:cs="宋体"/>
          <w:highlight w:val="none"/>
        </w:rPr>
        <w:t xml:space="preserve">10.8 暂列金额 </w:t>
      </w:r>
    </w:p>
    <w:p w14:paraId="152DD792">
      <w:pPr>
        <w:spacing w:line="400" w:lineRule="exact"/>
        <w:ind w:firstLine="480" w:firstLineChars="200"/>
        <w:outlineLvl w:val="9"/>
        <w:rPr>
          <w:rFonts w:ascii="宋体" w:hAnsi="宋体" w:cs="宋体"/>
          <w:highlight w:val="none"/>
        </w:rPr>
      </w:pPr>
      <w:r>
        <w:rPr>
          <w:rFonts w:hint="eastAsia" w:ascii="宋体" w:hAnsi="宋体" w:cs="宋体"/>
          <w:highlight w:val="none"/>
        </w:rPr>
        <w:t>合同当事人关于暂列金额使用的约定：</w:t>
      </w:r>
      <w:r>
        <w:rPr>
          <w:rFonts w:hint="eastAsia" w:ascii="宋体" w:hAnsi="宋体" w:cs="宋体"/>
          <w:highlight w:val="none"/>
          <w:u w:val="single"/>
        </w:rPr>
        <w:t xml:space="preserve">        /           </w:t>
      </w:r>
      <w:r>
        <w:rPr>
          <w:rFonts w:hint="eastAsia" w:ascii="宋体" w:hAnsi="宋体" w:cs="宋体"/>
          <w:highlight w:val="none"/>
        </w:rPr>
        <w:t>。</w:t>
      </w:r>
    </w:p>
    <w:p w14:paraId="6E5732D9">
      <w:pPr>
        <w:spacing w:line="400" w:lineRule="exact"/>
        <w:ind w:firstLine="480" w:firstLineChars="200"/>
        <w:outlineLvl w:val="9"/>
        <w:rPr>
          <w:rFonts w:ascii="宋体" w:hAnsi="宋体" w:cs="宋体"/>
          <w:highlight w:val="none"/>
        </w:rPr>
      </w:pPr>
      <w:r>
        <w:rPr>
          <w:rFonts w:hint="eastAsia" w:ascii="宋体" w:hAnsi="宋体" w:cs="宋体"/>
          <w:highlight w:val="none"/>
        </w:rPr>
        <w:t>创标化工地增加费计算方式：</w:t>
      </w:r>
      <w:r>
        <w:rPr>
          <w:rFonts w:hint="eastAsia" w:ascii="宋体" w:hAnsi="宋体" w:cs="宋体"/>
          <w:highlight w:val="none"/>
          <w:u w:val="single"/>
        </w:rPr>
        <w:t xml:space="preserve">   本工程无创标化工地目标    。</w:t>
      </w:r>
    </w:p>
    <w:p w14:paraId="6FC00358">
      <w:pPr>
        <w:spacing w:line="400" w:lineRule="exact"/>
        <w:ind w:firstLine="480" w:firstLineChars="200"/>
        <w:outlineLvl w:val="9"/>
        <w:rPr>
          <w:rFonts w:ascii="宋体" w:hAnsi="宋体" w:cs="宋体"/>
          <w:highlight w:val="none"/>
        </w:rPr>
      </w:pPr>
      <w:r>
        <w:rPr>
          <w:rFonts w:hint="eastAsia" w:ascii="宋体" w:hAnsi="宋体" w:cs="宋体"/>
          <w:highlight w:val="none"/>
        </w:rPr>
        <w:t>创优质工程增加费计算方式：</w:t>
      </w:r>
      <w:r>
        <w:rPr>
          <w:rFonts w:hint="eastAsia" w:ascii="宋体" w:hAnsi="宋体" w:cs="宋体"/>
          <w:highlight w:val="none"/>
          <w:u w:val="single"/>
        </w:rPr>
        <w:t xml:space="preserve">   本工程无创标化工地目标     </w:t>
      </w:r>
      <w:r>
        <w:rPr>
          <w:rFonts w:hint="eastAsia" w:ascii="宋体" w:hAnsi="宋体" w:cs="宋体"/>
          <w:highlight w:val="none"/>
        </w:rPr>
        <w:t>。</w:t>
      </w:r>
    </w:p>
    <w:p w14:paraId="45BCEC16">
      <w:pPr>
        <w:spacing w:before="0" w:after="0" w:line="400" w:lineRule="exact"/>
        <w:ind w:firstLine="480" w:firstLineChars="200"/>
        <w:outlineLvl w:val="9"/>
        <w:rPr>
          <w:rFonts w:ascii="宋体" w:hAnsi="宋体" w:eastAsia="宋体" w:cs="宋体"/>
          <w:sz w:val="24"/>
          <w:szCs w:val="24"/>
          <w:highlight w:val="none"/>
        </w:rPr>
      </w:pPr>
      <w:bookmarkStart w:id="506" w:name="_Toc351203643"/>
      <w:r>
        <w:rPr>
          <w:rFonts w:hint="eastAsia" w:ascii="宋体" w:hAnsi="宋体" w:eastAsia="宋体" w:cs="宋体"/>
          <w:sz w:val="24"/>
          <w:szCs w:val="24"/>
          <w:highlight w:val="none"/>
        </w:rPr>
        <w:t>11. 价格调整</w:t>
      </w:r>
      <w:bookmarkEnd w:id="506"/>
    </w:p>
    <w:p w14:paraId="6B015859">
      <w:pPr>
        <w:spacing w:line="400" w:lineRule="exact"/>
        <w:ind w:firstLine="480" w:firstLineChars="200"/>
        <w:outlineLvl w:val="9"/>
        <w:rPr>
          <w:rFonts w:hint="eastAsia" w:ascii="宋体" w:hAnsi="宋体" w:eastAsia="宋体" w:cs="宋体"/>
          <w:highlight w:val="none"/>
        </w:rPr>
      </w:pPr>
      <w:bookmarkStart w:id="507" w:name="_Toc297120501"/>
      <w:bookmarkStart w:id="508" w:name="_Toc296346702"/>
      <w:bookmarkStart w:id="509" w:name="_Toc304295577"/>
      <w:bookmarkStart w:id="510" w:name="_Toc297216209"/>
      <w:bookmarkStart w:id="511" w:name="_Toc296891029"/>
      <w:bookmarkStart w:id="512" w:name="_Toc292559406"/>
      <w:bookmarkStart w:id="513" w:name="_Toc300935000"/>
      <w:bookmarkStart w:id="514" w:name="_Toc297048387"/>
      <w:bookmarkStart w:id="515" w:name="_Toc296347200"/>
      <w:bookmarkStart w:id="516" w:name="_Toc292559911"/>
      <w:bookmarkStart w:id="517" w:name="_Toc296891241"/>
      <w:bookmarkStart w:id="518" w:name="_Toc303539157"/>
      <w:bookmarkStart w:id="519" w:name="_Toc296503201"/>
      <w:bookmarkStart w:id="520" w:name="_Toc312678039"/>
      <w:bookmarkStart w:id="521" w:name="_Toc297123550"/>
      <w:bookmarkStart w:id="522" w:name="_Toc296944540"/>
      <w:r>
        <w:rPr>
          <w:rFonts w:hint="eastAsia" w:ascii="宋体" w:hAnsi="宋体" w:eastAsia="宋体" w:cs="宋体"/>
          <w:highlight w:val="none"/>
          <w:lang w:val="en-US" w:eastAsia="zh-CN"/>
        </w:rPr>
        <w:t>11.1</w:t>
      </w:r>
      <w:r>
        <w:rPr>
          <w:rFonts w:hint="eastAsia" w:ascii="宋体" w:hAnsi="宋体" w:eastAsia="宋体" w:cs="宋体"/>
          <w:highlight w:val="none"/>
        </w:rPr>
        <w:t>市场价格波动引起的调整</w:t>
      </w:r>
    </w:p>
    <w:p w14:paraId="1565D13F">
      <w:pPr>
        <w:pStyle w:val="28"/>
        <w:tabs>
          <w:tab w:val="left" w:pos="1486"/>
        </w:tabs>
        <w:adjustRightInd w:val="0"/>
        <w:snapToGrid w:val="0"/>
        <w:spacing w:line="380" w:lineRule="exact"/>
        <w:ind w:firstLine="720" w:firstLineChars="300"/>
        <w:jc w:val="left"/>
        <w:rPr>
          <w:rFonts w:ascii="宋体" w:hAnsi="宋体" w:cs="宋体"/>
          <w:color w:val="0000FF"/>
          <w:highlight w:val="none"/>
        </w:rPr>
      </w:pPr>
      <w:r>
        <w:rPr>
          <w:rFonts w:hint="eastAsia" w:ascii="宋体" w:hAnsi="宋体" w:cs="宋体"/>
          <w:highlight w:val="none"/>
        </w:rPr>
        <w:t>市场价格波动是否调整合同价格的约定：</w:t>
      </w:r>
      <w:r>
        <w:rPr>
          <w:rFonts w:ascii="宋体" w:hAnsi="宋体"/>
          <w:b/>
          <w:bCs/>
          <w:szCs w:val="21"/>
          <w:u w:val="single"/>
        </w:rPr>
        <w:t>分部分项及技术措施项目综合单价中的〔具体调整的材料（水泥、商品砼、砂、石子</w:t>
      </w:r>
      <w:r>
        <w:rPr>
          <w:rFonts w:hint="eastAsia" w:ascii="宋体" w:hAnsi="宋体"/>
          <w:b/>
          <w:bCs/>
          <w:szCs w:val="21"/>
          <w:u w:val="single"/>
        </w:rPr>
        <w:t>）〕</w:t>
      </w:r>
      <w:r>
        <w:rPr>
          <w:rFonts w:ascii="宋体" w:hAnsi="宋体"/>
          <w:b/>
          <w:bCs/>
          <w:szCs w:val="21"/>
          <w:u w:val="single"/>
        </w:rPr>
        <w:t>市场价格波动调整价格，再按投标含量调整综合单价；其余材料及人工市场价格波动不</w:t>
      </w:r>
      <w:r>
        <w:rPr>
          <w:rFonts w:hint="eastAsia" w:ascii="宋体" w:hAnsi="宋体"/>
          <w:b/>
          <w:bCs/>
          <w:szCs w:val="21"/>
          <w:u w:val="single"/>
        </w:rPr>
        <w:t>调整</w:t>
      </w:r>
      <w:r>
        <w:rPr>
          <w:rFonts w:ascii="宋体" w:hAnsi="宋体"/>
          <w:b/>
          <w:bCs/>
          <w:szCs w:val="21"/>
          <w:u w:val="single"/>
        </w:rPr>
        <w:t>。调整时间均为在合同工期范围内。</w:t>
      </w:r>
    </w:p>
    <w:p w14:paraId="319F111E">
      <w:pPr>
        <w:pStyle w:val="8"/>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因市场价格波动调整合同价格，采用以下第</w:t>
      </w:r>
      <w:r>
        <w:rPr>
          <w:rFonts w:hint="eastAsia" w:ascii="宋体" w:hAnsi="宋体" w:cs="宋体"/>
          <w:highlight w:val="none"/>
          <w:u w:val="single"/>
        </w:rPr>
        <w:t xml:space="preserve"> 2 </w:t>
      </w:r>
      <w:r>
        <w:rPr>
          <w:rFonts w:hint="eastAsia" w:ascii="宋体" w:hAnsi="宋体" w:cs="宋体"/>
          <w:highlight w:val="none"/>
        </w:rPr>
        <w:t xml:space="preserve"> 种方式对合同价格进行调整： </w:t>
      </w:r>
    </w:p>
    <w:p w14:paraId="7D4C35D5">
      <w:pPr>
        <w:pStyle w:val="8"/>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第 1 种方式：采用价格指数进行价格调整。</w:t>
      </w:r>
    </w:p>
    <w:p w14:paraId="21E108AC">
      <w:pPr>
        <w:pStyle w:val="8"/>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关于各可调因子、定值和变值权重，以及基本价格指数及其来源的约定：</w:t>
      </w:r>
      <w:r>
        <w:rPr>
          <w:rFonts w:hint="eastAsia" w:ascii="宋体" w:hAnsi="宋体" w:cs="宋体"/>
          <w:highlight w:val="none"/>
          <w:u w:val="single"/>
        </w:rPr>
        <w:t xml:space="preserve">     /    </w:t>
      </w:r>
      <w:r>
        <w:rPr>
          <w:rFonts w:hint="eastAsia" w:ascii="宋体" w:hAnsi="宋体" w:cs="宋体"/>
          <w:highlight w:val="none"/>
        </w:rPr>
        <w:t>；</w:t>
      </w:r>
    </w:p>
    <w:p w14:paraId="6F6EED6D">
      <w:pPr>
        <w:pStyle w:val="8"/>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textAlignment w:val="auto"/>
        <w:outlineLvl w:val="9"/>
        <w:rPr>
          <w:rFonts w:hint="eastAsia" w:ascii="宋体" w:hAnsi="宋体" w:cs="宋体"/>
          <w:highlight w:val="none"/>
        </w:rPr>
      </w:pPr>
      <w:r>
        <w:rPr>
          <w:rFonts w:hint="eastAsia" w:ascii="宋体" w:hAnsi="宋体" w:cs="宋体"/>
          <w:highlight w:val="none"/>
        </w:rPr>
        <w:t>第 2 种方式：采用造价信息进行价格调整。</w:t>
      </w:r>
    </w:p>
    <w:p w14:paraId="007DC5A5">
      <w:pPr>
        <w:pStyle w:val="8"/>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ind w:left="0" w:leftChars="0" w:firstLine="480" w:firstLineChars="200"/>
        <w:textAlignment w:val="auto"/>
        <w:outlineLvl w:val="9"/>
        <w:rPr>
          <w:rFonts w:hint="eastAsia" w:ascii="Calibri" w:hAnsi="Calibri" w:eastAsia="宋体" w:cs="Times New Roman"/>
          <w:sz w:val="24"/>
          <w:szCs w:val="24"/>
          <w:u w:val="single"/>
          <w:lang w:val="en-US" w:eastAsia="zh-CN" w:bidi="ar-SA"/>
        </w:rPr>
      </w:pPr>
      <w:r>
        <w:rPr>
          <w:rFonts w:hint="eastAsia" w:ascii="Calibri" w:hAnsi="Calibri" w:eastAsia="宋体" w:cs="Times New Roman"/>
          <w:sz w:val="24"/>
          <w:szCs w:val="24"/>
          <w:u w:val="single"/>
          <w:lang w:val="en-US" w:eastAsia="zh-CN" w:bidi="ar-SA"/>
        </w:rPr>
        <w:t>（1）关于基准价格的约定：A1=编制招标控制价（预算审核书）时所采用 《台州造价》（工程所在地）对应的人工、材料价格。</w:t>
      </w:r>
    </w:p>
    <w:p w14:paraId="6C9984F3">
      <w:pPr>
        <w:spacing w:line="360" w:lineRule="exact"/>
        <w:ind w:firstLine="480" w:firstLineChars="200"/>
        <w:rPr>
          <w:rFonts w:hint="eastAsia"/>
          <w:u w:val="single"/>
        </w:rPr>
      </w:pPr>
      <w:r>
        <w:rPr>
          <w:u w:val="single"/>
        </w:rPr>
        <w:t>（2）市场价格约定：A2＝</w:t>
      </w:r>
      <w:r>
        <w:rPr>
          <w:rFonts w:hint="eastAsia"/>
          <w:u w:val="single"/>
        </w:rPr>
        <w:t>施工期所对应的</w:t>
      </w:r>
      <w:r>
        <w:rPr>
          <w:rFonts w:hint="eastAsia"/>
          <w:szCs w:val="21"/>
          <w:u w:val="single"/>
        </w:rPr>
        <w:t>《台州造价》（正刊）三门信息价所对应的材料（人工）信息价算术平均价。</w:t>
      </w:r>
    </w:p>
    <w:p w14:paraId="7556A3A8">
      <w:pPr>
        <w:pStyle w:val="8"/>
        <w:spacing w:after="0" w:line="360" w:lineRule="exact"/>
        <w:ind w:firstLine="480" w:firstLineChars="200"/>
        <w:rPr>
          <w:rFonts w:hint="eastAsia"/>
          <w:u w:val="single"/>
        </w:rPr>
      </w:pPr>
      <w:r>
        <w:rPr>
          <w:u w:val="single"/>
        </w:rPr>
        <w:t xml:space="preserve">（3）调整方法 </w:t>
      </w:r>
    </w:p>
    <w:p w14:paraId="54CABE87">
      <w:pPr>
        <w:pStyle w:val="8"/>
        <w:spacing w:after="0" w:line="360" w:lineRule="exact"/>
        <w:ind w:firstLine="360" w:firstLineChars="150"/>
        <w:rPr>
          <w:rFonts w:hint="eastAsia" w:ascii="宋体" w:hAnsi="宋体"/>
          <w:u w:val="single"/>
        </w:rPr>
      </w:pPr>
      <w:r>
        <w:rPr>
          <w:rFonts w:ascii="宋体" w:hAnsi="宋体"/>
          <w:u w:val="single"/>
        </w:rPr>
        <w:t xml:space="preserve">a.当 A2＞A1 时，该材料（人工）结算单价按超出的金额调增，即该材 料（人工）结算单价=承包人的投标单价+（A2－A1）； </w:t>
      </w:r>
    </w:p>
    <w:p w14:paraId="59C4BA0F">
      <w:pPr>
        <w:pStyle w:val="8"/>
        <w:spacing w:after="0" w:line="360" w:lineRule="exact"/>
        <w:ind w:firstLine="360" w:firstLineChars="150"/>
        <w:rPr>
          <w:rFonts w:hint="eastAsia" w:ascii="宋体" w:hAnsi="宋体"/>
          <w:u w:val="single"/>
        </w:rPr>
      </w:pPr>
      <w:r>
        <w:rPr>
          <w:rFonts w:ascii="宋体" w:hAnsi="宋体"/>
          <w:u w:val="single"/>
        </w:rPr>
        <w:t xml:space="preserve">b.当 A2＜A1 时，该材料（人工）结算单价按低于的金额调减，即该材 料（人工）结算单价=承包人的投标单价－（A1－A2）； </w:t>
      </w:r>
    </w:p>
    <w:p w14:paraId="56136351">
      <w:pPr>
        <w:pStyle w:val="8"/>
        <w:spacing w:after="0" w:line="360" w:lineRule="exact"/>
        <w:ind w:firstLine="360" w:firstLineChars="150"/>
        <w:rPr>
          <w:rFonts w:ascii="宋体" w:hAnsi="宋体"/>
        </w:rPr>
      </w:pPr>
      <w:r>
        <w:rPr>
          <w:rFonts w:ascii="宋体" w:hAnsi="宋体"/>
          <w:u w:val="single"/>
        </w:rPr>
        <w:t>c.当 A2＝A1 时，该材料（人工）结算单价不作调整。</w:t>
      </w:r>
    </w:p>
    <w:p w14:paraId="602C3E4E">
      <w:pPr>
        <w:pStyle w:val="8"/>
        <w:keepNext w:val="0"/>
        <w:keepLines w:val="0"/>
        <w:pageBreakBefore w:val="0"/>
        <w:widowControl w:val="0"/>
        <w:tabs>
          <w:tab w:val="left" w:pos="4953"/>
          <w:tab w:val="left" w:pos="6316"/>
        </w:tabs>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第 3 种方式：其他价格调整方式：</w:t>
      </w:r>
      <w:r>
        <w:rPr>
          <w:rFonts w:hint="eastAsia" w:ascii="宋体" w:hAnsi="宋体" w:cs="宋体"/>
          <w:highlight w:val="none"/>
          <w:u w:val="single"/>
        </w:rPr>
        <w:t xml:space="preserve"> </w:t>
      </w:r>
      <w:r>
        <w:rPr>
          <w:rFonts w:hint="eastAsia" w:ascii="宋体" w:hAnsi="宋体" w:cs="宋体"/>
          <w:highlight w:val="none"/>
          <w:u w:val="single"/>
        </w:rPr>
        <w:tab/>
      </w:r>
      <w:r>
        <w:rPr>
          <w:rFonts w:hint="eastAsia" w:ascii="宋体" w:hAnsi="宋体" w:cs="宋体"/>
          <w:highlight w:val="none"/>
          <w:u w:val="single"/>
        </w:rPr>
        <w:t>/</w:t>
      </w:r>
      <w:r>
        <w:rPr>
          <w:rFonts w:hint="eastAsia" w:ascii="宋体" w:hAnsi="宋体" w:cs="宋体"/>
          <w:highlight w:val="none"/>
          <w:u w:val="single"/>
        </w:rPr>
        <w:tab/>
      </w:r>
      <w:r>
        <w:rPr>
          <w:rFonts w:hint="eastAsia" w:ascii="宋体" w:hAnsi="宋体" w:cs="宋体"/>
          <w:highlight w:val="none"/>
        </w:rPr>
        <w:t>。</w:t>
      </w:r>
    </w:p>
    <w:p w14:paraId="7E8F1530">
      <w:pPr>
        <w:pStyle w:val="28"/>
        <w:keepNext w:val="0"/>
        <w:keepLines w:val="0"/>
        <w:pageBreakBefore w:val="0"/>
        <w:widowControl w:val="0"/>
        <w:tabs>
          <w:tab w:val="left" w:pos="1591"/>
          <w:tab w:val="left" w:pos="1592"/>
        </w:tabs>
        <w:kinsoku/>
        <w:wordWrap/>
        <w:overflowPunct/>
        <w:topLinePunct w:val="0"/>
        <w:autoSpaceDE w:val="0"/>
        <w:autoSpaceDN w:val="0"/>
        <w:bidi w:val="0"/>
        <w:adjustRightInd w:val="0"/>
        <w:snapToGrid w:val="0"/>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11.2法律变化引起的调整：</w:t>
      </w:r>
      <w:r>
        <w:rPr>
          <w:rFonts w:hint="eastAsia" w:ascii="宋体" w:hAnsi="宋体" w:cs="宋体"/>
          <w:highlight w:val="none"/>
          <w:u w:val="single"/>
        </w:rPr>
        <w:t>基准日期以后变化由发包人承担，但由承包人原因导致工期延误时的法律变化引起合同价增加的由承包人承担，合同价下降的由发包人受益。</w:t>
      </w:r>
    </w:p>
    <w:bookmarkEnd w:id="410"/>
    <w:bookmarkEnd w:id="411"/>
    <w:bookmarkEnd w:id="412"/>
    <w:bookmarkEnd w:id="413"/>
    <w:bookmarkEnd w:id="414"/>
    <w:bookmarkEnd w:id="415"/>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14:paraId="6CD73B43">
      <w:pPr>
        <w:spacing w:before="0" w:after="0" w:line="400" w:lineRule="exact"/>
        <w:ind w:firstLine="480" w:firstLineChars="200"/>
        <w:outlineLvl w:val="9"/>
        <w:rPr>
          <w:rFonts w:ascii="宋体" w:hAnsi="宋体" w:eastAsia="宋体" w:cs="宋体"/>
          <w:sz w:val="24"/>
          <w:szCs w:val="24"/>
          <w:highlight w:val="none"/>
        </w:rPr>
      </w:pPr>
      <w:bookmarkStart w:id="523" w:name="_Toc296346706"/>
      <w:bookmarkStart w:id="524" w:name="_Toc296891245"/>
      <w:bookmarkStart w:id="525" w:name="_Toc292559915"/>
      <w:bookmarkStart w:id="526" w:name="_Toc296503205"/>
      <w:bookmarkStart w:id="527" w:name="_Toc297048391"/>
      <w:bookmarkStart w:id="528" w:name="_Toc296347204"/>
      <w:bookmarkStart w:id="529" w:name="_Toc297120505"/>
      <w:bookmarkStart w:id="530" w:name="_Toc292559410"/>
      <w:bookmarkStart w:id="531" w:name="_Toc296944544"/>
      <w:bookmarkStart w:id="532" w:name="_Toc296891033"/>
      <w:bookmarkStart w:id="533" w:name="_Toc351203644"/>
      <w:bookmarkStart w:id="534" w:name="_Toc297216211"/>
      <w:bookmarkStart w:id="535" w:name="_Toc304295579"/>
      <w:bookmarkStart w:id="536" w:name="_Toc300935002"/>
      <w:bookmarkStart w:id="537" w:name="_Toc297123552"/>
      <w:bookmarkStart w:id="538" w:name="_Toc303539159"/>
      <w:bookmarkStart w:id="539" w:name="_Toc312678040"/>
      <w:r>
        <w:rPr>
          <w:rFonts w:hint="eastAsia" w:ascii="宋体" w:hAnsi="宋体" w:eastAsia="宋体" w:cs="宋体"/>
          <w:sz w:val="24"/>
          <w:szCs w:val="24"/>
          <w:highlight w:val="none"/>
        </w:rPr>
        <w:t xml:space="preserve">12. </w:t>
      </w:r>
      <w:bookmarkEnd w:id="523"/>
      <w:bookmarkEnd w:id="524"/>
      <w:bookmarkEnd w:id="525"/>
      <w:bookmarkEnd w:id="526"/>
      <w:bookmarkEnd w:id="527"/>
      <w:bookmarkEnd w:id="528"/>
      <w:bookmarkEnd w:id="529"/>
      <w:bookmarkEnd w:id="530"/>
      <w:bookmarkEnd w:id="531"/>
      <w:bookmarkEnd w:id="532"/>
      <w:r>
        <w:rPr>
          <w:rFonts w:hint="eastAsia" w:ascii="宋体" w:hAnsi="宋体" w:eastAsia="宋体" w:cs="宋体"/>
          <w:sz w:val="24"/>
          <w:szCs w:val="24"/>
          <w:highlight w:val="none"/>
        </w:rPr>
        <w:t>合同价格、计量与支付</w:t>
      </w:r>
      <w:bookmarkEnd w:id="533"/>
    </w:p>
    <w:bookmarkEnd w:id="534"/>
    <w:bookmarkEnd w:id="535"/>
    <w:bookmarkEnd w:id="536"/>
    <w:bookmarkEnd w:id="537"/>
    <w:bookmarkEnd w:id="538"/>
    <w:bookmarkEnd w:id="539"/>
    <w:p w14:paraId="25311B52">
      <w:pPr>
        <w:spacing w:line="400" w:lineRule="exact"/>
        <w:ind w:firstLine="480" w:firstLineChars="200"/>
        <w:outlineLvl w:val="9"/>
        <w:rPr>
          <w:rFonts w:ascii="宋体" w:hAnsi="宋体" w:cs="宋体"/>
          <w:highlight w:val="none"/>
        </w:rPr>
      </w:pPr>
      <w:bookmarkStart w:id="540" w:name="_Toc292559411"/>
      <w:bookmarkStart w:id="541" w:name="_Toc267251461"/>
      <w:bookmarkStart w:id="542" w:name="_Toc292559916"/>
      <w:bookmarkStart w:id="543" w:name="_Toc296346707"/>
      <w:bookmarkStart w:id="544" w:name="_Toc296891034"/>
      <w:bookmarkStart w:id="545" w:name="_Toc296503206"/>
      <w:bookmarkStart w:id="546" w:name="_Toc297120506"/>
      <w:bookmarkStart w:id="547" w:name="_Toc296347205"/>
      <w:bookmarkStart w:id="548" w:name="_Toc296891246"/>
      <w:bookmarkStart w:id="549" w:name="_Toc297048392"/>
      <w:bookmarkStart w:id="550" w:name="_Toc296944545"/>
      <w:bookmarkStart w:id="551" w:name="_Toc312678041"/>
      <w:bookmarkStart w:id="552" w:name="_Toc297123553"/>
      <w:bookmarkStart w:id="553" w:name="_Toc303539160"/>
      <w:bookmarkStart w:id="554" w:name="_Toc300935003"/>
      <w:bookmarkStart w:id="555" w:name="_Toc304295580"/>
      <w:bookmarkStart w:id="556" w:name="_Toc297216212"/>
      <w:r>
        <w:rPr>
          <w:rFonts w:hint="eastAsia" w:ascii="宋体" w:hAnsi="宋体" w:cs="宋体"/>
          <w:highlight w:val="none"/>
        </w:rPr>
        <w:t>12.1 合</w:t>
      </w:r>
      <w:bookmarkEnd w:id="540"/>
      <w:bookmarkEnd w:id="541"/>
      <w:bookmarkEnd w:id="542"/>
      <w:r>
        <w:rPr>
          <w:rFonts w:hint="eastAsia" w:ascii="宋体" w:hAnsi="宋体" w:cs="宋体"/>
          <w:highlight w:val="none"/>
        </w:rPr>
        <w:t>同价</w:t>
      </w:r>
      <w:bookmarkEnd w:id="543"/>
      <w:bookmarkEnd w:id="544"/>
      <w:bookmarkEnd w:id="545"/>
      <w:bookmarkEnd w:id="546"/>
      <w:bookmarkEnd w:id="547"/>
      <w:bookmarkEnd w:id="548"/>
      <w:bookmarkEnd w:id="549"/>
      <w:bookmarkEnd w:id="550"/>
      <w:r>
        <w:rPr>
          <w:rFonts w:hint="eastAsia" w:ascii="宋体" w:hAnsi="宋体" w:cs="宋体"/>
          <w:highlight w:val="none"/>
        </w:rPr>
        <w:t>格形式</w:t>
      </w:r>
    </w:p>
    <w:p w14:paraId="46765F10">
      <w:pPr>
        <w:spacing w:line="400" w:lineRule="exact"/>
        <w:ind w:firstLine="480" w:firstLineChars="200"/>
        <w:outlineLvl w:val="9"/>
        <w:rPr>
          <w:rFonts w:ascii="宋体" w:hAnsi="宋体" w:cs="宋体"/>
          <w:highlight w:val="none"/>
        </w:rPr>
      </w:pPr>
      <w:r>
        <w:rPr>
          <w:rFonts w:hint="eastAsia" w:ascii="宋体" w:hAnsi="宋体" w:cs="宋体"/>
          <w:highlight w:val="none"/>
        </w:rPr>
        <w:t>本合同价款采用第</w:t>
      </w:r>
      <w:r>
        <w:rPr>
          <w:rFonts w:hint="eastAsia" w:ascii="宋体" w:hAnsi="宋体" w:cs="宋体"/>
          <w:highlight w:val="none"/>
          <w:u w:val="single"/>
        </w:rPr>
        <w:t xml:space="preserve">  1  </w:t>
      </w:r>
      <w:r>
        <w:rPr>
          <w:rFonts w:hint="eastAsia" w:ascii="宋体" w:hAnsi="宋体" w:cs="宋体"/>
          <w:highlight w:val="none"/>
        </w:rPr>
        <w:t>种方式</w:t>
      </w:r>
      <w:r>
        <w:rPr>
          <w:rFonts w:hint="eastAsia" w:ascii="宋体" w:hAnsi="宋体" w:cs="宋体"/>
          <w:highlight w:val="none"/>
          <w:u w:val="single"/>
        </w:rPr>
        <w:t xml:space="preserve">  单价合同   </w:t>
      </w:r>
      <w:r>
        <w:rPr>
          <w:rFonts w:hint="eastAsia" w:ascii="宋体" w:hAnsi="宋体" w:cs="宋体"/>
          <w:highlight w:val="none"/>
        </w:rPr>
        <w:t>确定。</w:t>
      </w:r>
    </w:p>
    <w:bookmarkEnd w:id="551"/>
    <w:bookmarkEnd w:id="552"/>
    <w:bookmarkEnd w:id="553"/>
    <w:bookmarkEnd w:id="554"/>
    <w:bookmarkEnd w:id="555"/>
    <w:bookmarkEnd w:id="556"/>
    <w:p w14:paraId="053260CF">
      <w:pPr>
        <w:spacing w:line="400" w:lineRule="exact"/>
        <w:ind w:firstLine="480" w:firstLineChars="200"/>
        <w:outlineLvl w:val="9"/>
        <w:rPr>
          <w:rFonts w:ascii="宋体" w:hAnsi="宋体" w:cs="宋体"/>
          <w:highlight w:val="none"/>
        </w:rPr>
      </w:pPr>
      <w:r>
        <w:rPr>
          <w:rFonts w:hint="eastAsia" w:ascii="宋体" w:hAnsi="宋体" w:cs="宋体"/>
          <w:highlight w:val="none"/>
        </w:rPr>
        <w:t>1．单价合同。</w:t>
      </w:r>
    </w:p>
    <w:p w14:paraId="51702766">
      <w:pPr>
        <w:spacing w:line="400" w:lineRule="exact"/>
        <w:ind w:firstLine="480" w:firstLineChars="200"/>
        <w:outlineLvl w:val="9"/>
      </w:pPr>
      <w:r>
        <w:rPr>
          <w:rFonts w:hint="eastAsia" w:ascii="宋体" w:hAnsi="宋体" w:cs="宋体"/>
          <w:highlight w:val="none"/>
        </w:rPr>
        <w:t>综合单价包含的风险范围：</w:t>
      </w:r>
    </w:p>
    <w:p w14:paraId="5C053127">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本工程结算</w:t>
      </w:r>
      <w:r>
        <w:rPr>
          <w:rFonts w:hint="eastAsia" w:ascii="宋体" w:hAnsi="宋体" w:cs="宋体"/>
          <w:color w:val="auto"/>
          <w:highlight w:val="none"/>
          <w:u w:val="single"/>
        </w:rPr>
        <w:t>价的计算方式同投标价。除风险范围以外约定的调整外，以下内容按承包人的投标承诺不作调整：</w:t>
      </w:r>
    </w:p>
    <w:p w14:paraId="4D6A7837">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（1）综合单价；</w:t>
      </w:r>
    </w:p>
    <w:p w14:paraId="467BD13E">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（2）施工组织措施项目费的费项及费率；</w:t>
      </w:r>
    </w:p>
    <w:p w14:paraId="4A00AC90">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（3）规费费率、税金税率；</w:t>
      </w:r>
    </w:p>
    <w:p w14:paraId="3E05E383">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（4）计日工单价：技术工</w:t>
      </w:r>
      <w:r>
        <w:rPr>
          <w:rFonts w:hint="eastAsia" w:ascii="宋体" w:hAnsi="宋体" w:cs="宋体"/>
          <w:highlight w:val="none"/>
          <w:u w:val="single"/>
          <w:lang w:val="en-US" w:eastAsia="zh-CN"/>
        </w:rPr>
        <w:t>310</w:t>
      </w:r>
      <w:r>
        <w:rPr>
          <w:rFonts w:hint="eastAsia" w:ascii="宋体" w:hAnsi="宋体" w:cs="宋体"/>
          <w:highlight w:val="none"/>
          <w:u w:val="single"/>
        </w:rPr>
        <w:t>元/工日、普工20</w:t>
      </w:r>
      <w:r>
        <w:rPr>
          <w:rFonts w:hint="eastAsia" w:ascii="宋体" w:hAnsi="宋体" w:cs="宋体"/>
          <w:highlight w:val="none"/>
          <w:u w:val="single"/>
          <w:lang w:val="en-US" w:eastAsia="zh-CN"/>
        </w:rPr>
        <w:t>5</w:t>
      </w:r>
      <w:r>
        <w:rPr>
          <w:rFonts w:hint="eastAsia" w:ascii="宋体" w:hAnsi="宋体" w:cs="宋体"/>
          <w:highlight w:val="none"/>
          <w:u w:val="single"/>
        </w:rPr>
        <w:t>元/工日，工日数经发包人签证，该项费用仅另计算税金；</w:t>
      </w:r>
    </w:p>
    <w:p w14:paraId="3F67809E">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（5）以下可能发生的费用，已包含在合同价内，不再另行计取：</w:t>
      </w:r>
    </w:p>
    <w:p w14:paraId="29810B83">
      <w:pPr>
        <w:numPr>
          <w:ilvl w:val="0"/>
          <w:numId w:val="69"/>
        </w:numPr>
        <w:adjustRightInd/>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自备发电机、储水设施费用：包括由于停电、停水及施工用水加压而增加的费用。</w:t>
      </w:r>
    </w:p>
    <w:p w14:paraId="6D3D39DB">
      <w:pPr>
        <w:numPr>
          <w:ilvl w:val="0"/>
          <w:numId w:val="69"/>
        </w:numPr>
        <w:adjustRightInd/>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CF85066">
      <w:pPr>
        <w:numPr>
          <w:ilvl w:val="0"/>
          <w:numId w:val="69"/>
        </w:numPr>
        <w:adjustRightInd/>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实际施工中可能发生街道管理费、干扰费、环保费、占道押金等其它管理费。</w:t>
      </w:r>
    </w:p>
    <w:p w14:paraId="779D73CD">
      <w:pPr>
        <w:numPr>
          <w:ilvl w:val="0"/>
          <w:numId w:val="69"/>
        </w:numPr>
        <w:adjustRightInd/>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土方开挖及外运、处置及泥浆外运、处置按当地有关要求办理，施工过程中不管运距是否有变化，不再另行计取费用，承包人报价自行考虑。</w:t>
      </w:r>
    </w:p>
    <w:p w14:paraId="16F453DB">
      <w:pPr>
        <w:numPr>
          <w:ilvl w:val="0"/>
          <w:numId w:val="69"/>
        </w:numPr>
        <w:adjustRightInd/>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除合同另有规定外，承包人应在工程完工后竣工验收前，无条件清除施工区和生活区及其附近的施工废弃物，并按监理人批准的环境保护措施计划完成环境恢复。</w:t>
      </w:r>
    </w:p>
    <w:p w14:paraId="153BD0F4">
      <w:pPr>
        <w:numPr>
          <w:ilvl w:val="0"/>
          <w:numId w:val="69"/>
        </w:numPr>
        <w:adjustRightInd/>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建筑垃圾外运应按当地有关要求办理，如垃圾运至指定地点集中处理等。建筑垃圾外运及场地清理费用发生的费用已包含在合同价内，不再另行计取。</w:t>
      </w:r>
    </w:p>
    <w:p w14:paraId="67B03AE4">
      <w:pPr>
        <w:numPr>
          <w:ilvl w:val="0"/>
          <w:numId w:val="69"/>
        </w:numPr>
        <w:autoSpaceDE w:val="0"/>
        <w:autoSpaceDN w:val="0"/>
        <w:spacing w:line="360" w:lineRule="exact"/>
        <w:ind w:left="425" w:leftChars="0" w:hanging="425" w:firstLineChars="0"/>
        <w:rPr>
          <w:rFonts w:ascii="宋体" w:hAnsi="宋体"/>
          <w:b/>
          <w:bCs/>
          <w:color w:val="auto"/>
          <w:szCs w:val="21"/>
          <w:u w:val="single"/>
        </w:rPr>
      </w:pPr>
      <w:r>
        <w:rPr>
          <w:rFonts w:ascii="宋体" w:hAnsi="宋体"/>
          <w:b/>
          <w:bCs/>
          <w:color w:val="auto"/>
          <w:szCs w:val="21"/>
          <w:u w:val="single"/>
        </w:rPr>
        <w:t>商品砼、土方运输运距由承包人报价时综合考虑，施工过程中不管运距是否有变化，综合单价都不予调整。</w:t>
      </w:r>
    </w:p>
    <w:p w14:paraId="1886B18B">
      <w:pPr>
        <w:numPr>
          <w:ilvl w:val="0"/>
          <w:numId w:val="0"/>
        </w:numPr>
        <w:autoSpaceDE w:val="0"/>
        <w:autoSpaceDN w:val="0"/>
        <w:spacing w:line="360" w:lineRule="exact"/>
        <w:ind w:leftChars="0"/>
        <w:rPr>
          <w:rFonts w:hint="default" w:ascii="宋体" w:hAnsi="宋体"/>
          <w:b/>
          <w:bCs/>
          <w:color w:val="auto"/>
          <w:szCs w:val="21"/>
          <w:u w:val="single"/>
          <w:lang w:val="en-US" w:eastAsia="zh-CN"/>
        </w:rPr>
      </w:pPr>
      <w:r>
        <w:rPr>
          <w:rFonts w:hint="eastAsia" w:ascii="宋体" w:hAnsi="宋体"/>
          <w:b/>
          <w:bCs/>
          <w:color w:val="auto"/>
          <w:szCs w:val="21"/>
          <w:u w:val="single"/>
          <w:lang w:val="en-US" w:eastAsia="zh-CN"/>
        </w:rPr>
        <w:t>h.施工现场所需临时水源、电源的接入已包含在合同价内</w:t>
      </w:r>
      <w:r>
        <w:rPr>
          <w:rFonts w:hint="eastAsia" w:ascii="宋体" w:hAnsi="宋体"/>
          <w:b/>
          <w:bCs/>
          <w:color w:val="auto"/>
          <w:szCs w:val="21"/>
          <w:u w:val="single"/>
        </w:rPr>
        <w:t>。</w:t>
      </w:r>
    </w:p>
    <w:p w14:paraId="28166C10">
      <w:pPr>
        <w:autoSpaceDE w:val="0"/>
        <w:autoSpaceDN w:val="0"/>
        <w:spacing w:line="360" w:lineRule="exact"/>
        <w:rPr>
          <w:rFonts w:hint="eastAsia" w:ascii="宋体" w:hAnsi="宋体"/>
          <w:b/>
          <w:bCs/>
          <w:color w:val="auto"/>
          <w:szCs w:val="21"/>
          <w:u w:val="single"/>
        </w:rPr>
      </w:pPr>
      <w:r>
        <w:rPr>
          <w:rFonts w:hint="eastAsia" w:ascii="宋体" w:hAnsi="宋体"/>
          <w:b/>
          <w:bCs/>
          <w:color w:val="auto"/>
          <w:szCs w:val="21"/>
          <w:u w:val="single"/>
          <w:lang w:val="en-US" w:eastAsia="zh-CN"/>
        </w:rPr>
        <w:t>i</w:t>
      </w:r>
      <w:r>
        <w:rPr>
          <w:rFonts w:hint="eastAsia" w:ascii="宋体" w:hAnsi="宋体"/>
          <w:b/>
          <w:bCs/>
          <w:color w:val="auto"/>
          <w:szCs w:val="21"/>
          <w:u w:val="single"/>
        </w:rPr>
        <w:t>.本项目中关于土石方挖方量、回填量、拆除利旧的量，</w:t>
      </w:r>
      <w:r>
        <w:rPr>
          <w:rFonts w:hint="eastAsia" w:ascii="宋体" w:hAnsi="宋体"/>
          <w:b/>
          <w:bCs/>
          <w:color w:val="auto"/>
          <w:szCs w:val="21"/>
          <w:u w:val="single"/>
          <w:lang w:val="en-US" w:eastAsia="zh-CN"/>
        </w:rPr>
        <w:t>施工中充分考虑土方沉降因素，</w:t>
      </w:r>
      <w:r>
        <w:rPr>
          <w:rFonts w:hint="eastAsia" w:ascii="宋体" w:hAnsi="宋体"/>
          <w:b/>
          <w:bCs/>
          <w:color w:val="auto"/>
          <w:szCs w:val="21"/>
          <w:u w:val="single"/>
        </w:rPr>
        <w:t>无论是否发生变化，含合同价内，不作调整。</w:t>
      </w:r>
    </w:p>
    <w:p w14:paraId="41310E87">
      <w:pPr>
        <w:autoSpaceDE w:val="0"/>
        <w:autoSpaceDN w:val="0"/>
        <w:spacing w:line="360" w:lineRule="exact"/>
        <w:rPr>
          <w:rFonts w:hint="eastAsia" w:ascii="宋体" w:hAnsi="宋体"/>
          <w:b/>
          <w:bCs/>
          <w:color w:val="auto"/>
          <w:szCs w:val="21"/>
          <w:u w:val="single"/>
          <w:lang w:val="zh-CN"/>
        </w:rPr>
      </w:pPr>
      <w:r>
        <w:rPr>
          <w:rFonts w:hint="eastAsia" w:ascii="宋体" w:hAnsi="宋体"/>
          <w:b/>
          <w:bCs/>
          <w:color w:val="auto"/>
          <w:szCs w:val="21"/>
          <w:u w:val="single"/>
          <w:lang w:val="en-US" w:eastAsia="zh-CN"/>
        </w:rPr>
        <w:t>j</w:t>
      </w:r>
      <w:r>
        <w:rPr>
          <w:rFonts w:hint="eastAsia" w:ascii="宋体" w:hAnsi="宋体"/>
          <w:b/>
          <w:bCs/>
          <w:color w:val="auto"/>
          <w:szCs w:val="21"/>
          <w:u w:val="single"/>
        </w:rPr>
        <w:t>.</w:t>
      </w:r>
      <w:r>
        <w:rPr>
          <w:rFonts w:hint="eastAsia" w:ascii="宋体" w:hAnsi="宋体"/>
          <w:b/>
          <w:bCs/>
          <w:color w:val="auto"/>
          <w:szCs w:val="21"/>
          <w:u w:val="single"/>
          <w:lang w:val="zh-CN"/>
        </w:rPr>
        <w:t>意向苗圃确定后，苗木需经</w:t>
      </w:r>
      <w:r>
        <w:rPr>
          <w:rFonts w:hint="eastAsia" w:ascii="宋体" w:hAnsi="宋体"/>
          <w:b/>
          <w:bCs/>
          <w:color w:val="auto"/>
          <w:szCs w:val="21"/>
          <w:u w:val="single"/>
          <w:lang w:val="en-US" w:eastAsia="zh-CN"/>
        </w:rPr>
        <w:t>发包人</w:t>
      </w:r>
      <w:r>
        <w:rPr>
          <w:rFonts w:hint="eastAsia" w:ascii="宋体" w:hAnsi="宋体"/>
          <w:b/>
          <w:bCs/>
          <w:color w:val="auto"/>
          <w:szCs w:val="21"/>
          <w:u w:val="single"/>
          <w:lang w:val="zh-CN"/>
        </w:rPr>
        <w:t>、监理现场确认后才可采购。</w:t>
      </w:r>
    </w:p>
    <w:p w14:paraId="5416C782">
      <w:pPr>
        <w:spacing w:line="360" w:lineRule="exact"/>
        <w:rPr>
          <w:rFonts w:hint="eastAsia"/>
          <w:b/>
          <w:bCs/>
          <w:color w:val="auto"/>
          <w:szCs w:val="21"/>
          <w:u w:val="single"/>
          <w:lang w:val="zh-CN"/>
        </w:rPr>
      </w:pPr>
      <w:r>
        <w:rPr>
          <w:rFonts w:hint="eastAsia"/>
          <w:b/>
          <w:bCs/>
          <w:color w:val="auto"/>
          <w:szCs w:val="21"/>
          <w:u w:val="single"/>
          <w:lang w:val="en-US" w:eastAsia="zh-CN"/>
        </w:rPr>
        <w:t>k</w:t>
      </w:r>
      <w:r>
        <w:rPr>
          <w:rFonts w:hint="eastAsia"/>
          <w:b/>
          <w:bCs/>
          <w:color w:val="auto"/>
          <w:szCs w:val="21"/>
          <w:u w:val="single"/>
          <w:lang w:val="zh-CN"/>
        </w:rPr>
        <w:t>. 预算审核书中的苗木规格应为修剪后的苗木规格，所有苗木不得采用杀头苗。</w:t>
      </w:r>
    </w:p>
    <w:p w14:paraId="75AE85EF">
      <w:pPr>
        <w:spacing w:line="360" w:lineRule="exact"/>
        <w:rPr>
          <w:rFonts w:hint="eastAsia"/>
          <w:b/>
          <w:bCs/>
          <w:color w:val="auto"/>
          <w:szCs w:val="21"/>
          <w:u w:val="single"/>
          <w:lang w:val="zh-CN"/>
        </w:rPr>
      </w:pPr>
      <w:r>
        <w:rPr>
          <w:rFonts w:hint="eastAsia"/>
          <w:b/>
          <w:bCs/>
          <w:color w:val="auto"/>
          <w:szCs w:val="21"/>
          <w:u w:val="single"/>
          <w:lang w:val="en-US" w:eastAsia="zh-CN"/>
        </w:rPr>
        <w:t>l</w:t>
      </w:r>
      <w:r>
        <w:rPr>
          <w:rFonts w:hint="eastAsia"/>
          <w:b/>
          <w:bCs/>
          <w:color w:val="auto"/>
          <w:szCs w:val="21"/>
          <w:u w:val="single"/>
          <w:lang w:val="zh-CN"/>
        </w:rPr>
        <w:t>. 绿化种植苗木损耗已包含在合同价内，不再另行计取。</w:t>
      </w:r>
    </w:p>
    <w:p w14:paraId="023FD81E">
      <w:pPr>
        <w:pStyle w:val="8"/>
        <w:spacing w:after="0" w:line="360" w:lineRule="exact"/>
        <w:ind w:left="0" w:leftChars="0" w:firstLine="0" w:firstLineChars="0"/>
        <w:rPr>
          <w:rFonts w:hint="eastAsia"/>
          <w:b/>
          <w:bCs/>
          <w:color w:val="auto"/>
          <w:szCs w:val="21"/>
          <w:u w:val="single"/>
        </w:rPr>
      </w:pPr>
      <w:r>
        <w:rPr>
          <w:rFonts w:hint="eastAsia"/>
          <w:b/>
          <w:bCs/>
          <w:color w:val="auto"/>
          <w:szCs w:val="21"/>
          <w:u w:val="single"/>
          <w:lang w:val="en-US" w:eastAsia="zh-CN"/>
        </w:rPr>
        <w:t>m</w:t>
      </w:r>
      <w:r>
        <w:rPr>
          <w:rFonts w:hint="eastAsia"/>
          <w:b/>
          <w:bCs/>
          <w:color w:val="auto"/>
          <w:szCs w:val="21"/>
          <w:u w:val="single"/>
        </w:rPr>
        <w:t>.养护期内死亡的花草苗木由承包方及时免费补种（补种的花草苗木按发包人要求的标准，并经发包人认可），补种的花草苗木尚需负责养护一年。承包人在养护期间应组织养护队伍进行日常养护，及时除去杂草和修剪、施肥、浇水、有效防治病虫害等，确保绿化效果。</w:t>
      </w:r>
    </w:p>
    <w:p w14:paraId="0ABF80E3">
      <w:pPr>
        <w:autoSpaceDE w:val="0"/>
        <w:autoSpaceDN w:val="0"/>
        <w:spacing w:line="360" w:lineRule="exact"/>
        <w:rPr>
          <w:rFonts w:hint="eastAsia" w:ascii="宋体" w:hAnsi="宋体"/>
          <w:b/>
          <w:bCs/>
          <w:color w:val="auto"/>
          <w:szCs w:val="21"/>
          <w:u w:val="single"/>
        </w:rPr>
      </w:pPr>
      <w:r>
        <w:rPr>
          <w:rFonts w:hint="eastAsia" w:ascii="宋体" w:hAnsi="宋体"/>
          <w:b/>
          <w:bCs/>
          <w:color w:val="auto"/>
          <w:szCs w:val="21"/>
          <w:u w:val="single"/>
          <w:lang w:val="en-US" w:eastAsia="zh-CN"/>
        </w:rPr>
        <w:t>n.施工范围内原有绿化、建筑物，承包人应配合处置，费用</w:t>
      </w:r>
      <w:r>
        <w:rPr>
          <w:rFonts w:hint="eastAsia" w:ascii="宋体" w:hAnsi="宋体"/>
          <w:b/>
          <w:bCs/>
          <w:color w:val="auto"/>
          <w:szCs w:val="21"/>
          <w:u w:val="single"/>
        </w:rPr>
        <w:t>不再另行计取。</w:t>
      </w:r>
    </w:p>
    <w:p w14:paraId="183050E0">
      <w:pPr>
        <w:autoSpaceDE w:val="0"/>
        <w:autoSpaceDN w:val="0"/>
        <w:spacing w:line="360" w:lineRule="exact"/>
        <w:rPr>
          <w:rFonts w:hint="default" w:ascii="宋体" w:hAnsi="宋体"/>
          <w:b/>
          <w:bCs/>
          <w:color w:val="auto"/>
          <w:szCs w:val="21"/>
          <w:u w:val="single"/>
          <w:lang w:val="en-US" w:eastAsia="zh-CN"/>
        </w:rPr>
      </w:pPr>
      <w:r>
        <w:rPr>
          <w:rFonts w:hint="eastAsia" w:ascii="宋体" w:hAnsi="宋体"/>
          <w:b/>
          <w:bCs/>
          <w:color w:val="auto"/>
          <w:szCs w:val="21"/>
          <w:u w:val="single"/>
          <w:lang w:val="en-US" w:eastAsia="zh-CN"/>
        </w:rPr>
        <w:t>O.本项目中成品坐凳、成品垃圾桶、</w:t>
      </w:r>
      <w:r>
        <w:rPr>
          <w:rFonts w:hint="eastAsia" w:ascii="宋体" w:hAnsi="宋体"/>
          <w:b/>
          <w:bCs/>
          <w:color w:val="auto"/>
          <w:szCs w:val="21"/>
          <w:u w:val="single"/>
        </w:rPr>
        <w:t>导视牌</w:t>
      </w:r>
      <w:r>
        <w:rPr>
          <w:rFonts w:hint="eastAsia" w:ascii="宋体" w:hAnsi="宋体"/>
          <w:b/>
          <w:bCs/>
          <w:color w:val="auto"/>
          <w:szCs w:val="21"/>
          <w:u w:val="single"/>
          <w:lang w:eastAsia="zh-CN"/>
        </w:rPr>
        <w:t>、</w:t>
      </w:r>
      <w:r>
        <w:rPr>
          <w:rFonts w:hint="eastAsia" w:ascii="宋体" w:hAnsi="宋体"/>
          <w:b/>
          <w:bCs/>
          <w:color w:val="auto"/>
          <w:szCs w:val="21"/>
          <w:u w:val="single"/>
          <w:lang w:val="en-US" w:eastAsia="zh-CN"/>
        </w:rPr>
        <w:t>灯具的样式经发包人确认后方可采购施工。</w:t>
      </w:r>
    </w:p>
    <w:p w14:paraId="67EF6C1F">
      <w:pPr>
        <w:adjustRightInd/>
        <w:spacing w:line="400" w:lineRule="exact"/>
        <w:ind w:firstLine="480" w:firstLineChars="200"/>
        <w:outlineLvl w:val="9"/>
        <w:rPr>
          <w:rFonts w:ascii="宋体" w:hAnsi="宋体" w:cs="宋体"/>
          <w:highlight w:val="none"/>
        </w:rPr>
      </w:pPr>
      <w:r>
        <w:rPr>
          <w:rFonts w:hint="eastAsia" w:ascii="宋体" w:hAnsi="宋体" w:cs="宋体"/>
          <w:highlight w:val="none"/>
        </w:rPr>
        <w:t>风险费用的计算方法：</w:t>
      </w:r>
      <w:r>
        <w:rPr>
          <w:rFonts w:hint="eastAsia" w:ascii="宋体" w:hAnsi="宋体" w:cs="宋体"/>
          <w:highlight w:val="none"/>
          <w:u w:val="single"/>
        </w:rPr>
        <w:t>已包含在合同价内</w:t>
      </w:r>
      <w:r>
        <w:rPr>
          <w:rFonts w:hint="eastAsia" w:ascii="宋体" w:hAnsi="宋体" w:cs="宋体"/>
          <w:highlight w:val="none"/>
        </w:rPr>
        <w:t>。</w:t>
      </w:r>
    </w:p>
    <w:p w14:paraId="4BBBB871">
      <w:pPr>
        <w:spacing w:line="400" w:lineRule="exact"/>
        <w:ind w:firstLine="480" w:firstLineChars="200"/>
        <w:outlineLvl w:val="9"/>
        <w:rPr>
          <w:rFonts w:ascii="宋体" w:hAnsi="宋体" w:cs="宋体"/>
          <w:highlight w:val="none"/>
        </w:rPr>
      </w:pPr>
      <w:r>
        <w:rPr>
          <w:rFonts w:hint="eastAsia" w:ascii="宋体" w:hAnsi="宋体" w:cs="宋体"/>
          <w:highlight w:val="none"/>
        </w:rPr>
        <w:t>风险范围以外合同价格的调整方法：</w:t>
      </w:r>
    </w:p>
    <w:p w14:paraId="26D1935A">
      <w:pPr>
        <w:numPr>
          <w:ilvl w:val="0"/>
          <w:numId w:val="70"/>
        </w:numPr>
        <w:spacing w:line="400" w:lineRule="exact"/>
        <w:ind w:left="425" w:leftChars="0" w:hanging="425" w:firstLineChars="0"/>
        <w:outlineLvl w:val="9"/>
        <w:rPr>
          <w:rFonts w:hint="eastAsia" w:ascii="宋体" w:hAnsi="宋体" w:eastAsia="宋体" w:cs="宋体"/>
          <w:highlight w:val="none"/>
          <w:u w:val="single"/>
        </w:rPr>
      </w:pPr>
      <w:r>
        <w:rPr>
          <w:rFonts w:hint="eastAsia" w:ascii="宋体" w:hAnsi="宋体" w:eastAsia="宋体" w:cs="宋体"/>
          <w:highlight w:val="none"/>
          <w:u w:val="single"/>
        </w:rPr>
        <w:t>工程量按照专用条款12.3.1条规定，由承包人计量，发包人及委托的相关机构审核。</w:t>
      </w:r>
    </w:p>
    <w:p w14:paraId="64110DC1">
      <w:pPr>
        <w:numPr>
          <w:ilvl w:val="0"/>
          <w:numId w:val="70"/>
        </w:numPr>
        <w:spacing w:line="400" w:lineRule="exact"/>
        <w:ind w:left="425" w:leftChars="0" w:hanging="425" w:firstLineChars="0"/>
        <w:outlineLvl w:val="9"/>
        <w:rPr>
          <w:rFonts w:ascii="宋体" w:hAnsi="宋体" w:cs="宋体"/>
          <w:highlight w:val="none"/>
          <w:u w:val="single"/>
          <w:lang w:val="zh-CN"/>
        </w:rPr>
      </w:pPr>
      <w:r>
        <w:rPr>
          <w:rFonts w:hint="eastAsia" w:ascii="宋体" w:hAnsi="宋体" w:cs="宋体"/>
          <w:highlight w:val="none"/>
          <w:u w:val="single"/>
        </w:rPr>
        <w:t>市场价格波动引起的调整按专用合同条款第11.1款的约定调整。</w:t>
      </w:r>
    </w:p>
    <w:p w14:paraId="7911CCD9">
      <w:pPr>
        <w:numPr>
          <w:ilvl w:val="0"/>
          <w:numId w:val="70"/>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因发包人提供的工程量清单项目工程数量计算偏差或工程变更引起的工程量增加，综合单价的确定按专用条款10.4.1条执行。</w:t>
      </w:r>
    </w:p>
    <w:p w14:paraId="654989C9">
      <w:pPr>
        <w:numPr>
          <w:ilvl w:val="0"/>
          <w:numId w:val="70"/>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40745BB9">
      <w:pPr>
        <w:numPr>
          <w:ilvl w:val="0"/>
          <w:numId w:val="70"/>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因非承包人原因的分部分项工程量清单漏项、错项、工程变更及清单工程量增减等，引起措施项目内容、工程数量发生变化，则调整措施项目费用：</w:t>
      </w:r>
    </w:p>
    <w:p w14:paraId="5A6D396A">
      <w:pPr>
        <w:keepNext w:val="0"/>
        <w:keepLines w:val="0"/>
        <w:pageBreakBefore w:val="0"/>
        <w:widowControl w:val="0"/>
        <w:numPr>
          <w:ilvl w:val="0"/>
          <w:numId w:val="71"/>
        </w:numPr>
        <w:kinsoku/>
        <w:wordWrap/>
        <w:overflowPunct/>
        <w:topLinePunct w:val="0"/>
        <w:autoSpaceDE w:val="0"/>
        <w:autoSpaceDN w:val="0"/>
        <w:bidi w:val="0"/>
        <w:adjustRightInd w:val="0"/>
        <w:snapToGrid/>
        <w:spacing w:line="400" w:lineRule="exact"/>
        <w:ind w:left="0" w:leftChars="0" w:firstLine="240" w:firstLineChars="100"/>
        <w:textAlignment w:val="auto"/>
        <w:outlineLvl w:val="9"/>
        <w:rPr>
          <w:rFonts w:ascii="宋体" w:hAnsi="宋体" w:cs="宋体"/>
          <w:highlight w:val="none"/>
          <w:u w:val="single"/>
        </w:rPr>
      </w:pPr>
      <w:r>
        <w:rPr>
          <w:rFonts w:hint="eastAsia" w:ascii="宋体" w:hAnsi="宋体" w:cs="宋体"/>
          <w:highlight w:val="none"/>
          <w:u w:val="single"/>
        </w:rPr>
        <w:t>采用综合单价计价的按专用条款第10.4.1条计算综合单价。</w:t>
      </w:r>
    </w:p>
    <w:p w14:paraId="7E594D94">
      <w:pPr>
        <w:keepNext w:val="0"/>
        <w:keepLines w:val="0"/>
        <w:pageBreakBefore w:val="0"/>
        <w:widowControl w:val="0"/>
        <w:numPr>
          <w:ilvl w:val="0"/>
          <w:numId w:val="71"/>
        </w:numPr>
        <w:kinsoku/>
        <w:wordWrap/>
        <w:overflowPunct/>
        <w:topLinePunct w:val="0"/>
        <w:autoSpaceDE w:val="0"/>
        <w:autoSpaceDN w:val="0"/>
        <w:bidi w:val="0"/>
        <w:adjustRightInd w:val="0"/>
        <w:snapToGrid/>
        <w:spacing w:line="400" w:lineRule="exact"/>
        <w:ind w:left="0" w:leftChars="0" w:firstLine="240" w:firstLineChars="100"/>
        <w:textAlignment w:val="auto"/>
        <w:outlineLvl w:val="9"/>
        <w:rPr>
          <w:rFonts w:ascii="宋体" w:hAnsi="宋体" w:cs="宋体"/>
          <w:highlight w:val="none"/>
          <w:u w:val="single"/>
        </w:rPr>
      </w:pPr>
      <w:r>
        <w:rPr>
          <w:rFonts w:hint="eastAsia" w:ascii="宋体" w:hAnsi="宋体" w:cs="宋体"/>
          <w:highlight w:val="none"/>
          <w:u w:val="single"/>
        </w:rPr>
        <w:t>计量单位采用以“项”计价的措施项目，工程量清单项目及工程数量变化引起措施变动部分重新组价。</w:t>
      </w:r>
    </w:p>
    <w:p w14:paraId="4AA431E1">
      <w:pPr>
        <w:keepNext w:val="0"/>
        <w:keepLines w:val="0"/>
        <w:pageBreakBefore w:val="0"/>
        <w:widowControl w:val="0"/>
        <w:numPr>
          <w:ilvl w:val="0"/>
          <w:numId w:val="71"/>
        </w:numPr>
        <w:kinsoku/>
        <w:wordWrap/>
        <w:overflowPunct/>
        <w:topLinePunct w:val="0"/>
        <w:autoSpaceDE w:val="0"/>
        <w:autoSpaceDN w:val="0"/>
        <w:bidi w:val="0"/>
        <w:adjustRightInd w:val="0"/>
        <w:snapToGrid/>
        <w:spacing w:line="400" w:lineRule="exact"/>
        <w:ind w:left="0" w:leftChars="0" w:firstLine="240" w:firstLineChars="100"/>
        <w:textAlignment w:val="auto"/>
        <w:outlineLvl w:val="9"/>
        <w:rPr>
          <w:rFonts w:ascii="宋体" w:hAnsi="宋体" w:cs="宋体"/>
          <w:highlight w:val="none"/>
          <w:u w:val="single"/>
        </w:rPr>
      </w:pPr>
      <w:r>
        <w:rPr>
          <w:rFonts w:hint="eastAsia" w:ascii="宋体" w:hAnsi="宋体" w:cs="宋体"/>
          <w:highlight w:val="none"/>
          <w:u w:val="single"/>
        </w:rPr>
        <w:t>施工组织措施项目，按合同约定费率内容，调整措施费用计算基数。</w:t>
      </w:r>
    </w:p>
    <w:p w14:paraId="666B6CDD">
      <w:pPr>
        <w:numPr>
          <w:ilvl w:val="0"/>
          <w:numId w:val="70"/>
        </w:numPr>
        <w:autoSpaceDE/>
        <w:autoSpaceDN/>
        <w:adjustRightInd/>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未在投标价中包含的专项施工方案（注：主要指超过一定规模的危险性较大的分部分项工程）的施工及论证费用，根据施工现场实际参照合同专用条款10.4.1款约定方法确定或签证。</w:t>
      </w:r>
      <w:r>
        <w:rPr>
          <w:rFonts w:hint="eastAsia" w:ascii="宋体" w:hAnsi="宋体" w:cs="宋体"/>
          <w:highlight w:val="none"/>
        </w:rPr>
        <w:t xml:space="preserve"> </w:t>
      </w:r>
    </w:p>
    <w:p w14:paraId="13CDAD6A">
      <w:pPr>
        <w:numPr>
          <w:ilvl w:val="0"/>
          <w:numId w:val="70"/>
        </w:numPr>
        <w:autoSpaceDE/>
        <w:autoSpaceDN/>
        <w:adjustRightInd/>
        <w:spacing w:line="400" w:lineRule="exact"/>
        <w:ind w:left="425" w:leftChars="0" w:hanging="425" w:firstLineChars="0"/>
        <w:outlineLvl w:val="9"/>
        <w:rPr>
          <w:rFonts w:ascii="宋体" w:hAnsi="宋体" w:cs="宋体"/>
          <w:highlight w:val="none"/>
          <w:u w:val="single"/>
        </w:rPr>
      </w:pPr>
      <w:r>
        <w:rPr>
          <w:rFonts w:hint="eastAsia" w:ascii="宋体" w:hAnsi="宋体" w:cs="宋体"/>
          <w:b/>
          <w:highlight w:val="none"/>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14:paraId="49B630F8">
      <w:pPr>
        <w:autoSpaceDE/>
        <w:autoSpaceDN/>
        <w:adjustRightInd/>
        <w:spacing w:line="400" w:lineRule="exact"/>
        <w:ind w:firstLine="482" w:firstLineChars="200"/>
        <w:outlineLvl w:val="9"/>
        <w:rPr>
          <w:rFonts w:ascii="宋体" w:hAnsi="宋体" w:cs="宋体"/>
          <w:b/>
          <w:bCs/>
          <w:highlight w:val="none"/>
        </w:rPr>
      </w:pPr>
      <w:bookmarkStart w:id="557" w:name="_Toc300935004"/>
      <w:bookmarkStart w:id="558" w:name="_Toc303539161"/>
      <w:bookmarkStart w:id="559" w:name="_Toc297216213"/>
      <w:bookmarkStart w:id="560" w:name="_Toc304295581"/>
      <w:bookmarkStart w:id="561" w:name="_Toc297123554"/>
      <w:bookmarkStart w:id="562" w:name="_Toc312678042"/>
      <w:r>
        <w:rPr>
          <w:rFonts w:hint="eastAsia" w:ascii="宋体" w:hAnsi="宋体" w:cs="宋体"/>
          <w:b/>
          <w:bCs/>
          <w:highlight w:val="none"/>
        </w:rPr>
        <w:t>12.2 预付款</w:t>
      </w:r>
    </w:p>
    <w:p w14:paraId="31EA028A">
      <w:pPr>
        <w:pStyle w:val="8"/>
        <w:autoSpaceDE/>
        <w:autoSpaceDN/>
        <w:adjustRightInd/>
        <w:spacing w:line="400" w:lineRule="exact"/>
        <w:outlineLvl w:val="9"/>
        <w:rPr>
          <w:rFonts w:ascii="宋体" w:hAnsi="宋体" w:cs="宋体"/>
          <w:b/>
          <w:bCs/>
          <w:highlight w:val="none"/>
        </w:rPr>
      </w:pPr>
      <w:r>
        <w:rPr>
          <w:rFonts w:hint="eastAsia" w:ascii="宋体" w:hAnsi="宋体" w:cs="宋体"/>
          <w:b/>
          <w:bCs/>
          <w:highlight w:val="none"/>
        </w:rPr>
        <w:t>12.2.1预付款的支付</w:t>
      </w:r>
    </w:p>
    <w:p w14:paraId="2884034A">
      <w:pPr>
        <w:pStyle w:val="8"/>
        <w:keepNext w:val="0"/>
        <w:keepLines w:val="0"/>
        <w:pageBreakBefore w:val="0"/>
        <w:widowControl w:val="0"/>
        <w:kinsoku/>
        <w:wordWrap/>
        <w:overflowPunct/>
        <w:topLinePunct w:val="0"/>
        <w:autoSpaceDE w:val="0"/>
        <w:autoSpaceDN w:val="0"/>
        <w:bidi w:val="0"/>
        <w:adjustRightInd w:val="0"/>
        <w:snapToGrid/>
        <w:spacing w:line="400" w:lineRule="exact"/>
        <w:ind w:left="0" w:firstLine="480" w:firstLineChars="200"/>
        <w:textAlignment w:val="auto"/>
        <w:outlineLvl w:val="9"/>
        <w:rPr>
          <w:rFonts w:ascii="宋体" w:hAnsi="宋体" w:cs="宋体"/>
          <w:highlight w:val="none"/>
          <w:u w:val="single"/>
        </w:rPr>
      </w:pPr>
      <w:r>
        <w:rPr>
          <w:rFonts w:hint="eastAsia" w:ascii="宋体" w:hAnsi="宋体" w:cs="宋体"/>
          <w:highlight w:val="none"/>
        </w:rPr>
        <w:t>预付款支付比例或金额：</w:t>
      </w:r>
      <w:r>
        <w:rPr>
          <w:rFonts w:hint="eastAsia" w:ascii="宋体" w:hAnsi="宋体" w:cs="宋体"/>
          <w:highlight w:val="none"/>
          <w:u w:val="single"/>
        </w:rPr>
        <w:t>签约合同价的10%，</w:t>
      </w:r>
      <w:r>
        <w:rPr>
          <w:rFonts w:hint="eastAsia"/>
          <w:u w:val="single"/>
        </w:rPr>
        <w:t>金额（    ）元</w:t>
      </w:r>
      <w:r>
        <w:rPr>
          <w:rFonts w:hint="eastAsia"/>
          <w:u w:val="single"/>
          <w:lang w:eastAsia="zh-CN"/>
        </w:rPr>
        <w:t>，</w:t>
      </w:r>
      <w:r>
        <w:rPr>
          <w:rFonts w:hint="eastAsia" w:ascii="宋体" w:hAnsi="宋体" w:cs="宋体"/>
          <w:highlight w:val="none"/>
          <w:u w:val="single"/>
        </w:rPr>
        <w:t>包含专用条款6.1.6条所列的安全文明施工费。</w:t>
      </w:r>
    </w:p>
    <w:p w14:paraId="1CAA2465">
      <w:pPr>
        <w:pStyle w:val="8"/>
        <w:spacing w:line="400" w:lineRule="exact"/>
        <w:outlineLvl w:val="9"/>
        <w:rPr>
          <w:rFonts w:ascii="宋体" w:hAnsi="宋体" w:cs="宋体"/>
          <w:highlight w:val="none"/>
        </w:rPr>
      </w:pPr>
      <w:r>
        <w:rPr>
          <w:rFonts w:hint="eastAsia" w:ascii="宋体" w:hAnsi="宋体" w:cs="宋体"/>
          <w:highlight w:val="none"/>
        </w:rPr>
        <w:t xml:space="preserve">预付款支付期限： </w:t>
      </w:r>
      <w:r>
        <w:rPr>
          <w:rFonts w:hint="eastAsia" w:ascii="宋体" w:hAnsi="宋体" w:cs="宋体"/>
          <w:highlight w:val="none"/>
          <w:u w:val="single"/>
        </w:rPr>
        <w:t xml:space="preserve">开工通知载明的开工日期7天前支付 </w:t>
      </w:r>
      <w:r>
        <w:rPr>
          <w:rFonts w:hint="eastAsia" w:ascii="宋体" w:hAnsi="宋体" w:cs="宋体"/>
          <w:highlight w:val="none"/>
        </w:rPr>
        <w:t>。</w:t>
      </w:r>
    </w:p>
    <w:p w14:paraId="41C2FB81">
      <w:pPr>
        <w:widowControl/>
        <w:spacing w:line="400" w:lineRule="exact"/>
        <w:ind w:firstLine="480" w:firstLineChars="200"/>
        <w:outlineLvl w:val="9"/>
        <w:rPr>
          <w:rFonts w:ascii="宋体" w:hAnsi="宋体" w:cs="宋体"/>
          <w:highlight w:val="none"/>
          <w:u w:val="single"/>
        </w:rPr>
      </w:pPr>
      <w:r>
        <w:rPr>
          <w:rFonts w:hint="eastAsia" w:ascii="宋体" w:hAnsi="宋体" w:cs="宋体"/>
          <w:highlight w:val="none"/>
        </w:rPr>
        <w:t>预付款扣回的方式：</w:t>
      </w:r>
      <w:r>
        <w:rPr>
          <w:rFonts w:hint="eastAsia" w:ascii="宋体" w:hAnsi="宋体" w:cs="宋体"/>
          <w:highlight w:val="none"/>
          <w:u w:val="single"/>
        </w:rPr>
        <w:t>不扣回。作为工程款，不抵扣每期应付进度款。</w:t>
      </w:r>
    </w:p>
    <w:bookmarkEnd w:id="557"/>
    <w:bookmarkEnd w:id="558"/>
    <w:bookmarkEnd w:id="559"/>
    <w:bookmarkEnd w:id="560"/>
    <w:bookmarkEnd w:id="561"/>
    <w:bookmarkEnd w:id="562"/>
    <w:p w14:paraId="5D54D23C">
      <w:pPr>
        <w:spacing w:line="400" w:lineRule="exact"/>
        <w:ind w:firstLine="480" w:firstLineChars="200"/>
        <w:outlineLvl w:val="9"/>
        <w:rPr>
          <w:rFonts w:ascii="宋体" w:hAnsi="宋体" w:cs="宋体"/>
          <w:highlight w:val="none"/>
        </w:rPr>
      </w:pPr>
      <w:r>
        <w:rPr>
          <w:rFonts w:hint="eastAsia" w:ascii="宋体" w:hAnsi="宋体" w:cs="宋体"/>
          <w:highlight w:val="none"/>
        </w:rPr>
        <w:t>12.2.2  预付款担保</w:t>
      </w:r>
    </w:p>
    <w:p w14:paraId="32CBF96A">
      <w:pPr>
        <w:spacing w:line="380" w:lineRule="exact"/>
        <w:ind w:firstLine="480" w:firstLineChars="200"/>
        <w:outlineLvl w:val="9"/>
        <w:rPr>
          <w:rFonts w:hint="default" w:eastAsia="宋体"/>
          <w:szCs w:val="21"/>
          <w:highlight w:val="none"/>
          <w:u w:val="single"/>
          <w:lang w:val="en-US" w:eastAsia="zh-CN"/>
        </w:rPr>
      </w:pPr>
      <w:r>
        <w:rPr>
          <w:rFonts w:hint="eastAsia"/>
          <w:szCs w:val="21"/>
          <w:highlight w:val="none"/>
        </w:rPr>
        <w:t>承包人提交预付款担保的期限：</w:t>
      </w:r>
      <w:r>
        <w:rPr>
          <w:rFonts w:hint="eastAsia"/>
          <w:szCs w:val="21"/>
          <w:highlight w:val="none"/>
          <w:u w:val="single"/>
        </w:rPr>
        <w:t xml:space="preserve">  </w:t>
      </w:r>
      <w:r>
        <w:rPr>
          <w:rFonts w:hint="eastAsia"/>
          <w:szCs w:val="21"/>
          <w:highlight w:val="none"/>
          <w:u w:val="single"/>
          <w:lang w:val="en-US" w:eastAsia="zh-CN"/>
        </w:rPr>
        <w:t xml:space="preserve">/  </w:t>
      </w:r>
    </w:p>
    <w:p w14:paraId="29DDD2FC">
      <w:pPr>
        <w:spacing w:line="380" w:lineRule="exact"/>
        <w:ind w:firstLine="480" w:firstLineChars="200"/>
        <w:outlineLvl w:val="9"/>
        <w:rPr>
          <w:szCs w:val="21"/>
          <w:highlight w:val="none"/>
          <w:u w:val="single"/>
        </w:rPr>
      </w:pPr>
      <w:r>
        <w:rPr>
          <w:rFonts w:hint="eastAsia"/>
          <w:szCs w:val="21"/>
          <w:highlight w:val="none"/>
        </w:rPr>
        <w:t>预付款担保的形式为：</w:t>
      </w:r>
      <w:r>
        <w:rPr>
          <w:rFonts w:hint="eastAsia"/>
          <w:szCs w:val="21"/>
          <w:highlight w:val="none"/>
          <w:u w:val="single"/>
          <w:lang w:val="en-US" w:eastAsia="zh-CN"/>
        </w:rPr>
        <w:t xml:space="preserve">  / </w:t>
      </w:r>
      <w:r>
        <w:rPr>
          <w:rFonts w:hint="eastAsia"/>
          <w:szCs w:val="21"/>
          <w:highlight w:val="none"/>
          <w:u w:val="single"/>
        </w:rPr>
        <w:t>。</w:t>
      </w:r>
    </w:p>
    <w:p w14:paraId="313A3869">
      <w:pPr>
        <w:spacing w:line="400" w:lineRule="exact"/>
        <w:ind w:firstLine="480" w:firstLineChars="200"/>
        <w:outlineLvl w:val="9"/>
        <w:rPr>
          <w:rFonts w:ascii="宋体" w:hAnsi="宋体" w:cs="宋体"/>
          <w:highlight w:val="none"/>
        </w:rPr>
      </w:pPr>
      <w:r>
        <w:rPr>
          <w:rFonts w:hint="eastAsia" w:ascii="宋体" w:hAnsi="宋体" w:cs="宋体"/>
          <w:highlight w:val="none"/>
        </w:rPr>
        <w:t>12.3 计量</w:t>
      </w:r>
    </w:p>
    <w:p w14:paraId="7D4EF3F9">
      <w:pPr>
        <w:spacing w:line="400" w:lineRule="exact"/>
        <w:ind w:firstLine="480" w:firstLineChars="200"/>
        <w:outlineLvl w:val="9"/>
        <w:rPr>
          <w:rFonts w:ascii="宋体" w:hAnsi="宋体" w:cs="宋体"/>
          <w:highlight w:val="none"/>
        </w:rPr>
      </w:pPr>
      <w:r>
        <w:rPr>
          <w:rFonts w:hint="eastAsia" w:ascii="宋体" w:hAnsi="宋体" w:cs="宋体"/>
          <w:highlight w:val="none"/>
        </w:rPr>
        <w:t>12.3.1 计量原则</w:t>
      </w:r>
    </w:p>
    <w:p w14:paraId="0288B5A5">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工程量计算按照实际完成施工图纸范围内和经发包人同意增加的施工内容按实计算，工程量计算规则按：</w:t>
      </w:r>
      <w:r>
        <w:rPr>
          <w:rFonts w:hint="eastAsia" w:ascii="宋体" w:hAnsi="宋体" w:cs="宋体"/>
          <w:highlight w:val="none"/>
          <w:u w:val="single"/>
          <w:lang w:eastAsia="zh-CN"/>
        </w:rPr>
        <w:t>《浙江省建设工程计价规则》（2018版）、</w:t>
      </w:r>
      <w:r>
        <w:rPr>
          <w:rFonts w:hint="eastAsia" w:ascii="宋体" w:hAnsi="宋体" w:cs="宋体"/>
          <w:highlight w:val="none"/>
          <w:u w:val="single"/>
        </w:rPr>
        <w:t>《浙江省房屋建筑与装饰工程预算定额》（2018版）、《浙江省市政工程预算定额》（2018版）、《浙江省园林绿化及仿古建筑工程预算定额》（2018版）、《市政工程工程量计算规范》 GB50857-2013、《房屋建筑与装饰工程工程量计算规范》 GB50854-2013、《园林绿化工程工程量计算规范》 GB50858-2013；《浙江省通用安装工程预算定额》（2018版）；《通用安装工程工程量计算规范》GB50856-2013及工程所在地现行的有关工程造价方面规定及发包人提供的工程量清单中说明的工程量计算规则计算，由承包人计量、发包人及有关部门审核。</w:t>
      </w:r>
    </w:p>
    <w:p w14:paraId="6A988722">
      <w:pPr>
        <w:spacing w:line="400" w:lineRule="exact"/>
        <w:ind w:firstLine="480" w:firstLineChars="200"/>
        <w:outlineLvl w:val="9"/>
        <w:rPr>
          <w:rFonts w:ascii="宋体" w:hAnsi="宋体" w:cs="宋体"/>
          <w:highlight w:val="none"/>
        </w:rPr>
      </w:pPr>
      <w:r>
        <w:rPr>
          <w:rFonts w:hint="eastAsia" w:ascii="宋体" w:hAnsi="宋体" w:cs="宋体"/>
          <w:highlight w:val="none"/>
        </w:rPr>
        <w:t>12.3.2 计量周期：</w:t>
      </w:r>
    </w:p>
    <w:p w14:paraId="7D254097">
      <w:pPr>
        <w:spacing w:line="400" w:lineRule="exact"/>
        <w:ind w:firstLine="480" w:firstLineChars="200"/>
        <w:outlineLvl w:val="9"/>
        <w:rPr>
          <w:rFonts w:ascii="宋体" w:hAnsi="宋体" w:cs="宋体"/>
          <w:highlight w:val="none"/>
        </w:rPr>
      </w:pPr>
      <w:r>
        <w:rPr>
          <w:rFonts w:hint="eastAsia" w:ascii="宋体" w:hAnsi="宋体" w:cs="宋体"/>
          <w:highlight w:val="none"/>
        </w:rPr>
        <w:t>关于计量周期的约定：</w:t>
      </w:r>
      <w:r>
        <w:rPr>
          <w:rFonts w:hint="eastAsia" w:ascii="宋体" w:hAnsi="宋体" w:cs="宋体"/>
          <w:highlight w:val="none"/>
          <w:u w:val="single"/>
        </w:rPr>
        <w:t xml:space="preserve"> 按月计量 </w:t>
      </w:r>
      <w:r>
        <w:rPr>
          <w:rFonts w:hint="eastAsia" w:ascii="宋体" w:hAnsi="宋体" w:cs="宋体"/>
          <w:highlight w:val="none"/>
        </w:rPr>
        <w:t>。</w:t>
      </w:r>
    </w:p>
    <w:p w14:paraId="39E49D01">
      <w:pPr>
        <w:spacing w:line="400" w:lineRule="exact"/>
        <w:ind w:firstLine="480" w:firstLineChars="200"/>
        <w:outlineLvl w:val="9"/>
        <w:rPr>
          <w:rFonts w:ascii="宋体" w:hAnsi="宋体" w:cs="宋体"/>
          <w:highlight w:val="none"/>
        </w:rPr>
      </w:pPr>
      <w:r>
        <w:rPr>
          <w:rFonts w:hint="eastAsia" w:ascii="宋体" w:hAnsi="宋体" w:cs="宋体"/>
          <w:highlight w:val="none"/>
        </w:rPr>
        <w:t>12.3.3 单价合同的计量</w:t>
      </w:r>
    </w:p>
    <w:p w14:paraId="0AA73FD2">
      <w:pPr>
        <w:spacing w:line="400" w:lineRule="exact"/>
        <w:ind w:firstLine="480" w:firstLineChars="200"/>
        <w:outlineLvl w:val="9"/>
        <w:rPr>
          <w:rFonts w:ascii="宋体" w:hAnsi="宋体" w:cs="宋体"/>
          <w:highlight w:val="none"/>
        </w:rPr>
      </w:pPr>
      <w:r>
        <w:rPr>
          <w:rFonts w:hint="eastAsia" w:ascii="宋体" w:hAnsi="宋体" w:cs="宋体"/>
          <w:highlight w:val="none"/>
        </w:rPr>
        <w:t>关于单价合同计量的约定：</w:t>
      </w:r>
      <w:r>
        <w:rPr>
          <w:rFonts w:hint="eastAsia" w:ascii="宋体" w:hAnsi="宋体" w:cs="宋体"/>
          <w:highlight w:val="none"/>
          <w:u w:val="single"/>
        </w:rPr>
        <w:t>按通用合同条款执行，但确认的工程量和单价仅作为本期工程款支付的依据</w:t>
      </w:r>
      <w:r>
        <w:rPr>
          <w:rFonts w:hint="eastAsia" w:ascii="宋体" w:hAnsi="宋体" w:cs="宋体"/>
          <w:highlight w:val="none"/>
        </w:rPr>
        <w:t>。</w:t>
      </w:r>
    </w:p>
    <w:p w14:paraId="50BA3D1D">
      <w:pPr>
        <w:spacing w:line="400" w:lineRule="exact"/>
        <w:ind w:firstLine="480" w:firstLineChars="200"/>
        <w:outlineLvl w:val="9"/>
        <w:rPr>
          <w:rFonts w:ascii="宋体" w:hAnsi="宋体" w:cs="宋体"/>
          <w:highlight w:val="none"/>
        </w:rPr>
      </w:pPr>
      <w:r>
        <w:rPr>
          <w:rFonts w:hint="eastAsia" w:ascii="宋体" w:hAnsi="宋体" w:cs="宋体"/>
          <w:highlight w:val="none"/>
        </w:rPr>
        <w:t>12.4 工程进度款支付</w:t>
      </w:r>
    </w:p>
    <w:p w14:paraId="74D01BCD">
      <w:pPr>
        <w:spacing w:line="400" w:lineRule="exact"/>
        <w:ind w:firstLine="480" w:firstLineChars="200"/>
        <w:outlineLvl w:val="9"/>
        <w:rPr>
          <w:rFonts w:ascii="宋体" w:hAnsi="宋体" w:cs="宋体"/>
          <w:highlight w:val="none"/>
        </w:rPr>
      </w:pPr>
      <w:bookmarkStart w:id="563" w:name="_Toc296503211"/>
      <w:bookmarkStart w:id="564" w:name="_Toc296944550"/>
      <w:bookmarkStart w:id="565" w:name="_Toc303539163"/>
      <w:bookmarkStart w:id="566" w:name="_Toc300935006"/>
      <w:bookmarkStart w:id="567" w:name="_Toc297120511"/>
      <w:bookmarkStart w:id="568" w:name="_Toc296891039"/>
      <w:bookmarkStart w:id="569" w:name="_Toc297048397"/>
      <w:bookmarkStart w:id="570" w:name="_Toc296347210"/>
      <w:bookmarkStart w:id="571" w:name="_Toc292559416"/>
      <w:bookmarkStart w:id="572" w:name="_Toc297123556"/>
      <w:bookmarkStart w:id="573" w:name="_Toc297216215"/>
      <w:bookmarkStart w:id="574" w:name="_Toc296891251"/>
      <w:bookmarkStart w:id="575" w:name="_Toc292559921"/>
      <w:bookmarkStart w:id="576" w:name="_Toc296346712"/>
      <w:r>
        <w:rPr>
          <w:rFonts w:hint="eastAsia" w:ascii="宋体" w:hAnsi="宋体" w:cs="宋体"/>
          <w:highlight w:val="none"/>
        </w:rPr>
        <w:t>12.4.1 付款周期</w:t>
      </w:r>
    </w:p>
    <w:p w14:paraId="33E0917D">
      <w:pPr>
        <w:spacing w:line="400" w:lineRule="exact"/>
        <w:ind w:firstLine="480" w:firstLineChars="200"/>
        <w:outlineLvl w:val="9"/>
        <w:rPr>
          <w:rFonts w:ascii="宋体" w:hAnsi="宋体" w:cs="宋体"/>
          <w:highlight w:val="none"/>
        </w:rPr>
      </w:pPr>
      <w:r>
        <w:rPr>
          <w:rFonts w:hint="eastAsia" w:ascii="宋体" w:hAnsi="宋体" w:cs="宋体"/>
          <w:highlight w:val="none"/>
        </w:rPr>
        <w:t>关于付款周期的约定：</w:t>
      </w:r>
      <w:r>
        <w:rPr>
          <w:rFonts w:hint="eastAsia" w:ascii="宋体" w:hAnsi="宋体" w:cs="宋体"/>
          <w:highlight w:val="none"/>
          <w:u w:val="single"/>
        </w:rPr>
        <w:t xml:space="preserve"> 按月支付 </w:t>
      </w:r>
      <w:r>
        <w:rPr>
          <w:rFonts w:hint="eastAsia" w:ascii="宋体" w:hAnsi="宋体" w:cs="宋体"/>
          <w:highlight w:val="none"/>
        </w:rPr>
        <w:t>。</w:t>
      </w:r>
    </w:p>
    <w:p w14:paraId="4C44FC06">
      <w:pPr>
        <w:spacing w:line="400" w:lineRule="exact"/>
        <w:ind w:firstLine="480" w:firstLineChars="200"/>
        <w:outlineLvl w:val="9"/>
        <w:rPr>
          <w:rFonts w:ascii="宋体" w:hAnsi="宋体" w:cs="宋体"/>
          <w:highlight w:val="none"/>
        </w:rPr>
      </w:pPr>
      <w:r>
        <w:rPr>
          <w:rFonts w:hint="eastAsia" w:ascii="宋体" w:hAnsi="宋体" w:cs="宋体"/>
          <w:highlight w:val="none"/>
        </w:rPr>
        <w:t>12.4.2 进度付款申请单的编制</w:t>
      </w:r>
    </w:p>
    <w:p w14:paraId="091D7E72">
      <w:pPr>
        <w:spacing w:line="400" w:lineRule="exact"/>
        <w:ind w:firstLine="480" w:firstLineChars="200"/>
        <w:outlineLvl w:val="9"/>
        <w:rPr>
          <w:rFonts w:ascii="宋体" w:hAnsi="宋体" w:cs="宋体"/>
          <w:highlight w:val="none"/>
        </w:rPr>
      </w:pPr>
      <w:r>
        <w:rPr>
          <w:rFonts w:hint="eastAsia" w:ascii="宋体" w:hAnsi="宋体" w:cs="宋体"/>
          <w:highlight w:val="none"/>
        </w:rPr>
        <w:t>关于进度付款申请单编制的约定：</w:t>
      </w:r>
    </w:p>
    <w:p w14:paraId="62BE95AD">
      <w:pPr>
        <w:autoSpaceDE/>
        <w:autoSpaceDN/>
        <w:adjustRightInd/>
        <w:spacing w:line="400" w:lineRule="exact"/>
        <w:ind w:firstLine="482" w:firstLineChars="200"/>
        <w:outlineLvl w:val="9"/>
        <w:rPr>
          <w:rFonts w:ascii="宋体" w:hAnsi="宋体" w:cs="宋体"/>
          <w:b/>
          <w:highlight w:val="none"/>
          <w:u w:val="single"/>
        </w:rPr>
      </w:pPr>
      <w:r>
        <w:rPr>
          <w:rFonts w:hint="eastAsia" w:ascii="宋体" w:hAnsi="宋体" w:cs="宋体"/>
          <w:b/>
          <w:highlight w:val="none"/>
          <w:u w:val="single"/>
        </w:rPr>
        <w:t>（1）发包人向承包人支付当期按12.1、12.3款计量工程量价款的85%（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w:t>
      </w:r>
      <w:r>
        <w:rPr>
          <w:rFonts w:hint="eastAsia" w:ascii="宋体" w:hAnsi="宋体" w:eastAsia="宋体" w:cs="宋体"/>
          <w:b/>
          <w:bCs/>
          <w:color w:val="auto"/>
          <w:sz w:val="24"/>
          <w:szCs w:val="24"/>
          <w:highlight w:val="none"/>
          <w:u w:val="single"/>
          <w:lang w:bidi="ar"/>
        </w:rPr>
        <w:t>勘察、</w:t>
      </w:r>
      <w:r>
        <w:rPr>
          <w:rFonts w:hint="eastAsia" w:ascii="宋体" w:hAnsi="宋体" w:cs="宋体"/>
          <w:b/>
          <w:highlight w:val="none"/>
          <w:u w:val="single"/>
        </w:rPr>
        <w:t>设计单位等）对工程验收并签署工程质量合格文件后，支付至进度款审核汇总的合同价格的90%（含预付款）。</w:t>
      </w:r>
    </w:p>
    <w:p w14:paraId="783EB458">
      <w:pPr>
        <w:autoSpaceDE/>
        <w:autoSpaceDN/>
        <w:adjustRightInd/>
        <w:spacing w:line="400" w:lineRule="exact"/>
        <w:ind w:firstLine="482" w:firstLineChars="200"/>
        <w:outlineLvl w:val="9"/>
        <w:rPr>
          <w:rFonts w:ascii="宋体" w:hAnsi="宋体" w:cs="宋体"/>
          <w:b/>
          <w:highlight w:val="none"/>
          <w:u w:val="single"/>
        </w:rPr>
      </w:pPr>
      <w:r>
        <w:rPr>
          <w:rFonts w:hint="eastAsia" w:ascii="宋体" w:hAnsi="宋体" w:cs="宋体"/>
          <w:b/>
          <w:highlight w:val="none"/>
          <w:u w:val="single"/>
        </w:rPr>
        <w:t>（2）</w:t>
      </w:r>
      <w:r>
        <w:rPr>
          <w:rFonts w:hint="eastAsia" w:ascii="宋体" w:hAnsi="宋体" w:eastAsia="宋体" w:cs="宋体"/>
          <w:b/>
          <w:bCs/>
          <w:color w:val="auto"/>
          <w:sz w:val="24"/>
          <w:szCs w:val="24"/>
          <w:highlight w:val="none"/>
          <w:u w:val="single"/>
          <w:lang w:bidi="ar"/>
        </w:rPr>
        <w:t>工程结算款经审定后付至结算价100%。发包人支付最后工程结算付款前，承包人向发包人提供质量保证金保函（金额为工程结算价的</w:t>
      </w:r>
      <w:r>
        <w:rPr>
          <w:rFonts w:hint="eastAsia" w:ascii="宋体" w:hAnsi="宋体" w:eastAsia="宋体" w:cs="宋体"/>
          <w:b/>
          <w:bCs/>
          <w:color w:val="auto"/>
          <w:sz w:val="24"/>
          <w:szCs w:val="24"/>
          <w:highlight w:val="none"/>
          <w:u w:val="single"/>
          <w:lang w:val="en-US" w:eastAsia="zh-CN" w:bidi="ar"/>
        </w:rPr>
        <w:t>1</w:t>
      </w:r>
      <w:r>
        <w:rPr>
          <w:rFonts w:hint="eastAsia" w:ascii="宋体" w:hAnsi="宋体" w:eastAsia="宋体" w:cs="宋体"/>
          <w:b/>
          <w:bCs/>
          <w:color w:val="auto"/>
          <w:sz w:val="24"/>
          <w:szCs w:val="24"/>
          <w:highlight w:val="none"/>
          <w:u w:val="single"/>
          <w:lang w:bidi="ar"/>
        </w:rPr>
        <w:t>.5%）</w:t>
      </w:r>
      <w:r>
        <w:rPr>
          <w:rFonts w:hint="eastAsia" w:ascii="宋体" w:hAnsi="宋体" w:cs="宋体"/>
          <w:b/>
          <w:highlight w:val="none"/>
          <w:u w:val="single"/>
        </w:rPr>
        <w:t>。</w:t>
      </w:r>
    </w:p>
    <w:p w14:paraId="42E655B7">
      <w:pPr>
        <w:pStyle w:val="8"/>
        <w:autoSpaceDE/>
        <w:autoSpaceDN/>
        <w:adjustRightInd/>
        <w:spacing w:line="400" w:lineRule="exact"/>
        <w:ind w:left="0" w:firstLine="482" w:firstLineChars="200"/>
        <w:outlineLvl w:val="9"/>
        <w:rPr>
          <w:rFonts w:ascii="宋体" w:hAnsi="宋体" w:cs="宋体"/>
          <w:b/>
          <w:highlight w:val="none"/>
          <w:u w:val="single"/>
        </w:rPr>
      </w:pPr>
      <w:r>
        <w:rPr>
          <w:rFonts w:hint="eastAsia" w:ascii="宋体" w:hAnsi="宋体" w:cs="宋体"/>
          <w:b/>
          <w:highlight w:val="none"/>
          <w:u w:val="single"/>
        </w:rPr>
        <w:t>（3）发包人将当期应付工程进度款的[20]%单独拨付到承包人开设的农民工工资（劳务费）专用账户，承包人应确保专款专用。</w:t>
      </w:r>
    </w:p>
    <w:p w14:paraId="1F8E4C7C">
      <w:pPr>
        <w:autoSpaceDE/>
        <w:autoSpaceDN/>
        <w:adjustRightInd/>
        <w:spacing w:line="400" w:lineRule="exact"/>
        <w:ind w:firstLine="482" w:firstLineChars="200"/>
        <w:outlineLvl w:val="9"/>
        <w:rPr>
          <w:rFonts w:ascii="宋体" w:hAnsi="宋体" w:cs="宋体"/>
          <w:b/>
          <w:highlight w:val="none"/>
          <w:u w:val="single"/>
        </w:rPr>
      </w:pPr>
      <w:r>
        <w:rPr>
          <w:rFonts w:hint="eastAsia" w:ascii="宋体" w:hAnsi="宋体" w:cs="宋体"/>
          <w:b/>
          <w:highlight w:val="none"/>
          <w:u w:val="single"/>
        </w:rPr>
        <w:t>（4）其余按合同通用条款。承包人收取备料款及每期工程款时应开具正式发票。</w:t>
      </w:r>
    </w:p>
    <w:p w14:paraId="1345B1D4">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Pr>
          <w:rFonts w:hint="eastAsia" w:ascii="宋体" w:hAnsi="宋体" w:cs="宋体"/>
          <w:highlight w:val="none"/>
        </w:rPr>
        <w:t>2.4.3 进度付款申请单的提交</w:t>
      </w:r>
    </w:p>
    <w:p w14:paraId="25F607D8">
      <w:pPr>
        <w:spacing w:line="400" w:lineRule="exact"/>
        <w:ind w:firstLine="480" w:firstLineChars="200"/>
        <w:outlineLvl w:val="9"/>
        <w:rPr>
          <w:rFonts w:ascii="宋体" w:hAnsi="宋体" w:cs="宋体"/>
          <w:highlight w:val="none"/>
        </w:rPr>
      </w:pPr>
      <w:r>
        <w:rPr>
          <w:rFonts w:hint="eastAsia" w:ascii="宋体" w:hAnsi="宋体" w:cs="宋体"/>
          <w:highlight w:val="none"/>
        </w:rPr>
        <w:t>（1）单价合同进度付款申请单提交的约定：</w:t>
      </w:r>
      <w:r>
        <w:rPr>
          <w:rFonts w:hint="eastAsia" w:ascii="宋体" w:hAnsi="宋体" w:cs="宋体"/>
          <w:highlight w:val="none"/>
          <w:u w:val="single"/>
        </w:rPr>
        <w:t>按通用合同条款</w:t>
      </w:r>
      <w:r>
        <w:rPr>
          <w:rFonts w:hint="eastAsia" w:ascii="宋体" w:hAnsi="宋体" w:cs="宋体"/>
          <w:highlight w:val="none"/>
        </w:rPr>
        <w:t>。</w:t>
      </w:r>
    </w:p>
    <w:p w14:paraId="60A853C1">
      <w:pPr>
        <w:spacing w:line="400" w:lineRule="exact"/>
        <w:ind w:firstLine="480" w:firstLineChars="200"/>
        <w:outlineLvl w:val="9"/>
        <w:rPr>
          <w:rFonts w:ascii="宋体" w:hAnsi="宋体" w:cs="宋体"/>
          <w:highlight w:val="none"/>
        </w:rPr>
      </w:pPr>
      <w:r>
        <w:rPr>
          <w:rFonts w:hint="eastAsia" w:ascii="宋体" w:hAnsi="宋体" w:cs="宋体"/>
          <w:highlight w:val="none"/>
        </w:rPr>
        <w:t>（2）总价合同进度付款申请单提交的约定：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14:paraId="4DC898B7">
      <w:pPr>
        <w:spacing w:line="400" w:lineRule="exact"/>
        <w:ind w:firstLine="480" w:firstLineChars="200"/>
        <w:outlineLvl w:val="9"/>
        <w:rPr>
          <w:rFonts w:ascii="宋体" w:hAnsi="宋体" w:cs="宋体"/>
          <w:highlight w:val="none"/>
        </w:rPr>
      </w:pPr>
      <w:r>
        <w:rPr>
          <w:rFonts w:hint="eastAsia" w:ascii="宋体" w:hAnsi="宋体" w:cs="宋体"/>
          <w:highlight w:val="none"/>
        </w:rPr>
        <w:t>（3）其他价格形式合同进度付款申请单提交的约定：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14:paraId="19800750">
      <w:pPr>
        <w:spacing w:line="400" w:lineRule="exact"/>
        <w:ind w:firstLine="480" w:firstLineChars="200"/>
        <w:outlineLvl w:val="9"/>
        <w:rPr>
          <w:rFonts w:ascii="宋体" w:hAnsi="宋体" w:cs="宋体"/>
          <w:highlight w:val="none"/>
        </w:rPr>
      </w:pPr>
      <w:r>
        <w:rPr>
          <w:rFonts w:hint="eastAsia" w:ascii="宋体" w:hAnsi="宋体" w:cs="宋体"/>
          <w:highlight w:val="none"/>
        </w:rPr>
        <w:t>12.4.4 进度款审核和支付</w:t>
      </w:r>
    </w:p>
    <w:p w14:paraId="1FF5410B">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（1）监理人审查并报送发包人的期限：</w:t>
      </w:r>
      <w:r>
        <w:rPr>
          <w:rFonts w:hint="eastAsia" w:ascii="宋体" w:hAnsi="宋体" w:cs="宋体"/>
          <w:highlight w:val="none"/>
          <w:u w:val="single"/>
        </w:rPr>
        <w:t xml:space="preserve">按通用合同条款 </w:t>
      </w:r>
      <w:r>
        <w:rPr>
          <w:rFonts w:hint="eastAsia" w:ascii="宋体" w:hAnsi="宋体" w:cs="宋体"/>
          <w:highlight w:val="none"/>
        </w:rPr>
        <w:t>。</w:t>
      </w:r>
    </w:p>
    <w:p w14:paraId="4E90834F">
      <w:pPr>
        <w:spacing w:line="400" w:lineRule="exact"/>
        <w:ind w:firstLine="480" w:firstLineChars="200"/>
        <w:outlineLvl w:val="9"/>
        <w:rPr>
          <w:rFonts w:ascii="宋体" w:hAnsi="宋体" w:cs="宋体"/>
          <w:highlight w:val="none"/>
        </w:rPr>
      </w:pPr>
      <w:r>
        <w:rPr>
          <w:rFonts w:hint="eastAsia" w:ascii="宋体" w:hAnsi="宋体" w:cs="宋体"/>
          <w:highlight w:val="none"/>
        </w:rPr>
        <w:t>发包人完成审批并签发进度款支付证书的期限：</w:t>
      </w:r>
      <w:r>
        <w:rPr>
          <w:rFonts w:hint="eastAsia" w:ascii="宋体" w:hAnsi="宋体" w:cs="宋体"/>
          <w:highlight w:val="none"/>
          <w:u w:val="single"/>
        </w:rPr>
        <w:t>按通用合同条款</w:t>
      </w:r>
      <w:r>
        <w:rPr>
          <w:rFonts w:hint="eastAsia" w:ascii="宋体" w:hAnsi="宋体" w:cs="宋体"/>
          <w:highlight w:val="none"/>
        </w:rPr>
        <w:t>。</w:t>
      </w:r>
    </w:p>
    <w:p w14:paraId="5C82B133">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（2）发包人支付进度款的期限：</w:t>
      </w:r>
      <w:r>
        <w:rPr>
          <w:rFonts w:hint="eastAsia" w:ascii="宋体" w:hAnsi="宋体" w:cs="宋体"/>
          <w:highlight w:val="none"/>
          <w:u w:val="single"/>
        </w:rPr>
        <w:t>在发包人确认计量结果后14天内完成支付。</w:t>
      </w:r>
    </w:p>
    <w:p w14:paraId="480D281C">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 xml:space="preserve"> 发包人将当期应付工程进度款（含预付款）的[20]%单独拨付到承包人开设的农民工工资（劳务费）专用账户，承包人应确保专款专用。</w:t>
      </w:r>
    </w:p>
    <w:p w14:paraId="342F0527">
      <w:pPr>
        <w:spacing w:line="400" w:lineRule="exact"/>
        <w:ind w:firstLine="480" w:firstLineChars="200"/>
        <w:outlineLvl w:val="9"/>
        <w:rPr>
          <w:rFonts w:ascii="宋体" w:hAnsi="宋体" w:cs="宋体"/>
          <w:highlight w:val="none"/>
        </w:rPr>
      </w:pPr>
      <w:r>
        <w:rPr>
          <w:rFonts w:hint="eastAsia" w:ascii="宋体" w:hAnsi="宋体" w:cs="宋体"/>
          <w:highlight w:val="none"/>
        </w:rPr>
        <w:t>发包人逾期支付进度款的违约金的计算方式：</w:t>
      </w:r>
      <w:r>
        <w:rPr>
          <w:rFonts w:hint="eastAsia" w:ascii="宋体" w:hAnsi="宋体" w:cs="宋体"/>
          <w:highlight w:val="none"/>
          <w:u w:val="single"/>
        </w:rPr>
        <w:t>支付应付工程进度（备料）款的利息，利率</w:t>
      </w:r>
      <w:r>
        <w:rPr>
          <w:rFonts w:hint="eastAsia" w:ascii="宋体" w:hAnsi="宋体" w:cs="宋体"/>
          <w:b/>
          <w:bCs/>
          <w:highlight w:val="none"/>
          <w:u w:val="single"/>
        </w:rPr>
        <w:t>按同期全国银行间同业拆借中心公布的贷款市场报价利率</w:t>
      </w:r>
      <w:r>
        <w:rPr>
          <w:rFonts w:hint="eastAsia" w:ascii="宋体" w:hAnsi="宋体" w:cs="宋体"/>
          <w:highlight w:val="none"/>
          <w:u w:val="single"/>
        </w:rPr>
        <w:t>，时间为从约定应付之日起至支付之日止计算利息</w:t>
      </w:r>
      <w:r>
        <w:rPr>
          <w:rFonts w:hint="eastAsia" w:ascii="宋体" w:hAnsi="宋体" w:cs="宋体"/>
          <w:highlight w:val="none"/>
        </w:rPr>
        <w:t>。</w:t>
      </w:r>
    </w:p>
    <w:p w14:paraId="0CFDE89C">
      <w:pPr>
        <w:spacing w:line="400" w:lineRule="exact"/>
        <w:ind w:firstLine="480" w:firstLineChars="200"/>
        <w:outlineLvl w:val="9"/>
        <w:rPr>
          <w:rFonts w:ascii="宋体" w:hAnsi="宋体" w:cs="宋体"/>
          <w:color w:val="auto"/>
          <w:highlight w:val="none"/>
        </w:rPr>
      </w:pPr>
      <w:r>
        <w:rPr>
          <w:rFonts w:hint="eastAsia" w:ascii="宋体" w:hAnsi="宋体" w:cs="宋体"/>
          <w:highlight w:val="none"/>
        </w:rPr>
        <w:t>（3）</w:t>
      </w:r>
      <w:r>
        <w:rPr>
          <w:rFonts w:hint="eastAsia" w:ascii="宋体" w:hAnsi="宋体" w:eastAsia="宋体"/>
          <w:color w:val="auto"/>
          <w:sz w:val="24"/>
          <w:szCs w:val="24"/>
          <w:highlight w:val="none"/>
          <w:u w:val="single"/>
        </w:rPr>
        <w:t>发包人每月签发的工程量审核报告、进度款支付证书或临时进度款支付证书，不表明发包人已同意、批准或接受了承包人完成的相应部分工作或已确认计量结果，仅为本期工程款支付依据</w:t>
      </w:r>
      <w:r>
        <w:rPr>
          <w:rFonts w:hint="eastAsia" w:ascii="宋体" w:hAnsi="宋体" w:cs="宋体"/>
          <w:color w:val="auto"/>
          <w:highlight w:val="none"/>
          <w:u w:val="single"/>
        </w:rPr>
        <w:t>。</w:t>
      </w:r>
    </w:p>
    <w:p w14:paraId="5423D823">
      <w:pPr>
        <w:spacing w:line="400" w:lineRule="exact"/>
        <w:ind w:firstLine="482" w:firstLineChars="200"/>
        <w:outlineLvl w:val="9"/>
        <w:rPr>
          <w:rFonts w:ascii="宋体" w:hAnsi="宋体" w:cs="宋体"/>
          <w:b/>
          <w:color w:val="auto"/>
          <w:highlight w:val="none"/>
        </w:rPr>
      </w:pPr>
      <w:r>
        <w:rPr>
          <w:rFonts w:hint="eastAsia" w:ascii="宋体" w:hAnsi="宋体" w:cs="宋体"/>
          <w:b/>
          <w:color w:val="auto"/>
          <w:highlight w:val="none"/>
        </w:rPr>
        <w:t>12.4.6 支付分解表的编制</w:t>
      </w:r>
    </w:p>
    <w:p w14:paraId="045FF295">
      <w:pPr>
        <w:spacing w:line="400" w:lineRule="exact"/>
        <w:ind w:firstLine="480" w:firstLineChars="200"/>
        <w:outlineLvl w:val="9"/>
        <w:rPr>
          <w:rFonts w:ascii="宋体" w:hAnsi="宋体" w:cs="宋体"/>
          <w:highlight w:val="none"/>
        </w:rPr>
      </w:pPr>
      <w:r>
        <w:rPr>
          <w:rFonts w:hint="eastAsia" w:ascii="宋体" w:hAnsi="宋体" w:cs="宋体"/>
          <w:highlight w:val="none"/>
        </w:rPr>
        <w:t>2、总价合同支付分解表的编制与审批：</w:t>
      </w:r>
      <w:r>
        <w:rPr>
          <w:rFonts w:hint="eastAsia" w:ascii="宋体" w:hAnsi="宋体" w:cs="宋体"/>
          <w:highlight w:val="none"/>
          <w:u w:val="single"/>
        </w:rPr>
        <w:t xml:space="preserve">       /        </w:t>
      </w:r>
      <w:r>
        <w:rPr>
          <w:rFonts w:hint="eastAsia" w:ascii="宋体" w:hAnsi="宋体" w:cs="宋体"/>
          <w:highlight w:val="none"/>
        </w:rPr>
        <w:t>。</w:t>
      </w:r>
    </w:p>
    <w:p w14:paraId="6F27F0AD">
      <w:pPr>
        <w:spacing w:line="400" w:lineRule="exact"/>
        <w:ind w:firstLine="480" w:firstLineChars="200"/>
        <w:outlineLvl w:val="9"/>
        <w:rPr>
          <w:rFonts w:ascii="宋体" w:hAnsi="宋体" w:cs="宋体"/>
          <w:highlight w:val="none"/>
        </w:rPr>
      </w:pPr>
      <w:r>
        <w:rPr>
          <w:rFonts w:hint="eastAsia" w:ascii="宋体" w:hAnsi="宋体" w:cs="宋体"/>
          <w:highlight w:val="none"/>
        </w:rPr>
        <w:t>3、单价合同的总价项目支付分解表的编制与审批：</w:t>
      </w:r>
      <w:r>
        <w:rPr>
          <w:rFonts w:hint="eastAsia" w:ascii="宋体" w:hAnsi="宋体" w:cs="宋体"/>
          <w:highlight w:val="none"/>
          <w:u w:val="single"/>
        </w:rPr>
        <w:t xml:space="preserve">   /    </w:t>
      </w:r>
      <w:r>
        <w:rPr>
          <w:rFonts w:hint="eastAsia" w:ascii="宋体" w:hAnsi="宋体" w:cs="宋体"/>
          <w:highlight w:val="none"/>
        </w:rPr>
        <w:t>。</w:t>
      </w:r>
    </w:p>
    <w:p w14:paraId="471CE560">
      <w:pPr>
        <w:spacing w:line="400" w:lineRule="exact"/>
        <w:ind w:firstLine="482" w:firstLineChars="200"/>
        <w:outlineLvl w:val="9"/>
        <w:rPr>
          <w:rFonts w:ascii="宋体" w:hAnsi="宋体" w:cs="宋体"/>
          <w:b/>
          <w:highlight w:val="none"/>
        </w:rPr>
      </w:pPr>
      <w:r>
        <w:rPr>
          <w:rFonts w:hint="eastAsia" w:ascii="宋体" w:hAnsi="宋体" w:cs="宋体"/>
          <w:b/>
          <w:highlight w:val="none"/>
        </w:rPr>
        <w:t>12.5 支付账户：</w:t>
      </w:r>
    </w:p>
    <w:bookmarkEnd w:id="416"/>
    <w:p w14:paraId="462B7B52">
      <w:pPr>
        <w:spacing w:line="400" w:lineRule="exact"/>
        <w:ind w:firstLine="480" w:firstLineChars="200"/>
        <w:outlineLvl w:val="9"/>
        <w:rPr>
          <w:rFonts w:ascii="宋体" w:hAnsi="宋体" w:cs="宋体"/>
          <w:highlight w:val="none"/>
          <w:u w:val="single"/>
        </w:rPr>
      </w:pPr>
      <w:bookmarkStart w:id="577" w:name="_Toc351203645"/>
      <w:bookmarkStart w:id="578" w:name="_Toc304295593"/>
      <w:bookmarkStart w:id="579" w:name="_Toc312678053"/>
      <w:bookmarkStart w:id="580" w:name="_Toc297123564"/>
      <w:bookmarkStart w:id="581" w:name="_Toc296503219"/>
      <w:bookmarkStart w:id="582" w:name="_Toc292559424"/>
      <w:bookmarkStart w:id="583" w:name="_Toc296891047"/>
      <w:bookmarkStart w:id="584" w:name="_Toc297216223"/>
      <w:bookmarkStart w:id="585" w:name="_Toc292559929"/>
      <w:bookmarkStart w:id="586" w:name="_Toc297120519"/>
      <w:bookmarkStart w:id="587" w:name="_Toc296347218"/>
      <w:bookmarkStart w:id="588" w:name="_Toc296346720"/>
      <w:bookmarkStart w:id="589" w:name="_Toc297048405"/>
      <w:bookmarkStart w:id="590" w:name="_Toc296891259"/>
      <w:bookmarkStart w:id="591" w:name="_Toc300935015"/>
      <w:bookmarkStart w:id="592" w:name="_Toc296944558"/>
      <w:bookmarkStart w:id="593" w:name="_Toc303539172"/>
      <w:r>
        <w:rPr>
          <w:rFonts w:hint="eastAsia" w:ascii="宋体" w:hAnsi="宋体" w:cs="宋体"/>
          <w:highlight w:val="none"/>
          <w:u w:val="single"/>
        </w:rPr>
        <w:t>发包人将当期应付工程进度款的（20）%拨付到承包人的农民工工资专用账户：    ；</w:t>
      </w:r>
    </w:p>
    <w:p w14:paraId="197CFE0B">
      <w:pPr>
        <w:spacing w:line="400" w:lineRule="exact"/>
        <w:ind w:firstLine="480" w:firstLineChars="200"/>
        <w:outlineLvl w:val="9"/>
        <w:rPr>
          <w:rFonts w:ascii="宋体" w:hAnsi="宋体" w:cs="宋体"/>
          <w:highlight w:val="none"/>
        </w:rPr>
      </w:pPr>
      <w:r>
        <w:rPr>
          <w:rFonts w:hint="eastAsia" w:ascii="宋体" w:hAnsi="宋体" w:cs="宋体"/>
          <w:highlight w:val="none"/>
        </w:rPr>
        <w:t>其余合同价款支付至合同协议书中约定的承包人帐户。</w:t>
      </w:r>
    </w:p>
    <w:p w14:paraId="7A62BEB8">
      <w:pPr>
        <w:spacing w:line="400" w:lineRule="exact"/>
        <w:ind w:firstLine="480" w:firstLineChars="200"/>
        <w:outlineLvl w:val="9"/>
        <w:rPr>
          <w:rFonts w:ascii="宋体" w:hAnsi="宋体" w:cs="宋体"/>
          <w:highlight w:val="none"/>
        </w:rPr>
      </w:pPr>
      <w:r>
        <w:rPr>
          <w:rFonts w:hint="eastAsia" w:ascii="宋体" w:hAnsi="宋体" w:cs="宋体"/>
          <w:highlight w:val="none"/>
        </w:rPr>
        <w:t>如承包人因经营需要将工程款支付至其他指定帐户时，应向发包人书面申请，并由承包人法定代表人或授权代表签字、盖章。</w:t>
      </w:r>
    </w:p>
    <w:p w14:paraId="7B9E0790">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13. 验收和工程试车</w:t>
      </w:r>
      <w:bookmarkEnd w:id="577"/>
    </w:p>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14:paraId="059FD53C">
      <w:pPr>
        <w:spacing w:line="400" w:lineRule="exact"/>
        <w:ind w:firstLine="480" w:firstLineChars="200"/>
        <w:outlineLvl w:val="9"/>
        <w:rPr>
          <w:rFonts w:ascii="宋体" w:hAnsi="宋体" w:cs="宋体"/>
          <w:highlight w:val="none"/>
        </w:rPr>
      </w:pPr>
      <w:bookmarkStart w:id="594" w:name="_Toc267251474"/>
      <w:bookmarkStart w:id="595" w:name="_Toc267251470"/>
      <w:bookmarkStart w:id="596" w:name="_Toc267251475"/>
      <w:bookmarkStart w:id="597" w:name="_Toc267251473"/>
      <w:bookmarkStart w:id="598" w:name="_Toc267251471"/>
      <w:bookmarkStart w:id="599" w:name="_Toc267251476"/>
      <w:bookmarkStart w:id="600" w:name="_Toc267251472"/>
      <w:bookmarkStart w:id="601" w:name="_Toc280868709"/>
      <w:r>
        <w:rPr>
          <w:rFonts w:hint="eastAsia" w:ascii="宋体" w:hAnsi="宋体" w:cs="宋体"/>
          <w:highlight w:val="none"/>
        </w:rPr>
        <w:t>13.1 分部分项工程验收</w:t>
      </w:r>
    </w:p>
    <w:p w14:paraId="02B96E6D">
      <w:pPr>
        <w:spacing w:line="400" w:lineRule="exact"/>
        <w:ind w:firstLine="480" w:firstLineChars="200"/>
        <w:outlineLvl w:val="9"/>
        <w:rPr>
          <w:rFonts w:ascii="宋体" w:hAnsi="宋体" w:cs="宋体"/>
          <w:highlight w:val="none"/>
        </w:rPr>
      </w:pPr>
      <w:r>
        <w:rPr>
          <w:rFonts w:hint="eastAsia" w:ascii="宋体" w:hAnsi="宋体" w:cs="宋体"/>
          <w:highlight w:val="none"/>
        </w:rPr>
        <w:t>13.1.2监理人不能按时进行验收时，应提前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14:paraId="34F04B86">
      <w:pPr>
        <w:spacing w:line="400" w:lineRule="exact"/>
        <w:ind w:firstLine="480" w:firstLineChars="200"/>
        <w:outlineLvl w:val="9"/>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w:t>
      </w:r>
    </w:p>
    <w:p w14:paraId="7EBBA1C7">
      <w:pPr>
        <w:spacing w:line="400" w:lineRule="exact"/>
        <w:ind w:firstLine="480" w:firstLineChars="200"/>
        <w:outlineLvl w:val="9"/>
        <w:rPr>
          <w:rFonts w:ascii="宋体" w:hAnsi="宋体" w:cs="宋体"/>
          <w:b/>
          <w:highlight w:val="none"/>
          <w:u w:val="single"/>
        </w:rPr>
      </w:pPr>
      <w:r>
        <w:rPr>
          <w:rFonts w:hint="eastAsia" w:ascii="宋体" w:hAnsi="宋体" w:cs="宋体"/>
          <w:highlight w:val="none"/>
          <w:u w:val="single"/>
        </w:rPr>
        <w:t>工程验收过程、验收部位除办理纸质验收记录，还应留置验收部位、验收过程、主要验收人员相片、影像等资料。</w:t>
      </w:r>
    </w:p>
    <w:p w14:paraId="44233105">
      <w:pPr>
        <w:spacing w:line="400" w:lineRule="exact"/>
        <w:ind w:firstLine="480" w:firstLineChars="200"/>
        <w:outlineLvl w:val="9"/>
        <w:rPr>
          <w:rFonts w:ascii="宋体" w:hAnsi="宋体" w:cs="宋体"/>
          <w:highlight w:val="none"/>
        </w:rPr>
      </w:pPr>
      <w:bookmarkStart w:id="602" w:name="_Toc297123565"/>
      <w:bookmarkStart w:id="603" w:name="_Toc300935016"/>
      <w:bookmarkStart w:id="604" w:name="_Toc312678056"/>
      <w:bookmarkStart w:id="605" w:name="_Toc297216224"/>
      <w:bookmarkStart w:id="606" w:name="_Toc296891051"/>
      <w:bookmarkStart w:id="607" w:name="_Toc296944562"/>
      <w:bookmarkStart w:id="608" w:name="_Toc296347222"/>
      <w:bookmarkStart w:id="609" w:name="_Toc292559428"/>
      <w:bookmarkStart w:id="610" w:name="_Toc297120523"/>
      <w:bookmarkStart w:id="611" w:name="_Toc292559933"/>
      <w:bookmarkStart w:id="612" w:name="_Toc296891263"/>
      <w:bookmarkStart w:id="613" w:name="_Toc297048409"/>
      <w:bookmarkStart w:id="614" w:name="_Toc296346724"/>
      <w:bookmarkStart w:id="615" w:name="_Toc296503223"/>
      <w:bookmarkStart w:id="616" w:name="_Toc304295596"/>
      <w:bookmarkStart w:id="617" w:name="_Toc303539173"/>
      <w:r>
        <w:rPr>
          <w:rFonts w:hint="eastAsia" w:ascii="宋体" w:hAnsi="宋体" w:cs="宋体"/>
          <w:highlight w:val="none"/>
        </w:rPr>
        <w:t>13.2 竣工验收</w:t>
      </w:r>
    </w:p>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14:paraId="0601E788">
      <w:pPr>
        <w:spacing w:line="400" w:lineRule="exact"/>
        <w:ind w:firstLine="480" w:firstLineChars="200"/>
        <w:outlineLvl w:val="9"/>
        <w:rPr>
          <w:rFonts w:ascii="宋体" w:hAnsi="宋体" w:cs="宋体"/>
          <w:color w:val="auto"/>
          <w:highlight w:val="none"/>
        </w:rPr>
      </w:pPr>
      <w:bookmarkStart w:id="618" w:name="_Toc280868704"/>
      <w:bookmarkStart w:id="619" w:name="_Toc280868705"/>
      <w:bookmarkStart w:id="620" w:name="_Toc280868706"/>
      <w:bookmarkStart w:id="621" w:name="_Toc280868707"/>
      <w:bookmarkStart w:id="622" w:name="_Toc280868708"/>
      <w:r>
        <w:rPr>
          <w:rFonts w:hint="eastAsia" w:ascii="宋体" w:hAnsi="宋体" w:cs="宋体"/>
          <w:color w:val="auto"/>
          <w:highlight w:val="none"/>
        </w:rPr>
        <w:t>13.2.2竣工验收程序</w:t>
      </w:r>
    </w:p>
    <w:bookmarkEnd w:id="618"/>
    <w:p w14:paraId="651F9FF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关于竣工验收程序的约定：</w:t>
      </w:r>
      <w:r>
        <w:rPr>
          <w:rFonts w:hint="eastAsia" w:ascii="宋体" w:hAnsi="宋体" w:cs="宋体"/>
          <w:color w:val="auto"/>
          <w:highlight w:val="none"/>
          <w:u w:val="single"/>
        </w:rPr>
        <w:t xml:space="preserve"> 竣工验收程序按合同通用条款    </w:t>
      </w:r>
      <w:r>
        <w:rPr>
          <w:rFonts w:hint="eastAsia" w:ascii="宋体" w:hAnsi="宋体" w:cs="宋体"/>
          <w:color w:val="auto"/>
          <w:highlight w:val="none"/>
        </w:rPr>
        <w:t>。</w:t>
      </w:r>
    </w:p>
    <w:p w14:paraId="794DAF5C">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1BEE44E1">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发包人不按照本项约定组织竣工验收、颁发工程接收证书的违约金的计算方法</w:t>
      </w:r>
      <w:r>
        <w:rPr>
          <w:rFonts w:hint="eastAsia" w:ascii="宋体" w:hAnsi="宋体" w:cs="宋体"/>
          <w:color w:val="auto"/>
          <w:highlight w:val="none"/>
          <w:u w:val="single"/>
        </w:rPr>
        <w:t>：不计违约金。</w:t>
      </w:r>
    </w:p>
    <w:p w14:paraId="52EC9FD9">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因发包人原因，未在监理人接收</w:t>
      </w:r>
      <w:r>
        <w:rPr>
          <w:rFonts w:hint="eastAsia" w:ascii="宋体" w:hAnsi="宋体" w:cs="宋体"/>
          <w:color w:val="auto"/>
          <w:highlight w:val="none"/>
          <w:u w:val="single"/>
        </w:rPr>
        <w:t>到承包人提交的验收申请报告42天内完成验收，或完成验收不予签发工程接收证书的，以提交验收申请报告的日期为实际竣工日</w:t>
      </w:r>
      <w:r>
        <w:rPr>
          <w:rFonts w:hint="eastAsia" w:ascii="宋体" w:hAnsi="宋体" w:cs="宋体"/>
          <w:highlight w:val="none"/>
          <w:u w:val="single"/>
        </w:rPr>
        <w:t>期。</w:t>
      </w:r>
    </w:p>
    <w:p w14:paraId="254D740C">
      <w:pPr>
        <w:spacing w:line="400" w:lineRule="exact"/>
        <w:ind w:firstLine="480" w:firstLineChars="200"/>
        <w:outlineLvl w:val="9"/>
        <w:rPr>
          <w:rFonts w:ascii="宋体" w:hAnsi="宋体" w:cs="宋体"/>
          <w:highlight w:val="none"/>
        </w:rPr>
      </w:pPr>
      <w:r>
        <w:rPr>
          <w:rFonts w:hint="eastAsia" w:ascii="宋体" w:hAnsi="宋体" w:cs="宋体"/>
          <w:highlight w:val="none"/>
        </w:rPr>
        <w:t>13.2.3竣工日期</w:t>
      </w:r>
    </w:p>
    <w:p w14:paraId="734BDC54">
      <w:pPr>
        <w:spacing w:line="400" w:lineRule="exact"/>
        <w:ind w:firstLine="480" w:firstLineChars="200"/>
        <w:outlineLvl w:val="9"/>
        <w:rPr>
          <w:rFonts w:ascii="宋体" w:hAnsi="宋体" w:cs="宋体"/>
          <w:highlight w:val="none"/>
        </w:rPr>
      </w:pPr>
      <w:r>
        <w:rPr>
          <w:rFonts w:hint="eastAsia" w:ascii="宋体" w:hAnsi="宋体" w:cs="宋体"/>
          <w:highlight w:val="none"/>
        </w:rPr>
        <w:t>（1）承包人完成合同范围内的全部工程以及有关工作，工程经验收合格的，以承包人提交验收申请报告之日为合同工期计算终止日。</w:t>
      </w:r>
    </w:p>
    <w:p w14:paraId="61256DCC">
      <w:pPr>
        <w:spacing w:line="400" w:lineRule="exact"/>
        <w:ind w:firstLine="480" w:firstLineChars="200"/>
        <w:outlineLvl w:val="9"/>
        <w:rPr>
          <w:rFonts w:ascii="宋体" w:hAnsi="宋体" w:cs="宋体"/>
          <w:highlight w:val="none"/>
        </w:rPr>
      </w:pPr>
      <w:r>
        <w:rPr>
          <w:rFonts w:hint="eastAsia" w:ascii="宋体" w:hAnsi="宋体" w:cs="宋体"/>
          <w:highlight w:val="none"/>
        </w:rPr>
        <w:t>（2）其余按通用合同条款。</w:t>
      </w:r>
    </w:p>
    <w:bookmarkEnd w:id="619"/>
    <w:p w14:paraId="32026184">
      <w:pPr>
        <w:spacing w:line="400" w:lineRule="exact"/>
        <w:ind w:firstLine="480" w:firstLineChars="200"/>
        <w:outlineLvl w:val="9"/>
        <w:rPr>
          <w:rFonts w:ascii="宋体" w:hAnsi="宋体" w:cs="宋体"/>
          <w:highlight w:val="none"/>
        </w:rPr>
      </w:pPr>
      <w:r>
        <w:rPr>
          <w:rFonts w:hint="eastAsia" w:ascii="宋体" w:hAnsi="宋体" w:cs="宋体"/>
          <w:highlight w:val="none"/>
        </w:rPr>
        <w:t>13.2.5移交、接收全部与部分工程</w:t>
      </w:r>
    </w:p>
    <w:bookmarkEnd w:id="620"/>
    <w:p w14:paraId="4C18F31E">
      <w:pPr>
        <w:spacing w:line="400" w:lineRule="exact"/>
        <w:ind w:firstLine="480" w:firstLineChars="200"/>
        <w:outlineLvl w:val="9"/>
        <w:rPr>
          <w:rFonts w:ascii="宋体" w:hAnsi="宋体" w:cs="宋体"/>
          <w:highlight w:val="none"/>
        </w:rPr>
      </w:pPr>
      <w:r>
        <w:rPr>
          <w:rFonts w:hint="eastAsia" w:ascii="宋体" w:hAnsi="宋体" w:cs="宋体"/>
          <w:highlight w:val="none"/>
        </w:rPr>
        <w:t>承包人向发包人移交工程的期限：</w:t>
      </w:r>
      <w:r>
        <w:rPr>
          <w:rFonts w:hint="eastAsia" w:ascii="宋体" w:hAnsi="宋体" w:cs="宋体"/>
          <w:highlight w:val="none"/>
          <w:u w:val="single"/>
        </w:rPr>
        <w:t xml:space="preserve">  按通用条款执行  </w:t>
      </w:r>
      <w:r>
        <w:rPr>
          <w:rFonts w:hint="eastAsia" w:ascii="宋体" w:hAnsi="宋体" w:cs="宋体"/>
          <w:highlight w:val="none"/>
        </w:rPr>
        <w:t>。</w:t>
      </w:r>
    </w:p>
    <w:p w14:paraId="1E088FA4">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发包人未按本合同约定接收全部或部分工程的，违约金的计算方法为：</w:t>
      </w:r>
      <w:r>
        <w:rPr>
          <w:rFonts w:hint="eastAsia" w:ascii="宋体" w:hAnsi="宋体" w:cs="宋体"/>
          <w:highlight w:val="none"/>
          <w:u w:val="single"/>
        </w:rPr>
        <w:t xml:space="preserve">     /     </w:t>
      </w:r>
      <w:r>
        <w:rPr>
          <w:rFonts w:hint="eastAsia" w:ascii="宋体" w:hAnsi="宋体" w:cs="宋体"/>
          <w:highlight w:val="none"/>
        </w:rPr>
        <w:t>。</w:t>
      </w:r>
    </w:p>
    <w:bookmarkEnd w:id="621"/>
    <w:p w14:paraId="38720734">
      <w:pPr>
        <w:spacing w:line="400" w:lineRule="exact"/>
        <w:ind w:firstLine="480" w:firstLineChars="200"/>
        <w:outlineLvl w:val="9"/>
        <w:rPr>
          <w:rFonts w:ascii="宋体" w:hAnsi="宋体" w:cs="宋体"/>
          <w:highlight w:val="none"/>
        </w:rPr>
      </w:pPr>
      <w:r>
        <w:rPr>
          <w:rFonts w:hint="eastAsia" w:ascii="宋体" w:hAnsi="宋体" w:cs="宋体"/>
          <w:highlight w:val="none"/>
        </w:rPr>
        <w:t>承包人未按时移交工程的，违约金的计算方法为：</w:t>
      </w:r>
      <w:r>
        <w:rPr>
          <w:rFonts w:hint="eastAsia" w:ascii="宋体" w:hAnsi="宋体" w:cs="宋体"/>
          <w:highlight w:val="none"/>
          <w:u w:val="single"/>
        </w:rPr>
        <w:t xml:space="preserve">     /      </w:t>
      </w:r>
      <w:r>
        <w:rPr>
          <w:rFonts w:hint="eastAsia" w:ascii="宋体" w:hAnsi="宋体" w:cs="宋体"/>
          <w:highlight w:val="none"/>
        </w:rPr>
        <w:t>。</w:t>
      </w:r>
    </w:p>
    <w:p w14:paraId="441576EA">
      <w:pPr>
        <w:spacing w:line="400" w:lineRule="exact"/>
        <w:ind w:firstLine="480" w:firstLineChars="200"/>
        <w:outlineLvl w:val="9"/>
        <w:rPr>
          <w:rFonts w:ascii="宋体" w:hAnsi="宋体" w:cs="宋体"/>
          <w:highlight w:val="none"/>
        </w:rPr>
      </w:pPr>
      <w:r>
        <w:rPr>
          <w:rFonts w:hint="eastAsia" w:ascii="宋体" w:hAnsi="宋体" w:cs="宋体"/>
          <w:highlight w:val="none"/>
        </w:rPr>
        <w:t>13.3 工程试车</w:t>
      </w:r>
    </w:p>
    <w:bookmarkEnd w:id="622"/>
    <w:p w14:paraId="012F079D">
      <w:pPr>
        <w:spacing w:line="400" w:lineRule="exact"/>
        <w:ind w:firstLine="480" w:firstLineChars="200"/>
        <w:outlineLvl w:val="9"/>
        <w:rPr>
          <w:rFonts w:ascii="宋体" w:hAnsi="宋体" w:cs="宋体"/>
          <w:highlight w:val="none"/>
        </w:rPr>
      </w:pPr>
      <w:r>
        <w:rPr>
          <w:rFonts w:hint="eastAsia" w:ascii="宋体" w:hAnsi="宋体" w:cs="宋体"/>
          <w:highlight w:val="none"/>
        </w:rPr>
        <w:t>13.3.1 试车程序</w:t>
      </w:r>
    </w:p>
    <w:p w14:paraId="62D080FB">
      <w:pPr>
        <w:spacing w:line="400" w:lineRule="exact"/>
        <w:ind w:firstLine="480" w:firstLineChars="200"/>
        <w:outlineLvl w:val="9"/>
        <w:rPr>
          <w:rFonts w:ascii="宋体" w:hAnsi="宋体" w:cs="宋体"/>
          <w:highlight w:val="none"/>
        </w:rPr>
      </w:pPr>
      <w:r>
        <w:rPr>
          <w:rFonts w:hint="eastAsia" w:ascii="宋体" w:hAnsi="宋体" w:cs="宋体"/>
          <w:highlight w:val="none"/>
        </w:rPr>
        <w:t>工程试车内容：</w:t>
      </w:r>
      <w:r>
        <w:rPr>
          <w:rFonts w:hint="eastAsia" w:ascii="宋体" w:hAnsi="宋体" w:cs="宋体"/>
          <w:highlight w:val="none"/>
          <w:u w:val="single"/>
        </w:rPr>
        <w:t xml:space="preserve">          /          </w:t>
      </w:r>
      <w:r>
        <w:rPr>
          <w:rFonts w:hint="eastAsia" w:ascii="宋体" w:hAnsi="宋体" w:cs="宋体"/>
          <w:highlight w:val="none"/>
        </w:rPr>
        <w:t>。</w:t>
      </w:r>
    </w:p>
    <w:p w14:paraId="0AE8913B">
      <w:pPr>
        <w:spacing w:line="400" w:lineRule="exact"/>
        <w:ind w:firstLine="480" w:firstLineChars="200"/>
        <w:outlineLvl w:val="9"/>
        <w:rPr>
          <w:rFonts w:ascii="宋体" w:hAnsi="宋体" w:cs="宋体"/>
          <w:highlight w:val="none"/>
        </w:rPr>
      </w:pPr>
      <w:r>
        <w:rPr>
          <w:rFonts w:hint="eastAsia" w:ascii="宋体" w:hAnsi="宋体" w:cs="宋体"/>
          <w:highlight w:val="none"/>
        </w:rPr>
        <w:t>（1）单机无负荷试车费用由</w:t>
      </w:r>
      <w:r>
        <w:rPr>
          <w:rFonts w:hint="eastAsia" w:ascii="宋体" w:hAnsi="宋体" w:cs="宋体"/>
          <w:highlight w:val="none"/>
          <w:u w:val="single"/>
        </w:rPr>
        <w:t xml:space="preserve">       承包人      </w:t>
      </w:r>
      <w:r>
        <w:rPr>
          <w:rFonts w:hint="eastAsia" w:ascii="宋体" w:hAnsi="宋体" w:cs="宋体"/>
          <w:highlight w:val="none"/>
        </w:rPr>
        <w:t>承担；</w:t>
      </w:r>
    </w:p>
    <w:p w14:paraId="15E4449B">
      <w:pPr>
        <w:spacing w:line="400" w:lineRule="exact"/>
        <w:ind w:firstLine="480" w:firstLineChars="200"/>
        <w:outlineLvl w:val="9"/>
        <w:rPr>
          <w:rFonts w:ascii="宋体" w:hAnsi="宋体" w:cs="宋体"/>
          <w:highlight w:val="none"/>
        </w:rPr>
      </w:pPr>
      <w:r>
        <w:rPr>
          <w:rFonts w:hint="eastAsia" w:ascii="宋体" w:hAnsi="宋体" w:cs="宋体"/>
          <w:highlight w:val="none"/>
        </w:rPr>
        <w:t>（2）无负荷联动试车费用由</w:t>
      </w:r>
      <w:r>
        <w:rPr>
          <w:rFonts w:hint="eastAsia" w:ascii="宋体" w:hAnsi="宋体" w:cs="宋体"/>
          <w:highlight w:val="none"/>
          <w:u w:val="single"/>
        </w:rPr>
        <w:t xml:space="preserve">       承包人       </w:t>
      </w:r>
      <w:r>
        <w:rPr>
          <w:rFonts w:hint="eastAsia" w:ascii="宋体" w:hAnsi="宋体" w:cs="宋体"/>
          <w:highlight w:val="none"/>
        </w:rPr>
        <w:t>承担。</w:t>
      </w:r>
    </w:p>
    <w:p w14:paraId="69124EB4">
      <w:pPr>
        <w:spacing w:line="400" w:lineRule="exact"/>
        <w:ind w:firstLine="480" w:firstLineChars="200"/>
        <w:outlineLvl w:val="9"/>
        <w:rPr>
          <w:rFonts w:ascii="宋体" w:hAnsi="宋体" w:cs="宋体"/>
          <w:highlight w:val="none"/>
        </w:rPr>
      </w:pPr>
      <w:r>
        <w:rPr>
          <w:rFonts w:hint="eastAsia" w:ascii="宋体" w:hAnsi="宋体" w:cs="宋体"/>
          <w:highlight w:val="none"/>
        </w:rPr>
        <w:t>13.3.3 投料试车</w:t>
      </w:r>
    </w:p>
    <w:p w14:paraId="45A84C2C">
      <w:pPr>
        <w:spacing w:line="400" w:lineRule="exact"/>
        <w:ind w:firstLine="480" w:firstLineChars="200"/>
        <w:outlineLvl w:val="9"/>
        <w:rPr>
          <w:rFonts w:ascii="宋体" w:hAnsi="宋体" w:cs="宋体"/>
          <w:highlight w:val="none"/>
        </w:rPr>
      </w:pPr>
      <w:r>
        <w:rPr>
          <w:rFonts w:hint="eastAsia" w:ascii="宋体" w:hAnsi="宋体" w:cs="宋体"/>
          <w:highlight w:val="none"/>
        </w:rPr>
        <w:t>关于投料试车相关事项的约定：</w:t>
      </w:r>
      <w:r>
        <w:rPr>
          <w:rFonts w:hint="eastAsia" w:ascii="宋体" w:hAnsi="宋体" w:cs="宋体"/>
          <w:highlight w:val="none"/>
          <w:u w:val="single"/>
        </w:rPr>
        <w:t xml:space="preserve">          /              </w:t>
      </w:r>
      <w:r>
        <w:rPr>
          <w:rFonts w:hint="eastAsia" w:ascii="宋体" w:hAnsi="宋体" w:cs="宋体"/>
          <w:highlight w:val="none"/>
        </w:rPr>
        <w:t>。</w:t>
      </w:r>
    </w:p>
    <w:p w14:paraId="6A1038B8">
      <w:pPr>
        <w:spacing w:line="400" w:lineRule="exact"/>
        <w:ind w:firstLine="480" w:firstLineChars="200"/>
        <w:outlineLvl w:val="9"/>
        <w:rPr>
          <w:rFonts w:ascii="宋体" w:hAnsi="宋体" w:cs="宋体"/>
          <w:highlight w:val="none"/>
        </w:rPr>
      </w:pPr>
      <w:r>
        <w:rPr>
          <w:rFonts w:hint="eastAsia" w:ascii="宋体" w:hAnsi="宋体" w:cs="宋体"/>
          <w:highlight w:val="none"/>
        </w:rPr>
        <w:t>13.6 竣工退场</w:t>
      </w:r>
    </w:p>
    <w:p w14:paraId="267A138B">
      <w:pPr>
        <w:spacing w:line="400" w:lineRule="exact"/>
        <w:ind w:firstLine="480" w:firstLineChars="200"/>
        <w:outlineLvl w:val="9"/>
        <w:rPr>
          <w:rFonts w:ascii="宋体" w:hAnsi="宋体" w:cs="宋体"/>
          <w:highlight w:val="none"/>
        </w:rPr>
      </w:pPr>
      <w:r>
        <w:rPr>
          <w:rFonts w:hint="eastAsia" w:ascii="宋体" w:hAnsi="宋体" w:cs="宋体"/>
          <w:highlight w:val="none"/>
        </w:rPr>
        <w:t>13.6.1 竣工退场</w:t>
      </w:r>
    </w:p>
    <w:p w14:paraId="1AB1BA15">
      <w:pPr>
        <w:spacing w:line="400" w:lineRule="exact"/>
        <w:ind w:firstLine="480" w:firstLineChars="200"/>
        <w:outlineLvl w:val="9"/>
        <w:rPr>
          <w:rFonts w:ascii="宋体" w:hAnsi="宋体" w:cs="宋体"/>
          <w:highlight w:val="none"/>
        </w:rPr>
      </w:pPr>
      <w:r>
        <w:rPr>
          <w:rFonts w:hint="eastAsia" w:ascii="宋体" w:hAnsi="宋体" w:cs="宋体"/>
          <w:highlight w:val="none"/>
        </w:rPr>
        <w:t>承包人完成竣工退场的期限：</w:t>
      </w:r>
      <w:r>
        <w:rPr>
          <w:rFonts w:hint="eastAsia" w:ascii="宋体" w:hAnsi="宋体" w:cs="宋体"/>
          <w:highlight w:val="none"/>
          <w:u w:val="single"/>
        </w:rPr>
        <w:t xml:space="preserve"> 颁发工程接收证书后7天内</w:t>
      </w:r>
      <w:r>
        <w:rPr>
          <w:rFonts w:hint="eastAsia" w:ascii="宋体" w:hAnsi="宋体" w:cs="宋体"/>
          <w:highlight w:val="none"/>
        </w:rPr>
        <w:t>。</w:t>
      </w:r>
    </w:p>
    <w:p w14:paraId="0D6056E8">
      <w:pPr>
        <w:spacing w:line="400" w:lineRule="exact"/>
        <w:ind w:firstLine="480" w:firstLineChars="200"/>
        <w:outlineLvl w:val="9"/>
        <w:rPr>
          <w:rFonts w:ascii="宋体" w:hAnsi="宋体" w:cs="宋体"/>
          <w:highlight w:val="none"/>
        </w:rPr>
      </w:pPr>
      <w:r>
        <w:rPr>
          <w:rFonts w:hint="eastAsia" w:ascii="宋体" w:hAnsi="宋体" w:cs="宋体"/>
          <w:highlight w:val="none"/>
        </w:rPr>
        <w:t>13.6.2地表还原</w:t>
      </w:r>
    </w:p>
    <w:p w14:paraId="2371D1A1">
      <w:pPr>
        <w:spacing w:line="400" w:lineRule="exact"/>
        <w:ind w:firstLine="480" w:firstLineChars="200"/>
        <w:outlineLvl w:val="9"/>
        <w:rPr>
          <w:rFonts w:ascii="宋体" w:hAnsi="宋体" w:cs="宋体"/>
          <w:highlight w:val="none"/>
        </w:rPr>
      </w:pPr>
      <w:r>
        <w:rPr>
          <w:rFonts w:hint="eastAsia" w:ascii="宋体" w:hAnsi="宋体" w:cs="宋体"/>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3CBD3CFB">
      <w:pPr>
        <w:spacing w:line="400" w:lineRule="exact"/>
        <w:ind w:firstLine="480" w:firstLineChars="200"/>
        <w:outlineLvl w:val="9"/>
        <w:rPr>
          <w:rFonts w:ascii="宋体" w:hAnsi="宋体" w:cs="宋体"/>
          <w:highlight w:val="none"/>
        </w:rPr>
      </w:pPr>
      <w:r>
        <w:rPr>
          <w:rFonts w:hint="eastAsia" w:ascii="宋体" w:hAnsi="宋体" w:cs="宋体"/>
          <w:highlight w:val="none"/>
        </w:rPr>
        <w:t>本工程场地恢复的要求：</w:t>
      </w:r>
    </w:p>
    <w:p w14:paraId="3922E8C9">
      <w:pPr>
        <w:spacing w:line="400" w:lineRule="exact"/>
        <w:ind w:firstLine="480" w:firstLineChars="200"/>
        <w:outlineLvl w:val="9"/>
        <w:rPr>
          <w:rFonts w:ascii="宋体" w:hAnsi="宋体" w:cs="宋体"/>
          <w:highlight w:val="none"/>
        </w:rPr>
      </w:pPr>
      <w:r>
        <w:rPr>
          <w:rFonts w:hint="eastAsia" w:ascii="宋体" w:hAnsi="宋体" w:cs="宋体"/>
          <w:highlight w:val="none"/>
        </w:rPr>
        <w:t>（1）清理完成施工现场垃圾，临建的拆除与场地复原；</w:t>
      </w:r>
    </w:p>
    <w:p w14:paraId="5D69787B">
      <w:pPr>
        <w:spacing w:line="400" w:lineRule="exact"/>
        <w:ind w:firstLine="480" w:firstLineChars="200"/>
        <w:outlineLvl w:val="9"/>
        <w:rPr>
          <w:rFonts w:ascii="宋体" w:hAnsi="宋体" w:cs="宋体"/>
          <w:highlight w:val="none"/>
        </w:rPr>
      </w:pPr>
      <w:r>
        <w:rPr>
          <w:rFonts w:hint="eastAsia" w:ascii="宋体" w:hAnsi="宋体" w:cs="宋体"/>
          <w:highlight w:val="none"/>
        </w:rPr>
        <w:t>（2）施工后废弃材料、设备清理撤离；</w:t>
      </w:r>
    </w:p>
    <w:p w14:paraId="0D32126D">
      <w:pPr>
        <w:spacing w:line="400" w:lineRule="exact"/>
        <w:ind w:firstLine="480" w:firstLineChars="200"/>
        <w:outlineLvl w:val="9"/>
        <w:rPr>
          <w:rFonts w:ascii="宋体" w:hAnsi="宋体" w:cs="宋体"/>
          <w:highlight w:val="none"/>
        </w:rPr>
      </w:pPr>
      <w:r>
        <w:rPr>
          <w:rFonts w:hint="eastAsia" w:ascii="宋体" w:hAnsi="宋体" w:cs="宋体"/>
          <w:highlight w:val="none"/>
        </w:rPr>
        <w:t>（3）承包人造成的施工现场周边施工堆积物及场地清理。</w:t>
      </w:r>
    </w:p>
    <w:p w14:paraId="19A8A697">
      <w:pPr>
        <w:spacing w:line="400" w:lineRule="exact"/>
        <w:ind w:firstLine="480" w:firstLineChars="200"/>
        <w:outlineLvl w:val="9"/>
        <w:rPr>
          <w:rFonts w:ascii="宋体" w:hAnsi="宋体" w:cs="宋体"/>
          <w:highlight w:val="none"/>
        </w:rPr>
      </w:pPr>
      <w:r>
        <w:rPr>
          <w:rFonts w:hint="eastAsia" w:ascii="宋体" w:hAnsi="宋体" w:cs="宋体"/>
          <w:highlight w:val="none"/>
        </w:rPr>
        <w:t>（4）其它要求：</w:t>
      </w:r>
      <w:r>
        <w:rPr>
          <w:rFonts w:hint="eastAsia" w:ascii="宋体" w:hAnsi="宋体" w:cs="宋体"/>
          <w:highlight w:val="none"/>
          <w:u w:val="single"/>
        </w:rPr>
        <w:t xml:space="preserve">               /                   </w:t>
      </w:r>
      <w:r>
        <w:rPr>
          <w:rFonts w:hint="eastAsia" w:ascii="宋体" w:hAnsi="宋体" w:cs="宋体"/>
          <w:highlight w:val="none"/>
        </w:rPr>
        <w:t>。</w:t>
      </w:r>
    </w:p>
    <w:p w14:paraId="08659F25">
      <w:pPr>
        <w:spacing w:line="400" w:lineRule="exact"/>
        <w:ind w:firstLine="480" w:firstLineChars="200"/>
        <w:outlineLvl w:val="9"/>
        <w:rPr>
          <w:rFonts w:ascii="宋体" w:hAnsi="宋体" w:cs="宋体"/>
          <w:highlight w:val="none"/>
        </w:rPr>
      </w:pPr>
      <w:bookmarkStart w:id="623" w:name="_Toc351203646"/>
      <w:r>
        <w:rPr>
          <w:rFonts w:hint="eastAsia" w:ascii="宋体" w:hAnsi="宋体" w:cs="宋体"/>
          <w:highlight w:val="none"/>
        </w:rPr>
        <w:t>14. 竣工结算</w:t>
      </w:r>
      <w:bookmarkEnd w:id="623"/>
    </w:p>
    <w:p w14:paraId="3AC48A9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14.1竣工结算申请</w:t>
      </w:r>
    </w:p>
    <w:p w14:paraId="1926EF2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1.承包人提交竣工结算申请的期限：</w:t>
      </w:r>
    </w:p>
    <w:p w14:paraId="1592B8DB">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14:paraId="5BFCEE42">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工程验收后，承包人超过90天未提交最终工程结算资料，经发包人催告后 28 天，承包人还不提交工程结算资料的，发包人可根据自己资料办理工程结算，且视为承包人认可工程结算结果。</w:t>
      </w:r>
    </w:p>
    <w:p w14:paraId="46B5BA66">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2.竣工结算申请单应包括的内容：</w:t>
      </w:r>
      <w:r>
        <w:rPr>
          <w:rFonts w:hint="eastAsia" w:ascii="宋体" w:hAnsi="宋体" w:cs="宋体"/>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2363F950">
      <w:pPr>
        <w:spacing w:line="400" w:lineRule="exact"/>
        <w:ind w:firstLine="480" w:firstLineChars="200"/>
        <w:outlineLvl w:val="9"/>
        <w:rPr>
          <w:rFonts w:ascii="宋体" w:hAnsi="宋体" w:cs="宋体"/>
          <w:highlight w:val="none"/>
        </w:rPr>
      </w:pPr>
      <w:r>
        <w:rPr>
          <w:rFonts w:hint="eastAsia" w:ascii="宋体" w:hAnsi="宋体" w:cs="宋体"/>
          <w:highlight w:val="none"/>
        </w:rPr>
        <w:t>14.2 竣工结算审核</w:t>
      </w:r>
    </w:p>
    <w:p w14:paraId="52455439">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（1）发包人结算审核时间：发包人收到承包人递</w:t>
      </w:r>
      <w:r>
        <w:rPr>
          <w:rFonts w:hint="eastAsia" w:ascii="宋体" w:hAnsi="宋体" w:cs="宋体"/>
          <w:color w:val="auto"/>
          <w:highlight w:val="none"/>
          <w:u w:val="single"/>
        </w:rPr>
        <w:t>交的竣工结算报告及结算资料后，在（  ）天内送第三方审计。待审计结束后，并签发竣工结算证书。</w:t>
      </w:r>
    </w:p>
    <w:p w14:paraId="79E68245">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14:paraId="7E90C0F2">
      <w:pPr>
        <w:spacing w:line="400" w:lineRule="exact"/>
        <w:ind w:firstLine="480" w:firstLineChars="200"/>
        <w:outlineLvl w:val="9"/>
        <w:rPr>
          <w:rFonts w:ascii="宋体" w:hAnsi="宋体" w:cs="宋体"/>
          <w:b/>
          <w:bCs/>
          <w:highlight w:val="none"/>
          <w:u w:val="single"/>
        </w:rPr>
      </w:pPr>
      <w:r>
        <w:rPr>
          <w:rFonts w:hint="eastAsia" w:ascii="宋体" w:hAnsi="宋体" w:cs="宋体"/>
          <w:highlight w:val="none"/>
          <w:u w:val="single"/>
        </w:rPr>
        <w:t>（2）发包人在签署最终工程结算证书后 14 天内，按专用条款 15.3 条办理工程质量保证金留置手续后完成对承包人的付款。逾期支付按同期全国银行间同业拆借中心公布的贷款市场报价利率支付违约金；逾期超过 56 天，按同期全国银行间同业拆借中心公布的贷款市场报价利率的 2 倍支付违约金。</w:t>
      </w:r>
    </w:p>
    <w:p w14:paraId="56242F0F">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 20 条处理。</w:t>
      </w:r>
    </w:p>
    <w:p w14:paraId="758937A8">
      <w:pPr>
        <w:spacing w:line="400" w:lineRule="exact"/>
        <w:ind w:firstLine="480" w:firstLineChars="200"/>
        <w:outlineLvl w:val="9"/>
        <w:rPr>
          <w:rFonts w:ascii="宋体" w:hAnsi="宋体" w:cs="宋体"/>
          <w:highlight w:val="none"/>
        </w:rPr>
      </w:pPr>
      <w:r>
        <w:rPr>
          <w:rFonts w:hint="eastAsia" w:ascii="宋体" w:hAnsi="宋体" w:cs="宋体"/>
          <w:highlight w:val="none"/>
        </w:rPr>
        <w:t>（4）</w:t>
      </w:r>
      <w:r>
        <w:rPr>
          <w:rFonts w:hint="eastAsia" w:ascii="宋体" w:hAnsi="宋体" w:cs="宋体"/>
          <w:highlight w:val="none"/>
          <w:u w:val="single"/>
        </w:rPr>
        <w:t>结算特殊要求：</w:t>
      </w:r>
      <w:r>
        <w:rPr>
          <w:rFonts w:hint="eastAsia" w:ascii="宋体" w:hAnsi="宋体" w:cs="宋体"/>
          <w:b/>
          <w:highlight w:val="none"/>
          <w:u w:val="single"/>
        </w:rPr>
        <w:t>工程结算由发包人委托第三方审核确定，工程款以第三方审定结论为依据。审核费按</w:t>
      </w:r>
      <w:r>
        <w:rPr>
          <w:rFonts w:hint="eastAsia"/>
          <w:b/>
          <w:color w:val="auto"/>
          <w:sz w:val="24"/>
          <w:szCs w:val="24"/>
          <w:highlight w:val="none"/>
          <w:u w:val="single"/>
        </w:rPr>
        <w:t>《浙江省物价局关于进一步完善工程造价咨询服务收费的通知》（浙价服〔2021〕13号）</w:t>
      </w:r>
      <w:r>
        <w:rPr>
          <w:rFonts w:hint="eastAsia" w:ascii="宋体" w:hAnsi="宋体" w:cs="宋体"/>
          <w:b/>
          <w:highlight w:val="none"/>
          <w:u w:val="single"/>
        </w:rPr>
        <w:t>计算，其中结算超过5%核减率（超过送审造价5%以外的核减额）和核增造价引起的追加收费（核增、核减不相互抵扣），由承包人承担，并可由发包人在应付工程款中扣除直接支付给中介审核机构。</w:t>
      </w:r>
    </w:p>
    <w:p w14:paraId="09323040">
      <w:pPr>
        <w:spacing w:line="400" w:lineRule="exact"/>
        <w:ind w:firstLine="480" w:firstLineChars="200"/>
        <w:outlineLvl w:val="9"/>
        <w:rPr>
          <w:rFonts w:ascii="宋体" w:hAnsi="宋体" w:cs="宋体"/>
          <w:highlight w:val="none"/>
        </w:rPr>
      </w:pPr>
      <w:r>
        <w:rPr>
          <w:rFonts w:hint="eastAsia" w:ascii="宋体" w:hAnsi="宋体" w:cs="宋体"/>
          <w:highlight w:val="none"/>
        </w:rPr>
        <w:t>4.4 最终结清</w:t>
      </w:r>
    </w:p>
    <w:p w14:paraId="2F97C2DD">
      <w:pPr>
        <w:spacing w:line="400" w:lineRule="exact"/>
        <w:ind w:firstLine="480" w:firstLineChars="200"/>
        <w:outlineLvl w:val="9"/>
        <w:rPr>
          <w:rFonts w:ascii="宋体" w:hAnsi="宋体" w:cs="宋体"/>
          <w:highlight w:val="none"/>
        </w:rPr>
      </w:pPr>
      <w:r>
        <w:rPr>
          <w:rFonts w:hint="eastAsia" w:ascii="宋体" w:hAnsi="宋体" w:cs="宋体"/>
          <w:highlight w:val="none"/>
        </w:rPr>
        <w:t>14.4.1 最终结清申请单</w:t>
      </w:r>
    </w:p>
    <w:p w14:paraId="0380E86E">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承包人提交最终结清申请单的份数：</w:t>
      </w:r>
      <w:r>
        <w:rPr>
          <w:rFonts w:hint="eastAsia" w:ascii="宋体" w:hAnsi="宋体" w:cs="宋体"/>
          <w:highlight w:val="none"/>
          <w:u w:val="single"/>
        </w:rPr>
        <w:t xml:space="preserve">    按发包人实际需求     。</w:t>
      </w:r>
    </w:p>
    <w:p w14:paraId="5D8D2DF7">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承包人提交最终结算申请单的期限：</w:t>
      </w:r>
      <w:r>
        <w:rPr>
          <w:rFonts w:hint="eastAsia" w:ascii="宋体" w:hAnsi="宋体" w:cs="宋体"/>
          <w:highlight w:val="none"/>
          <w:u w:val="single"/>
        </w:rPr>
        <w:t xml:space="preserve">  </w:t>
      </w:r>
      <w:r>
        <w:rPr>
          <w:rFonts w:hint="eastAsia" w:ascii="宋体" w:hAnsi="宋体" w:cs="宋体"/>
          <w:spacing w:val="-3"/>
          <w:highlight w:val="none"/>
          <w:u w:val="single"/>
        </w:rPr>
        <w:t>缺</w:t>
      </w:r>
      <w:r>
        <w:rPr>
          <w:rFonts w:hint="eastAsia" w:ascii="宋体" w:hAnsi="宋体" w:cs="宋体"/>
          <w:highlight w:val="none"/>
          <w:u w:val="single"/>
        </w:rPr>
        <w:t>陷</w:t>
      </w:r>
      <w:r>
        <w:rPr>
          <w:rFonts w:hint="eastAsia" w:ascii="宋体" w:hAnsi="宋体" w:cs="宋体"/>
          <w:spacing w:val="-3"/>
          <w:highlight w:val="none"/>
          <w:u w:val="single"/>
        </w:rPr>
        <w:t>责</w:t>
      </w:r>
      <w:r>
        <w:rPr>
          <w:rFonts w:hint="eastAsia" w:ascii="宋体" w:hAnsi="宋体" w:cs="宋体"/>
          <w:highlight w:val="none"/>
          <w:u w:val="single"/>
        </w:rPr>
        <w:t>任</w:t>
      </w:r>
      <w:r>
        <w:rPr>
          <w:rFonts w:hint="eastAsia" w:ascii="宋体" w:hAnsi="宋体" w:cs="宋体"/>
          <w:spacing w:val="-3"/>
          <w:highlight w:val="none"/>
          <w:u w:val="single"/>
        </w:rPr>
        <w:t>期</w:t>
      </w:r>
      <w:r>
        <w:rPr>
          <w:rFonts w:hint="eastAsia" w:ascii="宋体" w:hAnsi="宋体" w:cs="宋体"/>
          <w:highlight w:val="none"/>
          <w:u w:val="single"/>
        </w:rPr>
        <w:t>终</w:t>
      </w:r>
      <w:r>
        <w:rPr>
          <w:rFonts w:hint="eastAsia" w:ascii="宋体" w:hAnsi="宋体" w:cs="宋体"/>
          <w:spacing w:val="-3"/>
          <w:highlight w:val="none"/>
          <w:u w:val="single"/>
        </w:rPr>
        <w:t>止</w:t>
      </w:r>
      <w:r>
        <w:rPr>
          <w:rFonts w:hint="eastAsia" w:ascii="宋体" w:hAnsi="宋体" w:cs="宋体"/>
          <w:highlight w:val="none"/>
          <w:u w:val="single"/>
        </w:rPr>
        <w:t>后</w:t>
      </w:r>
      <w:r>
        <w:rPr>
          <w:rFonts w:hint="eastAsia" w:ascii="宋体" w:hAnsi="宋体" w:cs="宋体"/>
          <w:spacing w:val="-50"/>
          <w:highlight w:val="none"/>
          <w:u w:val="single"/>
        </w:rPr>
        <w:t xml:space="preserve"> </w:t>
      </w:r>
      <w:r>
        <w:rPr>
          <w:rFonts w:hint="eastAsia" w:ascii="宋体" w:hAnsi="宋体" w:cs="宋体"/>
          <w:highlight w:val="none"/>
          <w:u w:val="single"/>
        </w:rPr>
        <w:t>7</w:t>
      </w:r>
      <w:r>
        <w:rPr>
          <w:rFonts w:hint="eastAsia" w:ascii="宋体" w:hAnsi="宋体" w:cs="宋体"/>
          <w:spacing w:val="3"/>
          <w:highlight w:val="none"/>
          <w:u w:val="single"/>
        </w:rPr>
        <w:t xml:space="preserve"> </w:t>
      </w:r>
      <w:r>
        <w:rPr>
          <w:rFonts w:hint="eastAsia" w:ascii="宋体" w:hAnsi="宋体" w:cs="宋体"/>
          <w:spacing w:val="-3"/>
          <w:highlight w:val="none"/>
          <w:u w:val="single"/>
        </w:rPr>
        <w:t>天</w:t>
      </w:r>
      <w:r>
        <w:rPr>
          <w:rFonts w:hint="eastAsia" w:ascii="宋体" w:hAnsi="宋体" w:cs="宋体"/>
          <w:highlight w:val="none"/>
          <w:u w:val="single"/>
        </w:rPr>
        <w:t xml:space="preserve">内     。 </w:t>
      </w:r>
    </w:p>
    <w:p w14:paraId="50415F65">
      <w:pPr>
        <w:spacing w:line="400" w:lineRule="exact"/>
        <w:ind w:firstLine="480" w:firstLineChars="200"/>
        <w:outlineLvl w:val="9"/>
        <w:rPr>
          <w:rFonts w:ascii="宋体" w:hAnsi="宋体" w:cs="宋体"/>
          <w:highlight w:val="none"/>
        </w:rPr>
      </w:pPr>
      <w:r>
        <w:rPr>
          <w:rFonts w:hint="eastAsia" w:ascii="宋体" w:hAnsi="宋体" w:cs="宋体"/>
          <w:highlight w:val="none"/>
        </w:rPr>
        <w:t>14.4.2 最终结清证书和支付</w:t>
      </w:r>
    </w:p>
    <w:p w14:paraId="5438DCF8">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（1）发包人完成最终结清申请单的审批并颁发最终结清证书的期限：</w:t>
      </w:r>
      <w:r>
        <w:rPr>
          <w:rFonts w:hint="eastAsia" w:ascii="宋体" w:hAnsi="宋体" w:cs="宋体"/>
          <w:highlight w:val="none"/>
          <w:u w:val="single"/>
        </w:rPr>
        <w:t xml:space="preserve">  按通用合同条款  。</w:t>
      </w:r>
    </w:p>
    <w:p w14:paraId="6EFB2D64">
      <w:pPr>
        <w:spacing w:line="400" w:lineRule="exact"/>
        <w:ind w:firstLine="480" w:firstLineChars="200"/>
        <w:outlineLvl w:val="9"/>
        <w:rPr>
          <w:rFonts w:ascii="宋体" w:hAnsi="宋体" w:cs="宋体"/>
          <w:highlight w:val="none"/>
        </w:rPr>
      </w:pPr>
      <w:r>
        <w:rPr>
          <w:rFonts w:hint="eastAsia" w:ascii="宋体" w:hAnsi="宋体" w:cs="宋体"/>
          <w:highlight w:val="none"/>
        </w:rPr>
        <w:t>（2）发包人完成支付的期限：</w:t>
      </w:r>
      <w:r>
        <w:rPr>
          <w:rFonts w:hint="eastAsia" w:ascii="宋体" w:hAnsi="宋体" w:cs="宋体"/>
          <w:highlight w:val="none"/>
          <w:u w:val="single"/>
        </w:rPr>
        <w:t>按通用合同条款。</w:t>
      </w:r>
    </w:p>
    <w:bookmarkEnd w:id="594"/>
    <w:bookmarkEnd w:id="595"/>
    <w:bookmarkEnd w:id="596"/>
    <w:bookmarkEnd w:id="597"/>
    <w:bookmarkEnd w:id="598"/>
    <w:bookmarkEnd w:id="599"/>
    <w:bookmarkEnd w:id="600"/>
    <w:bookmarkEnd w:id="601"/>
    <w:p w14:paraId="6E2147C4">
      <w:pPr>
        <w:spacing w:before="0" w:after="0" w:line="400" w:lineRule="exact"/>
        <w:ind w:firstLine="480" w:firstLineChars="200"/>
        <w:outlineLvl w:val="9"/>
        <w:rPr>
          <w:rFonts w:ascii="宋体" w:hAnsi="宋体" w:eastAsia="宋体" w:cs="宋体"/>
          <w:b w:val="0"/>
          <w:sz w:val="24"/>
          <w:szCs w:val="24"/>
          <w:highlight w:val="none"/>
        </w:rPr>
      </w:pPr>
      <w:bookmarkStart w:id="624" w:name="_Toc351203647"/>
      <w:bookmarkStart w:id="625" w:name="_Toc267251482"/>
      <w:bookmarkStart w:id="626" w:name="_Toc267251485"/>
      <w:bookmarkStart w:id="627" w:name="_Toc267251483"/>
      <w:bookmarkStart w:id="628" w:name="_Toc267251484"/>
      <w:bookmarkStart w:id="629" w:name="_Toc267251488"/>
      <w:bookmarkStart w:id="630" w:name="_Toc267251489"/>
      <w:bookmarkStart w:id="631" w:name="_Toc267251486"/>
      <w:bookmarkStart w:id="632" w:name="_Toc267251490"/>
      <w:bookmarkStart w:id="633" w:name="_Toc267251497"/>
      <w:bookmarkStart w:id="634" w:name="_Toc267251498"/>
      <w:bookmarkStart w:id="635" w:name="_Toc267251502"/>
      <w:bookmarkStart w:id="636" w:name="_Toc267251496"/>
      <w:bookmarkStart w:id="637" w:name="_Toc267251499"/>
      <w:bookmarkStart w:id="638" w:name="_Toc267251491"/>
      <w:bookmarkStart w:id="639" w:name="_Toc267251494"/>
      <w:bookmarkStart w:id="640" w:name="_Toc267251501"/>
      <w:bookmarkStart w:id="641" w:name="_Toc267251492"/>
      <w:bookmarkStart w:id="642" w:name="_Toc267251493"/>
      <w:bookmarkStart w:id="643" w:name="_Toc267251503"/>
      <w:bookmarkStart w:id="644" w:name="_Toc267251495"/>
      <w:bookmarkStart w:id="645" w:name="_Toc267251504"/>
      <w:bookmarkStart w:id="646" w:name="_Toc267251510"/>
      <w:bookmarkStart w:id="647" w:name="_Toc267251513"/>
      <w:bookmarkStart w:id="648" w:name="_Toc267251506"/>
      <w:bookmarkStart w:id="649" w:name="_Toc267251508"/>
      <w:bookmarkStart w:id="650" w:name="_Toc267251511"/>
      <w:bookmarkStart w:id="651" w:name="_Toc267251509"/>
      <w:bookmarkStart w:id="652" w:name="_Toc267251515"/>
      <w:bookmarkStart w:id="653" w:name="_Toc267251507"/>
      <w:bookmarkStart w:id="654" w:name="_Toc267251514"/>
      <w:r>
        <w:rPr>
          <w:rFonts w:hint="eastAsia" w:ascii="宋体" w:hAnsi="宋体" w:eastAsia="宋体" w:cs="宋体"/>
          <w:sz w:val="24"/>
          <w:szCs w:val="24"/>
          <w:highlight w:val="none"/>
        </w:rPr>
        <w:t>15. 缺陷责任期与保修</w:t>
      </w:r>
      <w:bookmarkEnd w:id="624"/>
    </w:p>
    <w:bookmarkEnd w:id="625"/>
    <w:bookmarkEnd w:id="626"/>
    <w:bookmarkEnd w:id="627"/>
    <w:bookmarkEnd w:id="628"/>
    <w:p w14:paraId="35D54BBD">
      <w:pPr>
        <w:spacing w:line="400" w:lineRule="exact"/>
        <w:ind w:firstLine="480" w:firstLineChars="200"/>
        <w:outlineLvl w:val="9"/>
        <w:rPr>
          <w:rFonts w:ascii="宋体" w:hAnsi="宋体" w:cs="宋体"/>
          <w:highlight w:val="none"/>
        </w:rPr>
      </w:pPr>
      <w:r>
        <w:rPr>
          <w:rFonts w:hint="eastAsia" w:ascii="宋体" w:hAnsi="宋体" w:cs="宋体"/>
          <w:highlight w:val="none"/>
        </w:rPr>
        <w:t>15.2缺陷责任期</w:t>
      </w:r>
    </w:p>
    <w:p w14:paraId="659C05D9">
      <w:pPr>
        <w:spacing w:line="400" w:lineRule="exact"/>
        <w:ind w:firstLine="480" w:firstLineChars="200"/>
        <w:outlineLvl w:val="9"/>
        <w:rPr>
          <w:rFonts w:ascii="宋体" w:hAnsi="宋体" w:cs="宋体"/>
          <w:highlight w:val="none"/>
        </w:rPr>
      </w:pPr>
      <w:r>
        <w:rPr>
          <w:rFonts w:hint="eastAsia" w:ascii="宋体" w:hAnsi="宋体" w:cs="宋体"/>
          <w:highlight w:val="none"/>
        </w:rPr>
        <w:t>缺陷责任期的具体期限：</w:t>
      </w:r>
      <w:r>
        <w:rPr>
          <w:rFonts w:hint="eastAsia" w:ascii="宋体" w:hAnsi="宋体" w:cs="宋体"/>
          <w:highlight w:val="none"/>
          <w:u w:val="single"/>
        </w:rPr>
        <w:t xml:space="preserve"> 缺陷责任期24个月，其余按通用合同条款执行</w:t>
      </w:r>
      <w:r>
        <w:rPr>
          <w:rFonts w:hint="eastAsia" w:ascii="宋体" w:hAnsi="宋体" w:cs="宋体"/>
          <w:highlight w:val="none"/>
        </w:rPr>
        <w:t>。</w:t>
      </w:r>
    </w:p>
    <w:p w14:paraId="2AC6FAEB">
      <w:pPr>
        <w:spacing w:line="400" w:lineRule="exact"/>
        <w:ind w:firstLine="480" w:firstLineChars="200"/>
        <w:outlineLvl w:val="9"/>
        <w:rPr>
          <w:rFonts w:ascii="宋体" w:hAnsi="宋体" w:cs="宋体"/>
          <w:highlight w:val="none"/>
        </w:rPr>
      </w:pPr>
      <w:r>
        <w:rPr>
          <w:rFonts w:hint="eastAsia" w:ascii="宋体" w:hAnsi="宋体" w:cs="宋体"/>
          <w:highlight w:val="none"/>
        </w:rPr>
        <w:t>15.3 质量保证金</w:t>
      </w:r>
    </w:p>
    <w:p w14:paraId="0210E433">
      <w:pPr>
        <w:spacing w:line="400" w:lineRule="exact"/>
        <w:ind w:firstLine="480" w:firstLineChars="200"/>
        <w:outlineLvl w:val="9"/>
        <w:rPr>
          <w:rFonts w:ascii="宋体" w:hAnsi="宋体" w:cs="宋体"/>
          <w:highlight w:val="none"/>
        </w:rPr>
      </w:pPr>
      <w:r>
        <w:rPr>
          <w:rFonts w:hint="eastAsia" w:ascii="宋体" w:hAnsi="宋体" w:cs="宋体"/>
          <w:highlight w:val="none"/>
        </w:rPr>
        <w:t>关于是否扣留质量保证金的约定：</w:t>
      </w:r>
      <w:r>
        <w:rPr>
          <w:rFonts w:hint="eastAsia" w:ascii="宋体" w:hAnsi="宋体" w:cs="宋体"/>
          <w:highlight w:val="none"/>
          <w:u w:val="single"/>
        </w:rPr>
        <w:t xml:space="preserve"> 留置质量保证金</w:t>
      </w:r>
      <w:r>
        <w:rPr>
          <w:rFonts w:hint="eastAsia" w:ascii="宋体" w:hAnsi="宋体" w:cs="宋体"/>
          <w:highlight w:val="none"/>
        </w:rPr>
        <w:t>。</w:t>
      </w:r>
    </w:p>
    <w:p w14:paraId="18AB20AE">
      <w:pPr>
        <w:spacing w:line="400" w:lineRule="exact"/>
        <w:ind w:firstLine="480" w:firstLineChars="200"/>
        <w:outlineLvl w:val="9"/>
        <w:rPr>
          <w:rFonts w:ascii="宋体" w:hAnsi="宋体" w:cs="宋体"/>
          <w:highlight w:val="none"/>
        </w:rPr>
      </w:pPr>
      <w:r>
        <w:rPr>
          <w:rFonts w:hint="eastAsia" w:ascii="宋体" w:hAnsi="宋体" w:cs="宋体"/>
          <w:highlight w:val="none"/>
        </w:rPr>
        <w:t>15.3.1 承包人提供质量保证金的方式</w:t>
      </w:r>
    </w:p>
    <w:p w14:paraId="39FEA296">
      <w:pPr>
        <w:spacing w:line="400" w:lineRule="exact"/>
        <w:ind w:firstLine="480" w:firstLineChars="200"/>
        <w:outlineLvl w:val="9"/>
        <w:rPr>
          <w:rFonts w:ascii="宋体" w:hAnsi="宋体" w:cs="宋体"/>
          <w:highlight w:val="none"/>
        </w:rPr>
      </w:pPr>
      <w:r>
        <w:rPr>
          <w:rFonts w:hint="eastAsia" w:ascii="宋体" w:hAnsi="宋体" w:cs="宋体"/>
          <w:highlight w:val="none"/>
        </w:rPr>
        <w:t>质量保证金采用以下第</w:t>
      </w:r>
      <w:r>
        <w:rPr>
          <w:rFonts w:hint="eastAsia" w:ascii="宋体" w:hAnsi="宋体" w:cs="宋体"/>
          <w:highlight w:val="none"/>
          <w:u w:val="single"/>
        </w:rPr>
        <w:t xml:space="preserve">  （1）  </w:t>
      </w:r>
      <w:r>
        <w:rPr>
          <w:rFonts w:hint="eastAsia" w:ascii="宋体" w:hAnsi="宋体" w:cs="宋体"/>
          <w:highlight w:val="none"/>
        </w:rPr>
        <w:t>种方式：</w:t>
      </w:r>
    </w:p>
    <w:p w14:paraId="408941CD">
      <w:pPr>
        <w:spacing w:line="400" w:lineRule="exact"/>
        <w:ind w:firstLine="480" w:firstLineChars="200"/>
        <w:outlineLvl w:val="9"/>
        <w:rPr>
          <w:rFonts w:ascii="宋体" w:hAnsi="宋体" w:cs="宋体"/>
          <w:highlight w:val="none"/>
        </w:rPr>
      </w:pPr>
      <w:r>
        <w:rPr>
          <w:rFonts w:hint="eastAsia" w:ascii="宋体" w:hAnsi="宋体" w:cs="宋体"/>
          <w:highlight w:val="none"/>
        </w:rPr>
        <w:t>（1）质量保证金保函</w:t>
      </w:r>
      <w:r>
        <w:rPr>
          <w:rFonts w:hint="eastAsia" w:ascii="宋体" w:hAnsi="宋体" w:eastAsia="宋体" w:cs="宋体"/>
          <w:color w:val="auto"/>
          <w:kern w:val="0"/>
          <w:sz w:val="24"/>
          <w:szCs w:val="24"/>
          <w:highlight w:val="none"/>
          <w:lang w:eastAsia="zh-CN"/>
        </w:rPr>
        <w:t>（</w:t>
      </w:r>
      <w:r>
        <w:rPr>
          <w:rFonts w:hint="eastAsia" w:ascii="宋体" w:hAnsi="宋体" w:eastAsia="宋体" w:cs="宋体"/>
          <w:b/>
          <w:color w:val="auto"/>
          <w:sz w:val="24"/>
          <w:szCs w:val="24"/>
          <w:highlight w:val="none"/>
          <w:u w:val="single"/>
          <w:lang w:eastAsia="zh-CN"/>
        </w:rPr>
        <w:t>仅指</w:t>
      </w:r>
      <w:r>
        <w:rPr>
          <w:rFonts w:hint="eastAsia" w:ascii="宋体" w:hAnsi="宋体" w:eastAsia="宋体" w:cs="宋体"/>
          <w:b/>
          <w:color w:val="auto"/>
          <w:sz w:val="24"/>
          <w:szCs w:val="24"/>
          <w:highlight w:val="none"/>
          <w:u w:val="single"/>
        </w:rPr>
        <w:t>银行保函、保险机构保证保险保单</w:t>
      </w:r>
      <w:r>
        <w:rPr>
          <w:rFonts w:hint="eastAsia" w:ascii="宋体" w:hAnsi="宋体" w:eastAsia="宋体" w:cs="宋体"/>
          <w:color w:val="auto"/>
          <w:kern w:val="0"/>
          <w:sz w:val="24"/>
          <w:szCs w:val="24"/>
          <w:highlight w:val="none"/>
          <w:lang w:eastAsia="zh-CN"/>
        </w:rPr>
        <w:t>）</w:t>
      </w:r>
      <w:r>
        <w:rPr>
          <w:rFonts w:hint="eastAsia" w:ascii="宋体" w:hAnsi="宋体" w:cs="宋体"/>
          <w:highlight w:val="none"/>
        </w:rPr>
        <w:t xml:space="preserve">，金额为1.5 %的工程结算价款； </w:t>
      </w:r>
    </w:p>
    <w:p w14:paraId="0951F653">
      <w:pPr>
        <w:spacing w:line="400" w:lineRule="exact"/>
        <w:ind w:firstLine="48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  </w:t>
      </w:r>
      <w:r>
        <w:rPr>
          <w:rFonts w:hint="eastAsia" w:ascii="宋体" w:hAnsi="宋体" w:cs="宋体"/>
          <w:highlight w:val="none"/>
        </w:rPr>
        <w:t>的工程结算价款；</w:t>
      </w:r>
    </w:p>
    <w:p w14:paraId="257B43DE">
      <w:pPr>
        <w:spacing w:line="400" w:lineRule="exact"/>
        <w:ind w:firstLine="480" w:firstLineChars="200"/>
        <w:outlineLvl w:val="9"/>
        <w:rPr>
          <w:rFonts w:ascii="宋体" w:hAnsi="宋体" w:cs="宋体"/>
          <w:highlight w:val="none"/>
        </w:rPr>
      </w:pPr>
      <w:r>
        <w:rPr>
          <w:rFonts w:hint="eastAsia" w:ascii="宋体" w:hAnsi="宋体" w:cs="宋体"/>
          <w:highlight w:val="none"/>
        </w:rPr>
        <w:t>（3）其他方式:</w:t>
      </w:r>
      <w:r>
        <w:rPr>
          <w:rFonts w:hint="eastAsia" w:ascii="宋体" w:hAnsi="宋体" w:cs="宋体"/>
          <w:highlight w:val="none"/>
          <w:u w:val="single"/>
        </w:rPr>
        <w:t xml:space="preserve">                                   </w:t>
      </w:r>
      <w:r>
        <w:rPr>
          <w:rFonts w:hint="eastAsia" w:ascii="宋体" w:hAnsi="宋体" w:cs="宋体"/>
          <w:highlight w:val="none"/>
        </w:rPr>
        <w:t>。</w:t>
      </w:r>
    </w:p>
    <w:p w14:paraId="77B2C501">
      <w:pPr>
        <w:spacing w:line="400" w:lineRule="exact"/>
        <w:ind w:firstLine="480" w:firstLineChars="200"/>
        <w:outlineLvl w:val="9"/>
        <w:rPr>
          <w:rFonts w:ascii="宋体" w:hAnsi="宋体" w:cs="宋体"/>
          <w:highlight w:val="none"/>
        </w:rPr>
      </w:pPr>
      <w:r>
        <w:rPr>
          <w:rFonts w:hint="eastAsia" w:ascii="宋体" w:hAnsi="宋体" w:cs="宋体"/>
          <w:highlight w:val="none"/>
        </w:rPr>
        <w:t xml:space="preserve">15.3.2 质量保证金的扣留 </w:t>
      </w:r>
    </w:p>
    <w:p w14:paraId="33F3897B">
      <w:pPr>
        <w:spacing w:line="400" w:lineRule="exact"/>
        <w:ind w:firstLine="480" w:firstLineChars="200"/>
        <w:outlineLvl w:val="9"/>
        <w:rPr>
          <w:rFonts w:ascii="宋体" w:hAnsi="宋体" w:cs="宋体"/>
          <w:highlight w:val="none"/>
        </w:rPr>
      </w:pPr>
      <w:r>
        <w:rPr>
          <w:rFonts w:hint="eastAsia" w:ascii="宋体" w:hAnsi="宋体" w:cs="宋体"/>
          <w:highlight w:val="none"/>
        </w:rPr>
        <w:t>质量保证金的扣留采取以下第</w:t>
      </w:r>
      <w:r>
        <w:rPr>
          <w:rFonts w:hint="eastAsia" w:ascii="宋体" w:hAnsi="宋体" w:cs="宋体"/>
          <w:highlight w:val="none"/>
          <w:u w:val="single"/>
        </w:rPr>
        <w:t>（3）</w:t>
      </w:r>
      <w:r>
        <w:rPr>
          <w:rFonts w:hint="eastAsia" w:ascii="宋体" w:hAnsi="宋体" w:cs="宋体"/>
          <w:highlight w:val="none"/>
        </w:rPr>
        <w:t xml:space="preserve">种方式： </w:t>
      </w:r>
    </w:p>
    <w:p w14:paraId="75147F34">
      <w:pPr>
        <w:spacing w:line="400" w:lineRule="exact"/>
        <w:ind w:firstLine="480" w:firstLineChars="200"/>
        <w:outlineLvl w:val="9"/>
        <w:rPr>
          <w:rFonts w:ascii="宋体" w:hAnsi="宋体" w:cs="宋体"/>
          <w:highlight w:val="none"/>
        </w:rPr>
      </w:pPr>
      <w:r>
        <w:rPr>
          <w:rFonts w:hint="eastAsia" w:ascii="宋体" w:hAnsi="宋体" w:cs="宋体"/>
          <w:highlight w:val="none"/>
        </w:rPr>
        <w:t>（1）在支付工程进度款时逐次扣留，在此情形下，质量保证金的计算基数不包括预付款的支付、扣回以及价格调整的金额；</w:t>
      </w:r>
    </w:p>
    <w:p w14:paraId="02DB0C78">
      <w:pPr>
        <w:spacing w:line="400" w:lineRule="exact"/>
        <w:ind w:firstLine="480" w:firstLineChars="200"/>
        <w:outlineLvl w:val="9"/>
        <w:rPr>
          <w:rFonts w:ascii="宋体" w:hAnsi="宋体" w:cs="宋体"/>
          <w:highlight w:val="none"/>
        </w:rPr>
      </w:pPr>
      <w:r>
        <w:rPr>
          <w:rFonts w:hint="eastAsia" w:ascii="宋体" w:hAnsi="宋体" w:cs="宋体"/>
          <w:highlight w:val="none"/>
        </w:rPr>
        <w:t>（2）工程竣工结算时一次性扣留质量保证金；</w:t>
      </w:r>
    </w:p>
    <w:p w14:paraId="2B9BE097">
      <w:pPr>
        <w:spacing w:line="400" w:lineRule="exact"/>
        <w:ind w:firstLine="480" w:firstLineChars="200"/>
        <w:outlineLvl w:val="9"/>
        <w:rPr>
          <w:rFonts w:ascii="宋体" w:hAnsi="宋体" w:cs="宋体"/>
          <w:highlight w:val="none"/>
        </w:rPr>
      </w:pPr>
      <w:r>
        <w:rPr>
          <w:rFonts w:hint="eastAsia" w:ascii="宋体" w:hAnsi="宋体" w:cs="宋体"/>
          <w:highlight w:val="none"/>
        </w:rPr>
        <w:t>（3）其他扣留方式：</w:t>
      </w:r>
      <w:r>
        <w:rPr>
          <w:rFonts w:hint="eastAsia" w:ascii="宋体" w:hAnsi="宋体" w:cs="宋体"/>
          <w:highlight w:val="none"/>
          <w:u w:val="single"/>
        </w:rPr>
        <w:t xml:space="preserve"> 发包人支付</w:t>
      </w:r>
      <w:r>
        <w:rPr>
          <w:rFonts w:hint="eastAsia" w:ascii="宋体" w:hAnsi="宋体" w:eastAsia="宋体" w:cs="宋体"/>
          <w:highlight w:val="none"/>
          <w:u w:val="single"/>
        </w:rPr>
        <w:t>最后工程结算付款前，承包人提</w:t>
      </w:r>
      <w:r>
        <w:rPr>
          <w:rFonts w:hint="eastAsia" w:ascii="宋体" w:hAnsi="宋体" w:cs="宋体"/>
          <w:highlight w:val="none"/>
          <w:u w:val="single"/>
        </w:rPr>
        <w:t xml:space="preserve">供质量保证金保函  </w:t>
      </w:r>
      <w:r>
        <w:rPr>
          <w:rFonts w:hint="eastAsia" w:ascii="宋体" w:hAnsi="宋体" w:cs="宋体"/>
          <w:highlight w:val="none"/>
        </w:rPr>
        <w:t>。</w:t>
      </w:r>
    </w:p>
    <w:p w14:paraId="43102BF3">
      <w:pPr>
        <w:spacing w:line="400" w:lineRule="exact"/>
        <w:ind w:firstLine="480" w:firstLineChars="200"/>
        <w:outlineLvl w:val="9"/>
        <w:rPr>
          <w:rFonts w:ascii="宋体" w:hAnsi="宋体" w:cs="宋体"/>
          <w:highlight w:val="none"/>
        </w:rPr>
      </w:pPr>
      <w:r>
        <w:rPr>
          <w:rFonts w:hint="eastAsia" w:ascii="宋体" w:hAnsi="宋体" w:cs="宋体"/>
          <w:highlight w:val="none"/>
        </w:rPr>
        <w:t>关于质量保证金的补充约定：</w:t>
      </w:r>
      <w:r>
        <w:rPr>
          <w:rFonts w:hint="eastAsia" w:ascii="宋体" w:hAnsi="宋体" w:cs="宋体"/>
          <w:highlight w:val="none"/>
          <w:u w:val="single"/>
        </w:rPr>
        <w:t xml:space="preserve">         /                  </w:t>
      </w:r>
      <w:r>
        <w:rPr>
          <w:rFonts w:hint="eastAsia" w:ascii="宋体" w:hAnsi="宋体" w:cs="宋体"/>
          <w:highlight w:val="none"/>
        </w:rPr>
        <w:t>。</w:t>
      </w:r>
    </w:p>
    <w:p w14:paraId="5551F50E">
      <w:pPr>
        <w:spacing w:line="400" w:lineRule="exact"/>
        <w:ind w:firstLine="480" w:firstLineChars="200"/>
        <w:outlineLvl w:val="9"/>
        <w:rPr>
          <w:rFonts w:ascii="宋体" w:hAnsi="宋体" w:cs="宋体"/>
          <w:highlight w:val="none"/>
        </w:rPr>
      </w:pPr>
      <w:r>
        <w:rPr>
          <w:rFonts w:hint="eastAsia" w:ascii="宋体" w:hAnsi="宋体" w:cs="宋体"/>
          <w:highlight w:val="none"/>
        </w:rPr>
        <w:t>15.3.3 质量保证金的退还</w:t>
      </w:r>
    </w:p>
    <w:p w14:paraId="3E3147E7">
      <w:pPr>
        <w:spacing w:line="400" w:lineRule="exact"/>
        <w:ind w:firstLine="480" w:firstLineChars="200"/>
        <w:outlineLvl w:val="9"/>
        <w:rPr>
          <w:rFonts w:ascii="宋体" w:hAnsi="宋体" w:cs="宋体"/>
          <w:highlight w:val="none"/>
        </w:rPr>
      </w:pPr>
      <w:r>
        <w:rPr>
          <w:rFonts w:hint="eastAsia" w:ascii="宋体" w:hAnsi="宋体" w:cs="宋体"/>
          <w:highlight w:val="none"/>
        </w:rPr>
        <w:t>质量保证金按以下第</w:t>
      </w:r>
      <w:r>
        <w:rPr>
          <w:rFonts w:hint="eastAsia" w:ascii="宋体" w:hAnsi="宋体" w:cs="宋体"/>
          <w:b/>
          <w:i/>
          <w:highlight w:val="none"/>
          <w:u w:val="single"/>
        </w:rPr>
        <w:t xml:space="preserve"> </w:t>
      </w:r>
      <w:r>
        <w:rPr>
          <w:rFonts w:hint="eastAsia" w:ascii="宋体" w:hAnsi="宋体" w:cs="宋体"/>
          <w:b/>
          <w:highlight w:val="none"/>
          <w:u w:val="single"/>
        </w:rPr>
        <w:t xml:space="preserve">（4） </w:t>
      </w:r>
      <w:r>
        <w:rPr>
          <w:rFonts w:hint="eastAsia" w:ascii="宋体" w:hAnsi="宋体" w:cs="宋体"/>
          <w:highlight w:val="none"/>
        </w:rPr>
        <w:t>方式退回：</w:t>
      </w:r>
    </w:p>
    <w:p w14:paraId="7A17EEE7">
      <w:pPr>
        <w:spacing w:line="400" w:lineRule="exact"/>
        <w:ind w:firstLine="480" w:firstLineChars="200"/>
        <w:outlineLvl w:val="9"/>
        <w:rPr>
          <w:rFonts w:ascii="宋体" w:hAnsi="宋体" w:cs="宋体"/>
          <w:highlight w:val="none"/>
        </w:rPr>
      </w:pPr>
      <w:r>
        <w:rPr>
          <w:rFonts w:hint="eastAsia" w:ascii="宋体" w:hAnsi="宋体" w:cs="宋体"/>
          <w:highlight w:val="none"/>
        </w:rPr>
        <w:t>（1）缺陷责任期终止后，发包人退还剩余的质量保证金（约定是否计息）。</w:t>
      </w:r>
    </w:p>
    <w:p w14:paraId="7FC9A248">
      <w:pPr>
        <w:spacing w:line="400" w:lineRule="exact"/>
        <w:ind w:firstLine="480" w:firstLineChars="200"/>
        <w:outlineLvl w:val="9"/>
        <w:rPr>
          <w:rFonts w:ascii="宋体" w:hAnsi="宋体" w:cs="宋体"/>
          <w:spacing w:val="-106"/>
          <w:highlight w:val="none"/>
          <w:u w:val="single"/>
        </w:rPr>
      </w:pPr>
      <w:r>
        <w:rPr>
          <w:rFonts w:hint="eastAsia" w:ascii="宋体" w:hAnsi="宋体" w:cs="宋体"/>
          <w:highlight w:val="none"/>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cs="宋体"/>
          <w:spacing w:val="-3"/>
          <w:highlight w:val="none"/>
          <w:u w:val="single"/>
        </w:rPr>
        <w:t>不计息，保函形式提交的不予退还，到期</w:t>
      </w:r>
      <w:r>
        <w:rPr>
          <w:rFonts w:hint="eastAsia" w:ascii="宋体" w:hAnsi="宋体" w:cs="宋体"/>
          <w:highlight w:val="none"/>
          <w:u w:val="single"/>
        </w:rPr>
        <w:t>保函自动失效。）</w:t>
      </w:r>
    </w:p>
    <w:p w14:paraId="09FB085D">
      <w:pPr>
        <w:spacing w:line="400" w:lineRule="exact"/>
        <w:ind w:firstLine="480" w:firstLineChars="200"/>
        <w:outlineLvl w:val="9"/>
        <w:rPr>
          <w:rFonts w:ascii="宋体" w:hAnsi="宋体" w:cs="宋体"/>
          <w:highlight w:val="none"/>
        </w:rPr>
      </w:pPr>
      <w:r>
        <w:rPr>
          <w:rFonts w:hint="eastAsia" w:ascii="宋体" w:hAnsi="宋体" w:cs="宋体"/>
          <w:highlight w:val="none"/>
        </w:rPr>
        <w:t>（3）市政工程：工程实际竣工验收合格后满二年可返还全部质量保证金。</w:t>
      </w:r>
    </w:p>
    <w:p w14:paraId="7998E9DF">
      <w:pPr>
        <w:spacing w:line="400" w:lineRule="exact"/>
        <w:ind w:firstLine="480" w:firstLineChars="200"/>
        <w:outlineLvl w:val="9"/>
        <w:rPr>
          <w:rFonts w:ascii="宋体" w:hAnsi="宋体" w:cs="宋体"/>
          <w:highlight w:val="none"/>
        </w:rPr>
      </w:pPr>
      <w:r>
        <w:rPr>
          <w:rFonts w:hint="eastAsia" w:ascii="宋体" w:hAnsi="宋体" w:cs="宋体"/>
          <w:highlight w:val="none"/>
        </w:rPr>
        <w:t>（4）其它：</w:t>
      </w:r>
      <w:r>
        <w:rPr>
          <w:rFonts w:hint="eastAsia" w:ascii="宋体" w:hAnsi="宋体" w:cs="宋体"/>
          <w:bCs/>
          <w:highlight w:val="none"/>
          <w:u w:val="single"/>
        </w:rPr>
        <w:t xml:space="preserve">  </w:t>
      </w:r>
      <w:r>
        <w:rPr>
          <w:rFonts w:hint="eastAsia" w:ascii="宋体" w:hAnsi="宋体" w:cs="宋体"/>
          <w:highlight w:val="none"/>
          <w:u w:val="single"/>
        </w:rPr>
        <w:t>缺陷责任期终止后，质量保证金保函自动失效。</w:t>
      </w:r>
    </w:p>
    <w:p w14:paraId="65D0247A">
      <w:pPr>
        <w:spacing w:line="400" w:lineRule="exact"/>
        <w:ind w:firstLine="480" w:firstLineChars="200"/>
        <w:outlineLvl w:val="9"/>
        <w:rPr>
          <w:rFonts w:ascii="宋体" w:hAnsi="宋体" w:cs="宋体"/>
          <w:highlight w:val="none"/>
        </w:rPr>
      </w:pPr>
      <w:r>
        <w:rPr>
          <w:rFonts w:hint="eastAsia" w:ascii="宋体" w:hAnsi="宋体" w:cs="宋体"/>
          <w:highlight w:val="none"/>
        </w:rPr>
        <w:t>15.4保修</w:t>
      </w:r>
    </w:p>
    <w:p w14:paraId="13AF6EE4">
      <w:pPr>
        <w:spacing w:line="400" w:lineRule="exact"/>
        <w:ind w:firstLine="480" w:firstLineChars="200"/>
        <w:outlineLvl w:val="9"/>
        <w:rPr>
          <w:rFonts w:ascii="宋体" w:hAnsi="宋体" w:cs="宋体"/>
          <w:highlight w:val="none"/>
        </w:rPr>
      </w:pPr>
      <w:r>
        <w:rPr>
          <w:rFonts w:hint="eastAsia" w:ascii="宋体" w:hAnsi="宋体" w:cs="宋体"/>
          <w:highlight w:val="none"/>
        </w:rPr>
        <w:t>15.4.1 保修责任</w:t>
      </w:r>
    </w:p>
    <w:p w14:paraId="72E14CB9">
      <w:pPr>
        <w:spacing w:line="400" w:lineRule="exact"/>
        <w:ind w:firstLine="480" w:firstLineChars="200"/>
        <w:outlineLvl w:val="9"/>
        <w:rPr>
          <w:rFonts w:ascii="宋体" w:hAnsi="宋体" w:cs="宋体"/>
          <w:highlight w:val="none"/>
        </w:rPr>
      </w:pPr>
      <w:r>
        <w:rPr>
          <w:rFonts w:hint="eastAsia" w:ascii="宋体" w:hAnsi="宋体" w:cs="宋体"/>
          <w:highlight w:val="none"/>
        </w:rPr>
        <w:t>工程保修期为：</w:t>
      </w:r>
      <w:r>
        <w:rPr>
          <w:rFonts w:hint="eastAsia" w:ascii="宋体" w:hAnsi="宋体" w:cs="宋体"/>
          <w:highlight w:val="none"/>
          <w:u w:val="single"/>
        </w:rPr>
        <w:t xml:space="preserve"> 按本合同附件3《工程质量保修书》 </w:t>
      </w:r>
      <w:r>
        <w:rPr>
          <w:rFonts w:hint="eastAsia" w:ascii="宋体" w:hAnsi="宋体" w:cs="宋体"/>
          <w:highlight w:val="none"/>
        </w:rPr>
        <w:t>。</w:t>
      </w:r>
    </w:p>
    <w:p w14:paraId="114A85CF">
      <w:pPr>
        <w:spacing w:line="400" w:lineRule="exact"/>
        <w:ind w:firstLine="480" w:firstLineChars="200"/>
        <w:outlineLvl w:val="9"/>
        <w:rPr>
          <w:rFonts w:ascii="宋体" w:hAnsi="宋体" w:cs="宋体"/>
          <w:highlight w:val="none"/>
        </w:rPr>
      </w:pPr>
      <w:r>
        <w:rPr>
          <w:rFonts w:hint="eastAsia" w:ascii="宋体" w:hAnsi="宋体" w:cs="宋体"/>
          <w:highlight w:val="none"/>
        </w:rPr>
        <w:t>15.4.3 修复通知</w:t>
      </w:r>
    </w:p>
    <w:p w14:paraId="5A296FAA">
      <w:pPr>
        <w:spacing w:line="400" w:lineRule="exact"/>
        <w:ind w:firstLine="480" w:firstLineChars="200"/>
        <w:outlineLvl w:val="9"/>
        <w:rPr>
          <w:rFonts w:ascii="宋体" w:hAnsi="宋体" w:cs="宋体"/>
          <w:highlight w:val="none"/>
        </w:rPr>
      </w:pPr>
      <w:r>
        <w:rPr>
          <w:rFonts w:hint="eastAsia" w:ascii="宋体" w:hAnsi="宋体" w:cs="宋体"/>
          <w:highlight w:val="none"/>
        </w:rPr>
        <w:t>承包人收到保修通知并到达工程现场的合理时间：</w:t>
      </w:r>
      <w:r>
        <w:rPr>
          <w:rFonts w:hint="eastAsia" w:ascii="宋体" w:hAnsi="宋体" w:cs="宋体"/>
          <w:highlight w:val="none"/>
          <w:u w:val="single"/>
        </w:rPr>
        <w:t xml:space="preserve"> 按通用合同条款  </w:t>
      </w:r>
      <w:r>
        <w:rPr>
          <w:rFonts w:hint="eastAsia" w:ascii="宋体" w:hAnsi="宋体" w:cs="宋体"/>
          <w:highlight w:val="none"/>
        </w:rPr>
        <w:t>。</w:t>
      </w:r>
    </w:p>
    <w:bookmarkEnd w:id="629"/>
    <w:bookmarkEnd w:id="630"/>
    <w:bookmarkEnd w:id="631"/>
    <w:bookmarkEnd w:id="632"/>
    <w:p w14:paraId="2B1ADD54">
      <w:pPr>
        <w:spacing w:before="0" w:after="0" w:line="400" w:lineRule="exact"/>
        <w:ind w:firstLine="480" w:firstLineChars="200"/>
        <w:outlineLvl w:val="9"/>
        <w:rPr>
          <w:rFonts w:ascii="宋体" w:hAnsi="宋体" w:eastAsia="宋体" w:cs="宋体"/>
          <w:sz w:val="24"/>
          <w:szCs w:val="24"/>
          <w:highlight w:val="none"/>
        </w:rPr>
      </w:pPr>
      <w:bookmarkStart w:id="655" w:name="_Toc351203648"/>
      <w:bookmarkStart w:id="656" w:name="_Toc280868717"/>
      <w:bookmarkStart w:id="657" w:name="_Toc280868718"/>
      <w:r>
        <w:rPr>
          <w:rFonts w:hint="eastAsia" w:ascii="宋体" w:hAnsi="宋体" w:eastAsia="宋体" w:cs="宋体"/>
          <w:sz w:val="24"/>
          <w:szCs w:val="24"/>
          <w:highlight w:val="none"/>
        </w:rPr>
        <w:t>16. 违约</w:t>
      </w:r>
      <w:bookmarkEnd w:id="655"/>
    </w:p>
    <w:p w14:paraId="5BF5B954">
      <w:pPr>
        <w:spacing w:line="400" w:lineRule="exact"/>
        <w:ind w:firstLine="480" w:firstLineChars="200"/>
        <w:outlineLvl w:val="9"/>
        <w:rPr>
          <w:rFonts w:ascii="宋体" w:hAnsi="宋体" w:cs="宋体"/>
          <w:highlight w:val="none"/>
        </w:rPr>
      </w:pPr>
      <w:r>
        <w:rPr>
          <w:rFonts w:hint="eastAsia" w:ascii="宋体" w:hAnsi="宋体" w:cs="宋体"/>
          <w:highlight w:val="none"/>
        </w:rPr>
        <w:t>16.1 发包人违约</w:t>
      </w:r>
    </w:p>
    <w:p w14:paraId="120CFA4E">
      <w:pPr>
        <w:spacing w:line="400" w:lineRule="exact"/>
        <w:ind w:firstLine="480" w:firstLineChars="200"/>
        <w:outlineLvl w:val="9"/>
        <w:rPr>
          <w:rFonts w:ascii="宋体" w:hAnsi="宋体" w:cs="宋体"/>
          <w:highlight w:val="none"/>
        </w:rPr>
      </w:pPr>
      <w:r>
        <w:rPr>
          <w:rFonts w:hint="eastAsia" w:ascii="宋体" w:hAnsi="宋体" w:cs="宋体"/>
          <w:highlight w:val="none"/>
        </w:rPr>
        <w:t>16.1.1发包人违约的情形</w:t>
      </w:r>
    </w:p>
    <w:p w14:paraId="43F21A49">
      <w:pPr>
        <w:spacing w:line="400" w:lineRule="exact"/>
        <w:ind w:firstLine="480" w:firstLineChars="200"/>
        <w:outlineLvl w:val="9"/>
        <w:rPr>
          <w:rFonts w:ascii="宋体" w:hAnsi="宋体" w:cs="宋体"/>
          <w:highlight w:val="none"/>
        </w:rPr>
      </w:pPr>
      <w:r>
        <w:rPr>
          <w:rFonts w:hint="eastAsia" w:ascii="宋体" w:hAnsi="宋体" w:cs="宋体"/>
          <w:highlight w:val="none"/>
        </w:rPr>
        <w:t>发包人违约的其他情形：</w:t>
      </w:r>
      <w:r>
        <w:rPr>
          <w:rFonts w:hint="eastAsia" w:ascii="宋体" w:hAnsi="宋体" w:cs="宋体"/>
          <w:highlight w:val="none"/>
          <w:u w:val="single"/>
        </w:rPr>
        <w:t xml:space="preserve">        /          </w:t>
      </w:r>
      <w:r>
        <w:rPr>
          <w:rFonts w:hint="eastAsia" w:ascii="宋体" w:hAnsi="宋体" w:cs="宋体"/>
          <w:highlight w:val="none"/>
        </w:rPr>
        <w:t>。</w:t>
      </w:r>
    </w:p>
    <w:p w14:paraId="118BB3AB">
      <w:pPr>
        <w:spacing w:line="400" w:lineRule="exact"/>
        <w:ind w:firstLine="480" w:firstLineChars="200"/>
        <w:outlineLvl w:val="9"/>
        <w:rPr>
          <w:rFonts w:ascii="宋体" w:hAnsi="宋体" w:cs="宋体"/>
          <w:highlight w:val="none"/>
        </w:rPr>
      </w:pPr>
      <w:r>
        <w:rPr>
          <w:rFonts w:hint="eastAsia" w:ascii="宋体" w:hAnsi="宋体" w:cs="宋体"/>
          <w:highlight w:val="none"/>
        </w:rPr>
        <w:t>16.1.2 发包人违约的责任</w:t>
      </w:r>
    </w:p>
    <w:p w14:paraId="48BBB8A9">
      <w:pPr>
        <w:spacing w:line="400" w:lineRule="exact"/>
        <w:ind w:firstLine="480" w:firstLineChars="200"/>
        <w:outlineLvl w:val="9"/>
        <w:rPr>
          <w:rFonts w:ascii="宋体" w:hAnsi="宋体" w:cs="宋体"/>
          <w:highlight w:val="none"/>
        </w:rPr>
      </w:pPr>
      <w:r>
        <w:rPr>
          <w:rFonts w:hint="eastAsia" w:ascii="宋体" w:hAnsi="宋体" w:cs="宋体"/>
          <w:highlight w:val="none"/>
        </w:rPr>
        <w:t>发包人违约责任的承担方式和计算方法：</w:t>
      </w:r>
    </w:p>
    <w:p w14:paraId="15DFB6FC">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（1）因发包人原因未能在计划开工日期前7天内下达开工通知的违约责任：</w:t>
      </w:r>
      <w:r>
        <w:rPr>
          <w:rFonts w:hint="eastAsia" w:ascii="宋体" w:hAnsi="宋体" w:cs="宋体"/>
          <w:highlight w:val="none"/>
          <w:u w:val="single"/>
        </w:rPr>
        <w:t xml:space="preserve"> 赔偿承包人相关损失；属于专用合同条款 7.3.2 条约定情形的，按该条款约定处理；</w:t>
      </w:r>
    </w:p>
    <w:p w14:paraId="30028861">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（2）因发包人原因未能按合同约定支付合同价款的违约责任：</w:t>
      </w:r>
      <w:r>
        <w:rPr>
          <w:rFonts w:hint="eastAsia" w:ascii="宋体" w:hAnsi="宋体" w:cs="宋体"/>
          <w:highlight w:val="none"/>
          <w:u w:val="single"/>
        </w:rPr>
        <w:t>支付违约金，违约金为应付合同价款的利息，</w:t>
      </w:r>
      <w:r>
        <w:rPr>
          <w:rFonts w:hint="eastAsia" w:ascii="宋体" w:hAnsi="宋体" w:cs="宋体"/>
          <w:bCs/>
          <w:highlight w:val="none"/>
          <w:u w:val="single"/>
        </w:rPr>
        <w:t>利率按同期全国银行间同业拆借中心公布的贷款市场报价利率，利息计算时间为应付工程款日起至支付工程款日止；</w:t>
      </w:r>
      <w:r>
        <w:rPr>
          <w:rFonts w:hint="eastAsia" w:ascii="宋体" w:hAnsi="宋体" w:cs="宋体"/>
          <w:highlight w:val="none"/>
          <w:u w:val="single"/>
        </w:rPr>
        <w:t>造成工期延误的顺延工期，并承担承包人的相应损失费用；</w:t>
      </w:r>
    </w:p>
    <w:p w14:paraId="0CBD4792">
      <w:pPr>
        <w:spacing w:line="400" w:lineRule="exact"/>
        <w:ind w:firstLine="480" w:firstLineChars="200"/>
        <w:outlineLvl w:val="9"/>
        <w:rPr>
          <w:rFonts w:ascii="宋体" w:hAnsi="宋体" w:cs="宋体"/>
          <w:color w:val="FF0000"/>
          <w:highlight w:val="none"/>
        </w:rPr>
      </w:pPr>
      <w:r>
        <w:rPr>
          <w:rFonts w:hint="eastAsia" w:ascii="宋体" w:hAnsi="宋体" w:cs="宋体"/>
          <w:highlight w:val="none"/>
        </w:rPr>
        <w:t>（3）发包人违反第10.1</w:t>
      </w:r>
      <w:r>
        <w:rPr>
          <w:rFonts w:hint="eastAsia" w:ascii="宋体" w:hAnsi="宋体" w:cs="宋体"/>
          <w:color w:val="auto"/>
          <w:highlight w:val="none"/>
        </w:rPr>
        <w:t>款〔变更的范围〕第（2）项约定，自行实施被取消的工作或转由他人实施的违约责任：</w:t>
      </w:r>
      <w:r>
        <w:rPr>
          <w:rFonts w:hint="eastAsia" w:ascii="宋体" w:hAnsi="宋体" w:cs="宋体"/>
          <w:color w:val="auto"/>
          <w:highlight w:val="none"/>
          <w:u w:val="single"/>
        </w:rPr>
        <w:t xml:space="preserve"> </w:t>
      </w:r>
      <w:r>
        <w:rPr>
          <w:rFonts w:hint="eastAsia" w:ascii="宋体" w:hAnsi="宋体" w:eastAsia="宋体" w:cs="宋体"/>
          <w:color w:val="auto"/>
          <w:sz w:val="24"/>
          <w:szCs w:val="24"/>
          <w:highlight w:val="none"/>
          <w:u w:val="single"/>
        </w:rPr>
        <w:t xml:space="preserve">     /        </w:t>
      </w:r>
      <w:r>
        <w:rPr>
          <w:rFonts w:hint="eastAsia" w:ascii="宋体" w:hAnsi="宋体" w:cs="宋体"/>
          <w:color w:val="auto"/>
          <w:highlight w:val="none"/>
          <w:u w:val="single"/>
        </w:rPr>
        <w:t>；</w:t>
      </w:r>
    </w:p>
    <w:p w14:paraId="11E7341C">
      <w:pPr>
        <w:spacing w:line="400" w:lineRule="exact"/>
        <w:ind w:firstLine="480" w:firstLineChars="200"/>
        <w:outlineLvl w:val="9"/>
        <w:rPr>
          <w:rFonts w:ascii="宋体" w:hAnsi="宋体" w:cs="宋体"/>
          <w:highlight w:val="none"/>
        </w:rPr>
      </w:pPr>
      <w:r>
        <w:rPr>
          <w:rFonts w:hint="eastAsia" w:ascii="宋体" w:hAnsi="宋体" w:cs="宋体"/>
          <w:highlight w:val="none"/>
        </w:rPr>
        <w:t>（4）发包人提供的材料、工程设备的规格、数量或质量不符合合同约定，或因发包人原因导致交货日期延误或交货地点变更等情况的违约责任：</w:t>
      </w:r>
      <w:r>
        <w:rPr>
          <w:rFonts w:hint="eastAsia" w:ascii="宋体" w:hAnsi="宋体" w:cs="宋体"/>
          <w:highlight w:val="none"/>
          <w:u w:val="single"/>
        </w:rPr>
        <w:t xml:space="preserve">  造成工期延误的顺延工期，并承担增加的造价及承包人的相应损失费用等；</w:t>
      </w:r>
      <w:r>
        <w:rPr>
          <w:rFonts w:hint="eastAsia" w:ascii="宋体" w:hAnsi="宋体" w:cs="宋体"/>
          <w:highlight w:val="none"/>
        </w:rPr>
        <w:t xml:space="preserve"> </w:t>
      </w:r>
    </w:p>
    <w:p w14:paraId="7733EDB5">
      <w:pPr>
        <w:spacing w:line="400" w:lineRule="exact"/>
        <w:ind w:firstLine="480" w:firstLineChars="200"/>
        <w:outlineLvl w:val="9"/>
        <w:rPr>
          <w:rFonts w:ascii="宋体" w:hAnsi="宋体" w:cs="宋体"/>
          <w:highlight w:val="none"/>
        </w:rPr>
      </w:pPr>
      <w:r>
        <w:rPr>
          <w:rFonts w:hint="eastAsia" w:ascii="宋体" w:hAnsi="宋体" w:cs="宋体"/>
          <w:highlight w:val="none"/>
        </w:rPr>
        <w:t>（5）因发包人违反合同约定造成暂停施工的违约责任：</w:t>
      </w:r>
      <w:r>
        <w:rPr>
          <w:rFonts w:hint="eastAsia" w:ascii="宋体" w:hAnsi="宋体" w:cs="宋体"/>
          <w:highlight w:val="none"/>
          <w:u w:val="single"/>
        </w:rPr>
        <w:t>造成工期延误的顺延工期，并承担增加的造价及承包人的相应损失费用等。</w:t>
      </w:r>
    </w:p>
    <w:p w14:paraId="01348F20">
      <w:pPr>
        <w:spacing w:line="400" w:lineRule="exact"/>
        <w:ind w:firstLine="480" w:firstLineChars="200"/>
        <w:outlineLvl w:val="9"/>
        <w:rPr>
          <w:rFonts w:ascii="宋体" w:hAnsi="宋体" w:cs="宋体"/>
          <w:highlight w:val="none"/>
        </w:rPr>
      </w:pPr>
      <w:r>
        <w:rPr>
          <w:rFonts w:hint="eastAsia" w:ascii="宋体" w:hAnsi="宋体" w:cs="宋体"/>
          <w:highlight w:val="none"/>
        </w:rPr>
        <w:t>（6）发包人无正当理由没有在约定期限内发出复工指示，导致承包人无法复工的违约责任：</w:t>
      </w:r>
      <w:r>
        <w:rPr>
          <w:rFonts w:hint="eastAsia" w:ascii="宋体" w:hAnsi="宋体" w:cs="宋体"/>
          <w:highlight w:val="none"/>
          <w:u w:val="single"/>
        </w:rPr>
        <w:t xml:space="preserve">  造成工期延误的顺延工期，并承担增加的造价及承包人的相应损失费用等。</w:t>
      </w:r>
    </w:p>
    <w:p w14:paraId="390B2043">
      <w:pPr>
        <w:spacing w:line="400" w:lineRule="exact"/>
        <w:ind w:firstLine="480" w:firstLineChars="200"/>
        <w:outlineLvl w:val="9"/>
        <w:rPr>
          <w:rFonts w:ascii="宋体" w:hAnsi="宋体" w:cs="宋体"/>
          <w:highlight w:val="none"/>
        </w:rPr>
      </w:pPr>
      <w:r>
        <w:rPr>
          <w:rFonts w:hint="eastAsia" w:ascii="宋体" w:hAnsi="宋体" w:cs="宋体"/>
          <w:highlight w:val="none"/>
        </w:rPr>
        <w:t>（7）其他：</w:t>
      </w:r>
      <w:r>
        <w:rPr>
          <w:rFonts w:hint="eastAsia" w:ascii="宋体" w:hAnsi="宋体" w:cs="宋体"/>
          <w:highlight w:val="none"/>
          <w:u w:val="single"/>
        </w:rPr>
        <w:t xml:space="preserve">          /                         </w:t>
      </w:r>
      <w:r>
        <w:rPr>
          <w:rFonts w:hint="eastAsia" w:ascii="宋体" w:hAnsi="宋体" w:cs="宋体"/>
          <w:highlight w:val="none"/>
        </w:rPr>
        <w:t>。</w:t>
      </w:r>
    </w:p>
    <w:p w14:paraId="5BF2419C">
      <w:pPr>
        <w:spacing w:line="400" w:lineRule="exact"/>
        <w:ind w:firstLine="480" w:firstLineChars="200"/>
        <w:outlineLvl w:val="9"/>
        <w:rPr>
          <w:rFonts w:ascii="宋体" w:hAnsi="宋体" w:cs="宋体"/>
          <w:highlight w:val="none"/>
        </w:rPr>
      </w:pPr>
      <w:r>
        <w:rPr>
          <w:rFonts w:hint="eastAsia" w:ascii="宋体" w:hAnsi="宋体" w:cs="宋体"/>
          <w:highlight w:val="none"/>
        </w:rPr>
        <w:t>16.1.3 因发包人违约解除合同</w:t>
      </w:r>
    </w:p>
    <w:p w14:paraId="3C63A4E9">
      <w:pPr>
        <w:spacing w:line="400" w:lineRule="exact"/>
        <w:ind w:firstLine="480" w:firstLineChars="200"/>
        <w:outlineLvl w:val="9"/>
        <w:rPr>
          <w:rFonts w:ascii="宋体" w:hAnsi="宋体" w:cs="宋体"/>
          <w:highlight w:val="none"/>
        </w:rPr>
      </w:pPr>
      <w:r>
        <w:rPr>
          <w:rFonts w:hint="eastAsia" w:ascii="宋体" w:hAnsi="宋体" w:cs="宋体"/>
          <w:highlight w:val="none"/>
        </w:rPr>
        <w:t>承包人按16.1.1项〔发包人违约的情形〕约定暂停施工满</w:t>
      </w:r>
      <w:r>
        <w:rPr>
          <w:rFonts w:hint="eastAsia" w:ascii="宋体" w:hAnsi="宋体" w:cs="宋体"/>
          <w:highlight w:val="none"/>
          <w:u w:val="single"/>
        </w:rPr>
        <w:t xml:space="preserve">  90  </w:t>
      </w:r>
      <w:r>
        <w:rPr>
          <w:rFonts w:hint="eastAsia" w:ascii="宋体" w:hAnsi="宋体" w:cs="宋体"/>
          <w:highlight w:val="none"/>
        </w:rPr>
        <w:t>天后发包人仍不纠正其违约行为并致使合同目的不能实现的，承包人有权解除合同。</w:t>
      </w:r>
    </w:p>
    <w:p w14:paraId="066BCF89">
      <w:pPr>
        <w:spacing w:line="400" w:lineRule="exact"/>
        <w:ind w:firstLine="480" w:firstLineChars="200"/>
        <w:outlineLvl w:val="9"/>
        <w:rPr>
          <w:rFonts w:ascii="宋体" w:hAnsi="宋体" w:cs="宋体"/>
          <w:highlight w:val="none"/>
        </w:rPr>
      </w:pPr>
      <w:r>
        <w:rPr>
          <w:rFonts w:hint="eastAsia" w:ascii="宋体" w:hAnsi="宋体" w:cs="宋体"/>
          <w:highlight w:val="none"/>
        </w:rPr>
        <w:t>16.2 承包人违约</w:t>
      </w:r>
    </w:p>
    <w:p w14:paraId="74127F98">
      <w:pPr>
        <w:spacing w:line="400" w:lineRule="exact"/>
        <w:ind w:firstLine="480" w:firstLineChars="200"/>
        <w:outlineLvl w:val="9"/>
        <w:rPr>
          <w:rFonts w:ascii="宋体" w:hAnsi="宋体" w:cs="宋体"/>
          <w:highlight w:val="none"/>
        </w:rPr>
      </w:pPr>
      <w:r>
        <w:rPr>
          <w:rFonts w:hint="eastAsia" w:ascii="宋体" w:hAnsi="宋体" w:cs="宋体"/>
          <w:highlight w:val="none"/>
        </w:rPr>
        <w:t>16.2.1 承包人违约的情形</w:t>
      </w:r>
    </w:p>
    <w:p w14:paraId="6579F167">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承包人违约的其他情形：</w:t>
      </w:r>
    </w:p>
    <w:p w14:paraId="002B940B">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）机械设备、施工项目班子未按投标承诺及时到位；</w:t>
      </w:r>
    </w:p>
    <w:p w14:paraId="177234E9">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）本工程在实施过程中，如承包人的施工队伍素质、力量、现场管理班子、现场安全文明施工不符合投标书的承诺，造成现场管理混乱、工程质量和进度达不到投标所承诺的要求；</w:t>
      </w:r>
    </w:p>
    <w:p w14:paraId="7A3179DE">
      <w:pPr>
        <w:spacing w:line="400" w:lineRule="exact"/>
        <w:ind w:firstLine="48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）承包人允许其他人挂靠经营、私自转包</w:t>
      </w:r>
      <w:r>
        <w:rPr>
          <w:rFonts w:hint="eastAsia" w:ascii="宋体" w:hAnsi="宋体" w:cs="宋体"/>
          <w:highlight w:val="none"/>
        </w:rPr>
        <w:t>；</w:t>
      </w:r>
    </w:p>
    <w:p w14:paraId="34112809">
      <w:pPr>
        <w:spacing w:line="400" w:lineRule="exact"/>
        <w:ind w:firstLine="482" w:firstLineChars="200"/>
        <w:outlineLvl w:val="9"/>
        <w:rPr>
          <w:rFonts w:ascii="宋体" w:hAnsi="宋体" w:cs="宋体"/>
          <w:b/>
          <w:bCs/>
          <w:highlight w:val="none"/>
          <w:u w:val="single"/>
        </w:rPr>
      </w:pPr>
      <w:r>
        <w:rPr>
          <w:rFonts w:hint="eastAsia" w:ascii="宋体" w:hAnsi="宋体" w:cs="宋体"/>
          <w:b/>
          <w:bCs/>
          <w:highlight w:val="none"/>
        </w:rPr>
        <w:t>（4</w:t>
      </w:r>
      <w:r>
        <w:rPr>
          <w:rFonts w:hint="eastAsia" w:ascii="宋体" w:hAnsi="宋体" w:cs="宋体"/>
          <w:b/>
          <w:bCs/>
          <w:highlight w:val="none"/>
          <w:u w:val="single"/>
        </w:rPr>
        <w:t>）承包人未达到投标时所承诺的诚信与技术标准。</w:t>
      </w:r>
    </w:p>
    <w:p w14:paraId="4B97D27E">
      <w:pPr>
        <w:spacing w:line="400" w:lineRule="exact"/>
        <w:ind w:firstLine="480" w:firstLineChars="200"/>
        <w:outlineLvl w:val="9"/>
        <w:rPr>
          <w:rFonts w:ascii="宋体" w:hAnsi="宋体" w:cs="宋体"/>
          <w:highlight w:val="none"/>
        </w:rPr>
      </w:pPr>
      <w:r>
        <w:rPr>
          <w:rFonts w:hint="eastAsia" w:ascii="宋体" w:hAnsi="宋体" w:cs="宋体"/>
          <w:highlight w:val="none"/>
        </w:rPr>
        <w:t>16.2.2承包人违约的责任</w:t>
      </w:r>
    </w:p>
    <w:p w14:paraId="2332C6DE">
      <w:pPr>
        <w:spacing w:line="400" w:lineRule="exact"/>
        <w:ind w:firstLine="480" w:firstLineChars="200"/>
        <w:outlineLvl w:val="9"/>
        <w:rPr>
          <w:rFonts w:ascii="宋体" w:hAnsi="宋体" w:cs="宋体"/>
          <w:highlight w:val="none"/>
        </w:rPr>
      </w:pPr>
      <w:r>
        <w:rPr>
          <w:rFonts w:hint="eastAsia" w:ascii="宋体" w:hAnsi="宋体" w:cs="宋体"/>
          <w:highlight w:val="none"/>
        </w:rPr>
        <w:t>承包人违约责任的承担方式和计算方法：</w:t>
      </w:r>
    </w:p>
    <w:p w14:paraId="40D2C993">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机械设备未按投标承诺到位，每项扣除履约担保金2%；</w:t>
      </w:r>
    </w:p>
    <w:p w14:paraId="3E47A63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26F1537A">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发现承包人允许其他人挂靠经营、私自转包，所有履约担保归发包人，同时赔偿发包人损失，并责令退出工地。</w:t>
      </w:r>
    </w:p>
    <w:p w14:paraId="195C89A8">
      <w:pPr>
        <w:spacing w:line="400" w:lineRule="exact"/>
        <w:ind w:firstLine="480" w:firstLineChars="200"/>
        <w:outlineLvl w:val="9"/>
        <w:rPr>
          <w:rFonts w:ascii="宋体" w:hAnsi="宋体" w:cs="宋体"/>
          <w:color w:val="auto"/>
          <w:highlight w:val="none"/>
          <w:u w:val="single"/>
        </w:rPr>
      </w:pPr>
      <w:r>
        <w:rPr>
          <w:rFonts w:hint="eastAsia" w:ascii="宋体" w:hAnsi="宋体" w:cs="宋体"/>
          <w:highlight w:val="none"/>
        </w:rPr>
        <w:t>（4）</w:t>
      </w:r>
      <w:r>
        <w:rPr>
          <w:rFonts w:hint="eastAsia" w:ascii="宋体" w:hAnsi="宋体" w:cs="宋体"/>
          <w:highlight w:val="none"/>
          <w:u w:val="single"/>
        </w:rPr>
        <w:t>未达到投标所承诺的诚信与技术</w:t>
      </w:r>
      <w:r>
        <w:rPr>
          <w:rFonts w:hint="eastAsia" w:ascii="宋体" w:hAnsi="宋体" w:cs="宋体"/>
          <w:color w:val="auto"/>
          <w:highlight w:val="none"/>
          <w:u w:val="single"/>
        </w:rPr>
        <w:t>标准，按每一项扣减履约担保金的〔10〕%。</w:t>
      </w:r>
    </w:p>
    <w:p w14:paraId="5FD80897">
      <w:pPr>
        <w:spacing w:line="400" w:lineRule="exact"/>
        <w:ind w:firstLine="480" w:firstLineChars="200"/>
        <w:outlineLvl w:val="9"/>
        <w:rPr>
          <w:rFonts w:ascii="宋体" w:hAnsi="宋体" w:cs="宋体"/>
          <w:highlight w:val="none"/>
          <w:u w:val="single"/>
        </w:rPr>
      </w:pPr>
      <w:r>
        <w:rPr>
          <w:rFonts w:hint="eastAsia" w:ascii="宋体" w:hAnsi="宋体" w:cs="宋体"/>
          <w:color w:val="auto"/>
          <w:highlight w:val="none"/>
        </w:rPr>
        <w:t>（5）</w:t>
      </w:r>
      <w:r>
        <w:rPr>
          <w:rFonts w:hint="eastAsia" w:ascii="宋体" w:hAnsi="宋体" w:cs="宋体"/>
          <w:color w:val="auto"/>
          <w:highlight w:val="none"/>
          <w:u w:val="single"/>
        </w:rPr>
        <w:t>承包人原因导致的工程延误，工期不予顺延，由</w:t>
      </w:r>
      <w:r>
        <w:rPr>
          <w:rFonts w:hint="eastAsia" w:ascii="宋体" w:hAnsi="宋体" w:cs="宋体"/>
          <w:highlight w:val="none"/>
          <w:u w:val="single"/>
        </w:rPr>
        <w:t>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480A300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（6）</w:t>
      </w:r>
      <w:r>
        <w:rPr>
          <w:rFonts w:hint="eastAsia" w:ascii="宋体" w:hAnsi="宋体" w:cs="宋体"/>
          <w:highlight w:val="none"/>
          <w:u w:val="single"/>
        </w:rPr>
        <w:t>承包人无法继续履行、明确表示不履行或实质上已停止履行合同，发包人可通知承包人全部解除合同，所有履约担保归发包人，同时赔偿发包人损失。</w:t>
      </w:r>
    </w:p>
    <w:p w14:paraId="7C78086F">
      <w:pPr>
        <w:spacing w:line="400" w:lineRule="exact"/>
        <w:ind w:firstLine="480" w:firstLineChars="200"/>
        <w:outlineLvl w:val="9"/>
        <w:rPr>
          <w:rFonts w:ascii="宋体" w:hAnsi="宋体" w:cs="宋体"/>
          <w:highlight w:val="none"/>
        </w:rPr>
      </w:pPr>
      <w:r>
        <w:rPr>
          <w:rFonts w:hint="eastAsia" w:ascii="宋体" w:hAnsi="宋体" w:cs="宋体"/>
          <w:highlight w:val="none"/>
        </w:rPr>
        <w:t>16.2.3 因承包人违约解除合同</w:t>
      </w:r>
      <w:r>
        <w:rPr>
          <w:rFonts w:hint="eastAsia" w:ascii="宋体" w:hAnsi="宋体" w:cs="宋体"/>
          <w:highlight w:val="none"/>
        </w:rPr>
        <w:tab/>
      </w:r>
    </w:p>
    <w:p w14:paraId="4C4BE798">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关于承包人违约解除合同的特别约定：</w:t>
      </w:r>
      <w:r>
        <w:rPr>
          <w:rFonts w:hint="eastAsia" w:ascii="宋体" w:hAnsi="宋体" w:cs="宋体"/>
          <w:highlight w:val="none"/>
          <w:u w:val="single"/>
        </w:rPr>
        <w:t xml:space="preserve">  </w:t>
      </w:r>
      <w:r>
        <w:rPr>
          <w:rFonts w:hint="eastAsia" w:ascii="宋体" w:hAnsi="宋体" w:cs="宋体"/>
          <w:b/>
          <w:bCs/>
          <w:highlight w:val="none"/>
          <w:u w:val="single"/>
        </w:rPr>
        <w:t>如符合16.2.1（4）条款，在发包人要求改正期限30天拒不改正，发包人有权</w:t>
      </w:r>
      <w:r>
        <w:rPr>
          <w:rFonts w:hint="eastAsia" w:ascii="宋体" w:hAnsi="宋体" w:cs="宋体"/>
          <w:b/>
          <w:bCs/>
          <w:highlight w:val="none"/>
          <w:u w:val="single"/>
          <w:lang w:val="en-US" w:eastAsia="zh-CN"/>
        </w:rPr>
        <w:t>解除</w:t>
      </w:r>
      <w:r>
        <w:rPr>
          <w:rFonts w:hint="eastAsia" w:ascii="宋体" w:hAnsi="宋体" w:cs="宋体"/>
          <w:b/>
          <w:bCs/>
          <w:highlight w:val="none"/>
          <w:u w:val="single"/>
        </w:rPr>
        <w:t>合同</w:t>
      </w:r>
      <w:r>
        <w:rPr>
          <w:rFonts w:hint="eastAsia" w:ascii="宋体" w:hAnsi="宋体" w:cs="宋体"/>
          <w:highlight w:val="none"/>
          <w:u w:val="single"/>
        </w:rPr>
        <w:t xml:space="preserve"> 。</w:t>
      </w:r>
    </w:p>
    <w:p w14:paraId="17A3150B">
      <w:pPr>
        <w:spacing w:line="400" w:lineRule="exact"/>
        <w:ind w:firstLine="480" w:firstLineChars="200"/>
        <w:outlineLvl w:val="9"/>
        <w:rPr>
          <w:rFonts w:ascii="宋体" w:hAnsi="宋体" w:cs="宋体"/>
          <w:highlight w:val="none"/>
        </w:rPr>
      </w:pPr>
      <w:r>
        <w:rPr>
          <w:rFonts w:hint="eastAsia" w:ascii="宋体" w:hAnsi="宋体" w:cs="宋体"/>
          <w:highlight w:val="none"/>
        </w:rPr>
        <w:t>发包人继续使用承包人在施工现场的材料、设备、临时工程、承包人文件和由承包人或以其名义编制的其他文件的费用承担方式：</w:t>
      </w:r>
      <w:r>
        <w:rPr>
          <w:rFonts w:hint="eastAsia" w:ascii="宋体" w:hAnsi="宋体" w:cs="宋体"/>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highlight w:val="none"/>
        </w:rPr>
        <w:t>。</w:t>
      </w:r>
    </w:p>
    <w:p w14:paraId="1A30027B">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16.2.4 因承包人违约解除合同后的处理：</w:t>
      </w:r>
      <w:r>
        <w:rPr>
          <w:rFonts w:hint="eastAsia" w:ascii="宋体" w:hAnsi="宋体" w:cs="宋体"/>
          <w:highlight w:val="none"/>
          <w:u w:val="single"/>
        </w:rPr>
        <w:t xml:space="preserve">         /          。</w:t>
      </w:r>
    </w:p>
    <w:p w14:paraId="37E88E10">
      <w:pPr>
        <w:spacing w:before="0" w:after="0" w:line="400" w:lineRule="exact"/>
        <w:ind w:firstLine="480" w:firstLineChars="200"/>
        <w:outlineLvl w:val="9"/>
        <w:rPr>
          <w:rFonts w:ascii="宋体" w:hAnsi="宋体" w:eastAsia="宋体" w:cs="宋体"/>
          <w:b w:val="0"/>
          <w:sz w:val="24"/>
          <w:szCs w:val="24"/>
          <w:highlight w:val="none"/>
        </w:rPr>
      </w:pPr>
      <w:bookmarkStart w:id="658" w:name="_Toc351203649"/>
      <w:r>
        <w:rPr>
          <w:rFonts w:hint="eastAsia" w:ascii="宋体" w:hAnsi="宋体" w:eastAsia="宋体" w:cs="宋体"/>
          <w:sz w:val="24"/>
          <w:szCs w:val="24"/>
          <w:highlight w:val="none"/>
        </w:rPr>
        <w:t>17. 不可抗力</w:t>
      </w:r>
      <w:bookmarkEnd w:id="658"/>
      <w:r>
        <w:rPr>
          <w:rFonts w:hint="eastAsia" w:ascii="宋体" w:hAnsi="宋体" w:eastAsia="宋体" w:cs="宋体"/>
          <w:b w:val="0"/>
          <w:sz w:val="24"/>
          <w:szCs w:val="24"/>
          <w:highlight w:val="none"/>
        </w:rPr>
        <w:t xml:space="preserve"> </w:t>
      </w:r>
      <w:bookmarkEnd w:id="656"/>
    </w:p>
    <w:p w14:paraId="13F59213">
      <w:pPr>
        <w:spacing w:line="400" w:lineRule="exact"/>
        <w:ind w:firstLine="480" w:firstLineChars="200"/>
        <w:outlineLvl w:val="9"/>
        <w:rPr>
          <w:rFonts w:ascii="宋体" w:hAnsi="宋体" w:cs="宋体"/>
          <w:highlight w:val="none"/>
        </w:rPr>
      </w:pPr>
      <w:r>
        <w:rPr>
          <w:rFonts w:hint="eastAsia" w:ascii="宋体" w:hAnsi="宋体" w:cs="宋体"/>
          <w:highlight w:val="none"/>
        </w:rPr>
        <w:t>17.1 不可抗力的确认</w:t>
      </w:r>
    </w:p>
    <w:p w14:paraId="1F7A542D">
      <w:pPr>
        <w:spacing w:line="400" w:lineRule="exact"/>
        <w:ind w:firstLine="480" w:firstLineChars="200"/>
        <w:outlineLvl w:val="9"/>
        <w:rPr>
          <w:rFonts w:ascii="宋体" w:hAnsi="宋体" w:cs="宋体"/>
          <w:highlight w:val="none"/>
        </w:rPr>
      </w:pPr>
      <w:r>
        <w:rPr>
          <w:rFonts w:hint="eastAsia" w:ascii="宋体" w:hAnsi="宋体" w:cs="宋体"/>
          <w:highlight w:val="none"/>
        </w:rPr>
        <w:t>除通用合同条款约定的不可抗力事件之外，视为不可抗力的其他情形：</w:t>
      </w:r>
      <w:r>
        <w:rPr>
          <w:rFonts w:hint="eastAsia" w:ascii="宋体" w:hAnsi="宋体" w:cs="宋体"/>
          <w:highlight w:val="none"/>
          <w:u w:val="single"/>
        </w:rPr>
        <w:t xml:space="preserve"> 10 级（</w:t>
      </w:r>
      <w:r>
        <w:rPr>
          <w:rFonts w:hint="eastAsia" w:ascii="宋体" w:hAnsi="宋体" w:cs="宋体"/>
          <w:spacing w:val="-16"/>
          <w:highlight w:val="none"/>
          <w:u w:val="single"/>
        </w:rPr>
        <w:t xml:space="preserve">不含 </w:t>
      </w:r>
      <w:r>
        <w:rPr>
          <w:rFonts w:hint="eastAsia" w:ascii="宋体" w:hAnsi="宋体" w:cs="宋体"/>
          <w:highlight w:val="none"/>
          <w:u w:val="single"/>
        </w:rPr>
        <w:t>1</w:t>
      </w:r>
      <w:r>
        <w:rPr>
          <w:rFonts w:hint="eastAsia" w:ascii="宋体" w:hAnsi="宋体" w:cs="宋体"/>
          <w:spacing w:val="-3"/>
          <w:highlight w:val="none"/>
          <w:u w:val="single"/>
        </w:rPr>
        <w:t>0 级）以上台风、</w:t>
      </w:r>
      <w:r>
        <w:rPr>
          <w:rFonts w:hint="eastAsia" w:ascii="宋体" w:hAnsi="宋体" w:cs="宋体"/>
          <w:highlight w:val="none"/>
          <w:u w:val="single"/>
        </w:rPr>
        <w:t xml:space="preserve">10年一遇洪水、暴风雪、干旱， 罢工、政府禁令 </w:t>
      </w:r>
      <w:r>
        <w:rPr>
          <w:rFonts w:hint="eastAsia" w:ascii="宋体" w:hAnsi="宋体" w:cs="宋体"/>
          <w:highlight w:val="none"/>
        </w:rPr>
        <w:t>。</w:t>
      </w:r>
    </w:p>
    <w:p w14:paraId="1DA3044A">
      <w:pPr>
        <w:spacing w:line="400" w:lineRule="exact"/>
        <w:ind w:firstLine="480" w:firstLineChars="200"/>
        <w:outlineLvl w:val="9"/>
        <w:rPr>
          <w:rFonts w:ascii="宋体" w:hAnsi="宋体" w:cs="宋体"/>
          <w:highlight w:val="none"/>
        </w:rPr>
      </w:pPr>
      <w:r>
        <w:rPr>
          <w:rFonts w:hint="eastAsia" w:ascii="宋体" w:hAnsi="宋体" w:cs="宋体"/>
          <w:highlight w:val="none"/>
        </w:rPr>
        <w:t>17.2 不可抗力的通知</w:t>
      </w:r>
    </w:p>
    <w:p w14:paraId="5D986008">
      <w:pPr>
        <w:spacing w:line="400" w:lineRule="exact"/>
        <w:ind w:firstLine="480" w:firstLineChars="200"/>
        <w:outlineLvl w:val="9"/>
        <w:rPr>
          <w:rFonts w:hint="eastAsia" w:ascii="宋体" w:hAnsi="宋体" w:cs="宋体"/>
          <w:highlight w:val="none"/>
          <w:u w:val="single"/>
        </w:rPr>
      </w:pPr>
      <w:r>
        <w:rPr>
          <w:rFonts w:hint="eastAsia" w:ascii="宋体" w:hAnsi="宋体" w:cs="宋体"/>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777FBFB1">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17.3不可抗力后果的承担：</w:t>
      </w:r>
      <w:r>
        <w:rPr>
          <w:rFonts w:hint="eastAsia" w:ascii="宋体" w:hAnsi="宋体" w:cs="宋体"/>
          <w:highlight w:val="none"/>
          <w:u w:val="single"/>
        </w:rPr>
        <w:t>按通用条款。</w:t>
      </w:r>
    </w:p>
    <w:p w14:paraId="5A51F59C">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17.4 因不可抗力解除合同</w:t>
      </w:r>
    </w:p>
    <w:p w14:paraId="04247691">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合同解除后，发包人应在商定或确定发包人应支付款项后</w:t>
      </w:r>
      <w:r>
        <w:rPr>
          <w:rFonts w:hint="eastAsia" w:ascii="宋体" w:hAnsi="宋体" w:cs="宋体"/>
          <w:highlight w:val="none"/>
          <w:u w:val="single"/>
        </w:rPr>
        <w:t xml:space="preserve">  60 </w:t>
      </w:r>
      <w:r>
        <w:rPr>
          <w:rFonts w:hint="eastAsia" w:ascii="宋体" w:hAnsi="宋体" w:cs="宋体"/>
          <w:highlight w:val="none"/>
        </w:rPr>
        <w:t>天内完成款项的支付。</w:t>
      </w:r>
    </w:p>
    <w:p w14:paraId="3F704075">
      <w:pPr>
        <w:autoSpaceDE/>
        <w:autoSpaceDN/>
        <w:adjustRightInd/>
        <w:spacing w:before="0" w:after="0" w:line="400" w:lineRule="exact"/>
        <w:ind w:firstLine="480" w:firstLineChars="200"/>
        <w:outlineLvl w:val="9"/>
        <w:rPr>
          <w:rFonts w:ascii="宋体" w:hAnsi="宋体" w:eastAsia="宋体" w:cs="宋体"/>
          <w:sz w:val="24"/>
          <w:szCs w:val="24"/>
          <w:highlight w:val="none"/>
        </w:rPr>
      </w:pPr>
      <w:bookmarkStart w:id="659" w:name="_Toc351203650"/>
      <w:r>
        <w:rPr>
          <w:rFonts w:hint="eastAsia" w:ascii="宋体" w:hAnsi="宋体" w:eastAsia="宋体" w:cs="宋体"/>
          <w:sz w:val="24"/>
          <w:szCs w:val="24"/>
          <w:highlight w:val="none"/>
        </w:rPr>
        <w:t>18. 保险</w:t>
      </w:r>
      <w:bookmarkEnd w:id="659"/>
    </w:p>
    <w:bookmarkEnd w:id="657"/>
    <w:p w14:paraId="716CA111">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18.1 工程保险</w:t>
      </w:r>
    </w:p>
    <w:p w14:paraId="012F549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关于工程保险的特别约定：</w:t>
      </w:r>
      <w:r>
        <w:rPr>
          <w:rFonts w:hint="eastAsia" w:ascii="宋体" w:hAnsi="宋体" w:cs="宋体"/>
          <w:highlight w:val="none"/>
          <w:u w:val="single"/>
        </w:rPr>
        <w:t xml:space="preserve"> 工程</w:t>
      </w:r>
      <w:r>
        <w:rPr>
          <w:rFonts w:hint="eastAsia" w:ascii="宋体" w:hAnsi="宋体" w:cs="宋体"/>
          <w:color w:val="auto"/>
          <w:highlight w:val="none"/>
          <w:u w:val="single"/>
        </w:rPr>
        <w:t>一切险</w:t>
      </w:r>
      <w:r>
        <w:rPr>
          <w:rFonts w:hint="eastAsia" w:ascii="宋体" w:hAnsi="宋体" w:cs="宋体"/>
          <w:color w:val="auto"/>
          <w:highlight w:val="none"/>
          <w:u w:val="single"/>
          <w:lang w:val="en-US" w:eastAsia="zh-CN"/>
        </w:rPr>
        <w:t>(最高限额）</w:t>
      </w:r>
      <w:r>
        <w:rPr>
          <w:rFonts w:hint="eastAsia" w:ascii="宋体" w:hAnsi="宋体" w:cs="宋体"/>
          <w:color w:val="auto"/>
          <w:highlight w:val="none"/>
          <w:u w:val="single"/>
        </w:rPr>
        <w:t xml:space="preserve">、第三者责任险、安全生产责任险由发包人委托承包人投保，工程一切险、安全生产责任险、第三者责任险事故次数不限（不计免赔额）。承包人根据保险单及发票纳入工程结算。 </w:t>
      </w:r>
    </w:p>
    <w:p w14:paraId="1CF0065E">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18.3 其他保险</w:t>
      </w:r>
    </w:p>
    <w:p w14:paraId="1F09EC2A">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关于其他保险的约定：</w:t>
      </w:r>
      <w:r>
        <w:rPr>
          <w:rFonts w:hint="eastAsia" w:ascii="宋体" w:hAnsi="宋体" w:cs="宋体"/>
          <w:highlight w:val="none"/>
          <w:u w:val="single"/>
        </w:rPr>
        <w:t xml:space="preserve">   农民工工伤保险按规定执行     </w:t>
      </w:r>
      <w:r>
        <w:rPr>
          <w:rFonts w:hint="eastAsia" w:ascii="宋体" w:hAnsi="宋体" w:cs="宋体"/>
          <w:highlight w:val="none"/>
        </w:rPr>
        <w:t>。</w:t>
      </w:r>
    </w:p>
    <w:p w14:paraId="601A328A">
      <w:pPr>
        <w:autoSpaceDE/>
        <w:autoSpaceDN/>
        <w:adjustRightInd/>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承包人是否应为其施工设备等办理财产保险：</w:t>
      </w:r>
      <w:r>
        <w:rPr>
          <w:rFonts w:hint="eastAsia" w:ascii="宋体" w:hAnsi="宋体" w:cs="宋体"/>
          <w:highlight w:val="none"/>
          <w:u w:val="single"/>
        </w:rPr>
        <w:t xml:space="preserve">   由承包人自行确定        </w:t>
      </w:r>
      <w:r>
        <w:rPr>
          <w:rFonts w:hint="eastAsia" w:ascii="宋体" w:hAnsi="宋体" w:cs="宋体"/>
          <w:highlight w:val="none"/>
        </w:rPr>
        <w:t>。</w:t>
      </w:r>
    </w:p>
    <w:p w14:paraId="3BC3B3A1">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18.7 通知义务</w:t>
      </w:r>
    </w:p>
    <w:p w14:paraId="1D1E818A">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关于变更保险合同时的通知义务的约定：</w:t>
      </w:r>
      <w:r>
        <w:rPr>
          <w:rFonts w:hint="eastAsia" w:ascii="宋体" w:hAnsi="宋体" w:cs="宋体"/>
          <w:highlight w:val="none"/>
          <w:u w:val="single"/>
        </w:rPr>
        <w:t xml:space="preserve">  按通用合同条款规定执行     </w:t>
      </w:r>
      <w:r>
        <w:rPr>
          <w:rFonts w:hint="eastAsia" w:ascii="宋体" w:hAnsi="宋体" w:cs="宋体"/>
          <w:highlight w:val="none"/>
        </w:rPr>
        <w:t>。</w:t>
      </w:r>
    </w:p>
    <w:bookmarkEnd w:id="633"/>
    <w:bookmarkEnd w:id="634"/>
    <w:bookmarkEnd w:id="635"/>
    <w:bookmarkEnd w:id="636"/>
    <w:bookmarkEnd w:id="637"/>
    <w:bookmarkEnd w:id="638"/>
    <w:bookmarkEnd w:id="639"/>
    <w:bookmarkEnd w:id="640"/>
    <w:bookmarkEnd w:id="641"/>
    <w:bookmarkEnd w:id="642"/>
    <w:bookmarkEnd w:id="643"/>
    <w:bookmarkEnd w:id="644"/>
    <w:p w14:paraId="431EA945">
      <w:pPr>
        <w:spacing w:before="0" w:after="0" w:line="400" w:lineRule="exact"/>
        <w:ind w:firstLine="480" w:firstLineChars="200"/>
        <w:outlineLvl w:val="9"/>
        <w:rPr>
          <w:rFonts w:ascii="宋体" w:hAnsi="宋体" w:eastAsia="宋体" w:cs="宋体"/>
          <w:sz w:val="24"/>
          <w:szCs w:val="24"/>
          <w:highlight w:val="none"/>
        </w:rPr>
      </w:pPr>
      <w:bookmarkStart w:id="660" w:name="_Toc351203651"/>
      <w:r>
        <w:rPr>
          <w:rFonts w:hint="eastAsia" w:ascii="宋体" w:hAnsi="宋体" w:eastAsia="宋体" w:cs="宋体"/>
          <w:sz w:val="24"/>
          <w:szCs w:val="24"/>
          <w:highlight w:val="none"/>
        </w:rPr>
        <w:t>20. 争议解决</w:t>
      </w:r>
      <w:bookmarkEnd w:id="660"/>
    </w:p>
    <w:bookmarkEnd w:id="645"/>
    <w:bookmarkEnd w:id="646"/>
    <w:bookmarkEnd w:id="647"/>
    <w:bookmarkEnd w:id="648"/>
    <w:bookmarkEnd w:id="649"/>
    <w:bookmarkEnd w:id="650"/>
    <w:bookmarkEnd w:id="651"/>
    <w:bookmarkEnd w:id="652"/>
    <w:bookmarkEnd w:id="653"/>
    <w:bookmarkEnd w:id="654"/>
    <w:p w14:paraId="17BA1CFE">
      <w:pPr>
        <w:spacing w:line="400" w:lineRule="exact"/>
        <w:ind w:firstLine="480" w:firstLineChars="200"/>
        <w:outlineLvl w:val="9"/>
        <w:rPr>
          <w:rFonts w:ascii="宋体" w:hAnsi="宋体" w:cs="宋体"/>
          <w:highlight w:val="none"/>
        </w:rPr>
      </w:pPr>
      <w:r>
        <w:rPr>
          <w:rFonts w:hint="eastAsia" w:ascii="宋体" w:hAnsi="宋体" w:cs="宋体"/>
          <w:highlight w:val="none"/>
        </w:rPr>
        <w:t>20.3 争议评审</w:t>
      </w:r>
    </w:p>
    <w:p w14:paraId="6C5448B4">
      <w:pPr>
        <w:spacing w:line="400" w:lineRule="exact"/>
        <w:ind w:firstLine="480" w:firstLineChars="200"/>
        <w:outlineLvl w:val="9"/>
        <w:rPr>
          <w:rFonts w:ascii="宋体" w:hAnsi="宋体" w:cs="宋体"/>
          <w:highlight w:val="none"/>
        </w:rPr>
      </w:pPr>
      <w:r>
        <w:rPr>
          <w:rFonts w:hint="eastAsia" w:ascii="宋体" w:hAnsi="宋体" w:cs="宋体"/>
          <w:highlight w:val="none"/>
        </w:rPr>
        <w:t>合同当事人是否同意将工程争议提交争议评审小组决定：</w:t>
      </w:r>
      <w:r>
        <w:rPr>
          <w:rFonts w:hint="eastAsia" w:ascii="宋体" w:hAnsi="宋体" w:cs="宋体"/>
          <w:highlight w:val="none"/>
          <w:u w:val="single"/>
        </w:rPr>
        <w:t xml:space="preserve">   /  </w:t>
      </w:r>
      <w:r>
        <w:rPr>
          <w:rFonts w:hint="eastAsia" w:ascii="宋体" w:hAnsi="宋体" w:cs="宋体"/>
          <w:highlight w:val="none"/>
        </w:rPr>
        <w:t>。</w:t>
      </w:r>
    </w:p>
    <w:p w14:paraId="67F0C5F4">
      <w:pPr>
        <w:spacing w:line="400" w:lineRule="exact"/>
        <w:ind w:firstLine="480" w:firstLineChars="200"/>
        <w:outlineLvl w:val="9"/>
        <w:rPr>
          <w:rFonts w:ascii="宋体" w:hAnsi="宋体" w:cs="宋体"/>
          <w:highlight w:val="none"/>
        </w:rPr>
      </w:pPr>
      <w:r>
        <w:rPr>
          <w:rFonts w:hint="eastAsia" w:ascii="宋体" w:hAnsi="宋体" w:cs="宋体"/>
          <w:highlight w:val="none"/>
        </w:rPr>
        <w:t>20.3.1 争议评审小组的确定</w:t>
      </w:r>
    </w:p>
    <w:p w14:paraId="4C9B6D08">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争议评审小组成员的确定：</w:t>
      </w:r>
      <w:r>
        <w:rPr>
          <w:rFonts w:hint="eastAsia" w:ascii="宋体" w:hAnsi="宋体" w:cs="宋体"/>
          <w:highlight w:val="none"/>
          <w:u w:val="single"/>
        </w:rPr>
        <w:t xml:space="preserve">   提交争议评审时再选定 </w:t>
      </w:r>
      <w:r>
        <w:rPr>
          <w:rFonts w:hint="eastAsia" w:ascii="宋体" w:hAnsi="宋体" w:cs="宋体"/>
          <w:highlight w:val="none"/>
        </w:rPr>
        <w:t>。</w:t>
      </w:r>
    </w:p>
    <w:p w14:paraId="120CE6EF">
      <w:pPr>
        <w:spacing w:line="400" w:lineRule="exact"/>
        <w:ind w:firstLine="480" w:firstLineChars="200"/>
        <w:outlineLvl w:val="9"/>
        <w:rPr>
          <w:rFonts w:ascii="宋体" w:hAnsi="宋体" w:cs="宋体"/>
          <w:highlight w:val="none"/>
        </w:rPr>
      </w:pPr>
      <w:r>
        <w:rPr>
          <w:rFonts w:hint="eastAsia" w:ascii="宋体" w:hAnsi="宋体" w:cs="宋体"/>
          <w:highlight w:val="none"/>
        </w:rPr>
        <w:t>选定争议评审员的期限：</w:t>
      </w:r>
      <w:r>
        <w:rPr>
          <w:rFonts w:hint="eastAsia" w:ascii="宋体" w:hAnsi="宋体" w:cs="宋体"/>
          <w:highlight w:val="none"/>
          <w:u w:val="single"/>
        </w:rPr>
        <w:t xml:space="preserve">              /                 </w:t>
      </w:r>
      <w:r>
        <w:rPr>
          <w:rFonts w:hint="eastAsia" w:ascii="宋体" w:hAnsi="宋体" w:cs="宋体"/>
          <w:highlight w:val="none"/>
        </w:rPr>
        <w:t>。</w:t>
      </w:r>
    </w:p>
    <w:p w14:paraId="69934B5E">
      <w:pPr>
        <w:spacing w:line="400" w:lineRule="exact"/>
        <w:ind w:firstLine="480" w:firstLineChars="200"/>
        <w:outlineLvl w:val="9"/>
        <w:rPr>
          <w:rFonts w:ascii="宋体" w:hAnsi="宋体" w:cs="宋体"/>
          <w:highlight w:val="none"/>
        </w:rPr>
      </w:pPr>
      <w:r>
        <w:rPr>
          <w:rFonts w:hint="eastAsia" w:ascii="宋体" w:hAnsi="宋体" w:cs="宋体"/>
          <w:highlight w:val="none"/>
        </w:rPr>
        <w:t>争议评审小组成员的报酬承担方式：</w:t>
      </w:r>
      <w:r>
        <w:rPr>
          <w:rFonts w:hint="eastAsia" w:ascii="宋体" w:hAnsi="宋体" w:cs="宋体"/>
          <w:highlight w:val="none"/>
          <w:u w:val="single"/>
        </w:rPr>
        <w:t xml:space="preserve">      /               </w:t>
      </w:r>
      <w:r>
        <w:rPr>
          <w:rFonts w:hint="eastAsia" w:ascii="宋体" w:hAnsi="宋体" w:cs="宋体"/>
          <w:highlight w:val="none"/>
        </w:rPr>
        <w:t>。</w:t>
      </w:r>
    </w:p>
    <w:p w14:paraId="6F61C8A8">
      <w:pPr>
        <w:spacing w:line="400" w:lineRule="exact"/>
        <w:ind w:firstLine="480" w:firstLineChars="200"/>
        <w:outlineLvl w:val="9"/>
        <w:rPr>
          <w:rFonts w:ascii="宋体" w:hAnsi="宋体" w:cs="宋体"/>
          <w:highlight w:val="none"/>
        </w:rPr>
      </w:pPr>
      <w:r>
        <w:rPr>
          <w:rFonts w:hint="eastAsia" w:ascii="宋体" w:hAnsi="宋体" w:cs="宋体"/>
          <w:highlight w:val="none"/>
        </w:rPr>
        <w:t>其他事项的约定：</w:t>
      </w:r>
      <w:r>
        <w:rPr>
          <w:rFonts w:hint="eastAsia" w:ascii="宋体" w:hAnsi="宋体" w:cs="宋体"/>
          <w:highlight w:val="none"/>
          <w:u w:val="single"/>
        </w:rPr>
        <w:t xml:space="preserve">                   /                  </w:t>
      </w:r>
      <w:r>
        <w:rPr>
          <w:rFonts w:hint="eastAsia" w:ascii="宋体" w:hAnsi="宋体" w:cs="宋体"/>
          <w:highlight w:val="none"/>
        </w:rPr>
        <w:t>。</w:t>
      </w:r>
    </w:p>
    <w:p w14:paraId="33B118C9">
      <w:pPr>
        <w:spacing w:line="400" w:lineRule="exact"/>
        <w:ind w:firstLine="480" w:firstLineChars="200"/>
        <w:outlineLvl w:val="9"/>
        <w:rPr>
          <w:rFonts w:ascii="宋体" w:hAnsi="宋体" w:cs="宋体"/>
          <w:highlight w:val="none"/>
        </w:rPr>
      </w:pPr>
      <w:r>
        <w:rPr>
          <w:rFonts w:hint="eastAsia" w:ascii="宋体" w:hAnsi="宋体" w:cs="宋体"/>
          <w:highlight w:val="none"/>
        </w:rPr>
        <w:t>20.3.2 争议评审小组的决定</w:t>
      </w:r>
    </w:p>
    <w:p w14:paraId="2EAB2177">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合同当事人关于本项的约定：</w:t>
      </w:r>
      <w:r>
        <w:rPr>
          <w:rFonts w:hint="eastAsia" w:ascii="宋体" w:hAnsi="宋体" w:cs="宋体"/>
          <w:highlight w:val="none"/>
          <w:u w:val="single"/>
        </w:rPr>
        <w:t xml:space="preserve">  按通用合同条款规定执行。</w:t>
      </w:r>
    </w:p>
    <w:p w14:paraId="0044886D">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20.3.3 争议评审小组决定的效力：按合同通用条款规定执行。</w:t>
      </w:r>
    </w:p>
    <w:p w14:paraId="37AB92F7">
      <w:pPr>
        <w:spacing w:line="400" w:lineRule="exact"/>
        <w:ind w:firstLine="480" w:firstLineChars="200"/>
        <w:outlineLvl w:val="9"/>
        <w:rPr>
          <w:rFonts w:ascii="宋体" w:hAnsi="宋体" w:cs="宋体"/>
          <w:highlight w:val="none"/>
        </w:rPr>
      </w:pPr>
      <w:r>
        <w:rPr>
          <w:rFonts w:hint="eastAsia" w:ascii="宋体" w:hAnsi="宋体" w:cs="宋体"/>
          <w:highlight w:val="none"/>
        </w:rPr>
        <w:t>20.4仲裁或诉讼</w:t>
      </w:r>
    </w:p>
    <w:p w14:paraId="2AD96792">
      <w:pPr>
        <w:spacing w:line="400" w:lineRule="exact"/>
        <w:ind w:firstLine="480" w:firstLineChars="200"/>
        <w:outlineLvl w:val="9"/>
        <w:rPr>
          <w:rFonts w:ascii="宋体" w:hAnsi="宋体" w:cs="宋体"/>
          <w:highlight w:val="none"/>
        </w:rPr>
      </w:pPr>
      <w:r>
        <w:rPr>
          <w:rFonts w:hint="eastAsia" w:ascii="宋体" w:hAnsi="宋体" w:cs="宋体"/>
          <w:highlight w:val="none"/>
        </w:rPr>
        <w:t>因合同及合同有关事项发生的争议，按下列第</w:t>
      </w:r>
      <w:r>
        <w:rPr>
          <w:rFonts w:hint="eastAsia" w:ascii="宋体" w:hAnsi="宋体" w:cs="宋体"/>
          <w:highlight w:val="none"/>
          <w:u w:val="single"/>
        </w:rPr>
        <w:t xml:space="preserve"> （2） </w:t>
      </w:r>
      <w:r>
        <w:rPr>
          <w:rFonts w:hint="eastAsia" w:ascii="宋体" w:hAnsi="宋体" w:cs="宋体"/>
          <w:highlight w:val="none"/>
        </w:rPr>
        <w:t>种方式解决：</w:t>
      </w:r>
    </w:p>
    <w:p w14:paraId="193BDBA8">
      <w:pPr>
        <w:spacing w:line="400" w:lineRule="exact"/>
        <w:ind w:firstLine="480" w:firstLineChars="200"/>
        <w:outlineLvl w:val="9"/>
        <w:rPr>
          <w:rFonts w:ascii="宋体" w:hAnsi="宋体" w:cs="宋体"/>
          <w:highlight w:val="none"/>
        </w:rPr>
      </w:pPr>
      <w:r>
        <w:rPr>
          <w:rFonts w:hint="eastAsia" w:ascii="宋体" w:hAnsi="宋体" w:cs="宋体"/>
          <w:highlight w:val="none"/>
        </w:rPr>
        <w:t>（1）向</w:t>
      </w:r>
      <w:r>
        <w:rPr>
          <w:rFonts w:hint="eastAsia" w:ascii="宋体" w:hAnsi="宋体" w:cs="宋体"/>
          <w:highlight w:val="none"/>
          <w:u w:val="single"/>
        </w:rPr>
        <w:t xml:space="preserve">  台州 </w:t>
      </w:r>
      <w:r>
        <w:rPr>
          <w:rFonts w:hint="eastAsia" w:ascii="宋体" w:hAnsi="宋体" w:cs="宋体"/>
          <w:highlight w:val="none"/>
        </w:rPr>
        <w:t>仲裁委员会申请仲裁；</w:t>
      </w:r>
    </w:p>
    <w:p w14:paraId="1E3A17B2">
      <w:pPr>
        <w:spacing w:line="400" w:lineRule="exact"/>
        <w:ind w:firstLine="480" w:firstLineChars="200"/>
        <w:outlineLvl w:val="9"/>
        <w:rPr>
          <w:rFonts w:ascii="宋体" w:hAnsi="宋体" w:cs="宋体"/>
          <w:highlight w:val="none"/>
        </w:rPr>
      </w:pPr>
      <w:r>
        <w:rPr>
          <w:rFonts w:hint="eastAsia" w:ascii="宋体" w:hAnsi="宋体" w:cs="宋体"/>
          <w:highlight w:val="none"/>
        </w:rPr>
        <w:t>（2）向</w:t>
      </w:r>
      <w:r>
        <w:rPr>
          <w:rFonts w:hint="eastAsia" w:ascii="宋体" w:hAnsi="宋体" w:cs="宋体"/>
          <w:highlight w:val="none"/>
          <w:u w:val="single"/>
        </w:rPr>
        <w:t xml:space="preserve"> 三门县 </w:t>
      </w:r>
      <w:r>
        <w:rPr>
          <w:rFonts w:hint="eastAsia" w:ascii="宋体" w:hAnsi="宋体" w:cs="宋体"/>
          <w:highlight w:val="none"/>
        </w:rPr>
        <w:t>人民法院起诉。</w:t>
      </w:r>
    </w:p>
    <w:p w14:paraId="54147AA6">
      <w:pPr>
        <w:spacing w:line="400" w:lineRule="exact"/>
        <w:outlineLvl w:val="9"/>
        <w:rPr>
          <w:rFonts w:ascii="宋体" w:hAnsi="宋体" w:cs="宋体"/>
          <w:highlight w:val="none"/>
        </w:rPr>
      </w:pPr>
      <w:r>
        <w:rPr>
          <w:rFonts w:hint="eastAsia" w:ascii="宋体" w:hAnsi="宋体" w:cs="宋体"/>
          <w:highlight w:val="none"/>
        </w:rPr>
        <w:t>发包人(公章)：</w:t>
      </w:r>
      <w:r>
        <w:rPr>
          <w:rFonts w:hint="eastAsia" w:ascii="宋体" w:hAnsi="宋体" w:cs="宋体"/>
          <w:highlight w:val="none"/>
          <w:u w:val="single"/>
        </w:rPr>
        <w:t xml:space="preserve">                              </w:t>
      </w:r>
      <w:r>
        <w:rPr>
          <w:rFonts w:hint="eastAsia" w:ascii="宋体" w:hAnsi="宋体" w:cs="宋体"/>
          <w:highlight w:val="none"/>
        </w:rPr>
        <w:t xml:space="preserve"> 承包人(公章)：</w:t>
      </w:r>
      <w:r>
        <w:rPr>
          <w:rFonts w:hint="eastAsia" w:ascii="宋体" w:hAnsi="宋体" w:cs="宋体"/>
          <w:highlight w:val="none"/>
          <w:u w:val="single"/>
        </w:rPr>
        <w:t xml:space="preserve">                           </w:t>
      </w:r>
    </w:p>
    <w:p w14:paraId="185E37E2">
      <w:pPr>
        <w:spacing w:line="400" w:lineRule="exact"/>
        <w:outlineLvl w:val="9"/>
        <w:rPr>
          <w:rFonts w:ascii="宋体" w:hAnsi="宋体" w:cs="宋体"/>
          <w:highlight w:val="none"/>
        </w:rPr>
      </w:pPr>
      <w:r>
        <w:rPr>
          <w:rFonts w:hint="eastAsia" w:ascii="宋体" w:hAnsi="宋体" w:cs="宋体"/>
          <w:highlight w:val="none"/>
        </w:rPr>
        <w:t>地  址：</w:t>
      </w:r>
      <w:r>
        <w:rPr>
          <w:rFonts w:hint="eastAsia" w:ascii="宋体" w:hAnsi="宋体" w:cs="宋体"/>
          <w:highlight w:val="none"/>
          <w:u w:val="single"/>
        </w:rPr>
        <w:t xml:space="preserve">                                   </w:t>
      </w:r>
      <w:r>
        <w:rPr>
          <w:rFonts w:hint="eastAsia" w:ascii="宋体" w:hAnsi="宋体" w:cs="宋体"/>
          <w:highlight w:val="none"/>
        </w:rPr>
        <w:t xml:space="preserve"> 地  址：</w:t>
      </w:r>
      <w:r>
        <w:rPr>
          <w:rFonts w:hint="eastAsia" w:ascii="宋体" w:hAnsi="宋体" w:cs="宋体"/>
          <w:highlight w:val="none"/>
          <w:u w:val="single"/>
        </w:rPr>
        <w:t xml:space="preserve">                                </w:t>
      </w:r>
    </w:p>
    <w:p w14:paraId="6D8A6A9A">
      <w:pPr>
        <w:spacing w:line="400" w:lineRule="exact"/>
        <w:outlineLvl w:val="9"/>
        <w:rPr>
          <w:rFonts w:ascii="宋体" w:hAnsi="宋体" w:cs="宋体"/>
          <w:highlight w:val="none"/>
        </w:rPr>
      </w:pPr>
      <w:r>
        <w:rPr>
          <w:rFonts w:hint="eastAsia" w:ascii="宋体" w:hAnsi="宋体" w:cs="宋体"/>
          <w:highlight w:val="none"/>
        </w:rPr>
        <w:t>法定代表人(签字)：</w:t>
      </w:r>
      <w:r>
        <w:rPr>
          <w:rFonts w:hint="eastAsia" w:ascii="宋体" w:hAnsi="宋体" w:cs="宋体"/>
          <w:highlight w:val="none"/>
          <w:u w:val="single"/>
        </w:rPr>
        <w:t xml:space="preserve">                          </w:t>
      </w:r>
      <w:r>
        <w:rPr>
          <w:rFonts w:hint="eastAsia" w:ascii="宋体" w:hAnsi="宋体" w:cs="宋体"/>
          <w:highlight w:val="none"/>
        </w:rPr>
        <w:t xml:space="preserve"> 法定代表人(签字)：</w:t>
      </w:r>
      <w:r>
        <w:rPr>
          <w:rFonts w:hint="eastAsia" w:ascii="宋体" w:hAnsi="宋体" w:cs="宋体"/>
          <w:highlight w:val="none"/>
          <w:u w:val="single"/>
        </w:rPr>
        <w:t xml:space="preserve">                       </w:t>
      </w:r>
    </w:p>
    <w:p w14:paraId="055C6766">
      <w:pPr>
        <w:spacing w:line="400" w:lineRule="exact"/>
        <w:outlineLvl w:val="9"/>
        <w:rPr>
          <w:rFonts w:ascii="宋体" w:hAnsi="宋体" w:cs="宋体"/>
          <w:highlight w:val="none"/>
        </w:rPr>
      </w:pPr>
      <w:r>
        <w:rPr>
          <w:rFonts w:hint="eastAsia" w:ascii="宋体" w:hAnsi="宋体" w:cs="宋体"/>
          <w:highlight w:val="none"/>
        </w:rPr>
        <w:t>委托代理人(签字)：</w:t>
      </w:r>
      <w:r>
        <w:rPr>
          <w:rFonts w:hint="eastAsia" w:ascii="宋体" w:hAnsi="宋体" w:cs="宋体"/>
          <w:highlight w:val="none"/>
          <w:u w:val="single"/>
        </w:rPr>
        <w:t xml:space="preserve">                          </w:t>
      </w:r>
      <w:r>
        <w:rPr>
          <w:rFonts w:hint="eastAsia" w:ascii="宋体" w:hAnsi="宋体" w:cs="宋体"/>
          <w:highlight w:val="none"/>
        </w:rPr>
        <w:t xml:space="preserve"> 委托代理人(签字)：</w:t>
      </w:r>
      <w:r>
        <w:rPr>
          <w:rFonts w:hint="eastAsia" w:ascii="宋体" w:hAnsi="宋体" w:cs="宋体"/>
          <w:highlight w:val="none"/>
          <w:u w:val="single"/>
        </w:rPr>
        <w:t xml:space="preserve">                       </w:t>
      </w:r>
    </w:p>
    <w:p w14:paraId="63E45DAE">
      <w:pPr>
        <w:spacing w:line="400" w:lineRule="exact"/>
        <w:outlineLvl w:val="9"/>
        <w:rPr>
          <w:rFonts w:ascii="宋体" w:hAnsi="宋体" w:cs="宋体"/>
          <w:highlight w:val="none"/>
        </w:rPr>
      </w:pPr>
      <w:r>
        <w:rPr>
          <w:rFonts w:hint="eastAsia" w:ascii="宋体" w:hAnsi="宋体" w:cs="宋体"/>
          <w:highlight w:val="none"/>
        </w:rPr>
        <w:t>电  话：</w:t>
      </w:r>
      <w:r>
        <w:rPr>
          <w:rFonts w:hint="eastAsia" w:ascii="宋体" w:hAnsi="宋体" w:cs="宋体"/>
          <w:highlight w:val="none"/>
          <w:u w:val="single"/>
        </w:rPr>
        <w:t xml:space="preserve">                                   </w:t>
      </w:r>
      <w:r>
        <w:rPr>
          <w:rFonts w:hint="eastAsia" w:ascii="宋体" w:hAnsi="宋体" w:cs="宋体"/>
          <w:highlight w:val="none"/>
        </w:rPr>
        <w:t xml:space="preserve"> 电  话：</w:t>
      </w:r>
      <w:r>
        <w:rPr>
          <w:rFonts w:hint="eastAsia" w:ascii="宋体" w:hAnsi="宋体" w:cs="宋体"/>
          <w:highlight w:val="none"/>
          <w:u w:val="single"/>
        </w:rPr>
        <w:t xml:space="preserve">                                 </w:t>
      </w:r>
    </w:p>
    <w:p w14:paraId="1A5CCD1B">
      <w:pPr>
        <w:spacing w:line="400" w:lineRule="exact"/>
        <w:outlineLvl w:val="9"/>
        <w:rPr>
          <w:rFonts w:hint="eastAsia" w:ascii="宋体" w:hAnsi="宋体" w:cs="宋体"/>
          <w:highlight w:val="none"/>
          <w:u w:val="single"/>
        </w:rPr>
      </w:pPr>
      <w:r>
        <w:rPr>
          <w:rFonts w:hint="eastAsia" w:ascii="宋体" w:hAnsi="宋体" w:cs="宋体"/>
          <w:highlight w:val="none"/>
        </w:rPr>
        <w:t>传  真：</w:t>
      </w:r>
      <w:r>
        <w:rPr>
          <w:rFonts w:hint="eastAsia" w:ascii="宋体" w:hAnsi="宋体" w:cs="宋体"/>
          <w:highlight w:val="none"/>
          <w:u w:val="single"/>
        </w:rPr>
        <w:t xml:space="preserve">                                   </w:t>
      </w:r>
      <w:r>
        <w:rPr>
          <w:rFonts w:hint="eastAsia" w:ascii="宋体" w:hAnsi="宋体" w:cs="宋体"/>
          <w:highlight w:val="none"/>
        </w:rPr>
        <w:t xml:space="preserve"> 传  真：</w:t>
      </w:r>
      <w:r>
        <w:rPr>
          <w:rFonts w:hint="eastAsia" w:ascii="宋体" w:hAnsi="宋体" w:cs="宋体"/>
          <w:highlight w:val="none"/>
          <w:u w:val="single"/>
        </w:rPr>
        <w:t xml:space="preserve">                            </w:t>
      </w:r>
    </w:p>
    <w:p w14:paraId="2D3B4A27">
      <w:pPr>
        <w:rPr>
          <w:rFonts w:hint="eastAsia" w:ascii="宋体" w:hAnsi="宋体" w:eastAsia="宋体" w:cs="宋体"/>
          <w:sz w:val="24"/>
          <w:szCs w:val="24"/>
          <w:highlight w:val="none"/>
        </w:rPr>
      </w:pPr>
      <w:bookmarkStart w:id="661" w:name="_Toc351203652"/>
      <w:r>
        <w:rPr>
          <w:rFonts w:hint="eastAsia" w:ascii="宋体" w:hAnsi="宋体" w:eastAsia="宋体" w:cs="宋体"/>
          <w:sz w:val="24"/>
          <w:szCs w:val="24"/>
          <w:highlight w:val="none"/>
        </w:rPr>
        <w:br w:type="page"/>
      </w:r>
    </w:p>
    <w:p w14:paraId="78FB42AE">
      <w:pPr>
        <w:spacing w:before="0" w:after="0" w:line="400" w:lineRule="exact"/>
        <w:ind w:firstLine="597" w:firstLineChars="249"/>
        <w:outlineLvl w:val="9"/>
        <w:rPr>
          <w:rFonts w:ascii="宋体" w:hAnsi="宋体" w:eastAsia="宋体" w:cs="宋体"/>
          <w:b w:val="0"/>
          <w:sz w:val="24"/>
          <w:szCs w:val="24"/>
          <w:highlight w:val="none"/>
        </w:rPr>
      </w:pPr>
      <w:r>
        <w:rPr>
          <w:rFonts w:hint="eastAsia" w:ascii="宋体" w:hAnsi="宋体" w:eastAsia="宋体" w:cs="宋体"/>
          <w:sz w:val="24"/>
          <w:szCs w:val="24"/>
          <w:highlight w:val="none"/>
        </w:rPr>
        <w:t>附件</w:t>
      </w:r>
      <w:bookmarkEnd w:id="661"/>
    </w:p>
    <w:p w14:paraId="7659289D">
      <w:pPr>
        <w:spacing w:line="400" w:lineRule="exact"/>
        <w:ind w:firstLine="480" w:firstLineChars="200"/>
        <w:rPr>
          <w:rFonts w:ascii="宋体" w:hAnsi="宋体" w:cs="宋体"/>
          <w:highlight w:val="none"/>
        </w:rPr>
      </w:pPr>
      <w:r>
        <w:rPr>
          <w:rFonts w:hint="eastAsia" w:ascii="宋体" w:hAnsi="宋体" w:cs="宋体"/>
          <w:highlight w:val="none"/>
        </w:rPr>
        <w:t>专用合同条款附件：</w:t>
      </w:r>
    </w:p>
    <w:p w14:paraId="53615868">
      <w:pPr>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附件3：工程质量保修书</w:t>
      </w:r>
    </w:p>
    <w:p w14:paraId="67A4F5D9">
      <w:pPr>
        <w:spacing w:line="400" w:lineRule="exact"/>
        <w:ind w:firstLine="480" w:firstLineChars="200"/>
        <w:rPr>
          <w:rFonts w:hint="eastAsia" w:ascii="宋体" w:hAnsi="宋体" w:eastAsia="宋体" w:cs="宋体"/>
          <w:highlight w:val="none"/>
        </w:rPr>
        <w:sectPr>
          <w:footerReference r:id="rId5" w:type="default"/>
          <w:pgSz w:w="11906" w:h="16838"/>
          <w:pgMar w:top="1304" w:right="1361" w:bottom="1304" w:left="1304" w:header="851" w:footer="992" w:gutter="0"/>
          <w:cols w:space="0" w:num="1"/>
          <w:docGrid w:linePitch="312" w:charSpace="0"/>
        </w:sectPr>
      </w:pPr>
      <w:r>
        <w:rPr>
          <w:rFonts w:hint="eastAsia" w:ascii="宋体" w:hAnsi="宋体" w:eastAsia="宋体" w:cs="宋体"/>
          <w:highlight w:val="none"/>
        </w:rPr>
        <w:t>附件11：暂估价一览表</w:t>
      </w:r>
    </w:p>
    <w:p w14:paraId="0F69FB0F">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附</w:t>
      </w:r>
      <w:bookmarkStart w:id="662" w:name="_Toc296503226"/>
      <w:bookmarkStart w:id="663" w:name="_Toc296891266"/>
      <w:bookmarkStart w:id="664" w:name="_Toc267261693"/>
      <w:bookmarkStart w:id="665" w:name="_Toc296891054"/>
      <w:bookmarkStart w:id="666" w:name="_Toc296347225"/>
      <w:bookmarkStart w:id="667" w:name="_Toc296346727"/>
      <w:bookmarkStart w:id="668" w:name="_Toc296944565"/>
      <w:r>
        <w:rPr>
          <w:rFonts w:hint="eastAsia" w:ascii="宋体" w:hAnsi="宋体" w:eastAsia="宋体" w:cs="宋体"/>
          <w:sz w:val="24"/>
          <w:szCs w:val="24"/>
          <w:highlight w:val="none"/>
        </w:rPr>
        <w:t>件3：</w:t>
      </w:r>
      <w:bookmarkEnd w:id="662"/>
      <w:bookmarkEnd w:id="663"/>
      <w:bookmarkEnd w:id="664"/>
      <w:bookmarkEnd w:id="665"/>
      <w:bookmarkEnd w:id="666"/>
      <w:bookmarkEnd w:id="667"/>
      <w:bookmarkEnd w:id="668"/>
      <w:r>
        <w:rPr>
          <w:rFonts w:hint="eastAsia" w:ascii="宋体" w:hAnsi="宋体" w:eastAsia="宋体" w:cs="宋体"/>
          <w:sz w:val="24"/>
          <w:szCs w:val="24"/>
          <w:highlight w:val="none"/>
        </w:rPr>
        <w:t xml:space="preserve">    </w:t>
      </w:r>
    </w:p>
    <w:p w14:paraId="0DD9252B">
      <w:pPr>
        <w:spacing w:line="400" w:lineRule="exact"/>
        <w:ind w:firstLine="720" w:firstLineChars="200"/>
        <w:jc w:val="center"/>
        <w:rPr>
          <w:rFonts w:ascii="宋体" w:hAnsi="宋体" w:cs="宋体"/>
          <w:bCs/>
          <w:sz w:val="36"/>
          <w:szCs w:val="36"/>
          <w:highlight w:val="none"/>
        </w:rPr>
      </w:pPr>
      <w:r>
        <w:rPr>
          <w:rFonts w:hint="eastAsia" w:ascii="宋体" w:hAnsi="宋体" w:cs="宋体"/>
          <w:bCs/>
          <w:sz w:val="36"/>
          <w:szCs w:val="36"/>
          <w:highlight w:val="none"/>
        </w:rPr>
        <w:t>工程质量保修书</w:t>
      </w:r>
    </w:p>
    <w:p w14:paraId="5225AA9C">
      <w:pPr>
        <w:spacing w:line="400" w:lineRule="exact"/>
        <w:ind w:firstLine="480" w:firstLineChars="200"/>
        <w:rPr>
          <w:rFonts w:ascii="宋体" w:hAnsi="宋体" w:cs="宋体"/>
          <w:bCs/>
          <w:highlight w:val="none"/>
        </w:rPr>
      </w:pPr>
    </w:p>
    <w:p w14:paraId="7D336A74">
      <w:pPr>
        <w:spacing w:line="400" w:lineRule="exact"/>
        <w:ind w:firstLine="480" w:firstLineChars="200"/>
        <w:rPr>
          <w:rFonts w:ascii="宋体" w:hAnsi="宋体" w:cs="宋体"/>
          <w:bCs/>
          <w:highlight w:val="none"/>
        </w:rPr>
      </w:pPr>
      <w:r>
        <w:rPr>
          <w:rFonts w:hint="eastAsia" w:ascii="宋体" w:hAnsi="宋体" w:cs="宋体"/>
          <w:bCs/>
          <w:highlight w:val="none"/>
        </w:rPr>
        <w:t>发包人（全称）：</w:t>
      </w:r>
      <w:r>
        <w:rPr>
          <w:rFonts w:hint="eastAsia" w:ascii="宋体" w:hAnsi="宋体" w:cs="宋体"/>
          <w:bCs/>
          <w:highlight w:val="none"/>
          <w:u w:val="single"/>
        </w:rPr>
        <w:t xml:space="preserve"> </w:t>
      </w:r>
      <w:r>
        <w:rPr>
          <w:rFonts w:hint="eastAsia" w:ascii="宋体" w:hAnsi="宋体" w:cs="宋体"/>
          <w:bCs/>
          <w:highlight w:val="none"/>
          <w:u w:val="single"/>
          <w:lang w:eastAsia="zh-CN"/>
        </w:rPr>
        <w:t>浙江三门经济开发区管理委员会</w:t>
      </w:r>
      <w:r>
        <w:rPr>
          <w:rFonts w:hint="eastAsia" w:ascii="宋体" w:hAnsi="宋体" w:cs="宋体"/>
          <w:bCs/>
          <w:highlight w:val="none"/>
          <w:u w:val="single"/>
        </w:rPr>
        <w:t xml:space="preserve">     </w:t>
      </w:r>
      <w:r>
        <w:rPr>
          <w:rFonts w:hint="eastAsia" w:ascii="宋体" w:hAnsi="宋体" w:cs="宋体"/>
          <w:bCs/>
          <w:highlight w:val="none"/>
        </w:rPr>
        <w:t xml:space="preserve"> </w:t>
      </w:r>
    </w:p>
    <w:p w14:paraId="1310F4B0">
      <w:pPr>
        <w:spacing w:line="400" w:lineRule="exact"/>
        <w:ind w:firstLine="480" w:firstLineChars="200"/>
        <w:rPr>
          <w:rFonts w:ascii="宋体" w:hAnsi="宋体" w:cs="宋体"/>
          <w:bCs/>
          <w:highlight w:val="none"/>
        </w:rPr>
      </w:pPr>
      <w:r>
        <w:rPr>
          <w:rFonts w:hint="eastAsia" w:ascii="宋体" w:hAnsi="宋体" w:cs="宋体"/>
          <w:bCs/>
          <w:highlight w:val="none"/>
        </w:rPr>
        <w:t>承包人（全称）：</w:t>
      </w:r>
      <w:r>
        <w:rPr>
          <w:rFonts w:hint="eastAsia" w:ascii="宋体" w:hAnsi="宋体" w:cs="宋体"/>
          <w:bCs/>
          <w:highlight w:val="none"/>
          <w:u w:val="single"/>
        </w:rPr>
        <w:t xml:space="preserve">                                  </w:t>
      </w:r>
      <w:r>
        <w:rPr>
          <w:rFonts w:hint="eastAsia" w:ascii="宋体" w:hAnsi="宋体" w:cs="宋体"/>
          <w:bCs/>
          <w:highlight w:val="none"/>
        </w:rPr>
        <w:t xml:space="preserve"> </w:t>
      </w:r>
    </w:p>
    <w:p w14:paraId="2126350B">
      <w:pPr>
        <w:spacing w:line="400" w:lineRule="exact"/>
        <w:ind w:firstLine="480" w:firstLineChars="200"/>
        <w:rPr>
          <w:rFonts w:ascii="宋体" w:hAnsi="宋体" w:cs="宋体"/>
          <w:bCs/>
          <w:highlight w:val="none"/>
        </w:rPr>
      </w:pPr>
    </w:p>
    <w:p w14:paraId="1447DD27">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发包人和承包人根据《中华人民共和国建筑法》和《建设工程质量管理条例》，经协商一致就</w:t>
      </w:r>
      <w:r>
        <w:rPr>
          <w:rFonts w:hint="eastAsia" w:ascii="宋体" w:hAnsi="宋体" w:cs="宋体"/>
          <w:highlight w:val="none"/>
          <w:u w:val="single"/>
          <w:lang w:eastAsia="zh-CN"/>
        </w:rPr>
        <w:t>三门县东部新区泰康路周边提升工程</w:t>
      </w:r>
      <w:r>
        <w:rPr>
          <w:rFonts w:hint="eastAsia" w:ascii="宋体" w:hAnsi="宋体" w:cs="宋体"/>
          <w:bCs/>
          <w:highlight w:val="none"/>
        </w:rPr>
        <w:t>（工程全称）签订工程质量保修书。</w:t>
      </w:r>
    </w:p>
    <w:p w14:paraId="7882FE8A">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一、工程质量保修范围和内容</w:t>
      </w:r>
    </w:p>
    <w:p w14:paraId="5E93DA28">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承包人在质量保修期内，按照有关法律规定和合同约定，承担工程质量保修责任。</w:t>
      </w:r>
    </w:p>
    <w:p w14:paraId="5F110AB0">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highlight w:val="none"/>
          <w:u w:val="single"/>
        </w:rPr>
        <w:t xml:space="preserve">竣工图纸范围内包含的全部内容。  </w:t>
      </w:r>
    </w:p>
    <w:p w14:paraId="456A2224">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二、质量保修期</w:t>
      </w:r>
    </w:p>
    <w:p w14:paraId="2F14C8A2">
      <w:pPr>
        <w:spacing w:line="400" w:lineRule="exact"/>
        <w:ind w:firstLine="480" w:firstLineChars="200"/>
        <w:rPr>
          <w:rFonts w:ascii="宋体" w:hAnsi="宋体" w:cs="宋体"/>
          <w:bCs/>
          <w:highlight w:val="none"/>
        </w:rPr>
      </w:pPr>
      <w:r>
        <w:rPr>
          <w:rFonts w:hint="eastAsia" w:ascii="宋体" w:hAnsi="宋体" w:cs="宋体"/>
          <w:bCs/>
          <w:highlight w:val="none"/>
        </w:rPr>
        <w:t>根据《建设工程质量管理条例》及有关规定，工程的质量保修期如下：</w:t>
      </w:r>
    </w:p>
    <w:p w14:paraId="1DAC13AC">
      <w:pPr>
        <w:spacing w:line="400" w:lineRule="exact"/>
        <w:ind w:firstLine="480" w:firstLineChars="200"/>
        <w:rPr>
          <w:rFonts w:ascii="宋体" w:hAnsi="宋体" w:cs="宋体"/>
          <w:bCs/>
          <w:highlight w:val="none"/>
        </w:rPr>
      </w:pPr>
      <w:r>
        <w:rPr>
          <w:rFonts w:hint="eastAsia" w:ascii="宋体" w:hAnsi="宋体" w:cs="宋体"/>
          <w:bCs/>
          <w:highlight w:val="none"/>
        </w:rPr>
        <w:t>1．地基基础工程和主体结构工程为设计文件规定的工程合理使用年限；</w:t>
      </w:r>
    </w:p>
    <w:p w14:paraId="7CEB5595">
      <w:pPr>
        <w:spacing w:line="400" w:lineRule="exact"/>
        <w:ind w:firstLine="480" w:firstLineChars="200"/>
        <w:rPr>
          <w:rFonts w:ascii="宋体" w:hAnsi="宋体" w:cs="宋体"/>
          <w:bCs/>
          <w:highlight w:val="none"/>
        </w:rPr>
      </w:pPr>
      <w:r>
        <w:rPr>
          <w:rFonts w:hint="eastAsia" w:ascii="宋体" w:hAnsi="宋体" w:cs="宋体"/>
          <w:bCs/>
          <w:highlight w:val="none"/>
        </w:rPr>
        <w:t>2．屋面防水工程、有防水要求的卫生间、房间和外墙面的防渗为</w:t>
      </w:r>
      <w:r>
        <w:rPr>
          <w:rFonts w:hint="eastAsia" w:ascii="宋体" w:hAnsi="宋体" w:cs="宋体"/>
          <w:bCs/>
          <w:highlight w:val="none"/>
          <w:u w:val="single"/>
        </w:rPr>
        <w:t xml:space="preserve">  5   </w:t>
      </w:r>
      <w:r>
        <w:rPr>
          <w:rFonts w:hint="eastAsia" w:ascii="宋体" w:hAnsi="宋体" w:cs="宋体"/>
          <w:bCs/>
          <w:highlight w:val="none"/>
        </w:rPr>
        <w:t>年；</w:t>
      </w:r>
    </w:p>
    <w:p w14:paraId="42817A2E">
      <w:pPr>
        <w:spacing w:line="400" w:lineRule="exact"/>
        <w:ind w:firstLine="480" w:firstLineChars="200"/>
        <w:rPr>
          <w:rFonts w:ascii="宋体" w:hAnsi="宋体" w:cs="宋体"/>
          <w:bCs/>
          <w:highlight w:val="none"/>
        </w:rPr>
      </w:pPr>
      <w:r>
        <w:rPr>
          <w:rFonts w:hint="eastAsia" w:ascii="宋体" w:hAnsi="宋体" w:cs="宋体"/>
          <w:bCs/>
          <w:highlight w:val="none"/>
        </w:rPr>
        <w:t>3．装修工程为</w:t>
      </w:r>
      <w:r>
        <w:rPr>
          <w:rFonts w:hint="eastAsia" w:ascii="宋体" w:hAnsi="宋体" w:cs="宋体"/>
          <w:bCs/>
          <w:highlight w:val="none"/>
          <w:u w:val="single"/>
        </w:rPr>
        <w:t xml:space="preserve">   2  </w:t>
      </w:r>
      <w:r>
        <w:rPr>
          <w:rFonts w:hint="eastAsia" w:ascii="宋体" w:hAnsi="宋体" w:cs="宋体"/>
          <w:bCs/>
          <w:highlight w:val="none"/>
        </w:rPr>
        <w:t>年；</w:t>
      </w:r>
    </w:p>
    <w:p w14:paraId="54E0FBA9">
      <w:pPr>
        <w:spacing w:line="400" w:lineRule="exact"/>
        <w:ind w:firstLine="480" w:firstLineChars="200"/>
        <w:rPr>
          <w:rFonts w:ascii="宋体" w:hAnsi="宋体" w:cs="宋体"/>
          <w:bCs/>
          <w:highlight w:val="none"/>
        </w:rPr>
      </w:pPr>
      <w:r>
        <w:rPr>
          <w:rFonts w:hint="eastAsia" w:ascii="宋体" w:hAnsi="宋体" w:cs="宋体"/>
          <w:bCs/>
          <w:highlight w:val="none"/>
        </w:rPr>
        <w:t>4．电气管线、给排水管道、设备安装工程为</w:t>
      </w:r>
      <w:r>
        <w:rPr>
          <w:rFonts w:hint="eastAsia" w:ascii="宋体" w:hAnsi="宋体" w:cs="宋体"/>
          <w:bCs/>
          <w:highlight w:val="none"/>
          <w:u w:val="single"/>
        </w:rPr>
        <w:t xml:space="preserve">   2  </w:t>
      </w:r>
      <w:r>
        <w:rPr>
          <w:rFonts w:hint="eastAsia" w:ascii="宋体" w:hAnsi="宋体" w:cs="宋体"/>
          <w:bCs/>
          <w:highlight w:val="none"/>
        </w:rPr>
        <w:t>年；</w:t>
      </w:r>
    </w:p>
    <w:p w14:paraId="2051B498">
      <w:pPr>
        <w:spacing w:line="400" w:lineRule="exact"/>
        <w:ind w:firstLine="480" w:firstLineChars="200"/>
        <w:rPr>
          <w:rFonts w:ascii="宋体" w:hAnsi="宋体" w:cs="宋体"/>
          <w:bCs/>
          <w:highlight w:val="none"/>
        </w:rPr>
      </w:pPr>
      <w:r>
        <w:rPr>
          <w:rFonts w:hint="eastAsia" w:ascii="宋体" w:hAnsi="宋体" w:cs="宋体"/>
          <w:bCs/>
          <w:highlight w:val="none"/>
        </w:rPr>
        <w:t>5．供热与供冷系统为</w:t>
      </w:r>
      <w:r>
        <w:rPr>
          <w:rFonts w:hint="eastAsia" w:ascii="宋体" w:hAnsi="宋体" w:cs="宋体"/>
          <w:bCs/>
          <w:highlight w:val="none"/>
          <w:u w:val="single"/>
        </w:rPr>
        <w:t xml:space="preserve">  2    </w:t>
      </w:r>
      <w:r>
        <w:rPr>
          <w:rFonts w:hint="eastAsia" w:ascii="宋体" w:hAnsi="宋体" w:cs="宋体"/>
          <w:bCs/>
          <w:highlight w:val="none"/>
        </w:rPr>
        <w:t>个采暖期、供冷期；</w:t>
      </w:r>
    </w:p>
    <w:p w14:paraId="50BA9BE5">
      <w:pPr>
        <w:spacing w:line="400" w:lineRule="exact"/>
        <w:ind w:firstLine="480" w:firstLineChars="200"/>
        <w:rPr>
          <w:rFonts w:ascii="宋体" w:hAnsi="宋体" w:cs="宋体"/>
          <w:bCs/>
          <w:highlight w:val="none"/>
        </w:rPr>
      </w:pPr>
      <w:r>
        <w:rPr>
          <w:rFonts w:hint="eastAsia" w:ascii="宋体" w:hAnsi="宋体" w:cs="宋体"/>
          <w:bCs/>
          <w:highlight w:val="none"/>
        </w:rPr>
        <w:t>6．住宅小区内的给排水设施、道路等配套工程为</w:t>
      </w:r>
      <w:r>
        <w:rPr>
          <w:rFonts w:hint="eastAsia" w:ascii="宋体" w:hAnsi="宋体" w:cs="宋体"/>
          <w:bCs/>
          <w:highlight w:val="none"/>
          <w:u w:val="single"/>
        </w:rPr>
        <w:t xml:space="preserve">   2  </w:t>
      </w:r>
      <w:r>
        <w:rPr>
          <w:rFonts w:hint="eastAsia" w:ascii="宋体" w:hAnsi="宋体" w:cs="宋体"/>
          <w:bCs/>
          <w:highlight w:val="none"/>
        </w:rPr>
        <w:t>年；</w:t>
      </w:r>
    </w:p>
    <w:p w14:paraId="272CE531">
      <w:pPr>
        <w:spacing w:line="400" w:lineRule="exact"/>
        <w:ind w:firstLine="480" w:firstLineChars="200"/>
        <w:rPr>
          <w:rFonts w:hint="eastAsia" w:ascii="宋体" w:hAnsi="宋体"/>
          <w:szCs w:val="21"/>
        </w:rPr>
      </w:pPr>
      <w:r>
        <w:rPr>
          <w:rFonts w:hint="eastAsia" w:ascii="宋体" w:hAnsi="宋体" w:cs="宋体"/>
          <w:bCs/>
          <w:highlight w:val="none"/>
        </w:rPr>
        <w:t>7．项目保修期限约定如下：</w:t>
      </w:r>
      <w:r>
        <w:rPr>
          <w:rFonts w:hint="eastAsia" w:ascii="宋体" w:hAnsi="宋体" w:cs="宋体"/>
          <w:bCs/>
          <w:highlight w:val="none"/>
          <w:u w:val="single"/>
        </w:rPr>
        <w:t xml:space="preserve"> </w:t>
      </w:r>
      <w:r>
        <w:rPr>
          <w:rFonts w:hint="eastAsia"/>
          <w:bCs/>
          <w:szCs w:val="21"/>
          <w:u w:val="single"/>
        </w:rPr>
        <w:t xml:space="preserve">本项目质量保修期为2年(其中绿化养护期按1年）。养护期内死亡的花草苗木由承包方及时免费补种（补种的花草苗木按发包人要求的标准，并经发包人认可），补种的花草苗木尚需负责养护一年。 </w:t>
      </w:r>
    </w:p>
    <w:p w14:paraId="5EE63AD0">
      <w:pPr>
        <w:spacing w:line="400" w:lineRule="exact"/>
        <w:ind w:left="-5" w:leftChars="-2" w:firstLine="480" w:firstLineChars="200"/>
        <w:rPr>
          <w:rFonts w:hint="eastAsia" w:ascii="宋体" w:hAnsi="宋体" w:cs="宋体"/>
          <w:bCs/>
          <w:highlight w:val="yellow"/>
          <w:u w:val="single"/>
        </w:rPr>
      </w:pPr>
      <w:r>
        <w:rPr>
          <w:rFonts w:hint="eastAsia" w:ascii="宋体" w:hAnsi="宋体" w:cs="宋体"/>
          <w:bCs/>
          <w:highlight w:val="none"/>
          <w:u w:val="single"/>
        </w:rPr>
        <w:t>质量保修期自工程竣工验收合格之日起计算。</w:t>
      </w:r>
    </w:p>
    <w:p w14:paraId="797C129A">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三、缺陷责任期</w:t>
      </w:r>
    </w:p>
    <w:p w14:paraId="499A221B">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工程缺陷责任期为</w:t>
      </w:r>
      <w:r>
        <w:rPr>
          <w:rFonts w:hint="eastAsia" w:ascii="宋体" w:hAnsi="宋体" w:cs="宋体"/>
          <w:bCs/>
          <w:highlight w:val="none"/>
          <w:u w:val="single"/>
        </w:rPr>
        <w:t xml:space="preserve"> 24</w:t>
      </w:r>
      <w:r>
        <w:rPr>
          <w:rFonts w:hint="eastAsia" w:ascii="宋体" w:hAnsi="宋体" w:cs="宋体"/>
          <w:bCs/>
          <w:highlight w:val="none"/>
        </w:rPr>
        <w:t>个月，缺陷责任期自工程竣工验收合格之日起计算。单位工程先于全部工程进行验收，单位工程缺陷责任期自单位工程验收合格之日起算。</w:t>
      </w:r>
    </w:p>
    <w:p w14:paraId="432C9A5E">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四、质量保修责任</w:t>
      </w:r>
    </w:p>
    <w:p w14:paraId="60E8E1FA">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1．属于保修范围、内容的项目，承包人应当在接到保修通知之日起7天内派人保修。承包人不在约定期限内派人保修的，发包人可以委托他人修理。</w:t>
      </w:r>
    </w:p>
    <w:p w14:paraId="37F351F2">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2．发生紧急事故需抢修的，承包人在接到事故通知后，应当立即到达事故现场抢修。</w:t>
      </w:r>
    </w:p>
    <w:p w14:paraId="71A03121">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1566E09">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4．质量保修完成后，由发包人组织验收。</w:t>
      </w:r>
    </w:p>
    <w:p w14:paraId="5C3E07AF">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五、保修费用</w:t>
      </w:r>
    </w:p>
    <w:p w14:paraId="6F2A7264">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保修费用由造成质量缺陷的责任方承担。</w:t>
      </w:r>
    </w:p>
    <w:p w14:paraId="4D522BA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ascii="宋体" w:hAnsi="宋体" w:cs="宋体"/>
          <w:highlight w:val="yellow"/>
          <w:u w:val="single"/>
        </w:rPr>
      </w:pPr>
      <w:r>
        <w:rPr>
          <w:rFonts w:hint="eastAsia" w:ascii="宋体" w:hAnsi="宋体" w:cs="宋体"/>
          <w:bCs/>
          <w:highlight w:val="none"/>
        </w:rPr>
        <w:t>六、双方约定的其他工程质量保修事项：</w:t>
      </w:r>
      <w:r>
        <w:rPr>
          <w:rFonts w:hint="eastAsia" w:ascii="宋体" w:hAnsi="宋体" w:cs="宋体"/>
          <w:bCs/>
          <w:highlight w:val="none"/>
          <w:u w:val="single"/>
        </w:rPr>
        <w:t xml:space="preserve">  </w:t>
      </w:r>
      <w:r>
        <w:rPr>
          <w:rFonts w:hAnsi="宋体" w:cs="宋体"/>
          <w:kern w:val="0"/>
          <w:u w:val="single"/>
        </w:rPr>
        <w:t xml:space="preserve">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r>
        <w:rPr>
          <w:rFonts w:hint="eastAsia" w:ascii="宋体" w:hAnsi="宋体" w:cs="宋体"/>
          <w:highlight w:val="none"/>
          <w:u w:val="single"/>
        </w:rPr>
        <w:t xml:space="preserve"> </w:t>
      </w:r>
    </w:p>
    <w:p w14:paraId="574D8E6E">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工程质量保修书由发包人、承包人在工程竣工验收前共同签署，作为施工合同附件，其有效期限至保修期满。</w:t>
      </w:r>
    </w:p>
    <w:p w14:paraId="1B194A97">
      <w:pPr>
        <w:spacing w:line="400" w:lineRule="exact"/>
        <w:ind w:firstLine="480" w:firstLineChars="200"/>
        <w:rPr>
          <w:rFonts w:ascii="宋体" w:hAnsi="宋体" w:cs="宋体"/>
          <w:bCs/>
          <w:highlight w:val="none"/>
        </w:rPr>
      </w:pPr>
    </w:p>
    <w:p w14:paraId="0A6E376A">
      <w:pPr>
        <w:spacing w:line="400" w:lineRule="exact"/>
        <w:ind w:firstLine="480" w:firstLineChars="200"/>
        <w:rPr>
          <w:rFonts w:ascii="宋体" w:hAnsi="宋体" w:cs="宋体"/>
          <w:bCs/>
          <w:highlight w:val="none"/>
        </w:rPr>
      </w:pPr>
    </w:p>
    <w:p w14:paraId="7CF13F9F">
      <w:pPr>
        <w:spacing w:line="400" w:lineRule="exact"/>
        <w:ind w:firstLine="480" w:firstLineChars="200"/>
        <w:rPr>
          <w:rFonts w:ascii="宋体" w:hAnsi="宋体" w:cs="宋体"/>
          <w:bCs/>
          <w:highlight w:val="none"/>
        </w:rPr>
      </w:pPr>
      <w:r>
        <w:rPr>
          <w:rFonts w:hint="eastAsia" w:ascii="宋体" w:hAnsi="宋体" w:cs="宋体"/>
          <w:bCs/>
          <w:highlight w:val="none"/>
        </w:rPr>
        <w:t>发包人（公章）：</w:t>
      </w:r>
      <w:r>
        <w:rPr>
          <w:rFonts w:hint="eastAsia" w:ascii="宋体" w:hAnsi="宋体" w:cs="宋体"/>
          <w:bCs/>
          <w:highlight w:val="none"/>
          <w:u w:val="single"/>
        </w:rPr>
        <w:t xml:space="preserve">               </w:t>
      </w:r>
      <w:r>
        <w:rPr>
          <w:rFonts w:hint="eastAsia" w:ascii="宋体" w:hAnsi="宋体" w:cs="宋体"/>
          <w:bCs/>
          <w:highlight w:val="none"/>
        </w:rPr>
        <w:t xml:space="preserve"> 承包人（公章）：</w:t>
      </w:r>
      <w:r>
        <w:rPr>
          <w:rFonts w:hint="eastAsia" w:ascii="宋体" w:hAnsi="宋体" w:cs="宋体"/>
          <w:bCs/>
          <w:highlight w:val="none"/>
          <w:u w:val="single"/>
        </w:rPr>
        <w:t xml:space="preserve">                      </w:t>
      </w:r>
    </w:p>
    <w:p w14:paraId="22114503">
      <w:pPr>
        <w:spacing w:line="400" w:lineRule="exact"/>
        <w:ind w:firstLine="480" w:firstLineChars="200"/>
        <w:rPr>
          <w:rFonts w:ascii="宋体" w:hAnsi="宋体" w:cs="宋体"/>
          <w:bCs/>
          <w:highlight w:val="none"/>
        </w:rPr>
      </w:pPr>
      <w:r>
        <w:rPr>
          <w:rFonts w:hint="eastAsia" w:ascii="宋体" w:hAnsi="宋体" w:cs="宋体"/>
          <w:bCs/>
          <w:highlight w:val="none"/>
        </w:rPr>
        <w:t>地  址：</w:t>
      </w:r>
      <w:r>
        <w:rPr>
          <w:rFonts w:hint="eastAsia" w:ascii="宋体" w:hAnsi="宋体" w:cs="宋体"/>
          <w:bCs/>
          <w:highlight w:val="none"/>
          <w:u w:val="single"/>
        </w:rPr>
        <w:t xml:space="preserve">              </w:t>
      </w:r>
      <w:r>
        <w:rPr>
          <w:rFonts w:hint="eastAsia" w:ascii="宋体" w:hAnsi="宋体" w:cs="宋体"/>
          <w:bCs/>
          <w:highlight w:val="none"/>
        </w:rPr>
        <w:t xml:space="preserve"> 地  址：</w:t>
      </w:r>
      <w:r>
        <w:rPr>
          <w:rFonts w:hint="eastAsia" w:ascii="宋体" w:hAnsi="宋体" w:cs="宋体"/>
          <w:bCs/>
          <w:highlight w:val="none"/>
          <w:u w:val="single"/>
        </w:rPr>
        <w:t xml:space="preserve">                </w:t>
      </w:r>
    </w:p>
    <w:p w14:paraId="1EDFB459">
      <w:pPr>
        <w:spacing w:line="400" w:lineRule="exact"/>
        <w:ind w:firstLine="480" w:firstLineChars="200"/>
        <w:rPr>
          <w:rFonts w:ascii="宋体" w:hAnsi="宋体" w:cs="宋体"/>
          <w:bCs/>
          <w:highlight w:val="none"/>
        </w:rPr>
      </w:pPr>
      <w:r>
        <w:rPr>
          <w:rFonts w:hint="eastAsia" w:ascii="宋体" w:hAnsi="宋体" w:cs="宋体"/>
          <w:bCs/>
          <w:highlight w:val="none"/>
        </w:rPr>
        <w:t>法定代表人（签字）：</w:t>
      </w:r>
      <w:r>
        <w:rPr>
          <w:rFonts w:hint="eastAsia" w:ascii="宋体" w:hAnsi="宋体" w:cs="宋体"/>
          <w:bCs/>
          <w:highlight w:val="none"/>
          <w:u w:val="single"/>
        </w:rPr>
        <w:t xml:space="preserve">             </w:t>
      </w:r>
      <w:r>
        <w:rPr>
          <w:rFonts w:hint="eastAsia" w:ascii="宋体" w:hAnsi="宋体" w:cs="宋体"/>
          <w:bCs/>
          <w:highlight w:val="none"/>
        </w:rPr>
        <w:t xml:space="preserve"> 法定代表人（签字）：</w:t>
      </w:r>
      <w:r>
        <w:rPr>
          <w:rFonts w:hint="eastAsia" w:ascii="宋体" w:hAnsi="宋体" w:cs="宋体"/>
          <w:bCs/>
          <w:highlight w:val="none"/>
          <w:u w:val="single"/>
        </w:rPr>
        <w:t xml:space="preserve">               </w:t>
      </w:r>
    </w:p>
    <w:p w14:paraId="72AAF68C">
      <w:pPr>
        <w:spacing w:line="400" w:lineRule="exact"/>
        <w:ind w:firstLine="480" w:firstLineChars="200"/>
        <w:rPr>
          <w:rFonts w:ascii="宋体" w:hAnsi="宋体" w:cs="宋体"/>
          <w:bCs/>
          <w:highlight w:val="none"/>
        </w:rPr>
      </w:pPr>
      <w:r>
        <w:rPr>
          <w:rFonts w:hint="eastAsia" w:ascii="宋体" w:hAnsi="宋体" w:cs="宋体"/>
          <w:bCs/>
          <w:highlight w:val="none"/>
        </w:rPr>
        <w:t>委托代理人（签字）：</w:t>
      </w:r>
      <w:r>
        <w:rPr>
          <w:rFonts w:hint="eastAsia" w:ascii="宋体" w:hAnsi="宋体" w:cs="宋体"/>
          <w:bCs/>
          <w:highlight w:val="none"/>
          <w:u w:val="single"/>
        </w:rPr>
        <w:t xml:space="preserve">             </w:t>
      </w:r>
      <w:r>
        <w:rPr>
          <w:rFonts w:hint="eastAsia" w:ascii="宋体" w:hAnsi="宋体" w:cs="宋体"/>
          <w:bCs/>
          <w:highlight w:val="none"/>
        </w:rPr>
        <w:t xml:space="preserve"> 委托代理人（签字）：</w:t>
      </w:r>
      <w:r>
        <w:rPr>
          <w:rFonts w:hint="eastAsia" w:ascii="宋体" w:hAnsi="宋体" w:cs="宋体"/>
          <w:bCs/>
          <w:highlight w:val="none"/>
          <w:u w:val="single"/>
        </w:rPr>
        <w:t xml:space="preserve">               </w:t>
      </w:r>
    </w:p>
    <w:p w14:paraId="5E16100F">
      <w:pPr>
        <w:spacing w:line="400" w:lineRule="exact"/>
        <w:ind w:firstLine="480" w:firstLineChars="200"/>
        <w:rPr>
          <w:rFonts w:ascii="宋体" w:hAnsi="宋体" w:cs="宋体"/>
          <w:bCs/>
          <w:highlight w:val="none"/>
        </w:rPr>
      </w:pPr>
      <w:r>
        <w:rPr>
          <w:rFonts w:hint="eastAsia" w:ascii="宋体" w:hAnsi="宋体" w:cs="宋体"/>
          <w:bCs/>
          <w:highlight w:val="none"/>
        </w:rPr>
        <w:t>电  话：</w:t>
      </w:r>
      <w:r>
        <w:rPr>
          <w:rFonts w:hint="eastAsia" w:ascii="宋体" w:hAnsi="宋体" w:cs="宋体"/>
          <w:bCs/>
          <w:highlight w:val="none"/>
          <w:u w:val="single"/>
        </w:rPr>
        <w:t xml:space="preserve">            </w:t>
      </w:r>
      <w:r>
        <w:rPr>
          <w:rFonts w:hint="eastAsia" w:ascii="宋体" w:hAnsi="宋体" w:cs="宋体"/>
          <w:bCs/>
          <w:highlight w:val="none"/>
        </w:rPr>
        <w:t xml:space="preserve"> 电  话：</w:t>
      </w:r>
      <w:r>
        <w:rPr>
          <w:rFonts w:hint="eastAsia" w:ascii="宋体" w:hAnsi="宋体" w:cs="宋体"/>
          <w:bCs/>
          <w:highlight w:val="none"/>
          <w:u w:val="single"/>
        </w:rPr>
        <w:t xml:space="preserve">              </w:t>
      </w:r>
    </w:p>
    <w:p w14:paraId="48B5C08F">
      <w:pPr>
        <w:spacing w:line="400" w:lineRule="exact"/>
        <w:ind w:firstLine="480" w:firstLineChars="200"/>
        <w:rPr>
          <w:rFonts w:ascii="宋体" w:hAnsi="宋体" w:cs="宋体"/>
          <w:bCs/>
          <w:highlight w:val="none"/>
        </w:rPr>
      </w:pPr>
      <w:r>
        <w:rPr>
          <w:rFonts w:hint="eastAsia" w:ascii="宋体" w:hAnsi="宋体" w:cs="宋体"/>
          <w:bCs/>
          <w:highlight w:val="none"/>
        </w:rPr>
        <w:t>传  真：</w:t>
      </w:r>
      <w:r>
        <w:rPr>
          <w:rFonts w:hint="eastAsia" w:ascii="宋体" w:hAnsi="宋体" w:cs="宋体"/>
          <w:bCs/>
          <w:highlight w:val="none"/>
          <w:u w:val="single"/>
        </w:rPr>
        <w:t xml:space="preserve">            </w:t>
      </w:r>
      <w:r>
        <w:rPr>
          <w:rFonts w:hint="eastAsia" w:ascii="宋体" w:hAnsi="宋体" w:cs="宋体"/>
          <w:bCs/>
          <w:highlight w:val="none"/>
        </w:rPr>
        <w:t xml:space="preserve"> 传  真：</w:t>
      </w:r>
      <w:r>
        <w:rPr>
          <w:rFonts w:hint="eastAsia" w:ascii="宋体" w:hAnsi="宋体" w:cs="宋体"/>
          <w:bCs/>
          <w:highlight w:val="none"/>
          <w:u w:val="single"/>
        </w:rPr>
        <w:t xml:space="preserve">               </w:t>
      </w:r>
    </w:p>
    <w:p w14:paraId="4855189D">
      <w:pPr>
        <w:spacing w:line="400" w:lineRule="exact"/>
        <w:ind w:firstLine="480" w:firstLineChars="200"/>
        <w:rPr>
          <w:rFonts w:ascii="宋体" w:hAnsi="宋体" w:cs="宋体"/>
          <w:bCs/>
          <w:highlight w:val="none"/>
        </w:rPr>
      </w:pPr>
      <w:r>
        <w:rPr>
          <w:rFonts w:hint="eastAsia" w:ascii="宋体" w:hAnsi="宋体" w:cs="宋体"/>
          <w:bCs/>
          <w:highlight w:val="none"/>
        </w:rPr>
        <w:t>开户银行：</w:t>
      </w:r>
      <w:r>
        <w:rPr>
          <w:rFonts w:hint="eastAsia" w:ascii="宋体" w:hAnsi="宋体" w:cs="宋体"/>
          <w:bCs/>
          <w:highlight w:val="none"/>
          <w:u w:val="single"/>
        </w:rPr>
        <w:t xml:space="preserve">            </w:t>
      </w:r>
      <w:r>
        <w:rPr>
          <w:rFonts w:hint="eastAsia" w:ascii="宋体" w:hAnsi="宋体" w:cs="宋体"/>
          <w:bCs/>
          <w:highlight w:val="none"/>
        </w:rPr>
        <w:t xml:space="preserve"> 开户银行：</w:t>
      </w:r>
      <w:r>
        <w:rPr>
          <w:rFonts w:hint="eastAsia" w:ascii="宋体" w:hAnsi="宋体" w:cs="宋体"/>
          <w:bCs/>
          <w:highlight w:val="none"/>
          <w:u w:val="single"/>
        </w:rPr>
        <w:t xml:space="preserve">            </w:t>
      </w:r>
    </w:p>
    <w:p w14:paraId="43649629">
      <w:pPr>
        <w:spacing w:line="400" w:lineRule="exact"/>
        <w:ind w:firstLine="480" w:firstLineChars="200"/>
        <w:rPr>
          <w:rFonts w:ascii="宋体" w:hAnsi="宋体" w:cs="宋体"/>
          <w:bCs/>
          <w:highlight w:val="none"/>
        </w:rPr>
      </w:pPr>
      <w:r>
        <w:rPr>
          <w:rFonts w:hint="eastAsia" w:ascii="宋体" w:hAnsi="宋体" w:cs="宋体"/>
          <w:bCs/>
          <w:highlight w:val="none"/>
        </w:rPr>
        <w:t>账  号：</w:t>
      </w:r>
      <w:r>
        <w:rPr>
          <w:rFonts w:hint="eastAsia" w:ascii="宋体" w:hAnsi="宋体" w:cs="宋体"/>
          <w:bCs/>
          <w:highlight w:val="none"/>
          <w:u w:val="single"/>
        </w:rPr>
        <w:t xml:space="preserve">                </w:t>
      </w:r>
      <w:r>
        <w:rPr>
          <w:rFonts w:hint="eastAsia" w:ascii="宋体" w:hAnsi="宋体" w:cs="宋体"/>
          <w:bCs/>
          <w:highlight w:val="none"/>
        </w:rPr>
        <w:t xml:space="preserve">  账  号：</w:t>
      </w:r>
      <w:r>
        <w:rPr>
          <w:rFonts w:hint="eastAsia" w:ascii="宋体" w:hAnsi="宋体" w:cs="宋体"/>
          <w:bCs/>
          <w:highlight w:val="none"/>
          <w:u w:val="single"/>
        </w:rPr>
        <w:t xml:space="preserve">              </w:t>
      </w:r>
    </w:p>
    <w:p w14:paraId="44B484EA">
      <w:pPr>
        <w:spacing w:line="400" w:lineRule="exact"/>
        <w:ind w:firstLine="480" w:firstLineChars="200"/>
        <w:rPr>
          <w:rFonts w:ascii="宋体" w:hAnsi="宋体" w:cs="宋体"/>
          <w:highlight w:val="none"/>
          <w:u w:val="single"/>
        </w:rPr>
      </w:pPr>
      <w:r>
        <w:rPr>
          <w:rFonts w:hint="eastAsia" w:ascii="宋体" w:hAnsi="宋体" w:cs="宋体"/>
          <w:bCs/>
          <w:highlight w:val="none"/>
        </w:rPr>
        <w:t>邮政编码：</w:t>
      </w:r>
      <w:r>
        <w:rPr>
          <w:rFonts w:hint="eastAsia" w:ascii="宋体" w:hAnsi="宋体" w:cs="宋体"/>
          <w:bCs/>
          <w:highlight w:val="none"/>
          <w:u w:val="single"/>
        </w:rPr>
        <w:t xml:space="preserve">              </w:t>
      </w:r>
      <w:r>
        <w:rPr>
          <w:rFonts w:hint="eastAsia" w:ascii="宋体" w:hAnsi="宋体" w:cs="宋体"/>
          <w:bCs/>
          <w:highlight w:val="none"/>
        </w:rPr>
        <w:t xml:space="preserve"> 邮政编码：</w:t>
      </w:r>
      <w:r>
        <w:rPr>
          <w:rFonts w:hint="eastAsia" w:ascii="宋体" w:hAnsi="宋体" w:cs="宋体"/>
          <w:bCs/>
          <w:highlight w:val="none"/>
          <w:u w:val="single"/>
        </w:rPr>
        <w:t xml:space="preserve">             </w:t>
      </w:r>
    </w:p>
    <w:p w14:paraId="02950DA4">
      <w:pPr>
        <w:spacing w:line="400" w:lineRule="exact"/>
        <w:ind w:firstLine="480" w:firstLineChars="200"/>
        <w:rPr>
          <w:rFonts w:ascii="宋体" w:hAnsi="宋体" w:cs="宋体"/>
          <w:highlight w:val="none"/>
          <w:u w:val="single"/>
        </w:rPr>
      </w:pPr>
    </w:p>
    <w:p w14:paraId="430698D6">
      <w:pPr>
        <w:spacing w:line="400" w:lineRule="exact"/>
        <w:ind w:firstLine="480" w:firstLineChars="200"/>
        <w:rPr>
          <w:rFonts w:ascii="宋体" w:hAnsi="宋体" w:cs="宋体"/>
          <w:highlight w:val="none"/>
          <w:u w:val="single"/>
        </w:rPr>
      </w:pPr>
    </w:p>
    <w:p w14:paraId="07E6A8B3">
      <w:pPr>
        <w:spacing w:line="400" w:lineRule="exact"/>
        <w:ind w:firstLine="480" w:firstLineChars="200"/>
        <w:rPr>
          <w:rFonts w:ascii="宋体" w:hAnsi="宋体" w:cs="宋体"/>
          <w:highlight w:val="none"/>
          <w:u w:val="single"/>
        </w:rPr>
      </w:pPr>
    </w:p>
    <w:p w14:paraId="540E8EE7">
      <w:pPr>
        <w:spacing w:line="400" w:lineRule="exact"/>
        <w:ind w:firstLine="480" w:firstLineChars="200"/>
        <w:rPr>
          <w:rFonts w:ascii="宋体" w:hAnsi="宋体" w:cs="宋体"/>
          <w:highlight w:val="none"/>
          <w:u w:val="single"/>
        </w:rPr>
      </w:pPr>
    </w:p>
    <w:p w14:paraId="16A2EDF8">
      <w:pPr>
        <w:spacing w:line="400" w:lineRule="exact"/>
        <w:ind w:firstLine="480" w:firstLineChars="200"/>
        <w:rPr>
          <w:rFonts w:ascii="宋体" w:hAnsi="宋体" w:cs="宋体"/>
          <w:highlight w:val="none"/>
          <w:u w:val="single"/>
        </w:rPr>
      </w:pPr>
    </w:p>
    <w:p w14:paraId="255CE6A8">
      <w:pPr>
        <w:spacing w:line="400" w:lineRule="exact"/>
        <w:ind w:firstLine="480" w:firstLineChars="200"/>
        <w:rPr>
          <w:rFonts w:ascii="宋体" w:hAnsi="宋体" w:cs="宋体"/>
          <w:highlight w:val="none"/>
          <w:u w:val="single"/>
        </w:rPr>
      </w:pPr>
    </w:p>
    <w:p w14:paraId="59DC94F4">
      <w:pPr>
        <w:spacing w:line="400" w:lineRule="exact"/>
        <w:ind w:firstLine="480" w:firstLineChars="200"/>
        <w:rPr>
          <w:rFonts w:ascii="宋体" w:hAnsi="宋体" w:cs="宋体"/>
          <w:highlight w:val="none"/>
          <w:u w:val="single"/>
        </w:rPr>
      </w:pPr>
    </w:p>
    <w:p w14:paraId="5A305395">
      <w:pPr>
        <w:pStyle w:val="8"/>
        <w:rPr>
          <w:rFonts w:ascii="宋体" w:hAnsi="宋体" w:cs="宋体"/>
          <w:highlight w:val="none"/>
          <w:u w:val="single"/>
        </w:rPr>
      </w:pPr>
    </w:p>
    <w:p w14:paraId="28D58261">
      <w:pPr>
        <w:pStyle w:val="20"/>
        <w:rPr>
          <w:rFonts w:ascii="宋体" w:hAnsi="宋体" w:cs="宋体"/>
          <w:highlight w:val="none"/>
          <w:u w:val="single"/>
        </w:rPr>
      </w:pPr>
    </w:p>
    <w:p w14:paraId="2EE9805E">
      <w:pPr>
        <w:pStyle w:val="20"/>
        <w:rPr>
          <w:rFonts w:ascii="宋体" w:hAnsi="宋体" w:cs="宋体"/>
          <w:highlight w:val="none"/>
          <w:u w:val="single"/>
        </w:rPr>
      </w:pPr>
    </w:p>
    <w:p w14:paraId="7CDA1F9D">
      <w:pPr>
        <w:pStyle w:val="20"/>
        <w:rPr>
          <w:rFonts w:ascii="宋体" w:hAnsi="宋体" w:cs="宋体"/>
          <w:highlight w:val="none"/>
          <w:u w:val="single"/>
        </w:rPr>
      </w:pPr>
    </w:p>
    <w:p w14:paraId="0DC599E4">
      <w:pPr>
        <w:pStyle w:val="20"/>
        <w:rPr>
          <w:rFonts w:ascii="宋体" w:hAnsi="宋体" w:cs="宋体"/>
          <w:highlight w:val="none"/>
          <w:u w:val="single"/>
        </w:rPr>
      </w:pPr>
    </w:p>
    <w:p w14:paraId="783D6701">
      <w:pPr>
        <w:spacing w:line="400" w:lineRule="exact"/>
        <w:rPr>
          <w:rFonts w:ascii="宋体" w:hAnsi="宋体" w:cs="宋体"/>
          <w:highlight w:val="none"/>
          <w:u w:val="single"/>
        </w:rPr>
      </w:pPr>
      <w:r>
        <w:rPr>
          <w:rFonts w:hint="eastAsia"/>
          <w:color w:val="auto"/>
          <w:szCs w:val="21"/>
          <w:highlight w:val="none"/>
        </w:rPr>
        <w:t>附件11</w:t>
      </w:r>
      <w:r>
        <w:rPr>
          <w:rFonts w:hint="eastAsia" w:ascii="宋体" w:hAnsi="宋体" w:eastAsia="宋体" w:cs="宋体"/>
          <w:sz w:val="24"/>
          <w:szCs w:val="24"/>
          <w:highlight w:val="none"/>
        </w:rPr>
        <w:t>：</w:t>
      </w:r>
    </w:p>
    <w:bookmarkEnd w:id="140"/>
    <w:p w14:paraId="0524FC36">
      <w:pPr>
        <w:widowControl/>
        <w:jc w:val="center"/>
        <w:rPr>
          <w:rFonts w:hint="eastAsia" w:ascii="宋体" w:hAnsi="宋体" w:cs="Arial"/>
          <w:b/>
          <w:bCs/>
          <w:color w:val="auto"/>
          <w:kern w:val="0"/>
          <w:sz w:val="36"/>
          <w:szCs w:val="36"/>
          <w:highlight w:val="none"/>
        </w:rPr>
      </w:pPr>
      <w:bookmarkStart w:id="669" w:name="_Toc283976552"/>
      <w:bookmarkStart w:id="670" w:name="_Toc3978"/>
      <w:bookmarkStart w:id="671" w:name="_Toc282596316"/>
      <w:bookmarkStart w:id="672" w:name="_Toc283886261"/>
      <w:bookmarkStart w:id="673" w:name="_Toc28914"/>
      <w:bookmarkStart w:id="674" w:name="_Toc394573948"/>
      <w:r>
        <w:rPr>
          <w:rFonts w:hint="eastAsia" w:ascii="宋体" w:hAnsi="宋体" w:cs="Arial"/>
          <w:b/>
          <w:bCs/>
          <w:color w:val="auto"/>
          <w:kern w:val="0"/>
          <w:sz w:val="36"/>
          <w:szCs w:val="36"/>
          <w:highlight w:val="none"/>
        </w:rPr>
        <w:t>暂估价一览表</w:t>
      </w:r>
    </w:p>
    <w:tbl>
      <w:tblPr>
        <w:tblStyle w:val="21"/>
        <w:tblW w:w="0" w:type="auto"/>
        <w:tblInd w:w="93" w:type="dxa"/>
        <w:tblLayout w:type="autofit"/>
        <w:tblCellMar>
          <w:top w:w="0" w:type="dxa"/>
          <w:left w:w="108" w:type="dxa"/>
          <w:bottom w:w="0" w:type="dxa"/>
          <w:right w:w="108" w:type="dxa"/>
        </w:tblCellMar>
      </w:tblPr>
      <w:tblGrid>
        <w:gridCol w:w="696"/>
        <w:gridCol w:w="2616"/>
        <w:gridCol w:w="936"/>
        <w:gridCol w:w="872"/>
        <w:gridCol w:w="1694"/>
        <w:gridCol w:w="1292"/>
        <w:gridCol w:w="986"/>
      </w:tblGrid>
      <w:tr w14:paraId="11853EE1">
        <w:tblPrEx>
          <w:tblCellMar>
            <w:top w:w="0" w:type="dxa"/>
            <w:left w:w="108" w:type="dxa"/>
            <w:bottom w:w="0" w:type="dxa"/>
            <w:right w:w="108" w:type="dxa"/>
          </w:tblCellMar>
        </w:tblPrEx>
        <w:trPr>
          <w:trHeight w:val="679" w:hRule="atLeast"/>
        </w:trPr>
        <w:tc>
          <w:tcPr>
            <w:tcW w:w="0" w:type="auto"/>
            <w:gridSpan w:val="3"/>
            <w:tcBorders>
              <w:top w:val="nil"/>
              <w:left w:val="nil"/>
              <w:bottom w:val="nil"/>
              <w:right w:val="nil"/>
            </w:tcBorders>
            <w:shd w:val="clear" w:color="auto" w:fill="FFFFFF"/>
            <w:noWrap w:val="0"/>
            <w:vAlign w:val="bottom"/>
          </w:tcPr>
          <w:p w14:paraId="49760E2A">
            <w:pPr>
              <w:widowControl/>
              <w:jc w:val="left"/>
              <w:rPr>
                <w:rFonts w:ascii="宋体" w:hAnsi="宋体" w:cs="Arial"/>
                <w:color w:val="auto"/>
                <w:kern w:val="0"/>
                <w:sz w:val="24"/>
                <w:highlight w:val="none"/>
              </w:rPr>
            </w:pPr>
            <w:r>
              <w:rPr>
                <w:rFonts w:hint="eastAsia" w:ascii="宋体" w:hAnsi="宋体" w:cs="Arial"/>
                <w:color w:val="auto"/>
                <w:kern w:val="0"/>
                <w:sz w:val="24"/>
                <w:highlight w:val="none"/>
              </w:rPr>
              <w:t>单位工程名称：</w:t>
            </w:r>
          </w:p>
        </w:tc>
        <w:tc>
          <w:tcPr>
            <w:tcW w:w="872" w:type="dxa"/>
            <w:tcBorders>
              <w:top w:val="nil"/>
              <w:left w:val="nil"/>
              <w:bottom w:val="nil"/>
              <w:right w:val="nil"/>
            </w:tcBorders>
            <w:shd w:val="clear" w:color="auto" w:fill="FFFFFF"/>
            <w:noWrap w:val="0"/>
            <w:vAlign w:val="bottom"/>
          </w:tcPr>
          <w:p w14:paraId="3D99206F">
            <w:pPr>
              <w:widowControl/>
              <w:jc w:val="left"/>
              <w:rPr>
                <w:rFonts w:hint="eastAsia" w:ascii="宋体" w:hAnsi="宋体" w:cs="Arial"/>
                <w:color w:val="auto"/>
                <w:kern w:val="0"/>
                <w:sz w:val="24"/>
                <w:highlight w:val="none"/>
              </w:rPr>
            </w:pPr>
          </w:p>
        </w:tc>
        <w:tc>
          <w:tcPr>
            <w:tcW w:w="1694" w:type="dxa"/>
            <w:tcBorders>
              <w:top w:val="nil"/>
              <w:left w:val="nil"/>
              <w:bottom w:val="nil"/>
              <w:right w:val="nil"/>
            </w:tcBorders>
            <w:shd w:val="clear" w:color="auto" w:fill="FFFFFF"/>
            <w:noWrap w:val="0"/>
            <w:vAlign w:val="bottom"/>
          </w:tcPr>
          <w:p w14:paraId="7247DB0B">
            <w:pPr>
              <w:widowControl/>
              <w:jc w:val="right"/>
              <w:rPr>
                <w:rFonts w:hint="eastAsia" w:ascii="宋体" w:hAnsi="宋体" w:cs="Arial"/>
                <w:color w:val="auto"/>
                <w:kern w:val="0"/>
                <w:sz w:val="24"/>
                <w:highlight w:val="none"/>
              </w:rPr>
            </w:pPr>
          </w:p>
        </w:tc>
        <w:tc>
          <w:tcPr>
            <w:tcW w:w="2278" w:type="dxa"/>
            <w:gridSpan w:val="2"/>
            <w:tcBorders>
              <w:top w:val="nil"/>
              <w:left w:val="nil"/>
              <w:bottom w:val="nil"/>
              <w:right w:val="nil"/>
            </w:tcBorders>
            <w:shd w:val="clear" w:color="auto" w:fill="FFFFFF"/>
            <w:noWrap w:val="0"/>
            <w:vAlign w:val="bottom"/>
          </w:tcPr>
          <w:p w14:paraId="6B430A28">
            <w:pPr>
              <w:widowControl/>
              <w:jc w:val="right"/>
              <w:rPr>
                <w:rFonts w:ascii="宋体" w:hAnsi="宋体" w:cs="Arial"/>
                <w:color w:val="auto"/>
                <w:kern w:val="0"/>
                <w:sz w:val="24"/>
                <w:highlight w:val="none"/>
              </w:rPr>
            </w:pPr>
            <w:r>
              <w:rPr>
                <w:rFonts w:hint="eastAsia" w:ascii="宋体" w:hAnsi="宋体" w:cs="Arial"/>
                <w:color w:val="auto"/>
                <w:kern w:val="0"/>
                <w:sz w:val="24"/>
                <w:highlight w:val="none"/>
              </w:rPr>
              <w:t>第1页 共1页</w:t>
            </w:r>
          </w:p>
        </w:tc>
      </w:tr>
      <w:tr w14:paraId="7C2E5623">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0"/>
            <w:vAlign w:val="center"/>
          </w:tcPr>
          <w:p w14:paraId="4E1F5DD6">
            <w:pPr>
              <w:widowControl/>
              <w:jc w:val="center"/>
              <w:rPr>
                <w:rFonts w:ascii="宋体" w:hAnsi="宋体" w:cs="Arial"/>
                <w:color w:val="auto"/>
                <w:kern w:val="0"/>
                <w:sz w:val="24"/>
                <w:highlight w:val="none"/>
              </w:rPr>
            </w:pPr>
            <w:r>
              <w:rPr>
                <w:rFonts w:hint="eastAsia" w:ascii="宋体" w:hAnsi="宋体" w:cs="Arial"/>
                <w:color w:val="auto"/>
                <w:kern w:val="0"/>
                <w:sz w:val="24"/>
                <w:highlight w:val="none"/>
              </w:rPr>
              <w:t>序号</w:t>
            </w:r>
          </w:p>
        </w:tc>
        <w:tc>
          <w:tcPr>
            <w:tcW w:w="0" w:type="auto"/>
            <w:tcBorders>
              <w:top w:val="single" w:color="000000" w:sz="4" w:space="0"/>
              <w:left w:val="single" w:color="000000" w:sz="4" w:space="0"/>
              <w:bottom w:val="nil"/>
              <w:right w:val="nil"/>
            </w:tcBorders>
            <w:shd w:val="clear" w:color="auto" w:fill="FFFFFF"/>
            <w:noWrap w:val="0"/>
            <w:vAlign w:val="center"/>
          </w:tcPr>
          <w:p w14:paraId="2168EA90">
            <w:pPr>
              <w:widowControl/>
              <w:jc w:val="center"/>
              <w:rPr>
                <w:rFonts w:ascii="宋体" w:hAnsi="宋体" w:cs="Arial"/>
                <w:color w:val="auto"/>
                <w:kern w:val="0"/>
                <w:sz w:val="24"/>
                <w:highlight w:val="none"/>
              </w:rPr>
            </w:pPr>
            <w:r>
              <w:rPr>
                <w:rFonts w:hint="eastAsia" w:ascii="宋体" w:hAnsi="宋体" w:cs="Arial"/>
                <w:color w:val="auto"/>
                <w:kern w:val="0"/>
                <w:sz w:val="24"/>
                <w:highlight w:val="none"/>
              </w:rPr>
              <w:t>材料名称、规格、型号</w:t>
            </w:r>
          </w:p>
        </w:tc>
        <w:tc>
          <w:tcPr>
            <w:tcW w:w="0" w:type="auto"/>
            <w:tcBorders>
              <w:top w:val="single" w:color="000000" w:sz="4" w:space="0"/>
              <w:left w:val="single" w:color="000000" w:sz="4" w:space="0"/>
              <w:bottom w:val="nil"/>
              <w:right w:val="nil"/>
            </w:tcBorders>
            <w:shd w:val="clear" w:color="auto" w:fill="FFFFFF"/>
            <w:noWrap w:val="0"/>
            <w:vAlign w:val="center"/>
          </w:tcPr>
          <w:p w14:paraId="4445C5A2">
            <w:pPr>
              <w:widowControl/>
              <w:jc w:val="center"/>
              <w:rPr>
                <w:rFonts w:ascii="宋体" w:hAnsi="宋体" w:cs="Arial"/>
                <w:color w:val="auto"/>
                <w:kern w:val="0"/>
                <w:sz w:val="24"/>
                <w:highlight w:val="none"/>
              </w:rPr>
            </w:pPr>
            <w:r>
              <w:rPr>
                <w:rFonts w:hint="eastAsia"/>
                <w:color w:val="auto"/>
                <w:sz w:val="24"/>
                <w:highlight w:val="none"/>
              </w:rPr>
              <w:t>工程量</w:t>
            </w:r>
          </w:p>
        </w:tc>
        <w:tc>
          <w:tcPr>
            <w:tcW w:w="872" w:type="dxa"/>
            <w:tcBorders>
              <w:top w:val="single" w:color="000000" w:sz="4" w:space="0"/>
              <w:left w:val="single" w:color="000000" w:sz="4" w:space="0"/>
              <w:bottom w:val="nil"/>
              <w:right w:val="nil"/>
            </w:tcBorders>
            <w:shd w:val="clear" w:color="auto" w:fill="FFFFFF"/>
            <w:noWrap w:val="0"/>
            <w:vAlign w:val="center"/>
          </w:tcPr>
          <w:p w14:paraId="37939B01">
            <w:pPr>
              <w:widowControl/>
              <w:jc w:val="center"/>
              <w:rPr>
                <w:rFonts w:hint="default" w:eastAsia="宋体"/>
                <w:color w:val="auto"/>
                <w:sz w:val="24"/>
                <w:highlight w:val="none"/>
                <w:lang w:val="en-US" w:eastAsia="zh-CN"/>
              </w:rPr>
            </w:pPr>
            <w:r>
              <w:rPr>
                <w:rFonts w:hint="eastAsia"/>
                <w:color w:val="auto"/>
                <w:sz w:val="24"/>
                <w:highlight w:val="none"/>
                <w:lang w:val="en-US" w:eastAsia="zh-CN"/>
              </w:rPr>
              <w:t>单位</w:t>
            </w:r>
          </w:p>
        </w:tc>
        <w:tc>
          <w:tcPr>
            <w:tcW w:w="1694" w:type="dxa"/>
            <w:tcBorders>
              <w:top w:val="single" w:color="000000" w:sz="4" w:space="0"/>
              <w:left w:val="single" w:color="000000" w:sz="4" w:space="0"/>
              <w:bottom w:val="nil"/>
              <w:right w:val="nil"/>
            </w:tcBorders>
            <w:shd w:val="clear" w:color="auto" w:fill="FFFFFF"/>
            <w:noWrap w:val="0"/>
            <w:vAlign w:val="center"/>
          </w:tcPr>
          <w:p w14:paraId="7E4130B2">
            <w:pPr>
              <w:widowControl/>
              <w:jc w:val="center"/>
              <w:rPr>
                <w:rFonts w:hint="eastAsia" w:ascii="宋体" w:hAnsi="宋体" w:cs="Arial"/>
                <w:color w:val="auto"/>
                <w:kern w:val="0"/>
                <w:sz w:val="24"/>
                <w:highlight w:val="none"/>
              </w:rPr>
            </w:pPr>
            <w:r>
              <w:rPr>
                <w:rFonts w:hint="eastAsia"/>
                <w:color w:val="auto"/>
                <w:szCs w:val="21"/>
                <w:highlight w:val="none"/>
              </w:rPr>
              <w:t>单价</w:t>
            </w:r>
            <w:r>
              <w:rPr>
                <w:rFonts w:hint="eastAsia" w:ascii="宋体" w:hAnsi="宋体" w:cs="Arial"/>
                <w:color w:val="auto"/>
                <w:kern w:val="0"/>
                <w:sz w:val="24"/>
                <w:highlight w:val="none"/>
              </w:rPr>
              <w:t>(元)</w:t>
            </w:r>
          </w:p>
        </w:tc>
        <w:tc>
          <w:tcPr>
            <w:tcW w:w="1292" w:type="dxa"/>
            <w:tcBorders>
              <w:top w:val="single" w:color="000000" w:sz="4" w:space="0"/>
              <w:left w:val="single" w:color="000000" w:sz="4" w:space="0"/>
              <w:bottom w:val="nil"/>
              <w:right w:val="nil"/>
            </w:tcBorders>
            <w:shd w:val="clear" w:color="auto" w:fill="FFFFFF"/>
            <w:noWrap w:val="0"/>
            <w:vAlign w:val="center"/>
          </w:tcPr>
          <w:p w14:paraId="1388A8CB">
            <w:pPr>
              <w:widowControl/>
              <w:jc w:val="center"/>
              <w:rPr>
                <w:rFonts w:ascii="宋体" w:hAnsi="宋体" w:cs="Arial"/>
                <w:color w:val="auto"/>
                <w:kern w:val="0"/>
                <w:sz w:val="24"/>
                <w:highlight w:val="none"/>
              </w:rPr>
            </w:pPr>
            <w:r>
              <w:rPr>
                <w:rFonts w:hint="eastAsia" w:ascii="宋体" w:hAnsi="宋体" w:cs="Arial"/>
                <w:color w:val="auto"/>
                <w:kern w:val="0"/>
                <w:sz w:val="24"/>
                <w:highlight w:val="none"/>
              </w:rPr>
              <w:t>合价(元)</w:t>
            </w:r>
          </w:p>
        </w:tc>
        <w:tc>
          <w:tcPr>
            <w:tcW w:w="986" w:type="dxa"/>
            <w:tcBorders>
              <w:top w:val="single" w:color="000000" w:sz="4" w:space="0"/>
              <w:left w:val="single" w:color="000000" w:sz="4" w:space="0"/>
              <w:bottom w:val="nil"/>
              <w:right w:val="single" w:color="000000" w:sz="4" w:space="0"/>
            </w:tcBorders>
            <w:shd w:val="clear" w:color="auto" w:fill="FFFFFF"/>
            <w:noWrap w:val="0"/>
            <w:vAlign w:val="center"/>
          </w:tcPr>
          <w:p w14:paraId="1407C613">
            <w:pPr>
              <w:widowControl/>
              <w:jc w:val="center"/>
              <w:rPr>
                <w:rFonts w:ascii="宋体" w:hAnsi="宋体" w:cs="Arial"/>
                <w:color w:val="auto"/>
                <w:kern w:val="0"/>
                <w:sz w:val="24"/>
                <w:highlight w:val="none"/>
              </w:rPr>
            </w:pPr>
            <w:r>
              <w:rPr>
                <w:rFonts w:hint="eastAsia" w:ascii="宋体" w:hAnsi="宋体" w:cs="Arial"/>
                <w:color w:val="auto"/>
                <w:kern w:val="0"/>
                <w:sz w:val="24"/>
                <w:highlight w:val="none"/>
              </w:rPr>
              <w:t>备注</w:t>
            </w:r>
          </w:p>
        </w:tc>
      </w:tr>
      <w:tr w14:paraId="2A217A55">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0"/>
            <w:vAlign w:val="center"/>
          </w:tcPr>
          <w:p w14:paraId="145C4F48">
            <w:pPr>
              <w:widowControl/>
              <w:jc w:val="center"/>
              <w:rPr>
                <w:rFonts w:hint="eastAsia" w:ascii="宋体" w:hAnsi="宋体" w:eastAsia="宋体" w:cs="Arial"/>
                <w:color w:val="auto"/>
                <w:kern w:val="0"/>
                <w:sz w:val="24"/>
                <w:szCs w:val="24"/>
                <w:highlight w:val="none"/>
                <w:lang w:val="en-US" w:eastAsia="zh-CN" w:bidi="ar-SA"/>
              </w:rPr>
            </w:pPr>
            <w:r>
              <w:rPr>
                <w:rFonts w:hint="eastAsia" w:ascii="宋体" w:hAnsi="宋体" w:cs="Arial"/>
                <w:color w:val="auto"/>
                <w:kern w:val="0"/>
                <w:sz w:val="24"/>
                <w:highlight w:val="none"/>
              </w:rPr>
              <w:t>1</w:t>
            </w:r>
          </w:p>
        </w:tc>
        <w:tc>
          <w:tcPr>
            <w:tcW w:w="0" w:type="auto"/>
            <w:tcBorders>
              <w:top w:val="single" w:color="000000" w:sz="4" w:space="0"/>
              <w:left w:val="single" w:color="000000" w:sz="4" w:space="0"/>
              <w:bottom w:val="nil"/>
              <w:right w:val="nil"/>
            </w:tcBorders>
            <w:shd w:val="clear" w:color="auto" w:fill="FFFFFF"/>
            <w:noWrap w:val="0"/>
            <w:vAlign w:val="center"/>
          </w:tcPr>
          <w:p w14:paraId="67BAACB8">
            <w:pPr>
              <w:widowControl/>
              <w:jc w:val="center"/>
              <w:rPr>
                <w:rFonts w:hint="default" w:ascii="宋体" w:hAnsi="宋体" w:eastAsia="宋体" w:cs="Arial"/>
                <w:color w:val="auto"/>
                <w:kern w:val="0"/>
                <w:sz w:val="24"/>
                <w:highlight w:val="none"/>
                <w:lang w:val="en-US" w:eastAsia="zh-CN"/>
              </w:rPr>
            </w:pPr>
            <w:r>
              <w:rPr>
                <w:rFonts w:hint="eastAsia" w:ascii="宋体" w:hAnsi="宋体" w:eastAsia="宋体" w:cs="Arial"/>
                <w:color w:val="auto"/>
                <w:kern w:val="0"/>
                <w:sz w:val="24"/>
                <w:highlight w:val="none"/>
              </w:rPr>
              <w:t>雨水回收池</w:t>
            </w:r>
            <w:r>
              <w:rPr>
                <w:rFonts w:hint="eastAsia" w:ascii="宋体" w:hAnsi="宋体" w:cs="Arial"/>
                <w:color w:val="auto"/>
                <w:kern w:val="0"/>
                <w:sz w:val="24"/>
                <w:highlight w:val="none"/>
                <w:lang w:val="en-US" w:eastAsia="zh-CN"/>
              </w:rPr>
              <w:t>(100T)</w:t>
            </w:r>
          </w:p>
        </w:tc>
        <w:tc>
          <w:tcPr>
            <w:tcW w:w="0" w:type="auto"/>
            <w:tcBorders>
              <w:top w:val="single" w:color="000000" w:sz="4" w:space="0"/>
              <w:left w:val="single" w:color="000000" w:sz="4" w:space="0"/>
              <w:bottom w:val="nil"/>
              <w:right w:val="nil"/>
            </w:tcBorders>
            <w:shd w:val="clear" w:color="auto" w:fill="FFFFFF"/>
            <w:noWrap w:val="0"/>
            <w:vAlign w:val="center"/>
          </w:tcPr>
          <w:p w14:paraId="6ED1ABB6">
            <w:pPr>
              <w:widowControl/>
              <w:jc w:val="center"/>
              <w:rPr>
                <w:rFonts w:hint="eastAsia" w:ascii="宋体" w:hAnsi="宋体" w:eastAsia="宋体" w:cs="Arial"/>
                <w:color w:val="auto"/>
                <w:kern w:val="0"/>
                <w:sz w:val="24"/>
                <w:highlight w:val="none"/>
              </w:rPr>
            </w:pPr>
            <w:r>
              <w:rPr>
                <w:rFonts w:hint="eastAsia" w:ascii="宋体" w:hAnsi="宋体" w:cs="Arial"/>
                <w:color w:val="auto"/>
                <w:kern w:val="0"/>
                <w:sz w:val="24"/>
                <w:highlight w:val="none"/>
                <w:lang w:val="en-US" w:eastAsia="zh-CN"/>
              </w:rPr>
              <w:t>2</w:t>
            </w:r>
          </w:p>
        </w:tc>
        <w:tc>
          <w:tcPr>
            <w:tcW w:w="872" w:type="dxa"/>
            <w:tcBorders>
              <w:top w:val="single" w:color="000000" w:sz="4" w:space="0"/>
              <w:left w:val="single" w:color="000000" w:sz="4" w:space="0"/>
              <w:bottom w:val="nil"/>
              <w:right w:val="nil"/>
            </w:tcBorders>
            <w:shd w:val="clear" w:color="auto" w:fill="FFFFFF"/>
            <w:noWrap w:val="0"/>
            <w:vAlign w:val="center"/>
          </w:tcPr>
          <w:p w14:paraId="6CE89C1C">
            <w:pPr>
              <w:widowControl/>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个</w:t>
            </w:r>
          </w:p>
        </w:tc>
        <w:tc>
          <w:tcPr>
            <w:tcW w:w="1694" w:type="dxa"/>
            <w:tcBorders>
              <w:top w:val="single" w:color="000000" w:sz="4" w:space="0"/>
              <w:left w:val="single" w:color="000000" w:sz="4" w:space="0"/>
              <w:bottom w:val="nil"/>
              <w:right w:val="nil"/>
            </w:tcBorders>
            <w:shd w:val="clear" w:color="auto" w:fill="FFFFFF"/>
            <w:noWrap w:val="0"/>
            <w:vAlign w:val="center"/>
          </w:tcPr>
          <w:p w14:paraId="717A3F06">
            <w:pPr>
              <w:widowControl/>
              <w:jc w:val="center"/>
              <w:rPr>
                <w:rFonts w:hint="default" w:ascii="宋体" w:hAnsi="宋体" w:eastAsia="宋体" w:cs="Arial"/>
                <w:color w:val="auto"/>
                <w:kern w:val="0"/>
                <w:sz w:val="24"/>
                <w:highlight w:val="none"/>
                <w:lang w:val="en-US" w:eastAsia="zh-CN"/>
              </w:rPr>
            </w:pPr>
            <w:r>
              <w:rPr>
                <w:rFonts w:hint="eastAsia" w:ascii="宋体" w:hAnsi="宋体" w:cs="Arial"/>
                <w:color w:val="auto"/>
                <w:kern w:val="0"/>
                <w:sz w:val="24"/>
                <w:highlight w:val="none"/>
                <w:lang w:val="en-US" w:eastAsia="zh-CN"/>
              </w:rPr>
              <w:t>85000</w:t>
            </w:r>
          </w:p>
        </w:tc>
        <w:tc>
          <w:tcPr>
            <w:tcW w:w="1292" w:type="dxa"/>
            <w:tcBorders>
              <w:top w:val="single" w:color="000000" w:sz="4" w:space="0"/>
              <w:left w:val="single" w:color="000000" w:sz="4" w:space="0"/>
              <w:bottom w:val="nil"/>
              <w:right w:val="nil"/>
            </w:tcBorders>
            <w:shd w:val="clear" w:color="auto" w:fill="FFFFFF"/>
            <w:noWrap w:val="0"/>
            <w:vAlign w:val="center"/>
          </w:tcPr>
          <w:p w14:paraId="47A5D6F6">
            <w:pPr>
              <w:widowControl/>
              <w:jc w:val="center"/>
              <w:rPr>
                <w:rFonts w:hint="default" w:ascii="宋体" w:hAnsi="宋体" w:eastAsia="宋体" w:cs="Arial"/>
                <w:color w:val="auto"/>
                <w:kern w:val="0"/>
                <w:sz w:val="24"/>
                <w:highlight w:val="none"/>
                <w:lang w:val="en-US" w:eastAsia="zh-CN"/>
              </w:rPr>
            </w:pPr>
            <w:r>
              <w:rPr>
                <w:rFonts w:hint="eastAsia" w:ascii="宋体" w:hAnsi="宋体" w:cs="Arial"/>
                <w:color w:val="auto"/>
                <w:kern w:val="0"/>
                <w:sz w:val="24"/>
                <w:highlight w:val="none"/>
                <w:lang w:val="en-US" w:eastAsia="zh-CN"/>
              </w:rPr>
              <w:t>170000</w:t>
            </w:r>
          </w:p>
        </w:tc>
        <w:tc>
          <w:tcPr>
            <w:tcW w:w="986" w:type="dxa"/>
            <w:tcBorders>
              <w:top w:val="single" w:color="000000" w:sz="4" w:space="0"/>
              <w:left w:val="single" w:color="000000" w:sz="4" w:space="0"/>
              <w:bottom w:val="nil"/>
              <w:right w:val="single" w:color="000000" w:sz="4" w:space="0"/>
            </w:tcBorders>
            <w:shd w:val="clear" w:color="auto" w:fill="FFFFFF"/>
            <w:noWrap w:val="0"/>
            <w:vAlign w:val="center"/>
          </w:tcPr>
          <w:p w14:paraId="0146CC1B">
            <w:pPr>
              <w:widowControl/>
              <w:jc w:val="center"/>
              <w:rPr>
                <w:rFonts w:hint="eastAsia" w:ascii="宋体" w:hAnsi="宋体" w:cs="Arial"/>
                <w:color w:val="auto"/>
                <w:kern w:val="0"/>
                <w:sz w:val="24"/>
                <w:highlight w:val="none"/>
              </w:rPr>
            </w:pPr>
          </w:p>
        </w:tc>
      </w:tr>
      <w:tr w14:paraId="11A09A7D">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0"/>
            <w:vAlign w:val="center"/>
          </w:tcPr>
          <w:p w14:paraId="58017F06">
            <w:pPr>
              <w:widowControl/>
              <w:jc w:val="center"/>
              <w:rPr>
                <w:rFonts w:hint="eastAsia" w:ascii="宋体" w:hAnsi="宋体" w:eastAsia="宋体" w:cs="Arial"/>
                <w:color w:val="auto"/>
                <w:kern w:val="0"/>
                <w:sz w:val="24"/>
                <w:szCs w:val="24"/>
                <w:highlight w:val="none"/>
                <w:lang w:val="en-US" w:eastAsia="zh-CN" w:bidi="ar-SA"/>
              </w:rPr>
            </w:pPr>
            <w:r>
              <w:rPr>
                <w:rFonts w:hint="eastAsia" w:ascii="宋体" w:hAnsi="宋体" w:cs="Arial"/>
                <w:color w:val="auto"/>
                <w:kern w:val="0"/>
                <w:sz w:val="24"/>
                <w:highlight w:val="none"/>
              </w:rPr>
              <w:t>2</w:t>
            </w:r>
          </w:p>
        </w:tc>
        <w:tc>
          <w:tcPr>
            <w:tcW w:w="0" w:type="auto"/>
            <w:tcBorders>
              <w:top w:val="single" w:color="000000" w:sz="4" w:space="0"/>
              <w:left w:val="single" w:color="000000" w:sz="4" w:space="0"/>
              <w:bottom w:val="nil"/>
              <w:right w:val="nil"/>
            </w:tcBorders>
            <w:shd w:val="clear" w:color="auto" w:fill="FFFFFF"/>
            <w:noWrap w:val="0"/>
            <w:vAlign w:val="center"/>
          </w:tcPr>
          <w:p w14:paraId="49F16677">
            <w:pPr>
              <w:widowControl/>
              <w:jc w:val="center"/>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雨水回收池</w:t>
            </w:r>
            <w:r>
              <w:rPr>
                <w:rFonts w:hint="eastAsia" w:ascii="宋体" w:hAnsi="宋体" w:cs="Arial"/>
                <w:color w:val="auto"/>
                <w:kern w:val="0"/>
                <w:sz w:val="24"/>
                <w:highlight w:val="none"/>
                <w:lang w:val="en-US" w:eastAsia="zh-CN"/>
              </w:rPr>
              <w:t>(60T)</w:t>
            </w:r>
          </w:p>
        </w:tc>
        <w:tc>
          <w:tcPr>
            <w:tcW w:w="0" w:type="auto"/>
            <w:tcBorders>
              <w:top w:val="single" w:color="000000" w:sz="4" w:space="0"/>
              <w:left w:val="single" w:color="000000" w:sz="4" w:space="0"/>
              <w:bottom w:val="nil"/>
              <w:right w:val="nil"/>
            </w:tcBorders>
            <w:shd w:val="clear" w:color="auto" w:fill="FFFFFF"/>
            <w:noWrap w:val="0"/>
            <w:vAlign w:val="center"/>
          </w:tcPr>
          <w:p w14:paraId="1FE7DF8D">
            <w:pPr>
              <w:widowControl/>
              <w:jc w:val="center"/>
              <w:rPr>
                <w:rFonts w:hint="eastAsia" w:ascii="宋体" w:hAnsi="宋体" w:eastAsia="宋体" w:cs="Arial"/>
                <w:color w:val="auto"/>
                <w:kern w:val="0"/>
                <w:sz w:val="24"/>
                <w:highlight w:val="none"/>
              </w:rPr>
            </w:pPr>
            <w:r>
              <w:rPr>
                <w:rFonts w:hint="eastAsia" w:ascii="宋体" w:hAnsi="宋体" w:cs="Arial"/>
                <w:color w:val="auto"/>
                <w:kern w:val="0"/>
                <w:sz w:val="24"/>
                <w:highlight w:val="none"/>
                <w:lang w:val="en-US" w:eastAsia="zh-CN"/>
              </w:rPr>
              <w:t>5</w:t>
            </w:r>
          </w:p>
        </w:tc>
        <w:tc>
          <w:tcPr>
            <w:tcW w:w="872" w:type="dxa"/>
            <w:tcBorders>
              <w:top w:val="single" w:color="000000" w:sz="4" w:space="0"/>
              <w:left w:val="single" w:color="000000" w:sz="4" w:space="0"/>
              <w:bottom w:val="nil"/>
              <w:right w:val="nil"/>
            </w:tcBorders>
            <w:shd w:val="clear" w:color="auto" w:fill="FFFFFF"/>
            <w:noWrap w:val="0"/>
            <w:vAlign w:val="center"/>
          </w:tcPr>
          <w:p w14:paraId="34BF97D2">
            <w:pPr>
              <w:widowControl/>
              <w:jc w:val="center"/>
              <w:rPr>
                <w:rFonts w:hint="eastAsia" w:ascii="宋体" w:hAnsi="宋体" w:eastAsia="宋体" w:cs="Arial"/>
                <w:color w:val="auto"/>
                <w:kern w:val="0"/>
                <w:sz w:val="24"/>
                <w:highlight w:val="none"/>
                <w:lang w:val="en-US" w:eastAsia="zh-CN"/>
              </w:rPr>
            </w:pPr>
            <w:r>
              <w:rPr>
                <w:rFonts w:hint="eastAsia" w:ascii="宋体" w:hAnsi="宋体" w:cs="Arial"/>
                <w:color w:val="auto"/>
                <w:kern w:val="0"/>
                <w:sz w:val="24"/>
                <w:highlight w:val="none"/>
                <w:lang w:val="en-US" w:eastAsia="zh-CN"/>
              </w:rPr>
              <w:t>个</w:t>
            </w:r>
          </w:p>
        </w:tc>
        <w:tc>
          <w:tcPr>
            <w:tcW w:w="1694" w:type="dxa"/>
            <w:tcBorders>
              <w:top w:val="single" w:color="000000" w:sz="4" w:space="0"/>
              <w:left w:val="single" w:color="000000" w:sz="4" w:space="0"/>
              <w:bottom w:val="nil"/>
              <w:right w:val="nil"/>
            </w:tcBorders>
            <w:shd w:val="clear" w:color="auto" w:fill="FFFFFF"/>
            <w:noWrap w:val="0"/>
            <w:vAlign w:val="center"/>
          </w:tcPr>
          <w:p w14:paraId="2CCDF927">
            <w:pPr>
              <w:widowControl/>
              <w:jc w:val="center"/>
              <w:rPr>
                <w:rFonts w:hint="default" w:ascii="宋体" w:hAnsi="宋体" w:eastAsia="宋体" w:cs="Arial"/>
                <w:color w:val="auto"/>
                <w:kern w:val="0"/>
                <w:sz w:val="24"/>
                <w:highlight w:val="none"/>
                <w:lang w:val="en-US" w:eastAsia="zh-CN"/>
              </w:rPr>
            </w:pPr>
            <w:r>
              <w:rPr>
                <w:rFonts w:hint="eastAsia" w:ascii="宋体" w:hAnsi="宋体" w:cs="Arial"/>
                <w:color w:val="auto"/>
                <w:kern w:val="0"/>
                <w:sz w:val="24"/>
                <w:highlight w:val="none"/>
                <w:lang w:val="en-US" w:eastAsia="zh-CN"/>
              </w:rPr>
              <w:t>60000</w:t>
            </w:r>
          </w:p>
        </w:tc>
        <w:tc>
          <w:tcPr>
            <w:tcW w:w="1292" w:type="dxa"/>
            <w:tcBorders>
              <w:top w:val="single" w:color="000000" w:sz="4" w:space="0"/>
              <w:left w:val="single" w:color="000000" w:sz="4" w:space="0"/>
              <w:bottom w:val="nil"/>
              <w:right w:val="nil"/>
            </w:tcBorders>
            <w:shd w:val="clear" w:color="auto" w:fill="FFFFFF"/>
            <w:noWrap w:val="0"/>
            <w:vAlign w:val="center"/>
          </w:tcPr>
          <w:p w14:paraId="43A0C9D4">
            <w:pPr>
              <w:widowControl/>
              <w:jc w:val="center"/>
              <w:rPr>
                <w:rFonts w:hint="default" w:ascii="宋体" w:hAnsi="宋体" w:eastAsia="宋体" w:cs="Arial"/>
                <w:color w:val="auto"/>
                <w:kern w:val="0"/>
                <w:sz w:val="24"/>
                <w:highlight w:val="none"/>
                <w:lang w:val="en-US" w:eastAsia="zh-CN"/>
              </w:rPr>
            </w:pPr>
            <w:r>
              <w:rPr>
                <w:rFonts w:hint="eastAsia" w:ascii="宋体" w:hAnsi="宋体" w:cs="Arial"/>
                <w:color w:val="auto"/>
                <w:kern w:val="0"/>
                <w:sz w:val="24"/>
                <w:highlight w:val="none"/>
                <w:lang w:val="en-US" w:eastAsia="zh-CN"/>
              </w:rPr>
              <w:t>300000</w:t>
            </w:r>
          </w:p>
        </w:tc>
        <w:tc>
          <w:tcPr>
            <w:tcW w:w="986" w:type="dxa"/>
            <w:tcBorders>
              <w:top w:val="single" w:color="000000" w:sz="4" w:space="0"/>
              <w:left w:val="single" w:color="000000" w:sz="4" w:space="0"/>
              <w:bottom w:val="nil"/>
              <w:right w:val="single" w:color="000000" w:sz="4" w:space="0"/>
            </w:tcBorders>
            <w:shd w:val="clear" w:color="auto" w:fill="FFFFFF"/>
            <w:noWrap w:val="0"/>
            <w:vAlign w:val="center"/>
          </w:tcPr>
          <w:p w14:paraId="77CA637A">
            <w:pPr>
              <w:widowControl/>
              <w:jc w:val="center"/>
              <w:rPr>
                <w:rFonts w:hint="eastAsia" w:ascii="宋体" w:hAnsi="宋体" w:cs="Arial"/>
                <w:color w:val="auto"/>
                <w:kern w:val="0"/>
                <w:sz w:val="24"/>
                <w:highlight w:val="none"/>
              </w:rPr>
            </w:pPr>
          </w:p>
        </w:tc>
      </w:tr>
      <w:tr w14:paraId="052FF513">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0"/>
            <w:vAlign w:val="center"/>
          </w:tcPr>
          <w:p w14:paraId="11705ABE">
            <w:pPr>
              <w:widowControl/>
              <w:jc w:val="center"/>
              <w:rPr>
                <w:rFonts w:hint="eastAsia" w:ascii="宋体" w:hAnsi="宋体" w:eastAsia="宋体" w:cs="Arial"/>
                <w:color w:val="auto"/>
                <w:kern w:val="0"/>
                <w:sz w:val="24"/>
                <w:szCs w:val="24"/>
                <w:highlight w:val="none"/>
                <w:lang w:val="en-US" w:eastAsia="zh-CN" w:bidi="ar-SA"/>
              </w:rPr>
            </w:pPr>
          </w:p>
        </w:tc>
        <w:tc>
          <w:tcPr>
            <w:tcW w:w="0" w:type="auto"/>
            <w:tcBorders>
              <w:top w:val="single" w:color="000000" w:sz="4" w:space="0"/>
              <w:left w:val="single" w:color="000000" w:sz="4" w:space="0"/>
              <w:bottom w:val="nil"/>
              <w:right w:val="nil"/>
            </w:tcBorders>
            <w:shd w:val="clear" w:color="auto" w:fill="FFFFFF"/>
            <w:noWrap w:val="0"/>
            <w:vAlign w:val="center"/>
          </w:tcPr>
          <w:p w14:paraId="61BE934A">
            <w:pPr>
              <w:widowControl/>
              <w:jc w:val="center"/>
              <w:rPr>
                <w:rFonts w:hint="eastAsia" w:ascii="宋体" w:hAnsi="宋体" w:eastAsia="宋体" w:cs="Arial"/>
                <w:color w:val="auto"/>
                <w:kern w:val="0"/>
                <w:sz w:val="24"/>
                <w:highlight w:val="none"/>
              </w:rPr>
            </w:pPr>
          </w:p>
        </w:tc>
        <w:tc>
          <w:tcPr>
            <w:tcW w:w="0" w:type="auto"/>
            <w:tcBorders>
              <w:top w:val="single" w:color="000000" w:sz="4" w:space="0"/>
              <w:left w:val="single" w:color="000000" w:sz="4" w:space="0"/>
              <w:bottom w:val="nil"/>
              <w:right w:val="nil"/>
            </w:tcBorders>
            <w:shd w:val="clear" w:color="auto" w:fill="FFFFFF"/>
            <w:noWrap w:val="0"/>
            <w:vAlign w:val="center"/>
          </w:tcPr>
          <w:p w14:paraId="1A05935C">
            <w:pPr>
              <w:widowControl/>
              <w:jc w:val="center"/>
              <w:rPr>
                <w:rFonts w:hint="eastAsia" w:ascii="宋体" w:hAnsi="宋体" w:eastAsia="宋体" w:cs="Arial"/>
                <w:color w:val="auto"/>
                <w:kern w:val="0"/>
                <w:sz w:val="24"/>
                <w:highlight w:val="none"/>
              </w:rPr>
            </w:pPr>
          </w:p>
        </w:tc>
        <w:tc>
          <w:tcPr>
            <w:tcW w:w="872" w:type="dxa"/>
            <w:tcBorders>
              <w:top w:val="single" w:color="000000" w:sz="4" w:space="0"/>
              <w:left w:val="single" w:color="000000" w:sz="4" w:space="0"/>
              <w:bottom w:val="nil"/>
              <w:right w:val="nil"/>
            </w:tcBorders>
            <w:shd w:val="clear" w:color="auto" w:fill="FFFFFF"/>
            <w:noWrap w:val="0"/>
            <w:vAlign w:val="center"/>
          </w:tcPr>
          <w:p w14:paraId="1BBE36BF">
            <w:pPr>
              <w:widowControl/>
              <w:jc w:val="center"/>
              <w:rPr>
                <w:rFonts w:hint="eastAsia" w:ascii="宋体" w:hAnsi="宋体" w:eastAsia="宋体" w:cs="Arial"/>
                <w:color w:val="auto"/>
                <w:kern w:val="0"/>
                <w:sz w:val="24"/>
                <w:highlight w:val="none"/>
                <w:lang w:val="en-US" w:eastAsia="zh-CN"/>
              </w:rPr>
            </w:pPr>
          </w:p>
        </w:tc>
        <w:tc>
          <w:tcPr>
            <w:tcW w:w="1694" w:type="dxa"/>
            <w:tcBorders>
              <w:top w:val="single" w:color="000000" w:sz="4" w:space="0"/>
              <w:left w:val="single" w:color="000000" w:sz="4" w:space="0"/>
              <w:bottom w:val="nil"/>
              <w:right w:val="nil"/>
            </w:tcBorders>
            <w:shd w:val="clear" w:color="auto" w:fill="FFFFFF"/>
            <w:noWrap w:val="0"/>
            <w:vAlign w:val="center"/>
          </w:tcPr>
          <w:p w14:paraId="0F6ECE71">
            <w:pPr>
              <w:widowControl/>
              <w:jc w:val="center"/>
              <w:rPr>
                <w:rFonts w:hint="eastAsia" w:ascii="宋体" w:hAnsi="宋体" w:eastAsia="宋体" w:cs="Arial"/>
                <w:color w:val="auto"/>
                <w:kern w:val="0"/>
                <w:sz w:val="24"/>
                <w:highlight w:val="none"/>
              </w:rPr>
            </w:pPr>
          </w:p>
        </w:tc>
        <w:tc>
          <w:tcPr>
            <w:tcW w:w="1292" w:type="dxa"/>
            <w:tcBorders>
              <w:top w:val="single" w:color="000000" w:sz="4" w:space="0"/>
              <w:left w:val="single" w:color="000000" w:sz="4" w:space="0"/>
              <w:bottom w:val="nil"/>
              <w:right w:val="nil"/>
            </w:tcBorders>
            <w:shd w:val="clear" w:color="auto" w:fill="FFFFFF"/>
            <w:noWrap w:val="0"/>
            <w:vAlign w:val="center"/>
          </w:tcPr>
          <w:p w14:paraId="420DD7E9">
            <w:pPr>
              <w:widowControl/>
              <w:jc w:val="center"/>
              <w:rPr>
                <w:rFonts w:hint="eastAsia" w:ascii="宋体" w:hAnsi="宋体" w:eastAsia="宋体" w:cs="Arial"/>
                <w:color w:val="auto"/>
                <w:kern w:val="0"/>
                <w:sz w:val="24"/>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0"/>
            <w:vAlign w:val="center"/>
          </w:tcPr>
          <w:p w14:paraId="5ED25911">
            <w:pPr>
              <w:widowControl/>
              <w:jc w:val="center"/>
              <w:rPr>
                <w:rFonts w:hint="eastAsia" w:ascii="宋体" w:hAnsi="宋体" w:cs="Arial"/>
                <w:color w:val="auto"/>
                <w:kern w:val="0"/>
                <w:sz w:val="24"/>
                <w:highlight w:val="none"/>
              </w:rPr>
            </w:pPr>
          </w:p>
        </w:tc>
      </w:tr>
      <w:tr w14:paraId="1FC1AB15">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0"/>
            <w:vAlign w:val="center"/>
          </w:tcPr>
          <w:p w14:paraId="7BAE8D54">
            <w:pPr>
              <w:widowControl/>
              <w:jc w:val="center"/>
              <w:rPr>
                <w:rFonts w:hint="eastAsia" w:ascii="宋体" w:hAnsi="宋体" w:eastAsia="宋体" w:cs="Arial"/>
                <w:color w:val="auto"/>
                <w:kern w:val="0"/>
                <w:sz w:val="24"/>
                <w:szCs w:val="24"/>
                <w:highlight w:val="none"/>
                <w:lang w:val="en-US" w:eastAsia="zh-CN" w:bidi="ar-SA"/>
              </w:rPr>
            </w:pPr>
          </w:p>
        </w:tc>
        <w:tc>
          <w:tcPr>
            <w:tcW w:w="0" w:type="auto"/>
            <w:tcBorders>
              <w:top w:val="single" w:color="000000" w:sz="4" w:space="0"/>
              <w:left w:val="single" w:color="000000" w:sz="4" w:space="0"/>
              <w:bottom w:val="nil"/>
              <w:right w:val="nil"/>
            </w:tcBorders>
            <w:shd w:val="clear" w:color="auto" w:fill="FFFFFF"/>
            <w:noWrap w:val="0"/>
            <w:vAlign w:val="center"/>
          </w:tcPr>
          <w:p w14:paraId="135B7C5F">
            <w:pPr>
              <w:widowControl/>
              <w:jc w:val="center"/>
              <w:rPr>
                <w:rFonts w:hint="eastAsia" w:ascii="宋体" w:hAnsi="宋体" w:eastAsia="宋体" w:cs="Arial"/>
                <w:color w:val="auto"/>
                <w:kern w:val="0"/>
                <w:sz w:val="24"/>
                <w:highlight w:val="none"/>
              </w:rPr>
            </w:pPr>
          </w:p>
        </w:tc>
        <w:tc>
          <w:tcPr>
            <w:tcW w:w="0" w:type="auto"/>
            <w:tcBorders>
              <w:top w:val="single" w:color="000000" w:sz="4" w:space="0"/>
              <w:left w:val="single" w:color="000000" w:sz="4" w:space="0"/>
              <w:bottom w:val="nil"/>
              <w:right w:val="nil"/>
            </w:tcBorders>
            <w:shd w:val="clear" w:color="auto" w:fill="FFFFFF"/>
            <w:noWrap w:val="0"/>
            <w:vAlign w:val="center"/>
          </w:tcPr>
          <w:p w14:paraId="2E329A52">
            <w:pPr>
              <w:widowControl/>
              <w:jc w:val="center"/>
              <w:rPr>
                <w:rFonts w:hint="eastAsia" w:ascii="宋体" w:hAnsi="宋体" w:eastAsia="宋体" w:cs="Arial"/>
                <w:color w:val="auto"/>
                <w:kern w:val="0"/>
                <w:sz w:val="24"/>
                <w:highlight w:val="none"/>
              </w:rPr>
            </w:pPr>
          </w:p>
        </w:tc>
        <w:tc>
          <w:tcPr>
            <w:tcW w:w="872" w:type="dxa"/>
            <w:tcBorders>
              <w:top w:val="single" w:color="000000" w:sz="4" w:space="0"/>
              <w:left w:val="single" w:color="000000" w:sz="4" w:space="0"/>
              <w:bottom w:val="nil"/>
              <w:right w:val="nil"/>
            </w:tcBorders>
            <w:shd w:val="clear" w:color="auto" w:fill="FFFFFF"/>
            <w:noWrap w:val="0"/>
            <w:vAlign w:val="center"/>
          </w:tcPr>
          <w:p w14:paraId="7FEA39BC">
            <w:pPr>
              <w:widowControl/>
              <w:jc w:val="center"/>
              <w:rPr>
                <w:rFonts w:hint="eastAsia" w:ascii="宋体" w:hAnsi="宋体" w:eastAsia="宋体" w:cs="Arial"/>
                <w:color w:val="auto"/>
                <w:kern w:val="0"/>
                <w:sz w:val="24"/>
                <w:highlight w:val="none"/>
                <w:lang w:val="en-US" w:eastAsia="zh-CN"/>
              </w:rPr>
            </w:pPr>
          </w:p>
        </w:tc>
        <w:tc>
          <w:tcPr>
            <w:tcW w:w="1694" w:type="dxa"/>
            <w:tcBorders>
              <w:top w:val="single" w:color="000000" w:sz="4" w:space="0"/>
              <w:left w:val="single" w:color="000000" w:sz="4" w:space="0"/>
              <w:bottom w:val="nil"/>
              <w:right w:val="nil"/>
            </w:tcBorders>
            <w:shd w:val="clear" w:color="auto" w:fill="FFFFFF"/>
            <w:noWrap w:val="0"/>
            <w:vAlign w:val="center"/>
          </w:tcPr>
          <w:p w14:paraId="213457DF">
            <w:pPr>
              <w:widowControl/>
              <w:jc w:val="center"/>
              <w:rPr>
                <w:rFonts w:hint="eastAsia" w:ascii="宋体" w:hAnsi="宋体" w:eastAsia="宋体" w:cs="Arial"/>
                <w:color w:val="auto"/>
                <w:kern w:val="0"/>
                <w:sz w:val="24"/>
                <w:highlight w:val="none"/>
              </w:rPr>
            </w:pPr>
          </w:p>
        </w:tc>
        <w:tc>
          <w:tcPr>
            <w:tcW w:w="1292" w:type="dxa"/>
            <w:tcBorders>
              <w:top w:val="single" w:color="000000" w:sz="4" w:space="0"/>
              <w:left w:val="single" w:color="000000" w:sz="4" w:space="0"/>
              <w:bottom w:val="nil"/>
              <w:right w:val="nil"/>
            </w:tcBorders>
            <w:shd w:val="clear" w:color="auto" w:fill="FFFFFF"/>
            <w:noWrap w:val="0"/>
            <w:vAlign w:val="center"/>
          </w:tcPr>
          <w:p w14:paraId="3544CEF6">
            <w:pPr>
              <w:widowControl/>
              <w:jc w:val="center"/>
              <w:rPr>
                <w:rFonts w:hint="eastAsia" w:ascii="宋体" w:hAnsi="宋体" w:eastAsia="宋体" w:cs="Arial"/>
                <w:color w:val="auto"/>
                <w:kern w:val="0"/>
                <w:sz w:val="24"/>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0"/>
            <w:vAlign w:val="center"/>
          </w:tcPr>
          <w:p w14:paraId="28C484FC">
            <w:pPr>
              <w:widowControl/>
              <w:jc w:val="center"/>
              <w:rPr>
                <w:rFonts w:hint="eastAsia" w:ascii="宋体" w:hAnsi="宋体" w:cs="Arial"/>
                <w:color w:val="auto"/>
                <w:kern w:val="0"/>
                <w:sz w:val="24"/>
                <w:highlight w:val="none"/>
              </w:rPr>
            </w:pPr>
          </w:p>
        </w:tc>
      </w:tr>
      <w:tr w14:paraId="730D0588">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0"/>
            <w:vAlign w:val="center"/>
          </w:tcPr>
          <w:p w14:paraId="0C38FF8D">
            <w:pPr>
              <w:widowControl/>
              <w:jc w:val="center"/>
              <w:rPr>
                <w:rFonts w:hint="eastAsia" w:ascii="宋体" w:hAnsi="宋体" w:eastAsia="宋体" w:cs="Arial"/>
                <w:color w:val="auto"/>
                <w:kern w:val="0"/>
                <w:sz w:val="24"/>
                <w:szCs w:val="24"/>
                <w:highlight w:val="none"/>
                <w:lang w:val="en-US" w:eastAsia="zh-CN" w:bidi="ar-SA"/>
              </w:rPr>
            </w:pPr>
          </w:p>
        </w:tc>
        <w:tc>
          <w:tcPr>
            <w:tcW w:w="0" w:type="auto"/>
            <w:tcBorders>
              <w:top w:val="single" w:color="000000" w:sz="4" w:space="0"/>
              <w:left w:val="single" w:color="000000" w:sz="4" w:space="0"/>
              <w:bottom w:val="nil"/>
              <w:right w:val="nil"/>
            </w:tcBorders>
            <w:shd w:val="clear" w:color="auto" w:fill="FFFFFF"/>
            <w:noWrap w:val="0"/>
            <w:vAlign w:val="center"/>
          </w:tcPr>
          <w:p w14:paraId="72069528">
            <w:pPr>
              <w:widowControl/>
              <w:jc w:val="center"/>
              <w:rPr>
                <w:rFonts w:hint="eastAsia" w:ascii="宋体" w:hAnsi="宋体" w:eastAsia="宋体" w:cs="Arial"/>
                <w:color w:val="auto"/>
                <w:kern w:val="0"/>
                <w:sz w:val="24"/>
                <w:highlight w:val="none"/>
              </w:rPr>
            </w:pPr>
          </w:p>
        </w:tc>
        <w:tc>
          <w:tcPr>
            <w:tcW w:w="0" w:type="auto"/>
            <w:tcBorders>
              <w:top w:val="single" w:color="000000" w:sz="4" w:space="0"/>
              <w:left w:val="single" w:color="000000" w:sz="4" w:space="0"/>
              <w:bottom w:val="nil"/>
              <w:right w:val="nil"/>
            </w:tcBorders>
            <w:shd w:val="clear" w:color="auto" w:fill="FFFFFF"/>
            <w:noWrap w:val="0"/>
            <w:vAlign w:val="center"/>
          </w:tcPr>
          <w:p w14:paraId="3EE0C740">
            <w:pPr>
              <w:widowControl/>
              <w:jc w:val="center"/>
              <w:rPr>
                <w:rFonts w:hint="eastAsia" w:ascii="宋体" w:hAnsi="宋体" w:eastAsia="宋体" w:cs="Arial"/>
                <w:color w:val="auto"/>
                <w:kern w:val="0"/>
                <w:sz w:val="24"/>
                <w:highlight w:val="none"/>
              </w:rPr>
            </w:pPr>
          </w:p>
        </w:tc>
        <w:tc>
          <w:tcPr>
            <w:tcW w:w="872" w:type="dxa"/>
            <w:tcBorders>
              <w:top w:val="single" w:color="000000" w:sz="4" w:space="0"/>
              <w:left w:val="single" w:color="000000" w:sz="4" w:space="0"/>
              <w:bottom w:val="nil"/>
              <w:right w:val="nil"/>
            </w:tcBorders>
            <w:shd w:val="clear" w:color="auto" w:fill="FFFFFF"/>
            <w:noWrap w:val="0"/>
            <w:vAlign w:val="center"/>
          </w:tcPr>
          <w:p w14:paraId="685BE5AC">
            <w:pPr>
              <w:widowControl/>
              <w:jc w:val="center"/>
              <w:rPr>
                <w:rFonts w:hint="eastAsia" w:ascii="宋体" w:hAnsi="宋体" w:eastAsia="宋体" w:cs="Arial"/>
                <w:color w:val="auto"/>
                <w:kern w:val="0"/>
                <w:sz w:val="24"/>
                <w:highlight w:val="none"/>
                <w:lang w:val="en-US" w:eastAsia="zh-CN"/>
              </w:rPr>
            </w:pPr>
          </w:p>
        </w:tc>
        <w:tc>
          <w:tcPr>
            <w:tcW w:w="1694" w:type="dxa"/>
            <w:tcBorders>
              <w:top w:val="single" w:color="000000" w:sz="4" w:space="0"/>
              <w:left w:val="single" w:color="000000" w:sz="4" w:space="0"/>
              <w:bottom w:val="nil"/>
              <w:right w:val="nil"/>
            </w:tcBorders>
            <w:shd w:val="clear" w:color="auto" w:fill="FFFFFF"/>
            <w:noWrap w:val="0"/>
            <w:vAlign w:val="center"/>
          </w:tcPr>
          <w:p w14:paraId="6BBE8B27">
            <w:pPr>
              <w:widowControl/>
              <w:jc w:val="center"/>
              <w:rPr>
                <w:rFonts w:hint="eastAsia" w:ascii="宋体" w:hAnsi="宋体" w:eastAsia="宋体" w:cs="Arial"/>
                <w:color w:val="auto"/>
                <w:kern w:val="0"/>
                <w:sz w:val="24"/>
                <w:highlight w:val="none"/>
              </w:rPr>
            </w:pPr>
          </w:p>
        </w:tc>
        <w:tc>
          <w:tcPr>
            <w:tcW w:w="1292" w:type="dxa"/>
            <w:tcBorders>
              <w:top w:val="single" w:color="000000" w:sz="4" w:space="0"/>
              <w:left w:val="single" w:color="000000" w:sz="4" w:space="0"/>
              <w:bottom w:val="nil"/>
              <w:right w:val="nil"/>
            </w:tcBorders>
            <w:shd w:val="clear" w:color="auto" w:fill="FFFFFF"/>
            <w:noWrap w:val="0"/>
            <w:vAlign w:val="center"/>
          </w:tcPr>
          <w:p w14:paraId="1DD1B6F8">
            <w:pPr>
              <w:widowControl/>
              <w:jc w:val="center"/>
              <w:rPr>
                <w:rFonts w:hint="eastAsia" w:ascii="宋体" w:hAnsi="宋体" w:eastAsia="宋体" w:cs="Arial"/>
                <w:color w:val="auto"/>
                <w:kern w:val="0"/>
                <w:sz w:val="24"/>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0"/>
            <w:vAlign w:val="center"/>
          </w:tcPr>
          <w:p w14:paraId="35A69DB2">
            <w:pPr>
              <w:widowControl/>
              <w:jc w:val="center"/>
              <w:rPr>
                <w:rFonts w:hint="eastAsia" w:ascii="宋体" w:hAnsi="宋体" w:cs="Arial"/>
                <w:color w:val="auto"/>
                <w:kern w:val="0"/>
                <w:sz w:val="24"/>
                <w:highlight w:val="none"/>
              </w:rPr>
            </w:pPr>
          </w:p>
        </w:tc>
      </w:tr>
      <w:tr w14:paraId="0DE2457F">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0"/>
            <w:vAlign w:val="center"/>
          </w:tcPr>
          <w:p w14:paraId="74C7648A">
            <w:pPr>
              <w:widowControl/>
              <w:jc w:val="center"/>
              <w:rPr>
                <w:rFonts w:hint="eastAsia" w:ascii="宋体" w:hAnsi="宋体" w:eastAsia="宋体" w:cs="Arial"/>
                <w:color w:val="auto"/>
                <w:kern w:val="0"/>
                <w:sz w:val="24"/>
                <w:szCs w:val="24"/>
                <w:highlight w:val="none"/>
                <w:lang w:val="en-US" w:eastAsia="zh-CN" w:bidi="ar-SA"/>
              </w:rPr>
            </w:pPr>
          </w:p>
        </w:tc>
        <w:tc>
          <w:tcPr>
            <w:tcW w:w="0" w:type="auto"/>
            <w:tcBorders>
              <w:top w:val="single" w:color="000000" w:sz="4" w:space="0"/>
              <w:left w:val="single" w:color="000000" w:sz="4" w:space="0"/>
              <w:bottom w:val="nil"/>
              <w:right w:val="nil"/>
            </w:tcBorders>
            <w:shd w:val="clear" w:color="auto" w:fill="FFFFFF"/>
            <w:noWrap w:val="0"/>
            <w:vAlign w:val="center"/>
          </w:tcPr>
          <w:p w14:paraId="5E5A58E2">
            <w:pPr>
              <w:widowControl/>
              <w:jc w:val="center"/>
              <w:rPr>
                <w:rFonts w:hint="eastAsia" w:ascii="宋体" w:hAnsi="宋体" w:eastAsia="宋体" w:cs="Arial"/>
                <w:color w:val="auto"/>
                <w:kern w:val="0"/>
                <w:sz w:val="24"/>
                <w:szCs w:val="24"/>
                <w:highlight w:val="none"/>
                <w:lang w:val="en-US" w:eastAsia="zh-CN" w:bidi="ar-SA"/>
              </w:rPr>
            </w:pPr>
          </w:p>
        </w:tc>
        <w:tc>
          <w:tcPr>
            <w:tcW w:w="0" w:type="auto"/>
            <w:tcBorders>
              <w:top w:val="single" w:color="000000" w:sz="4" w:space="0"/>
              <w:left w:val="single" w:color="000000" w:sz="4" w:space="0"/>
              <w:bottom w:val="nil"/>
              <w:right w:val="nil"/>
            </w:tcBorders>
            <w:shd w:val="clear" w:color="auto" w:fill="FFFFFF"/>
            <w:noWrap w:val="0"/>
            <w:vAlign w:val="center"/>
          </w:tcPr>
          <w:p w14:paraId="5D937064">
            <w:pPr>
              <w:widowControl/>
              <w:jc w:val="center"/>
              <w:rPr>
                <w:rFonts w:hint="eastAsia" w:ascii="宋体" w:hAnsi="宋体" w:eastAsia="宋体" w:cs="Arial"/>
                <w:color w:val="auto"/>
                <w:kern w:val="0"/>
                <w:sz w:val="24"/>
                <w:szCs w:val="24"/>
                <w:highlight w:val="none"/>
                <w:lang w:val="en-US" w:eastAsia="zh-CN" w:bidi="ar-SA"/>
              </w:rPr>
            </w:pPr>
          </w:p>
        </w:tc>
        <w:tc>
          <w:tcPr>
            <w:tcW w:w="872" w:type="dxa"/>
            <w:tcBorders>
              <w:top w:val="single" w:color="000000" w:sz="4" w:space="0"/>
              <w:left w:val="single" w:color="000000" w:sz="4" w:space="0"/>
              <w:bottom w:val="nil"/>
              <w:right w:val="nil"/>
            </w:tcBorders>
            <w:shd w:val="clear" w:color="auto" w:fill="FFFFFF"/>
            <w:noWrap w:val="0"/>
            <w:vAlign w:val="center"/>
          </w:tcPr>
          <w:p w14:paraId="0ECB2C50">
            <w:pPr>
              <w:widowControl/>
              <w:jc w:val="center"/>
              <w:rPr>
                <w:rFonts w:hint="eastAsia" w:ascii="宋体" w:hAnsi="宋体" w:eastAsia="宋体" w:cs="Arial"/>
                <w:color w:val="auto"/>
                <w:kern w:val="0"/>
                <w:sz w:val="24"/>
                <w:highlight w:val="none"/>
                <w:lang w:val="en-US" w:eastAsia="zh-CN"/>
              </w:rPr>
            </w:pPr>
          </w:p>
        </w:tc>
        <w:tc>
          <w:tcPr>
            <w:tcW w:w="1694" w:type="dxa"/>
            <w:tcBorders>
              <w:top w:val="single" w:color="000000" w:sz="4" w:space="0"/>
              <w:left w:val="single" w:color="000000" w:sz="4" w:space="0"/>
              <w:bottom w:val="nil"/>
              <w:right w:val="nil"/>
            </w:tcBorders>
            <w:shd w:val="clear" w:color="auto" w:fill="FFFFFF"/>
            <w:noWrap w:val="0"/>
            <w:vAlign w:val="center"/>
          </w:tcPr>
          <w:p w14:paraId="69F2534D">
            <w:pPr>
              <w:widowControl/>
              <w:jc w:val="center"/>
              <w:rPr>
                <w:rFonts w:hint="eastAsia" w:ascii="宋体" w:hAnsi="宋体" w:eastAsia="宋体" w:cs="Arial"/>
                <w:color w:val="auto"/>
                <w:kern w:val="0"/>
                <w:sz w:val="24"/>
                <w:szCs w:val="24"/>
                <w:highlight w:val="none"/>
                <w:lang w:val="en-US" w:eastAsia="zh-CN" w:bidi="ar-SA"/>
              </w:rPr>
            </w:pPr>
          </w:p>
        </w:tc>
        <w:tc>
          <w:tcPr>
            <w:tcW w:w="1292" w:type="dxa"/>
            <w:tcBorders>
              <w:top w:val="single" w:color="000000" w:sz="4" w:space="0"/>
              <w:left w:val="single" w:color="000000" w:sz="4" w:space="0"/>
              <w:bottom w:val="nil"/>
              <w:right w:val="nil"/>
            </w:tcBorders>
            <w:shd w:val="clear" w:color="auto" w:fill="FFFFFF"/>
            <w:noWrap w:val="0"/>
            <w:vAlign w:val="center"/>
          </w:tcPr>
          <w:p w14:paraId="1D2E47BA">
            <w:pPr>
              <w:widowControl/>
              <w:jc w:val="center"/>
              <w:rPr>
                <w:rFonts w:hint="eastAsia" w:ascii="宋体" w:hAnsi="宋体" w:eastAsia="宋体" w:cs="Arial"/>
                <w:color w:val="auto"/>
                <w:kern w:val="0"/>
                <w:sz w:val="24"/>
                <w:szCs w:val="24"/>
                <w:highlight w:val="none"/>
                <w:lang w:val="en-US" w:eastAsia="zh-CN" w:bidi="ar-SA"/>
              </w:rPr>
            </w:pPr>
          </w:p>
        </w:tc>
        <w:tc>
          <w:tcPr>
            <w:tcW w:w="986" w:type="dxa"/>
            <w:tcBorders>
              <w:top w:val="single" w:color="000000" w:sz="4" w:space="0"/>
              <w:left w:val="single" w:color="000000" w:sz="4" w:space="0"/>
              <w:bottom w:val="nil"/>
              <w:right w:val="single" w:color="000000" w:sz="4" w:space="0"/>
            </w:tcBorders>
            <w:shd w:val="clear" w:color="auto" w:fill="FFFFFF"/>
            <w:noWrap w:val="0"/>
            <w:vAlign w:val="center"/>
          </w:tcPr>
          <w:p w14:paraId="633E5072">
            <w:pPr>
              <w:widowControl/>
              <w:jc w:val="center"/>
              <w:rPr>
                <w:rFonts w:hint="eastAsia" w:ascii="宋体" w:hAnsi="宋体" w:cs="Arial"/>
                <w:color w:val="auto"/>
                <w:kern w:val="0"/>
                <w:sz w:val="24"/>
                <w:highlight w:val="none"/>
              </w:rPr>
            </w:pPr>
          </w:p>
        </w:tc>
      </w:tr>
      <w:tr w14:paraId="5732EA10">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0"/>
            <w:vAlign w:val="center"/>
          </w:tcPr>
          <w:p w14:paraId="7799D3D2">
            <w:pPr>
              <w:widowControl/>
              <w:jc w:val="center"/>
              <w:rPr>
                <w:rFonts w:hint="eastAsia" w:ascii="宋体" w:hAnsi="宋体" w:eastAsia="宋体" w:cs="Arial"/>
                <w:color w:val="auto"/>
                <w:kern w:val="0"/>
                <w:sz w:val="24"/>
                <w:szCs w:val="24"/>
                <w:highlight w:val="none"/>
                <w:lang w:val="en-US" w:eastAsia="zh-CN" w:bidi="ar-SA"/>
              </w:rPr>
            </w:pPr>
          </w:p>
        </w:tc>
        <w:tc>
          <w:tcPr>
            <w:tcW w:w="0" w:type="auto"/>
            <w:tcBorders>
              <w:top w:val="single" w:color="000000" w:sz="4" w:space="0"/>
              <w:left w:val="single" w:color="000000" w:sz="4" w:space="0"/>
              <w:bottom w:val="nil"/>
              <w:right w:val="nil"/>
            </w:tcBorders>
            <w:shd w:val="clear" w:color="auto" w:fill="FFFFFF"/>
            <w:noWrap w:val="0"/>
            <w:vAlign w:val="center"/>
          </w:tcPr>
          <w:p w14:paraId="54E7B3B7">
            <w:pPr>
              <w:widowControl/>
              <w:jc w:val="center"/>
              <w:rPr>
                <w:rFonts w:hint="eastAsia" w:ascii="宋体" w:hAnsi="宋体" w:eastAsia="宋体" w:cs="Arial"/>
                <w:color w:val="auto"/>
                <w:kern w:val="0"/>
                <w:sz w:val="24"/>
                <w:szCs w:val="24"/>
                <w:highlight w:val="none"/>
                <w:lang w:val="en-US" w:eastAsia="zh-CN" w:bidi="ar-SA"/>
              </w:rPr>
            </w:pPr>
          </w:p>
        </w:tc>
        <w:tc>
          <w:tcPr>
            <w:tcW w:w="0" w:type="auto"/>
            <w:tcBorders>
              <w:top w:val="single" w:color="000000" w:sz="4" w:space="0"/>
              <w:left w:val="single" w:color="000000" w:sz="4" w:space="0"/>
              <w:bottom w:val="nil"/>
              <w:right w:val="nil"/>
            </w:tcBorders>
            <w:shd w:val="clear" w:color="auto" w:fill="FFFFFF"/>
            <w:noWrap w:val="0"/>
            <w:vAlign w:val="center"/>
          </w:tcPr>
          <w:p w14:paraId="4C834AA7">
            <w:pPr>
              <w:widowControl/>
              <w:jc w:val="center"/>
              <w:rPr>
                <w:rFonts w:hint="eastAsia" w:ascii="宋体" w:hAnsi="宋体" w:eastAsia="宋体" w:cs="Arial"/>
                <w:color w:val="auto"/>
                <w:kern w:val="0"/>
                <w:sz w:val="24"/>
                <w:szCs w:val="24"/>
                <w:highlight w:val="none"/>
                <w:lang w:val="en-US" w:eastAsia="zh-CN" w:bidi="ar-SA"/>
              </w:rPr>
            </w:pPr>
          </w:p>
        </w:tc>
        <w:tc>
          <w:tcPr>
            <w:tcW w:w="872" w:type="dxa"/>
            <w:tcBorders>
              <w:top w:val="single" w:color="000000" w:sz="4" w:space="0"/>
              <w:left w:val="single" w:color="000000" w:sz="4" w:space="0"/>
              <w:bottom w:val="nil"/>
              <w:right w:val="nil"/>
            </w:tcBorders>
            <w:shd w:val="clear" w:color="auto" w:fill="FFFFFF"/>
            <w:noWrap w:val="0"/>
            <w:vAlign w:val="center"/>
          </w:tcPr>
          <w:p w14:paraId="396AA2BD">
            <w:pPr>
              <w:widowControl/>
              <w:jc w:val="center"/>
              <w:rPr>
                <w:rFonts w:hint="eastAsia" w:ascii="宋体" w:hAnsi="宋体" w:eastAsia="宋体" w:cs="Arial"/>
                <w:color w:val="auto"/>
                <w:kern w:val="0"/>
                <w:sz w:val="24"/>
                <w:highlight w:val="none"/>
                <w:lang w:val="en-US" w:eastAsia="zh-CN"/>
              </w:rPr>
            </w:pPr>
          </w:p>
        </w:tc>
        <w:tc>
          <w:tcPr>
            <w:tcW w:w="1694" w:type="dxa"/>
            <w:tcBorders>
              <w:top w:val="single" w:color="000000" w:sz="4" w:space="0"/>
              <w:left w:val="single" w:color="000000" w:sz="4" w:space="0"/>
              <w:bottom w:val="nil"/>
              <w:right w:val="nil"/>
            </w:tcBorders>
            <w:shd w:val="clear" w:color="auto" w:fill="FFFFFF"/>
            <w:noWrap w:val="0"/>
            <w:vAlign w:val="center"/>
          </w:tcPr>
          <w:p w14:paraId="7CECD22D">
            <w:pPr>
              <w:widowControl/>
              <w:jc w:val="center"/>
              <w:rPr>
                <w:rFonts w:hint="eastAsia" w:ascii="宋体" w:hAnsi="宋体" w:eastAsia="宋体" w:cs="Arial"/>
                <w:color w:val="auto"/>
                <w:kern w:val="0"/>
                <w:sz w:val="24"/>
                <w:szCs w:val="24"/>
                <w:highlight w:val="none"/>
                <w:lang w:val="en-US" w:eastAsia="zh-CN" w:bidi="ar-SA"/>
              </w:rPr>
            </w:pPr>
          </w:p>
        </w:tc>
        <w:tc>
          <w:tcPr>
            <w:tcW w:w="1292" w:type="dxa"/>
            <w:tcBorders>
              <w:top w:val="single" w:color="000000" w:sz="4" w:space="0"/>
              <w:left w:val="single" w:color="000000" w:sz="4" w:space="0"/>
              <w:bottom w:val="nil"/>
              <w:right w:val="nil"/>
            </w:tcBorders>
            <w:shd w:val="clear" w:color="auto" w:fill="FFFFFF"/>
            <w:noWrap w:val="0"/>
            <w:vAlign w:val="center"/>
          </w:tcPr>
          <w:p w14:paraId="26E18391">
            <w:pPr>
              <w:widowControl/>
              <w:jc w:val="center"/>
              <w:rPr>
                <w:rFonts w:hint="eastAsia" w:ascii="宋体" w:hAnsi="宋体" w:eastAsia="宋体" w:cs="Arial"/>
                <w:color w:val="auto"/>
                <w:kern w:val="0"/>
                <w:sz w:val="24"/>
                <w:szCs w:val="24"/>
                <w:highlight w:val="none"/>
                <w:lang w:val="en-US" w:eastAsia="zh-CN" w:bidi="ar-SA"/>
              </w:rPr>
            </w:pPr>
          </w:p>
        </w:tc>
        <w:tc>
          <w:tcPr>
            <w:tcW w:w="986" w:type="dxa"/>
            <w:tcBorders>
              <w:top w:val="single" w:color="000000" w:sz="4" w:space="0"/>
              <w:left w:val="single" w:color="000000" w:sz="4" w:space="0"/>
              <w:bottom w:val="nil"/>
              <w:right w:val="single" w:color="000000" w:sz="4" w:space="0"/>
            </w:tcBorders>
            <w:shd w:val="clear" w:color="auto" w:fill="FFFFFF"/>
            <w:noWrap w:val="0"/>
            <w:vAlign w:val="center"/>
          </w:tcPr>
          <w:p w14:paraId="3F09FBAF">
            <w:pPr>
              <w:widowControl/>
              <w:jc w:val="center"/>
              <w:rPr>
                <w:rFonts w:hint="eastAsia" w:ascii="宋体" w:hAnsi="宋体" w:cs="Arial"/>
                <w:color w:val="auto"/>
                <w:kern w:val="0"/>
                <w:sz w:val="24"/>
                <w:highlight w:val="none"/>
              </w:rPr>
            </w:pPr>
          </w:p>
        </w:tc>
      </w:tr>
      <w:tr w14:paraId="102D3889">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0"/>
            <w:vAlign w:val="center"/>
          </w:tcPr>
          <w:p w14:paraId="6C602AC0">
            <w:pPr>
              <w:widowControl/>
              <w:jc w:val="center"/>
              <w:rPr>
                <w:rFonts w:hint="eastAsia" w:ascii="宋体" w:hAnsi="宋体" w:eastAsia="宋体" w:cs="Arial"/>
                <w:color w:val="auto"/>
                <w:kern w:val="0"/>
                <w:sz w:val="24"/>
                <w:szCs w:val="24"/>
                <w:highlight w:val="none"/>
                <w:lang w:val="en-US" w:eastAsia="zh-CN" w:bidi="ar-SA"/>
              </w:rPr>
            </w:pPr>
          </w:p>
        </w:tc>
        <w:tc>
          <w:tcPr>
            <w:tcW w:w="0" w:type="auto"/>
            <w:tcBorders>
              <w:top w:val="single" w:color="000000" w:sz="4" w:space="0"/>
              <w:left w:val="single" w:color="000000" w:sz="4" w:space="0"/>
              <w:bottom w:val="nil"/>
              <w:right w:val="nil"/>
            </w:tcBorders>
            <w:shd w:val="clear" w:color="auto" w:fill="FFFFFF"/>
            <w:noWrap w:val="0"/>
            <w:vAlign w:val="center"/>
          </w:tcPr>
          <w:p w14:paraId="69EF4887">
            <w:pPr>
              <w:widowControl/>
              <w:jc w:val="center"/>
              <w:rPr>
                <w:rFonts w:hint="eastAsia" w:ascii="宋体" w:hAnsi="宋体" w:eastAsia="宋体" w:cs="Arial"/>
                <w:color w:val="auto"/>
                <w:kern w:val="0"/>
                <w:sz w:val="24"/>
                <w:szCs w:val="24"/>
                <w:highlight w:val="none"/>
                <w:lang w:val="en-US" w:eastAsia="zh-CN" w:bidi="ar-SA"/>
              </w:rPr>
            </w:pPr>
          </w:p>
        </w:tc>
        <w:tc>
          <w:tcPr>
            <w:tcW w:w="0" w:type="auto"/>
            <w:tcBorders>
              <w:top w:val="single" w:color="000000" w:sz="4" w:space="0"/>
              <w:left w:val="single" w:color="000000" w:sz="4" w:space="0"/>
              <w:bottom w:val="nil"/>
              <w:right w:val="nil"/>
            </w:tcBorders>
            <w:shd w:val="clear" w:color="auto" w:fill="FFFFFF"/>
            <w:noWrap w:val="0"/>
            <w:vAlign w:val="center"/>
          </w:tcPr>
          <w:p w14:paraId="5CC0693E">
            <w:pPr>
              <w:widowControl/>
              <w:jc w:val="center"/>
              <w:rPr>
                <w:rFonts w:hint="eastAsia" w:ascii="宋体" w:hAnsi="宋体" w:eastAsia="宋体" w:cs="Arial"/>
                <w:color w:val="auto"/>
                <w:kern w:val="0"/>
                <w:sz w:val="24"/>
                <w:szCs w:val="24"/>
                <w:highlight w:val="none"/>
                <w:lang w:val="en-US" w:eastAsia="zh-CN" w:bidi="ar-SA"/>
              </w:rPr>
            </w:pPr>
          </w:p>
        </w:tc>
        <w:tc>
          <w:tcPr>
            <w:tcW w:w="872" w:type="dxa"/>
            <w:tcBorders>
              <w:top w:val="single" w:color="000000" w:sz="4" w:space="0"/>
              <w:left w:val="single" w:color="000000" w:sz="4" w:space="0"/>
              <w:bottom w:val="nil"/>
              <w:right w:val="nil"/>
            </w:tcBorders>
            <w:shd w:val="clear" w:color="auto" w:fill="FFFFFF"/>
            <w:noWrap w:val="0"/>
            <w:vAlign w:val="center"/>
          </w:tcPr>
          <w:p w14:paraId="6393EB23">
            <w:pPr>
              <w:widowControl/>
              <w:jc w:val="center"/>
              <w:rPr>
                <w:rFonts w:hint="eastAsia" w:ascii="宋体" w:hAnsi="宋体" w:eastAsia="宋体" w:cs="Arial"/>
                <w:color w:val="auto"/>
                <w:kern w:val="0"/>
                <w:sz w:val="24"/>
                <w:highlight w:val="none"/>
                <w:lang w:val="en-US" w:eastAsia="zh-CN"/>
              </w:rPr>
            </w:pPr>
          </w:p>
        </w:tc>
        <w:tc>
          <w:tcPr>
            <w:tcW w:w="1694" w:type="dxa"/>
            <w:tcBorders>
              <w:top w:val="single" w:color="000000" w:sz="4" w:space="0"/>
              <w:left w:val="single" w:color="000000" w:sz="4" w:space="0"/>
              <w:bottom w:val="nil"/>
              <w:right w:val="nil"/>
            </w:tcBorders>
            <w:shd w:val="clear" w:color="auto" w:fill="FFFFFF"/>
            <w:noWrap w:val="0"/>
            <w:vAlign w:val="center"/>
          </w:tcPr>
          <w:p w14:paraId="72FA5D7D">
            <w:pPr>
              <w:widowControl/>
              <w:jc w:val="center"/>
              <w:rPr>
                <w:rFonts w:hint="default" w:ascii="宋体" w:hAnsi="宋体" w:eastAsia="宋体" w:cs="Arial"/>
                <w:color w:val="auto"/>
                <w:kern w:val="0"/>
                <w:sz w:val="24"/>
                <w:szCs w:val="24"/>
                <w:highlight w:val="none"/>
                <w:lang w:val="en-US" w:eastAsia="zh-CN" w:bidi="ar-SA"/>
              </w:rPr>
            </w:pPr>
          </w:p>
        </w:tc>
        <w:tc>
          <w:tcPr>
            <w:tcW w:w="1292" w:type="dxa"/>
            <w:tcBorders>
              <w:top w:val="single" w:color="000000" w:sz="4" w:space="0"/>
              <w:left w:val="single" w:color="000000" w:sz="4" w:space="0"/>
              <w:bottom w:val="nil"/>
              <w:right w:val="nil"/>
            </w:tcBorders>
            <w:shd w:val="clear" w:color="auto" w:fill="FFFFFF"/>
            <w:noWrap w:val="0"/>
            <w:vAlign w:val="center"/>
          </w:tcPr>
          <w:p w14:paraId="22E80D58">
            <w:pPr>
              <w:widowControl/>
              <w:jc w:val="center"/>
              <w:rPr>
                <w:rFonts w:hint="eastAsia" w:ascii="宋体" w:hAnsi="宋体" w:eastAsia="宋体" w:cs="Arial"/>
                <w:color w:val="auto"/>
                <w:kern w:val="0"/>
                <w:sz w:val="24"/>
                <w:szCs w:val="24"/>
                <w:highlight w:val="none"/>
                <w:lang w:val="en-US" w:eastAsia="zh-CN" w:bidi="ar-SA"/>
              </w:rPr>
            </w:pPr>
          </w:p>
        </w:tc>
        <w:tc>
          <w:tcPr>
            <w:tcW w:w="986" w:type="dxa"/>
            <w:tcBorders>
              <w:top w:val="single" w:color="000000" w:sz="4" w:space="0"/>
              <w:left w:val="single" w:color="000000" w:sz="4" w:space="0"/>
              <w:bottom w:val="nil"/>
              <w:right w:val="single" w:color="000000" w:sz="4" w:space="0"/>
            </w:tcBorders>
            <w:shd w:val="clear" w:color="auto" w:fill="FFFFFF"/>
            <w:noWrap w:val="0"/>
            <w:vAlign w:val="center"/>
          </w:tcPr>
          <w:p w14:paraId="71D03EEB">
            <w:pPr>
              <w:widowControl/>
              <w:jc w:val="left"/>
              <w:rPr>
                <w:rFonts w:ascii="宋体" w:hAnsi="宋体" w:cs="Arial"/>
                <w:color w:val="auto"/>
                <w:kern w:val="0"/>
                <w:sz w:val="24"/>
                <w:highlight w:val="none"/>
              </w:rPr>
            </w:pPr>
          </w:p>
        </w:tc>
      </w:tr>
      <w:tr w14:paraId="02BE7313">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0"/>
            <w:vAlign w:val="center"/>
          </w:tcPr>
          <w:p w14:paraId="42A67CB9">
            <w:pPr>
              <w:widowControl/>
              <w:jc w:val="center"/>
              <w:rPr>
                <w:rFonts w:hint="eastAsia" w:ascii="宋体" w:hAnsi="宋体" w:eastAsia="宋体" w:cs="Arial"/>
                <w:color w:val="auto"/>
                <w:kern w:val="0"/>
                <w:sz w:val="24"/>
                <w:szCs w:val="24"/>
                <w:highlight w:val="none"/>
                <w:lang w:val="en-US" w:eastAsia="zh-CN" w:bidi="ar-SA"/>
              </w:rPr>
            </w:pPr>
          </w:p>
        </w:tc>
        <w:tc>
          <w:tcPr>
            <w:tcW w:w="0" w:type="auto"/>
            <w:tcBorders>
              <w:top w:val="single" w:color="000000" w:sz="4" w:space="0"/>
              <w:left w:val="single" w:color="000000" w:sz="4" w:space="0"/>
              <w:bottom w:val="nil"/>
              <w:right w:val="nil"/>
            </w:tcBorders>
            <w:shd w:val="clear" w:color="auto" w:fill="FFFFFF"/>
            <w:noWrap w:val="0"/>
            <w:vAlign w:val="center"/>
          </w:tcPr>
          <w:p w14:paraId="360653F5">
            <w:pPr>
              <w:widowControl/>
              <w:jc w:val="center"/>
              <w:rPr>
                <w:rFonts w:hint="eastAsia" w:ascii="宋体" w:hAnsi="宋体" w:eastAsia="宋体" w:cs="Arial"/>
                <w:color w:val="auto"/>
                <w:kern w:val="0"/>
                <w:sz w:val="24"/>
                <w:szCs w:val="24"/>
                <w:highlight w:val="none"/>
                <w:lang w:val="en-US" w:eastAsia="zh-CN" w:bidi="ar-SA"/>
              </w:rPr>
            </w:pPr>
          </w:p>
        </w:tc>
        <w:tc>
          <w:tcPr>
            <w:tcW w:w="0" w:type="auto"/>
            <w:tcBorders>
              <w:top w:val="single" w:color="000000" w:sz="4" w:space="0"/>
              <w:left w:val="single" w:color="000000" w:sz="4" w:space="0"/>
              <w:bottom w:val="nil"/>
              <w:right w:val="nil"/>
            </w:tcBorders>
            <w:shd w:val="clear" w:color="auto" w:fill="FFFFFF"/>
            <w:noWrap w:val="0"/>
            <w:vAlign w:val="center"/>
          </w:tcPr>
          <w:p w14:paraId="385278E4">
            <w:pPr>
              <w:widowControl/>
              <w:jc w:val="center"/>
              <w:rPr>
                <w:rFonts w:hint="default" w:ascii="宋体" w:hAnsi="宋体" w:eastAsia="宋体" w:cs="Arial"/>
                <w:color w:val="auto"/>
                <w:kern w:val="0"/>
                <w:sz w:val="24"/>
                <w:szCs w:val="24"/>
                <w:highlight w:val="none"/>
                <w:lang w:val="en-US" w:eastAsia="zh-CN" w:bidi="ar-SA"/>
              </w:rPr>
            </w:pPr>
          </w:p>
        </w:tc>
        <w:tc>
          <w:tcPr>
            <w:tcW w:w="872" w:type="dxa"/>
            <w:tcBorders>
              <w:top w:val="single" w:color="000000" w:sz="4" w:space="0"/>
              <w:left w:val="single" w:color="000000" w:sz="4" w:space="0"/>
              <w:bottom w:val="nil"/>
              <w:right w:val="nil"/>
            </w:tcBorders>
            <w:shd w:val="clear" w:color="auto" w:fill="FFFFFF"/>
            <w:noWrap w:val="0"/>
            <w:vAlign w:val="center"/>
          </w:tcPr>
          <w:p w14:paraId="636AF1DD">
            <w:pPr>
              <w:widowControl/>
              <w:jc w:val="center"/>
              <w:rPr>
                <w:rFonts w:hint="eastAsia" w:ascii="宋体" w:hAnsi="宋体" w:eastAsia="宋体" w:cs="Arial"/>
                <w:color w:val="auto"/>
                <w:kern w:val="0"/>
                <w:sz w:val="24"/>
                <w:highlight w:val="none"/>
                <w:lang w:val="en-US" w:eastAsia="zh-CN"/>
              </w:rPr>
            </w:pPr>
          </w:p>
        </w:tc>
        <w:tc>
          <w:tcPr>
            <w:tcW w:w="1694" w:type="dxa"/>
            <w:tcBorders>
              <w:top w:val="single" w:color="000000" w:sz="4" w:space="0"/>
              <w:left w:val="single" w:color="000000" w:sz="4" w:space="0"/>
              <w:bottom w:val="nil"/>
              <w:right w:val="nil"/>
            </w:tcBorders>
            <w:shd w:val="clear" w:color="auto" w:fill="FFFFFF"/>
            <w:noWrap w:val="0"/>
            <w:vAlign w:val="center"/>
          </w:tcPr>
          <w:p w14:paraId="3A0DB36E">
            <w:pPr>
              <w:widowControl/>
              <w:jc w:val="center"/>
              <w:rPr>
                <w:rFonts w:hint="default" w:ascii="宋体" w:hAnsi="宋体" w:eastAsia="宋体" w:cs="Arial"/>
                <w:color w:val="auto"/>
                <w:kern w:val="0"/>
                <w:sz w:val="24"/>
                <w:szCs w:val="24"/>
                <w:highlight w:val="none"/>
                <w:lang w:val="en-US" w:eastAsia="zh-CN" w:bidi="ar-SA"/>
              </w:rPr>
            </w:pPr>
          </w:p>
        </w:tc>
        <w:tc>
          <w:tcPr>
            <w:tcW w:w="1292" w:type="dxa"/>
            <w:tcBorders>
              <w:top w:val="single" w:color="000000" w:sz="4" w:space="0"/>
              <w:left w:val="single" w:color="000000" w:sz="4" w:space="0"/>
              <w:bottom w:val="nil"/>
              <w:right w:val="nil"/>
            </w:tcBorders>
            <w:shd w:val="clear" w:color="auto" w:fill="FFFFFF"/>
            <w:noWrap w:val="0"/>
            <w:vAlign w:val="center"/>
          </w:tcPr>
          <w:p w14:paraId="004FF265">
            <w:pPr>
              <w:widowControl/>
              <w:jc w:val="center"/>
              <w:rPr>
                <w:rFonts w:hint="default" w:ascii="宋体" w:hAnsi="宋体" w:eastAsia="宋体" w:cs="Arial"/>
                <w:color w:val="auto"/>
                <w:kern w:val="0"/>
                <w:sz w:val="24"/>
                <w:szCs w:val="24"/>
                <w:highlight w:val="none"/>
                <w:lang w:val="en-US" w:eastAsia="zh-CN" w:bidi="ar-SA"/>
              </w:rPr>
            </w:pPr>
          </w:p>
        </w:tc>
        <w:tc>
          <w:tcPr>
            <w:tcW w:w="986" w:type="dxa"/>
            <w:tcBorders>
              <w:top w:val="single" w:color="000000" w:sz="4" w:space="0"/>
              <w:left w:val="single" w:color="000000" w:sz="4" w:space="0"/>
              <w:bottom w:val="nil"/>
              <w:right w:val="single" w:color="000000" w:sz="4" w:space="0"/>
            </w:tcBorders>
            <w:shd w:val="clear" w:color="auto" w:fill="FFFFFF"/>
            <w:noWrap w:val="0"/>
            <w:vAlign w:val="center"/>
          </w:tcPr>
          <w:p w14:paraId="39A29863">
            <w:pPr>
              <w:widowControl/>
              <w:jc w:val="left"/>
              <w:rPr>
                <w:rFonts w:ascii="宋体" w:hAnsi="宋体" w:cs="Arial"/>
                <w:color w:val="auto"/>
                <w:kern w:val="0"/>
                <w:sz w:val="24"/>
                <w:highlight w:val="none"/>
              </w:rPr>
            </w:pPr>
          </w:p>
        </w:tc>
      </w:tr>
      <w:tr w14:paraId="2DB12ED1">
        <w:tblPrEx>
          <w:tblCellMar>
            <w:top w:w="0" w:type="dxa"/>
            <w:left w:w="108" w:type="dxa"/>
            <w:bottom w:w="0" w:type="dxa"/>
            <w:right w:w="108" w:type="dxa"/>
          </w:tblCellMar>
        </w:tblPrEx>
        <w:trPr>
          <w:trHeight w:val="74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954DF5">
            <w:pPr>
              <w:widowControl/>
              <w:jc w:val="center"/>
              <w:rPr>
                <w:rFonts w:hint="default" w:ascii="宋体" w:hAnsi="宋体" w:eastAsia="宋体" w:cs="Arial"/>
                <w:color w:val="auto"/>
                <w:kern w:val="0"/>
                <w:sz w:val="24"/>
                <w:highlight w:val="none"/>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5C3C18">
            <w:pPr>
              <w:widowControl/>
              <w:jc w:val="center"/>
              <w:rPr>
                <w:rFonts w:hint="eastAsia" w:ascii="宋体" w:hAnsi="宋体" w:eastAsia="宋体" w:cs="Arial"/>
                <w:color w:val="auto"/>
                <w:kern w:val="0"/>
                <w:sz w:val="24"/>
                <w:highlight w:val="none"/>
                <w:lang w:val="en-US" w:eastAsia="zh-CN"/>
              </w:rPr>
            </w:pPr>
            <w:r>
              <w:rPr>
                <w:rFonts w:hint="eastAsia" w:ascii="宋体" w:hAnsi="宋体" w:eastAsia="宋体" w:cs="Arial"/>
                <w:color w:val="auto"/>
                <w:kern w:val="0"/>
                <w:sz w:val="24"/>
                <w:highlight w:val="none"/>
                <w:lang w:val="en-US" w:eastAsia="zh-CN"/>
              </w:rPr>
              <w:t>合计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C2F0FE">
            <w:pPr>
              <w:widowControl/>
              <w:jc w:val="center"/>
              <w:rPr>
                <w:rFonts w:hint="eastAsia" w:ascii="宋体" w:hAnsi="宋体" w:eastAsia="宋体" w:cs="Arial"/>
                <w:color w:val="auto"/>
                <w:kern w:val="0"/>
                <w:sz w:val="24"/>
                <w:highlight w:val="none"/>
              </w:rPr>
            </w:pPr>
          </w:p>
        </w:tc>
        <w:tc>
          <w:tcPr>
            <w:tcW w:w="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A7E18B">
            <w:pPr>
              <w:widowControl/>
              <w:jc w:val="center"/>
              <w:rPr>
                <w:rFonts w:hint="eastAsia" w:ascii="宋体" w:hAnsi="宋体" w:eastAsia="宋体" w:cs="Arial"/>
                <w:color w:val="auto"/>
                <w:kern w:val="0"/>
                <w:sz w:val="24"/>
                <w:highlight w:val="none"/>
              </w:rPr>
            </w:pPr>
          </w:p>
        </w:tc>
        <w:tc>
          <w:tcPr>
            <w:tcW w:w="16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F52FAF">
            <w:pPr>
              <w:widowControl/>
              <w:jc w:val="center"/>
              <w:rPr>
                <w:rFonts w:hint="eastAsia" w:ascii="宋体" w:hAnsi="宋体" w:eastAsia="宋体" w:cs="Arial"/>
                <w:color w:val="auto"/>
                <w:kern w:val="0"/>
                <w:sz w:val="24"/>
                <w:highlight w:val="none"/>
              </w:rPr>
            </w:pPr>
          </w:p>
        </w:tc>
        <w:tc>
          <w:tcPr>
            <w:tcW w:w="1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2BB0AC">
            <w:pPr>
              <w:widowControl/>
              <w:jc w:val="center"/>
              <w:rPr>
                <w:rFonts w:hint="default" w:ascii="宋体" w:hAnsi="宋体" w:eastAsia="宋体" w:cs="Arial"/>
                <w:color w:val="auto"/>
                <w:kern w:val="0"/>
                <w:sz w:val="24"/>
                <w:highlight w:val="none"/>
                <w:lang w:val="en-US" w:eastAsia="zh-CN"/>
              </w:rPr>
            </w:pPr>
            <w:r>
              <w:rPr>
                <w:rFonts w:hint="eastAsia" w:ascii="宋体" w:hAnsi="宋体" w:cs="Arial"/>
                <w:color w:val="auto"/>
                <w:kern w:val="0"/>
                <w:sz w:val="24"/>
                <w:highlight w:val="none"/>
                <w:lang w:val="en-US" w:eastAsia="zh-CN"/>
              </w:rPr>
              <w:t>470000</w:t>
            </w:r>
          </w:p>
        </w:tc>
        <w:tc>
          <w:tcPr>
            <w:tcW w:w="9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EBDAF6">
            <w:pPr>
              <w:widowControl/>
              <w:jc w:val="center"/>
              <w:rPr>
                <w:rFonts w:hint="eastAsia" w:ascii="宋体" w:hAnsi="宋体" w:eastAsia="宋体" w:cs="Arial"/>
                <w:color w:val="auto"/>
                <w:kern w:val="0"/>
                <w:sz w:val="24"/>
                <w:highlight w:val="none"/>
              </w:rPr>
            </w:pPr>
          </w:p>
        </w:tc>
      </w:tr>
    </w:tbl>
    <w:p w14:paraId="4049B030">
      <w:pPr>
        <w:rPr>
          <w:rFonts w:hint="eastAsia"/>
          <w:sz w:val="32"/>
          <w:szCs w:val="32"/>
          <w:highlight w:val="none"/>
        </w:rPr>
      </w:pPr>
      <w:r>
        <w:rPr>
          <w:rFonts w:hint="eastAsia"/>
          <w:sz w:val="32"/>
          <w:szCs w:val="32"/>
          <w:highlight w:val="none"/>
        </w:rPr>
        <w:br w:type="page"/>
      </w:r>
    </w:p>
    <w:p w14:paraId="4452CC44">
      <w:pPr>
        <w:pStyle w:val="27"/>
        <w:jc w:val="center"/>
        <w:rPr>
          <w:sz w:val="32"/>
          <w:szCs w:val="32"/>
          <w:highlight w:val="none"/>
        </w:rPr>
      </w:pPr>
      <w:r>
        <w:rPr>
          <w:rFonts w:hint="eastAsia"/>
          <w:sz w:val="32"/>
          <w:szCs w:val="32"/>
          <w:highlight w:val="none"/>
        </w:rPr>
        <w:t>第四部分</w:t>
      </w:r>
      <w:r>
        <w:rPr>
          <w:rFonts w:hint="eastAsia"/>
          <w:sz w:val="32"/>
          <w:szCs w:val="32"/>
          <w:highlight w:val="none"/>
          <w:lang w:val="en-US" w:eastAsia="zh-CN"/>
        </w:rPr>
        <w:t xml:space="preserve"> </w:t>
      </w:r>
      <w:r>
        <w:rPr>
          <w:rFonts w:hint="eastAsia"/>
          <w:sz w:val="32"/>
          <w:szCs w:val="32"/>
          <w:highlight w:val="none"/>
        </w:rPr>
        <w:t>工程建设项目廉政责任书</w:t>
      </w:r>
      <w:bookmarkEnd w:id="669"/>
      <w:bookmarkEnd w:id="670"/>
      <w:bookmarkEnd w:id="671"/>
      <w:bookmarkEnd w:id="672"/>
      <w:bookmarkEnd w:id="673"/>
      <w:bookmarkEnd w:id="674"/>
    </w:p>
    <w:p w14:paraId="03135718">
      <w:pPr>
        <w:spacing w:line="400" w:lineRule="exact"/>
        <w:ind w:firstLine="482"/>
        <w:rPr>
          <w:rFonts w:ascii="宋体" w:hAnsi="宋体" w:cs="宋体"/>
          <w:highlight w:val="none"/>
        </w:rPr>
      </w:pPr>
    </w:p>
    <w:p w14:paraId="550659DF">
      <w:pPr>
        <w:spacing w:line="400" w:lineRule="exact"/>
        <w:ind w:firstLine="482"/>
        <w:rPr>
          <w:rFonts w:ascii="宋体" w:hAnsi="宋体" w:cs="宋体"/>
          <w:highlight w:val="none"/>
          <w:u w:val="single"/>
        </w:rPr>
      </w:pPr>
      <w:r>
        <w:rPr>
          <w:rFonts w:hint="eastAsia" w:ascii="宋体" w:hAnsi="宋体" w:cs="宋体"/>
          <w:highlight w:val="none"/>
        </w:rPr>
        <w:t>工程项目名称：</w:t>
      </w:r>
      <w:r>
        <w:rPr>
          <w:rFonts w:hint="eastAsia" w:ascii="宋体" w:hAnsi="宋体" w:cs="宋体"/>
          <w:highlight w:val="none"/>
          <w:u w:val="single"/>
        </w:rPr>
        <w:t xml:space="preserve">   </w:t>
      </w:r>
      <w:r>
        <w:rPr>
          <w:rFonts w:hint="eastAsia" w:ascii="宋体" w:hAnsi="宋体" w:cs="宋体"/>
          <w:highlight w:val="none"/>
          <w:u w:val="single"/>
          <w:lang w:eastAsia="zh-CN"/>
        </w:rPr>
        <w:t>三门县东部新区泰康路周边提升工程</w:t>
      </w:r>
      <w:r>
        <w:rPr>
          <w:rFonts w:hint="eastAsia" w:ascii="宋体" w:hAnsi="宋体" w:cs="宋体"/>
          <w:highlight w:val="none"/>
          <w:u w:val="single"/>
        </w:rPr>
        <w:t xml:space="preserve">   </w:t>
      </w:r>
    </w:p>
    <w:p w14:paraId="19485975">
      <w:pPr>
        <w:spacing w:line="400" w:lineRule="exact"/>
        <w:ind w:firstLine="482"/>
        <w:rPr>
          <w:rFonts w:ascii="宋体" w:hAnsi="宋体" w:cs="宋体"/>
          <w:highlight w:val="none"/>
        </w:rPr>
      </w:pPr>
      <w:r>
        <w:rPr>
          <w:rFonts w:hint="eastAsia" w:ascii="宋体" w:hAnsi="宋体" w:cs="宋体"/>
          <w:highlight w:val="none"/>
        </w:rPr>
        <w:t>工程项目地址：</w:t>
      </w:r>
      <w:r>
        <w:rPr>
          <w:rFonts w:hint="eastAsia" w:ascii="宋体" w:hAnsi="宋体" w:cs="宋体"/>
          <w:highlight w:val="none"/>
          <w:u w:val="single"/>
        </w:rPr>
        <w:t xml:space="preserve">   </w:t>
      </w:r>
      <w:r>
        <w:rPr>
          <w:rFonts w:hint="eastAsia" w:ascii="宋体" w:hAnsi="宋体" w:cs="宋体"/>
          <w:highlight w:val="none"/>
          <w:u w:val="single"/>
          <w:lang w:eastAsia="zh-CN"/>
        </w:rPr>
        <w:t>三门县</w:t>
      </w:r>
      <w:r>
        <w:rPr>
          <w:rFonts w:hint="eastAsia" w:ascii="宋体" w:hAnsi="宋体" w:cs="宋体"/>
          <w:highlight w:val="none"/>
          <w:u w:val="single"/>
        </w:rPr>
        <w:t xml:space="preserve">         </w:t>
      </w:r>
    </w:p>
    <w:p w14:paraId="3939D651">
      <w:pPr>
        <w:spacing w:line="400" w:lineRule="exact"/>
        <w:ind w:firstLine="482"/>
        <w:rPr>
          <w:rFonts w:ascii="宋体" w:hAnsi="宋体" w:cs="宋体"/>
          <w:highlight w:val="none"/>
        </w:rPr>
      </w:pPr>
      <w:r>
        <w:rPr>
          <w:rFonts w:hint="eastAsia" w:ascii="宋体" w:hAnsi="宋体" w:cs="宋体"/>
          <w:highlight w:val="none"/>
        </w:rPr>
        <w:t>建设单位（甲方）：</w:t>
      </w:r>
      <w:r>
        <w:rPr>
          <w:rFonts w:hint="eastAsia" w:ascii="宋体" w:hAnsi="宋体" w:cs="宋体"/>
          <w:highlight w:val="none"/>
          <w:u w:val="single"/>
        </w:rPr>
        <w:t xml:space="preserve"> </w:t>
      </w:r>
      <w:r>
        <w:rPr>
          <w:rFonts w:hint="eastAsia" w:ascii="宋体" w:hAnsi="宋体" w:cs="宋体"/>
          <w:highlight w:val="none"/>
          <w:u w:val="single"/>
          <w:lang w:eastAsia="zh-CN"/>
        </w:rPr>
        <w:t>浙江三门经济开发区管理委员会</w:t>
      </w:r>
      <w:r>
        <w:rPr>
          <w:rFonts w:hint="eastAsia" w:ascii="宋体" w:hAnsi="宋体" w:cs="宋体"/>
          <w:highlight w:val="none"/>
          <w:u w:val="single"/>
        </w:rPr>
        <w:t xml:space="preserve">      </w:t>
      </w:r>
    </w:p>
    <w:p w14:paraId="53FBB969">
      <w:pPr>
        <w:spacing w:line="400" w:lineRule="exact"/>
        <w:ind w:firstLine="482"/>
        <w:rPr>
          <w:rFonts w:ascii="宋体" w:hAnsi="宋体" w:cs="宋体"/>
          <w:highlight w:val="none"/>
        </w:rPr>
      </w:pPr>
      <w:r>
        <w:rPr>
          <w:rFonts w:hint="eastAsia" w:ascii="宋体" w:hAnsi="宋体" w:cs="宋体"/>
          <w:highlight w:val="none"/>
        </w:rPr>
        <w:t>施工单位（乙方）：</w:t>
      </w:r>
      <w:r>
        <w:rPr>
          <w:rFonts w:hint="eastAsia" w:ascii="宋体" w:hAnsi="宋体" w:cs="宋体"/>
          <w:highlight w:val="none"/>
          <w:u w:val="single"/>
        </w:rPr>
        <w:t xml:space="preserve">                                     </w:t>
      </w:r>
    </w:p>
    <w:p w14:paraId="0622FF68">
      <w:pPr>
        <w:spacing w:line="400" w:lineRule="exact"/>
        <w:ind w:firstLine="482"/>
        <w:rPr>
          <w:rFonts w:ascii="宋体" w:hAnsi="宋体" w:cs="宋体"/>
          <w:highlight w:val="none"/>
        </w:rPr>
      </w:pPr>
    </w:p>
    <w:p w14:paraId="42039FFF">
      <w:pPr>
        <w:spacing w:line="400" w:lineRule="exact"/>
        <w:ind w:firstLine="482"/>
        <w:rPr>
          <w:rFonts w:ascii="宋体" w:hAnsi="宋体" w:cs="宋体"/>
          <w:highlight w:val="none"/>
        </w:rPr>
      </w:pPr>
      <w:r>
        <w:rPr>
          <w:rFonts w:hint="eastAsia" w:ascii="宋体" w:hAnsi="宋体" w:cs="宋体"/>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5290C844">
      <w:pPr>
        <w:spacing w:line="400" w:lineRule="exact"/>
        <w:rPr>
          <w:rFonts w:ascii="宋体" w:hAnsi="宋体" w:cs="宋体"/>
          <w:highlight w:val="none"/>
        </w:rPr>
      </w:pPr>
      <w:r>
        <w:rPr>
          <w:rFonts w:hint="eastAsia" w:ascii="宋体" w:hAnsi="宋体" w:cs="宋体"/>
          <w:highlight w:val="none"/>
        </w:rPr>
        <w:t>　　第一条 甲乙双方的责任</w:t>
      </w:r>
    </w:p>
    <w:p w14:paraId="06E07208">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（一）应严格遵守国家关于市场准入、项目招标投标、工程建设、施工安装和市场活动等有关法律、法规，相关政策，以及廉政建设的各项规定。</w:t>
      </w:r>
    </w:p>
    <w:p w14:paraId="06B87AC3">
      <w:pPr>
        <w:spacing w:line="400" w:lineRule="exact"/>
        <w:rPr>
          <w:rFonts w:ascii="宋体" w:hAnsi="宋体" w:cs="宋体"/>
          <w:highlight w:val="none"/>
        </w:rPr>
      </w:pPr>
      <w:r>
        <w:rPr>
          <w:rFonts w:hint="eastAsia" w:ascii="宋体" w:hAnsi="宋体" w:cs="宋体"/>
          <w:highlight w:val="none"/>
        </w:rPr>
        <w:t>　　（二）严格执行建设工程项目承发包合同文件，自觉按合同办事。</w:t>
      </w:r>
    </w:p>
    <w:p w14:paraId="4CFC8DA8">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（三）业务活动必须坚持公开、公平、公正、诚信、透明的原则（除法律法规另有规定者外），不得为获取不正当的利益，损害国家、集体和对方利益，不得违反工程建设管理、施工安装的规章制度。</w:t>
      </w:r>
    </w:p>
    <w:p w14:paraId="032A3861">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（四）发现对方在业务活动中有违规、违纪、违法行为的，应及时提醒对方，情节严重的，应向其上级主管部门或纪检监察、司法等有关机关举报。</w:t>
      </w:r>
    </w:p>
    <w:p w14:paraId="022A12D6">
      <w:pPr>
        <w:spacing w:line="400" w:lineRule="exact"/>
        <w:rPr>
          <w:rFonts w:ascii="宋体" w:hAnsi="宋体" w:cs="宋体"/>
          <w:highlight w:val="none"/>
        </w:rPr>
      </w:pPr>
      <w:r>
        <w:rPr>
          <w:rFonts w:hint="eastAsia" w:ascii="宋体" w:hAnsi="宋体" w:cs="宋体"/>
          <w:highlight w:val="none"/>
        </w:rPr>
        <w:t>　　第二条 甲方的责任</w:t>
      </w:r>
    </w:p>
    <w:p w14:paraId="550E9BAD">
      <w:pPr>
        <w:spacing w:line="400" w:lineRule="exact"/>
        <w:rPr>
          <w:rFonts w:ascii="宋体" w:hAnsi="宋体" w:cs="宋体"/>
          <w:highlight w:val="none"/>
        </w:rPr>
      </w:pPr>
      <w:r>
        <w:rPr>
          <w:rFonts w:hint="eastAsia" w:ascii="宋体" w:hAnsi="宋体" w:cs="宋体"/>
          <w:highlight w:val="none"/>
        </w:rPr>
        <w:t>　　甲方的领导和从事该建设工程项目的工作人员，在工程建设的事前、事中、事后应遵守以下规定：</w:t>
      </w:r>
    </w:p>
    <w:p w14:paraId="750E7F95">
      <w:pPr>
        <w:spacing w:line="400" w:lineRule="exact"/>
        <w:rPr>
          <w:rFonts w:ascii="宋体" w:hAnsi="宋体" w:cs="宋体"/>
          <w:highlight w:val="none"/>
        </w:rPr>
      </w:pPr>
      <w:r>
        <w:rPr>
          <w:rFonts w:hint="eastAsia" w:ascii="宋体" w:hAnsi="宋体" w:cs="宋体"/>
          <w:highlight w:val="none"/>
        </w:rPr>
        <w:t>　　（一）不准向乙方和相关单位索要或接受回扣、礼金、有价证券、贵重物品和好处费、感谢费等。</w:t>
      </w:r>
    </w:p>
    <w:p w14:paraId="21170D36">
      <w:pPr>
        <w:spacing w:line="400" w:lineRule="exact"/>
        <w:rPr>
          <w:rFonts w:ascii="宋体" w:hAnsi="宋体" w:cs="宋体"/>
          <w:highlight w:val="none"/>
        </w:rPr>
      </w:pPr>
      <w:r>
        <w:rPr>
          <w:rFonts w:hint="eastAsia" w:ascii="宋体" w:hAnsi="宋体" w:cs="宋体"/>
          <w:highlight w:val="none"/>
        </w:rPr>
        <w:t>　　（二）不准在乙方和相关单位报销任何应由甲方或个人支付的费用。</w:t>
      </w:r>
    </w:p>
    <w:p w14:paraId="683F179C">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（三）不准要求、暗示和接受乙方和相关单位为个人装修住房、婚丧嫁娶、配偶子女的工作安排以及出国（境）、旅游等提供方便。</w:t>
      </w:r>
    </w:p>
    <w:p w14:paraId="6D0B7958">
      <w:pPr>
        <w:spacing w:line="400" w:lineRule="exact"/>
        <w:rPr>
          <w:rFonts w:ascii="宋体" w:hAnsi="宋体" w:cs="宋体"/>
          <w:highlight w:val="none"/>
        </w:rPr>
      </w:pPr>
      <w:r>
        <w:rPr>
          <w:rFonts w:hint="eastAsia" w:ascii="宋体" w:hAnsi="宋体" w:cs="宋体"/>
          <w:highlight w:val="none"/>
        </w:rPr>
        <w:t>　　（四）不准参加有可能影响公正执行公务的乙方和相关单位的宴请和健身、娱乐等活动。</w:t>
      </w:r>
    </w:p>
    <w:p w14:paraId="31085E18">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5935ED5">
      <w:pPr>
        <w:spacing w:line="400" w:lineRule="exact"/>
        <w:rPr>
          <w:rFonts w:ascii="宋体" w:hAnsi="宋体" w:cs="宋体"/>
          <w:highlight w:val="none"/>
        </w:rPr>
      </w:pPr>
      <w:r>
        <w:rPr>
          <w:rFonts w:hint="eastAsia" w:ascii="宋体" w:hAnsi="宋体" w:cs="宋体"/>
          <w:highlight w:val="none"/>
        </w:rPr>
        <w:t>　　第三条 乙方的责任</w:t>
      </w:r>
    </w:p>
    <w:p w14:paraId="64997559">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应与甲方保持正常的业务交往，按照有关法律法规和程序开展业务工作，严格执行工程建设的有关方针、政策，尤其是有关建筑施工安装的强制性标准和规范，并遵守以下规定：</w:t>
      </w:r>
    </w:p>
    <w:p w14:paraId="5D136E84">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（一）不准以任何理由向甲方、相关单位及其工作人员索要、接受或赠送礼金、有价证券、贵重物品和回扣、好处费、感谢费等。</w:t>
      </w:r>
    </w:p>
    <w:p w14:paraId="4AE16040">
      <w:pPr>
        <w:spacing w:line="400" w:lineRule="exact"/>
        <w:rPr>
          <w:rFonts w:ascii="宋体" w:hAnsi="宋体" w:cs="宋体"/>
          <w:highlight w:val="none"/>
        </w:rPr>
      </w:pPr>
      <w:r>
        <w:rPr>
          <w:rFonts w:hint="eastAsia" w:ascii="宋体" w:hAnsi="宋体" w:cs="宋体"/>
          <w:highlight w:val="none"/>
        </w:rPr>
        <w:t>　　（二）不准以任何理由为甲方和相关单位报销应由对方或个人支付的费用。</w:t>
      </w:r>
    </w:p>
    <w:p w14:paraId="5A30C43A">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（三）不准接受或暗示为甲方、相关单位或个人装修住房、婚丧嫁娶、配偶子女的工作安排以及出国（境）、旅游等提供方便。</w:t>
      </w:r>
    </w:p>
    <w:p w14:paraId="39A8614B">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（四）不准以任何理由为甲方、相关单位或个人组织有可能影响公正执行公务的宴请、健身、娱乐等活动。</w:t>
      </w:r>
    </w:p>
    <w:p w14:paraId="7291C3AA">
      <w:pPr>
        <w:spacing w:line="400" w:lineRule="exact"/>
        <w:rPr>
          <w:rFonts w:ascii="宋体" w:hAnsi="宋体" w:cs="宋体"/>
          <w:highlight w:val="none"/>
        </w:rPr>
      </w:pPr>
      <w:r>
        <w:rPr>
          <w:rFonts w:hint="eastAsia" w:ascii="宋体" w:hAnsi="宋体" w:cs="宋体"/>
          <w:highlight w:val="none"/>
        </w:rPr>
        <w:t>　　第四条 违约责任</w:t>
      </w:r>
    </w:p>
    <w:p w14:paraId="0C2E9816">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B70F1C0">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38AE150B">
      <w:pPr>
        <w:spacing w:line="400" w:lineRule="exact"/>
        <w:rPr>
          <w:rFonts w:ascii="宋体" w:hAnsi="宋体" w:cs="宋体"/>
          <w:highlight w:val="none"/>
        </w:rPr>
      </w:pPr>
      <w:r>
        <w:rPr>
          <w:rFonts w:hint="eastAsia" w:ascii="宋体" w:hAnsi="宋体" w:cs="宋体"/>
          <w:highlight w:val="none"/>
        </w:rPr>
        <w:t>　　第五条 本责任书作为工程施工合同的附件，与工程施工合同具有同等法律效力。经双方签署后立即生效。</w:t>
      </w:r>
    </w:p>
    <w:p w14:paraId="4971CA3B">
      <w:pPr>
        <w:spacing w:line="400" w:lineRule="exact"/>
        <w:rPr>
          <w:rFonts w:ascii="宋体" w:hAnsi="宋体" w:cs="宋体"/>
          <w:highlight w:val="none"/>
        </w:rPr>
      </w:pPr>
      <w:r>
        <w:rPr>
          <w:rFonts w:hint="eastAsia" w:ascii="宋体" w:hAnsi="宋体" w:cs="宋体"/>
          <w:highlight w:val="none"/>
        </w:rPr>
        <w:t>　　第六条 本责任书的有效期为双方签署之日起至该工程项目竣工验收合格时止。</w:t>
      </w:r>
    </w:p>
    <w:p w14:paraId="70892EEC">
      <w:pPr>
        <w:spacing w:line="400" w:lineRule="exact"/>
        <w:rPr>
          <w:rFonts w:ascii="宋体" w:hAnsi="宋体" w:cs="宋体"/>
          <w:highlight w:val="none"/>
        </w:rPr>
      </w:pPr>
      <w:r>
        <w:rPr>
          <w:rFonts w:hint="eastAsia" w:ascii="宋体" w:hAnsi="宋体" w:cs="宋体"/>
          <w:highlight w:val="none"/>
        </w:rPr>
        <w:t>　　第七条 本责任书一式四份，由甲乙双方各执一份，送交甲乙双方的监督单位各一份。</w:t>
      </w:r>
    </w:p>
    <w:p w14:paraId="62B0D317">
      <w:pPr>
        <w:spacing w:line="400" w:lineRule="exact"/>
        <w:ind w:firstLine="482"/>
        <w:rPr>
          <w:rFonts w:ascii="宋体" w:hAnsi="宋体" w:cs="宋体"/>
          <w:highlight w:val="none"/>
        </w:rPr>
      </w:pPr>
    </w:p>
    <w:p w14:paraId="0D4A2EE9">
      <w:pPr>
        <w:spacing w:line="400" w:lineRule="exact"/>
        <w:ind w:firstLine="482"/>
        <w:rPr>
          <w:rFonts w:ascii="宋体" w:hAnsi="宋体" w:cs="宋体"/>
          <w:highlight w:val="none"/>
        </w:rPr>
      </w:pPr>
    </w:p>
    <w:p w14:paraId="2875E79C">
      <w:pPr>
        <w:spacing w:line="400" w:lineRule="exact"/>
        <w:ind w:firstLine="482"/>
        <w:rPr>
          <w:rFonts w:ascii="宋体" w:hAnsi="宋体" w:cs="宋体"/>
          <w:highlight w:val="none"/>
        </w:rPr>
      </w:pPr>
      <w:r>
        <w:rPr>
          <w:rFonts w:hint="eastAsia" w:ascii="宋体" w:hAnsi="宋体" w:cs="宋体"/>
          <w:highlight w:val="none"/>
        </w:rPr>
        <w:t>甲方单位：（盖章）　　　　　　　　           乙方单位：（盖章）</w:t>
      </w:r>
    </w:p>
    <w:p w14:paraId="1D2E2F1B">
      <w:pPr>
        <w:spacing w:line="400" w:lineRule="exact"/>
        <w:ind w:firstLine="482"/>
        <w:rPr>
          <w:rFonts w:ascii="宋体" w:hAnsi="宋体" w:cs="宋体"/>
          <w:highlight w:val="none"/>
        </w:rPr>
      </w:pPr>
      <w:r>
        <w:rPr>
          <w:rFonts w:hint="eastAsia" w:ascii="宋体" w:hAnsi="宋体" w:cs="宋体"/>
          <w:highlight w:val="none"/>
        </w:rPr>
        <w:t>法定代表人：　　　　　　　　　              法定代表人：</w:t>
      </w:r>
    </w:p>
    <w:p w14:paraId="230C4EAB">
      <w:pPr>
        <w:spacing w:line="400" w:lineRule="exact"/>
        <w:ind w:firstLine="482"/>
        <w:rPr>
          <w:rFonts w:ascii="宋体" w:hAnsi="宋体" w:cs="宋体"/>
          <w:highlight w:val="none"/>
        </w:rPr>
      </w:pPr>
      <w:r>
        <w:rPr>
          <w:rFonts w:hint="eastAsia" w:ascii="宋体" w:hAnsi="宋体" w:cs="宋体"/>
          <w:highlight w:val="none"/>
        </w:rPr>
        <w:t>地址：　　　　　　　　　　　　　            地址：</w:t>
      </w:r>
    </w:p>
    <w:p w14:paraId="7BF5B729">
      <w:pPr>
        <w:spacing w:line="400" w:lineRule="exact"/>
        <w:ind w:firstLine="482"/>
        <w:rPr>
          <w:rFonts w:ascii="宋体" w:hAnsi="宋体" w:cs="宋体"/>
          <w:highlight w:val="none"/>
        </w:rPr>
      </w:pPr>
      <w:r>
        <w:rPr>
          <w:rFonts w:hint="eastAsia" w:ascii="宋体" w:hAnsi="宋体" w:cs="宋体"/>
          <w:highlight w:val="none"/>
        </w:rPr>
        <w:t>电话：　　　　　　　　　　　　　　　        电话：</w:t>
      </w:r>
    </w:p>
    <w:p w14:paraId="64348BB6">
      <w:pPr>
        <w:spacing w:line="400" w:lineRule="exact"/>
        <w:ind w:firstLine="482"/>
        <w:rPr>
          <w:rFonts w:ascii="宋体" w:hAnsi="宋体" w:cs="宋体"/>
          <w:highlight w:val="none"/>
        </w:rPr>
      </w:pPr>
      <w:r>
        <w:rPr>
          <w:rFonts w:hint="eastAsia" w:ascii="宋体" w:hAnsi="宋体" w:cs="宋体"/>
          <w:highlight w:val="none"/>
        </w:rPr>
        <w:t>年　月　日　　　　　　　　　　　　　        年　月　日</w:t>
      </w:r>
    </w:p>
    <w:p w14:paraId="2FF27D2A">
      <w:pPr>
        <w:spacing w:line="400" w:lineRule="exact"/>
        <w:ind w:firstLine="482"/>
        <w:jc w:val="right"/>
        <w:rPr>
          <w:rFonts w:ascii="宋体" w:hAnsi="宋体" w:cs="宋体"/>
          <w:highlight w:val="none"/>
        </w:rPr>
      </w:pPr>
    </w:p>
    <w:p w14:paraId="1C443D16">
      <w:pPr>
        <w:pStyle w:val="27"/>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675" w:name="_Toc54333551"/>
      <w:bookmarkStart w:id="676" w:name="_Toc32517"/>
      <w:bookmarkStart w:id="677" w:name="_Toc531360472"/>
      <w:r>
        <w:rPr>
          <w:rFonts w:hint="eastAsia"/>
          <w:sz w:val="32"/>
          <w:szCs w:val="32"/>
          <w:highlight w:val="none"/>
        </w:rPr>
        <w:t>第五部分</w:t>
      </w:r>
      <w:r>
        <w:rPr>
          <w:rFonts w:hint="eastAsia"/>
          <w:sz w:val="32"/>
          <w:szCs w:val="32"/>
          <w:highlight w:val="none"/>
          <w:lang w:val="en-US" w:eastAsia="zh-CN"/>
        </w:rPr>
        <w:t xml:space="preserve"> </w:t>
      </w:r>
      <w:r>
        <w:rPr>
          <w:rFonts w:hint="eastAsia"/>
          <w:sz w:val="32"/>
          <w:szCs w:val="32"/>
          <w:highlight w:val="none"/>
        </w:rPr>
        <w:t>安全生产协议书</w:t>
      </w:r>
      <w:bookmarkEnd w:id="675"/>
      <w:bookmarkEnd w:id="676"/>
      <w:bookmarkEnd w:id="677"/>
    </w:p>
    <w:p w14:paraId="65F3F212">
      <w:pPr>
        <w:pStyle w:val="38"/>
        <w:spacing w:line="400" w:lineRule="exact"/>
        <w:jc w:val="center"/>
        <w:rPr>
          <w:rFonts w:ascii="宋体" w:hAnsi="宋体" w:cs="宋体"/>
          <w:b/>
          <w:sz w:val="24"/>
          <w:szCs w:val="24"/>
          <w:highlight w:val="none"/>
        </w:rPr>
      </w:pPr>
    </w:p>
    <w:p w14:paraId="2E312CBD">
      <w:pPr>
        <w:pStyle w:val="38"/>
        <w:spacing w:line="400" w:lineRule="exact"/>
        <w:ind w:left="-480" w:leftChars="-200" w:right="-578"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甲方：</w:t>
      </w:r>
      <w:r>
        <w:rPr>
          <w:rFonts w:hint="eastAsia" w:ascii="宋体" w:hAnsi="宋体" w:cs="宋体"/>
          <w:sz w:val="24"/>
          <w:szCs w:val="24"/>
          <w:highlight w:val="none"/>
          <w:u w:val="single"/>
          <w:lang w:eastAsia="zh-CN"/>
        </w:rPr>
        <w:t>浙江三门经济开发区管理委员会</w:t>
      </w:r>
      <w:r>
        <w:rPr>
          <w:rFonts w:hint="eastAsia" w:ascii="宋体" w:hAnsi="宋体" w:cs="宋体"/>
          <w:sz w:val="24"/>
          <w:szCs w:val="24"/>
          <w:highlight w:val="none"/>
          <w:u w:val="single"/>
        </w:rPr>
        <w:t xml:space="preserve">      </w:t>
      </w:r>
    </w:p>
    <w:p w14:paraId="6BB34546">
      <w:pPr>
        <w:pStyle w:val="38"/>
        <w:spacing w:line="400" w:lineRule="exact"/>
        <w:ind w:left="-480" w:leftChars="-200" w:right="-578"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p>
    <w:p w14:paraId="764903DD">
      <w:pPr>
        <w:pStyle w:val="38"/>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4CD2BF0D">
      <w:pPr>
        <w:pStyle w:val="38"/>
        <w:keepNext w:val="0"/>
        <w:keepLines w:val="0"/>
        <w:pageBreakBefore w:val="0"/>
        <w:widowControl w:val="0"/>
        <w:numPr>
          <w:ilvl w:val="0"/>
          <w:numId w:val="72"/>
        </w:numPr>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管理目标：</w:t>
      </w:r>
    </w:p>
    <w:p w14:paraId="1B1F92AD">
      <w:pPr>
        <w:pStyle w:val="38"/>
        <w:keepNext w:val="0"/>
        <w:keepLines w:val="0"/>
        <w:pageBreakBefore w:val="0"/>
        <w:widowControl w:val="0"/>
        <w:numPr>
          <w:ilvl w:val="0"/>
          <w:numId w:val="73"/>
        </w:numPr>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杜绝重大安全事故，工亡事故为零；</w:t>
      </w:r>
    </w:p>
    <w:p w14:paraId="1EDD9790">
      <w:pPr>
        <w:pStyle w:val="38"/>
        <w:keepNext w:val="0"/>
        <w:keepLines w:val="0"/>
        <w:pageBreakBefore w:val="0"/>
        <w:widowControl w:val="0"/>
        <w:numPr>
          <w:ilvl w:val="0"/>
          <w:numId w:val="73"/>
        </w:numPr>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重伤频率控制在万分之三以下，负伤频率控制在千分之四以下；</w:t>
      </w:r>
    </w:p>
    <w:p w14:paraId="7CC4B19E">
      <w:pPr>
        <w:pStyle w:val="38"/>
        <w:keepNext w:val="0"/>
        <w:keepLines w:val="0"/>
        <w:pageBreakBefore w:val="0"/>
        <w:widowControl w:val="0"/>
        <w:numPr>
          <w:ilvl w:val="0"/>
          <w:numId w:val="73"/>
        </w:numPr>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现场内的安全隐患整改率必须保证在时限内达到100%，杜绝现场重大隐患的出现；</w:t>
      </w:r>
    </w:p>
    <w:p w14:paraId="5AA97299">
      <w:pPr>
        <w:pStyle w:val="38"/>
        <w:keepNext w:val="0"/>
        <w:keepLines w:val="0"/>
        <w:pageBreakBefore w:val="0"/>
        <w:widowControl w:val="0"/>
        <w:numPr>
          <w:ilvl w:val="0"/>
          <w:numId w:val="73"/>
        </w:numPr>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现场内不发生火灾事故，火险隐患整改率必须保证在时限内达到100%；</w:t>
      </w:r>
    </w:p>
    <w:p w14:paraId="6373E70C">
      <w:pPr>
        <w:pStyle w:val="38"/>
        <w:keepNext w:val="0"/>
        <w:keepLines w:val="0"/>
        <w:pageBreakBefore w:val="0"/>
        <w:widowControl w:val="0"/>
        <w:numPr>
          <w:ilvl w:val="0"/>
          <w:numId w:val="73"/>
        </w:numPr>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不发生重大中毒事故以及群发性传染病；</w:t>
      </w:r>
    </w:p>
    <w:p w14:paraId="56E4D63D">
      <w:pPr>
        <w:pStyle w:val="38"/>
        <w:keepNext w:val="0"/>
        <w:keepLines w:val="0"/>
        <w:pageBreakBefore w:val="0"/>
        <w:widowControl w:val="0"/>
        <w:numPr>
          <w:ilvl w:val="0"/>
          <w:numId w:val="73"/>
        </w:numPr>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cs="宋体"/>
          <w:sz w:val="24"/>
          <w:szCs w:val="24"/>
          <w:highlight w:val="none"/>
        </w:rPr>
      </w:pPr>
      <w:r>
        <w:rPr>
          <w:rFonts w:hint="eastAsia" w:ascii="宋体" w:hAnsi="宋体" w:cs="宋体"/>
          <w:sz w:val="24"/>
          <w:szCs w:val="24"/>
          <w:highlight w:val="none"/>
        </w:rPr>
        <w:t>必须保证施工现场创建文明安全施工工地。</w:t>
      </w:r>
    </w:p>
    <w:p w14:paraId="60F154BE">
      <w:pPr>
        <w:pStyle w:val="38"/>
        <w:keepNext w:val="0"/>
        <w:keepLines w:val="0"/>
        <w:pageBreakBefore w:val="0"/>
        <w:widowControl w:val="0"/>
        <w:numPr>
          <w:ilvl w:val="0"/>
          <w:numId w:val="72"/>
        </w:numPr>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安全生产要求</w:t>
      </w:r>
    </w:p>
    <w:p w14:paraId="7382363E">
      <w:pPr>
        <w:pStyle w:val="38"/>
        <w:numPr>
          <w:ilvl w:val="0"/>
          <w:numId w:val="74"/>
        </w:numPr>
        <w:spacing w:line="400" w:lineRule="exact"/>
        <w:ind w:left="0" w:leftChars="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乙方应按有关规定，采取严格的安全防护措施，否则由于自身安全措施不力而造成事故的责任和因此而发生的费用由乙方承担。非乙方责任的伤亡事故，由责任方承担责任和有关费用；</w:t>
      </w:r>
    </w:p>
    <w:p w14:paraId="64D600B2">
      <w:pPr>
        <w:pStyle w:val="38"/>
        <w:numPr>
          <w:ilvl w:val="0"/>
          <w:numId w:val="74"/>
        </w:numPr>
        <w:spacing w:line="400" w:lineRule="exact"/>
        <w:ind w:left="0" w:leftChars="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365665E6">
      <w:pPr>
        <w:pStyle w:val="38"/>
        <w:numPr>
          <w:ilvl w:val="0"/>
          <w:numId w:val="74"/>
        </w:numPr>
        <w:spacing w:line="400" w:lineRule="exact"/>
        <w:ind w:left="0" w:leftChars="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乙方必须尊重并且服从甲方现行的有关安全生产各项规章制度和管理方式，并按经济合同有关条款加强自身管理，履行乙方责任。</w:t>
      </w:r>
    </w:p>
    <w:p w14:paraId="387F4C46">
      <w:pPr>
        <w:pStyle w:val="38"/>
        <w:numPr>
          <w:ilvl w:val="0"/>
          <w:numId w:val="74"/>
        </w:numPr>
        <w:spacing w:line="400" w:lineRule="exact"/>
        <w:ind w:left="0" w:leftChars="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27C48BB8">
      <w:pPr>
        <w:pStyle w:val="38"/>
        <w:numPr>
          <w:ilvl w:val="0"/>
          <w:numId w:val="74"/>
        </w:numPr>
        <w:spacing w:line="400" w:lineRule="exact"/>
        <w:ind w:left="0" w:leftChars="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2F080952">
      <w:pPr>
        <w:pStyle w:val="38"/>
        <w:numPr>
          <w:ilvl w:val="0"/>
          <w:numId w:val="74"/>
        </w:numPr>
        <w:spacing w:line="400" w:lineRule="exact"/>
        <w:ind w:left="0" w:leftChars="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乙方必须执行安全工作奖罚制度：乙方要教育和约束自己的职工严格遵守施工现场安全管理规定，对遵章守纪者给予表扬和奖励，对违章作业、违章指挥、违反劳动纪律和规章制度者给予处罚。</w:t>
      </w:r>
    </w:p>
    <w:p w14:paraId="192279E0">
      <w:pPr>
        <w:pStyle w:val="38"/>
        <w:numPr>
          <w:ilvl w:val="0"/>
          <w:numId w:val="74"/>
        </w:numPr>
        <w:spacing w:line="400" w:lineRule="exact"/>
        <w:ind w:left="0" w:leftChars="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4A648C58">
      <w:pPr>
        <w:pStyle w:val="38"/>
        <w:keepNext w:val="0"/>
        <w:keepLines w:val="0"/>
        <w:pageBreakBefore w:val="0"/>
        <w:widowControl w:val="0"/>
        <w:numPr>
          <w:ilvl w:val="0"/>
          <w:numId w:val="72"/>
        </w:numPr>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甲、乙双方的责任</w:t>
      </w:r>
    </w:p>
    <w:p w14:paraId="2E192E9B">
      <w:pPr>
        <w:pStyle w:val="38"/>
        <w:numPr>
          <w:ilvl w:val="0"/>
          <w:numId w:val="75"/>
        </w:numPr>
        <w:spacing w:line="400" w:lineRule="exact"/>
        <w:ind w:left="0" w:leftChars="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甲方对施工现场的安全生产全面负责。</w:t>
      </w:r>
    </w:p>
    <w:p w14:paraId="29B9527D">
      <w:pPr>
        <w:pStyle w:val="38"/>
        <w:numPr>
          <w:ilvl w:val="0"/>
          <w:numId w:val="75"/>
        </w:numPr>
        <w:spacing w:line="400" w:lineRule="exact"/>
        <w:ind w:left="0" w:leftChars="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甲方有权对乙方进入现场所带机械设备、电气设备的安全防护设施及用品进行监督检查，对不符合安全规定的设施、用品有权禁止使用。</w:t>
      </w:r>
    </w:p>
    <w:p w14:paraId="5CBF2E56">
      <w:pPr>
        <w:pStyle w:val="38"/>
        <w:numPr>
          <w:ilvl w:val="0"/>
          <w:numId w:val="75"/>
        </w:numPr>
        <w:spacing w:line="400" w:lineRule="exact"/>
        <w:ind w:left="0" w:leftChars="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甲方有权对乙方在施工中出现的不安全隐患签发隐患通知书，并限期整改，对情节严重又不按期整改的，甲方有权停止乙方的作业，由此产生的后果由乙方承担一切责任。</w:t>
      </w:r>
    </w:p>
    <w:p w14:paraId="0C0897EF">
      <w:pPr>
        <w:pStyle w:val="38"/>
        <w:numPr>
          <w:ilvl w:val="0"/>
          <w:numId w:val="75"/>
        </w:numPr>
        <w:spacing w:line="400" w:lineRule="exact"/>
        <w:ind w:left="0" w:leftChars="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由甲方提供给乙方使用的施工用电、甲供材料、设备等必须经双方验收合格，签字移交后方可使用，但在使用过程乙方不得随意拆改、更换，否则，产生的一切后果由乙方承担（包括经济赔偿在内）一切责任。</w:t>
      </w:r>
    </w:p>
    <w:p w14:paraId="08D81F68">
      <w:pPr>
        <w:pStyle w:val="38"/>
        <w:numPr>
          <w:ilvl w:val="0"/>
          <w:numId w:val="75"/>
        </w:numPr>
        <w:spacing w:line="400" w:lineRule="exact"/>
        <w:ind w:left="0" w:leftChars="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乙方在施工现场内施工，必须服从甲方及监理单位、安全监督单位的安全生产管理，乙方不服从管理导致生产安全事故的，由乙方承担全部责任。</w:t>
      </w:r>
    </w:p>
    <w:p w14:paraId="186B76A9">
      <w:pPr>
        <w:pStyle w:val="38"/>
        <w:numPr>
          <w:ilvl w:val="0"/>
          <w:numId w:val="75"/>
        </w:numPr>
        <w:spacing w:line="400" w:lineRule="exact"/>
        <w:ind w:left="0" w:leftChars="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施工人员进场前，必须先将现场负责人，施工人员（包括管理人员、施工人员、特殊作业人员）花名册，企业资质证书和委托书等原件或复印件送甲方备案。</w:t>
      </w:r>
    </w:p>
    <w:p w14:paraId="299F3331">
      <w:pPr>
        <w:pStyle w:val="38"/>
        <w:numPr>
          <w:ilvl w:val="0"/>
          <w:numId w:val="75"/>
        </w:numPr>
        <w:spacing w:line="400" w:lineRule="exact"/>
        <w:ind w:left="0" w:leftChars="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进入施工现场必须按要求正确佩戴合格的劳动防护用品。现场严禁垂直交叉作业；高处作业禁止将工具、配件及物件上下抛掷；危险性较大的作业项目，乙方必须设专人监护。</w:t>
      </w:r>
    </w:p>
    <w:p w14:paraId="3D557591">
      <w:pPr>
        <w:pStyle w:val="38"/>
        <w:numPr>
          <w:ilvl w:val="0"/>
          <w:numId w:val="75"/>
        </w:numPr>
        <w:spacing w:line="400" w:lineRule="exact"/>
        <w:ind w:left="0" w:leftChars="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施工用电不得乱拉乱接，需要用电时，必须由专职电工操作；需要甲方配合的或提供帮助的必须在甲方电工的统一安排下进行。各类特殊作业人员必须持有效证件上岗。</w:t>
      </w:r>
    </w:p>
    <w:p w14:paraId="2FEA96B4">
      <w:pPr>
        <w:pStyle w:val="38"/>
        <w:numPr>
          <w:ilvl w:val="0"/>
          <w:numId w:val="75"/>
        </w:numPr>
        <w:spacing w:line="400" w:lineRule="exact"/>
        <w:ind w:left="0" w:leftChars="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乙方应教育本单位作业人员做到文明施工、安全生产，在平时的工作中做到活完场清，工完场冷，材料码放有序，保持施工现场的宏观整洁，防止造成环境污染。</w:t>
      </w:r>
    </w:p>
    <w:p w14:paraId="7698AE29">
      <w:pPr>
        <w:pStyle w:val="38"/>
        <w:keepNext w:val="0"/>
        <w:keepLines w:val="0"/>
        <w:pageBreakBefore w:val="0"/>
        <w:widowControl w:val="0"/>
        <w:numPr>
          <w:ilvl w:val="0"/>
          <w:numId w:val="72"/>
        </w:numPr>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事故责任与处理</w:t>
      </w:r>
    </w:p>
    <w:p w14:paraId="145B4D48">
      <w:pPr>
        <w:pStyle w:val="38"/>
        <w:numPr>
          <w:ilvl w:val="0"/>
          <w:numId w:val="76"/>
        </w:numPr>
        <w:spacing w:line="400" w:lineRule="exact"/>
        <w:ind w:left="0" w:leftChars="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由于乙方管理或乙方作业人员自身责任造成的伤、残、亡事故，要立即向甲方报告，同时由乙方参照国家现行规定负责处理，并负责事故人员及家属的全部经济补偿。</w:t>
      </w:r>
    </w:p>
    <w:p w14:paraId="4F0E1EFD">
      <w:pPr>
        <w:pStyle w:val="38"/>
        <w:numPr>
          <w:ilvl w:val="0"/>
          <w:numId w:val="76"/>
        </w:numPr>
        <w:spacing w:line="400" w:lineRule="exact"/>
        <w:ind w:left="0" w:leftChars="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由于乙方以外的责任造成乙方作业人员伤、残、亡事故的，在执行事故处理时，参照国家现行政策，由责任方一次性给予乙方经济补偿，其善后事宜由乙方处理。</w:t>
      </w:r>
    </w:p>
    <w:p w14:paraId="338A8B3D">
      <w:pPr>
        <w:pStyle w:val="38"/>
        <w:numPr>
          <w:ilvl w:val="0"/>
          <w:numId w:val="76"/>
        </w:numPr>
        <w:spacing w:line="400" w:lineRule="exact"/>
        <w:ind w:left="0" w:leftChars="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由于乙方或乙方作业人员违章指挥，违章作业或设备设施不完善造成甲方或第三者人员的伤亡事故，由乙方参照国家现行规定负责处理，并负责伤、残、亡个人及家属的全部经济补偿和善后处理。</w:t>
      </w:r>
    </w:p>
    <w:p w14:paraId="2DB231E1">
      <w:pPr>
        <w:pStyle w:val="38"/>
        <w:numPr>
          <w:ilvl w:val="0"/>
          <w:numId w:val="76"/>
        </w:numPr>
        <w:spacing w:line="400" w:lineRule="exact"/>
        <w:ind w:left="0" w:leftChars="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乙方在施工过程中，应不妨碍甲方既有污水处理设施的正常运行，由于乙方原因造成甲方生产损失的，由乙方承担全部经济损失。</w:t>
      </w:r>
    </w:p>
    <w:p w14:paraId="7DD18BCD">
      <w:pPr>
        <w:pStyle w:val="38"/>
        <w:keepNext w:val="0"/>
        <w:keepLines w:val="0"/>
        <w:pageBreakBefore w:val="0"/>
        <w:widowControl w:val="0"/>
        <w:numPr>
          <w:ilvl w:val="0"/>
          <w:numId w:val="72"/>
        </w:numPr>
        <w:kinsoku/>
        <w:wordWrap/>
        <w:overflowPunct/>
        <w:topLinePunct w:val="0"/>
        <w:autoSpaceDE/>
        <w:autoSpaceDN/>
        <w:bidi w:val="0"/>
        <w:adjustRightInd/>
        <w:snapToGrid/>
        <w:spacing w:line="400" w:lineRule="exact"/>
        <w:ind w:left="0" w:leftChars="0" w:right="0" w:rightChars="0" w:firstLine="0" w:firstLineChars="0"/>
        <w:textAlignment w:val="auto"/>
        <w:rPr>
          <w:rFonts w:ascii="宋体" w:hAnsi="宋体" w:cs="宋体"/>
          <w:sz w:val="24"/>
          <w:szCs w:val="24"/>
          <w:highlight w:val="none"/>
        </w:rPr>
      </w:pPr>
      <w:r>
        <w:rPr>
          <w:rFonts w:hint="eastAsia" w:ascii="宋体" w:hAnsi="宋体" w:cs="宋体"/>
          <w:sz w:val="24"/>
          <w:szCs w:val="24"/>
          <w:highlight w:val="none"/>
        </w:rPr>
        <w:t>本协议一式四份，甲方、乙方各执一份，上报各自主管部门一份。</w:t>
      </w:r>
    </w:p>
    <w:p w14:paraId="34439D55">
      <w:pPr>
        <w:pStyle w:val="38"/>
        <w:keepNext w:val="0"/>
        <w:keepLines w:val="0"/>
        <w:pageBreakBefore w:val="0"/>
        <w:widowControl w:val="0"/>
        <w:numPr>
          <w:ilvl w:val="0"/>
          <w:numId w:val="72"/>
        </w:numPr>
        <w:kinsoku/>
        <w:wordWrap/>
        <w:overflowPunct/>
        <w:topLinePunct w:val="0"/>
        <w:autoSpaceDE/>
        <w:autoSpaceDN/>
        <w:bidi w:val="0"/>
        <w:adjustRightInd/>
        <w:snapToGrid/>
        <w:spacing w:line="400" w:lineRule="exact"/>
        <w:ind w:left="0" w:leftChars="0" w:right="0" w:rightChars="0" w:firstLine="0" w:firstLineChars="0"/>
        <w:textAlignment w:val="auto"/>
        <w:rPr>
          <w:rFonts w:ascii="宋体" w:hAnsi="宋体" w:cs="宋体"/>
          <w:sz w:val="24"/>
          <w:szCs w:val="24"/>
          <w:highlight w:val="none"/>
        </w:rPr>
      </w:pPr>
      <w:r>
        <w:rPr>
          <w:rFonts w:hint="eastAsia" w:ascii="宋体" w:hAnsi="宋体" w:cs="宋体"/>
          <w:sz w:val="24"/>
          <w:szCs w:val="24"/>
          <w:highlight w:val="none"/>
        </w:rPr>
        <w:t>本协议有效期为：从签订之日起至乙方的工程项目竣工（完工）及所有人员全部撤出现场为止。</w:t>
      </w:r>
    </w:p>
    <w:p w14:paraId="0BD32823">
      <w:pPr>
        <w:pStyle w:val="38"/>
        <w:spacing w:line="400" w:lineRule="exact"/>
        <w:ind w:left="-480" w:leftChars="-200" w:right="-578" w:rightChars="-241" w:firstLine="480" w:firstLineChars="200"/>
        <w:rPr>
          <w:rFonts w:ascii="宋体" w:hAnsi="宋体" w:cs="宋体"/>
          <w:sz w:val="24"/>
          <w:szCs w:val="24"/>
          <w:highlight w:val="none"/>
        </w:rPr>
      </w:pPr>
    </w:p>
    <w:p w14:paraId="3B141848">
      <w:pPr>
        <w:pStyle w:val="38"/>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甲    方：                                  乙    方： </w:t>
      </w:r>
    </w:p>
    <w:p w14:paraId="28F2BB8C">
      <w:pPr>
        <w:pStyle w:val="38"/>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法定代表人：                                法定代表人：</w:t>
      </w:r>
    </w:p>
    <w:p w14:paraId="39DF6525">
      <w:pPr>
        <w:pStyle w:val="38"/>
        <w:spacing w:line="400" w:lineRule="exact"/>
        <w:ind w:left="-480" w:leftChars="-200" w:right="-578" w:rightChars="-241" w:firstLine="480" w:firstLineChars="200"/>
        <w:rPr>
          <w:rFonts w:ascii="宋体" w:hAnsi="宋体" w:cs="宋体"/>
          <w:sz w:val="24"/>
          <w:szCs w:val="24"/>
          <w:highlight w:val="none"/>
        </w:rPr>
      </w:pPr>
    </w:p>
    <w:p w14:paraId="13B3E7FC">
      <w:pPr>
        <w:pStyle w:val="38"/>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委托代理人：                                委托代理人：</w:t>
      </w:r>
    </w:p>
    <w:p w14:paraId="35D6B955">
      <w:pPr>
        <w:pStyle w:val="38"/>
        <w:spacing w:line="400" w:lineRule="exact"/>
        <w:ind w:left="-480" w:leftChars="-200" w:right="-578" w:rightChars="-241" w:firstLine="480" w:firstLineChars="200"/>
        <w:rPr>
          <w:rFonts w:ascii="宋体" w:hAnsi="宋体" w:cs="宋体"/>
          <w:sz w:val="24"/>
          <w:szCs w:val="24"/>
          <w:highlight w:val="none"/>
        </w:rPr>
      </w:pPr>
    </w:p>
    <w:p w14:paraId="2DD8C254">
      <w:pPr>
        <w:rPr>
          <w:highlight w:val="none"/>
        </w:rPr>
      </w:pPr>
      <w:bookmarkStart w:id="678" w:name="_Toc149922247"/>
      <w:bookmarkStart w:id="679" w:name="_Toc151471696"/>
      <w:r>
        <w:rPr>
          <w:rFonts w:hint="eastAsia"/>
          <w:highlight w:val="none"/>
        </w:rPr>
        <w:t>签订时间：    年   月    日                 签订时间：    年   月    日</w:t>
      </w:r>
      <w:bookmarkEnd w:id="678"/>
      <w:bookmarkEnd w:id="679"/>
      <w:r>
        <w:rPr>
          <w:highlight w:val="none"/>
        </w:rPr>
        <w:br w:type="page"/>
      </w:r>
    </w:p>
    <w:p w14:paraId="1206325D">
      <w:pPr>
        <w:pStyle w:val="2"/>
        <w:keepNext/>
        <w:keepLines/>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403" w:firstLineChars="0"/>
        <w:textAlignment w:val="auto"/>
        <w:outlineLvl w:val="0"/>
        <w:rPr>
          <w:rFonts w:hint="eastAsia"/>
          <w:highlight w:val="none"/>
        </w:rPr>
      </w:pPr>
      <w:bookmarkStart w:id="680" w:name="_Toc21864"/>
      <w:r>
        <w:rPr>
          <w:rFonts w:hint="eastAsia"/>
          <w:highlight w:val="none"/>
        </w:rPr>
        <w:t>工程量清单编制</w:t>
      </w:r>
      <w:bookmarkEnd w:id="115"/>
      <w:bookmarkEnd w:id="680"/>
    </w:p>
    <w:p w14:paraId="4A71252A">
      <w:pPr>
        <w:pStyle w:val="27"/>
        <w:spacing w:before="0" w:line="440" w:lineRule="exact"/>
        <w:jc w:val="center"/>
        <w:outlineLvl w:val="9"/>
        <w:rPr>
          <w:highlight w:val="none"/>
        </w:rPr>
      </w:pPr>
      <w:bookmarkStart w:id="681" w:name="_Toc372899880"/>
      <w:bookmarkStart w:id="682" w:name="_Toc288556305"/>
      <w:bookmarkStart w:id="683" w:name="_Toc394573950"/>
      <w:bookmarkStart w:id="684" w:name="_Toc24267"/>
      <w:bookmarkStart w:id="685" w:name="_Toc152045775"/>
      <w:bookmarkStart w:id="686" w:name="_Toc152042557"/>
      <w:bookmarkStart w:id="687" w:name="_Toc144974837"/>
      <w:bookmarkStart w:id="688" w:name="_Toc45697246"/>
      <w:r>
        <w:rPr>
          <w:highlight w:val="none"/>
        </w:rPr>
        <w:t>1. 投标报价组成</w:t>
      </w:r>
      <w:bookmarkEnd w:id="681"/>
      <w:bookmarkEnd w:id="682"/>
      <w:bookmarkEnd w:id="683"/>
      <w:bookmarkEnd w:id="684"/>
    </w:p>
    <w:p w14:paraId="43D8284D">
      <w:pPr>
        <w:pStyle w:val="8"/>
        <w:tabs>
          <w:tab w:val="left" w:pos="574"/>
        </w:tabs>
        <w:autoSpaceDE/>
        <w:autoSpaceDN/>
        <w:spacing w:line="440" w:lineRule="exact"/>
        <w:ind w:left="0" w:firstLine="480" w:firstLineChars="200"/>
        <w:outlineLvl w:val="9"/>
        <w:rPr>
          <w:rFonts w:ascii="宋体" w:hAnsi="宋体" w:cs="宋体"/>
          <w:highlight w:val="none"/>
        </w:rPr>
      </w:pPr>
      <w:r>
        <w:rPr>
          <w:rFonts w:hint="eastAsia" w:ascii="宋体" w:hAnsi="宋体" w:cs="宋体"/>
          <w:highlight w:val="none"/>
        </w:rPr>
        <w:t>1.1报价方式：本工程项目报价方式为工程量清单报价法。</w:t>
      </w:r>
    </w:p>
    <w:p w14:paraId="1750A3F4">
      <w:pPr>
        <w:pStyle w:val="8"/>
        <w:tabs>
          <w:tab w:val="left" w:pos="574"/>
        </w:tabs>
        <w:autoSpaceDE/>
        <w:autoSpaceDN/>
        <w:spacing w:line="440" w:lineRule="exact"/>
        <w:ind w:left="0" w:firstLine="480" w:firstLineChars="200"/>
        <w:outlineLvl w:val="9"/>
        <w:rPr>
          <w:rFonts w:ascii="宋体" w:hAnsi="宋体" w:cs="宋体"/>
          <w:highlight w:val="none"/>
        </w:rPr>
      </w:pPr>
      <w:r>
        <w:rPr>
          <w:rFonts w:hint="eastAsia" w:ascii="宋体" w:hAnsi="宋体" w:cs="宋体"/>
          <w:highlight w:val="none"/>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cs="宋体"/>
          <w:highlight w:val="none"/>
          <w:u w:val="single"/>
        </w:rPr>
        <w:t>危险作业意外伤害保险费</w:t>
      </w:r>
      <w:r>
        <w:rPr>
          <w:rFonts w:hint="eastAsia" w:ascii="宋体" w:hAnsi="宋体" w:cs="宋体"/>
          <w:highlight w:val="none"/>
        </w:rPr>
        <w:t>及税金（包含增值税销项税额及地方水利建设基金，下同）。人工费、材料费、机械使用费、管理费和利润、风险的费用内容按省建设行政主管部门颁发的取费定额</w:t>
      </w:r>
      <w:r>
        <w:rPr>
          <w:rFonts w:hint="eastAsia" w:ascii="宋体" w:hAnsi="宋体" w:cs="宋体"/>
          <w:highlight w:val="none"/>
          <w:u w:val="single"/>
        </w:rPr>
        <w:t>及补充定额</w:t>
      </w:r>
      <w:r>
        <w:rPr>
          <w:rFonts w:hint="eastAsia" w:ascii="宋体" w:hAnsi="宋体" w:cs="宋体"/>
          <w:highlight w:val="none"/>
        </w:rPr>
        <w:t>确定。</w:t>
      </w:r>
    </w:p>
    <w:p w14:paraId="51AE20ED">
      <w:pPr>
        <w:pStyle w:val="8"/>
        <w:tabs>
          <w:tab w:val="left" w:pos="574"/>
        </w:tabs>
        <w:autoSpaceDE/>
        <w:autoSpaceDN/>
        <w:spacing w:line="440" w:lineRule="exact"/>
        <w:ind w:left="0" w:firstLine="480" w:firstLineChars="200"/>
        <w:outlineLvl w:val="9"/>
        <w:rPr>
          <w:rFonts w:ascii="宋体" w:hAnsi="宋体" w:cs="宋体"/>
          <w:highlight w:val="none"/>
        </w:rPr>
      </w:pPr>
      <w:r>
        <w:rPr>
          <w:rFonts w:hint="eastAsia" w:ascii="宋体" w:hAnsi="宋体" w:cs="宋体"/>
          <w:highlight w:val="none"/>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cs="宋体"/>
          <w:highlight w:val="none"/>
          <w:u w:val="single"/>
        </w:rPr>
        <w:t>危险作业意外伤害保险费</w:t>
      </w:r>
      <w:r>
        <w:rPr>
          <w:rFonts w:hint="eastAsia" w:ascii="宋体" w:hAnsi="宋体" w:cs="宋体"/>
          <w:highlight w:val="none"/>
        </w:rPr>
        <w:t>和税金。各投标人应根据招标人提供的全套施工图纸、技术资料、工程量清单，以及本工程实际情况和自身的综合实力，竞报投标报价。</w:t>
      </w:r>
    </w:p>
    <w:p w14:paraId="68D6BB75">
      <w:pPr>
        <w:pStyle w:val="8"/>
        <w:tabs>
          <w:tab w:val="left" w:pos="574"/>
        </w:tabs>
        <w:autoSpaceDE/>
        <w:autoSpaceDN/>
        <w:spacing w:line="440" w:lineRule="exact"/>
        <w:ind w:left="0" w:firstLine="480" w:firstLineChars="200"/>
        <w:outlineLvl w:val="9"/>
        <w:rPr>
          <w:rFonts w:ascii="宋体" w:hAnsi="宋体" w:cs="宋体"/>
          <w:highlight w:val="none"/>
        </w:rPr>
      </w:pPr>
      <w:r>
        <w:rPr>
          <w:rFonts w:hint="eastAsia" w:ascii="宋体" w:hAnsi="宋体" w:cs="宋体"/>
          <w:highlight w:val="none"/>
        </w:rPr>
        <w:t>1.4本招标文件中提供的工程量是根据完整的施工图纸及有关资料，按</w:t>
      </w:r>
      <w:r>
        <w:rPr>
          <w:rFonts w:hint="eastAsia" w:ascii="宋体" w:hAnsi="宋体" w:cs="宋体"/>
          <w:highlight w:val="none"/>
          <w:lang w:eastAsia="zh-CN"/>
        </w:rPr>
        <w:t>《浙江省建设工程计价规则》（2018版）、</w:t>
      </w:r>
      <w:r>
        <w:rPr>
          <w:rFonts w:hint="eastAsia" w:ascii="宋体" w:hAnsi="宋体"/>
          <w:szCs w:val="21"/>
        </w:rPr>
        <w:t>《浙江省房屋建筑与装饰工程预算定额》（2018版）、</w:t>
      </w:r>
      <w:r>
        <w:rPr>
          <w:rFonts w:hint="eastAsia" w:ascii="宋体" w:hAnsi="宋体"/>
          <w:kern w:val="0"/>
          <w:szCs w:val="21"/>
        </w:rPr>
        <w:t>《浙江省市政工程预算定额》（2018版）、《浙江省园林绿化及仿古建筑工程预算定额》（2018版）、《市政工程工程量计算规范》 GB50857-2013、《房屋建筑与装饰工程工程量计算规范》 GB50854-2013、《园林绿化工程工程量计算规范》 GB50858-2013；</w:t>
      </w:r>
      <w:r>
        <w:rPr>
          <w:rFonts w:hint="eastAsia" w:ascii="宋体" w:hAnsi="宋体"/>
          <w:szCs w:val="21"/>
        </w:rPr>
        <w:t>《浙江省通用安装工程预算定额》（2018版）；</w:t>
      </w:r>
      <w:r>
        <w:rPr>
          <w:rFonts w:ascii="宋体" w:hAnsi="宋体"/>
          <w:szCs w:val="21"/>
        </w:rPr>
        <w:t>《通用安装工程工程量计算规范》GB50856-2013</w:t>
      </w:r>
      <w:r>
        <w:rPr>
          <w:rFonts w:hint="eastAsia" w:ascii="宋体" w:hAnsi="宋体" w:cs="宋体"/>
          <w:highlight w:val="none"/>
          <w:u w:val="none"/>
          <w:lang w:eastAsia="zh-CN"/>
        </w:rPr>
        <w:t>以及工程所在地现行的有关工程造价方面规定</w:t>
      </w:r>
      <w:r>
        <w:rPr>
          <w:rFonts w:hint="eastAsia" w:ascii="宋体" w:hAnsi="宋体" w:cs="宋体"/>
          <w:highlight w:val="none"/>
          <w:u w:val="none"/>
        </w:rPr>
        <w:t>，</w:t>
      </w:r>
      <w:r>
        <w:rPr>
          <w:rFonts w:hint="eastAsia" w:ascii="宋体" w:hAnsi="宋体" w:cs="宋体"/>
          <w:highlight w:val="none"/>
        </w:rPr>
        <w:t>是统一投标报价口径的主要依据。</w:t>
      </w:r>
    </w:p>
    <w:p w14:paraId="5D12CA47">
      <w:pPr>
        <w:pStyle w:val="8"/>
        <w:tabs>
          <w:tab w:val="left" w:pos="574"/>
        </w:tabs>
        <w:autoSpaceDE/>
        <w:autoSpaceDN/>
        <w:spacing w:line="440" w:lineRule="exact"/>
        <w:ind w:left="0" w:firstLine="480" w:firstLineChars="200"/>
        <w:outlineLvl w:val="9"/>
        <w:rPr>
          <w:rFonts w:ascii="宋体" w:hAnsi="宋体" w:cs="宋体"/>
          <w:highlight w:val="none"/>
        </w:rPr>
      </w:pPr>
      <w:r>
        <w:rPr>
          <w:rFonts w:hint="eastAsia" w:ascii="宋体" w:hAnsi="宋体" w:cs="宋体"/>
          <w:highlight w:val="none"/>
        </w:rPr>
        <w:t>1.5分部分项工程费是指完成在工程量清单列出的各分部分项清单工程量实体所需的费用，包括人工费、材料费、机械使用费、管理费、利润以及风险费用（各费用项目均不包含增值税进项税额）。</w:t>
      </w:r>
    </w:p>
    <w:p w14:paraId="3D73235A">
      <w:pPr>
        <w:pStyle w:val="8"/>
        <w:tabs>
          <w:tab w:val="left" w:pos="574"/>
        </w:tabs>
        <w:autoSpaceDE/>
        <w:autoSpaceDN/>
        <w:spacing w:line="440" w:lineRule="exact"/>
        <w:ind w:left="0" w:firstLine="480" w:firstLineChars="200"/>
        <w:outlineLvl w:val="9"/>
        <w:rPr>
          <w:rFonts w:ascii="宋体" w:hAnsi="宋体" w:cs="宋体"/>
          <w:highlight w:val="none"/>
        </w:rPr>
      </w:pPr>
      <w:r>
        <w:rPr>
          <w:rFonts w:hint="eastAsia" w:ascii="宋体" w:hAnsi="宋体" w:cs="宋体"/>
          <w:highlight w:val="none"/>
        </w:rPr>
        <w:t>1.6措施费是指为完成工程项目施工，发生于该工程施工前和施工过程中非工程实体项目的费用，由施工技术措施费和施工组织措施费组成。</w:t>
      </w:r>
    </w:p>
    <w:p w14:paraId="2C9019B2">
      <w:pPr>
        <w:pStyle w:val="8"/>
        <w:tabs>
          <w:tab w:val="left" w:pos="574"/>
        </w:tabs>
        <w:autoSpaceDE/>
        <w:autoSpaceDN/>
        <w:spacing w:line="440" w:lineRule="exact"/>
        <w:ind w:left="0" w:firstLine="480" w:firstLineChars="200"/>
        <w:outlineLvl w:val="9"/>
        <w:rPr>
          <w:rFonts w:hint="eastAsia" w:ascii="宋体" w:hAnsi="宋体" w:cs="宋体"/>
          <w:highlight w:val="none"/>
        </w:rPr>
      </w:pPr>
      <w:r>
        <w:rPr>
          <w:rFonts w:hint="eastAsia" w:ascii="宋体" w:hAnsi="宋体" w:cs="宋体"/>
          <w:highlight w:val="none"/>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4E893C5D">
      <w:pPr>
        <w:pStyle w:val="8"/>
        <w:tabs>
          <w:tab w:val="left" w:pos="574"/>
        </w:tabs>
        <w:autoSpaceDE/>
        <w:autoSpaceDN/>
        <w:spacing w:line="440" w:lineRule="exact"/>
        <w:ind w:left="0" w:firstLine="480" w:firstLineChars="200"/>
        <w:outlineLvl w:val="9"/>
        <w:rPr>
          <w:rFonts w:hint="eastAsia" w:ascii="宋体" w:hAnsi="宋体" w:cs="宋体"/>
          <w:highlight w:val="none"/>
        </w:rPr>
      </w:pPr>
      <w:r>
        <w:rPr>
          <w:rFonts w:hint="eastAsia" w:ascii="宋体" w:hAnsi="宋体" w:cs="宋体"/>
          <w:highlight w:val="none"/>
        </w:rPr>
        <w:t>（2）施工组织措施费是指为完成工程项目施工而采取的各项组织措施所需的费用。包括安全文明施工措施费，提前竣工增加费（夜间施工增加费），二次搬运费，已完工程及设备保护费，冬雨季施工增加费，工程定位复测费，行车、行人干扰增加费（限市政）等费用。施工组织措施费取费基数中的人工费和机械单价按投标人自报的人工和机械台班单价计取。</w:t>
      </w:r>
    </w:p>
    <w:p w14:paraId="565D98D1">
      <w:pPr>
        <w:pStyle w:val="8"/>
        <w:tabs>
          <w:tab w:val="left" w:pos="574"/>
        </w:tabs>
        <w:autoSpaceDE/>
        <w:autoSpaceDN/>
        <w:spacing w:line="440" w:lineRule="exact"/>
        <w:ind w:left="0" w:firstLine="480" w:firstLineChars="200"/>
        <w:outlineLvl w:val="9"/>
        <w:rPr>
          <w:rFonts w:ascii="宋体" w:hAnsi="宋体" w:cs="宋体"/>
          <w:highlight w:val="none"/>
        </w:rPr>
      </w:pPr>
      <w:r>
        <w:rPr>
          <w:rFonts w:hint="eastAsia" w:ascii="宋体" w:hAnsi="宋体" w:cs="宋体"/>
          <w:highlight w:val="none"/>
        </w:rPr>
        <w:t>1.7规费项目具体内容如下：</w:t>
      </w:r>
    </w:p>
    <w:p w14:paraId="1E490513">
      <w:pPr>
        <w:pStyle w:val="8"/>
        <w:tabs>
          <w:tab w:val="left" w:pos="574"/>
        </w:tabs>
        <w:autoSpaceDE/>
        <w:autoSpaceDN/>
        <w:spacing w:line="440" w:lineRule="exact"/>
        <w:outlineLvl w:val="9"/>
        <w:rPr>
          <w:rFonts w:ascii="宋体" w:hAnsi="宋体" w:cs="宋体"/>
          <w:highlight w:val="none"/>
        </w:rPr>
      </w:pPr>
      <w:r>
        <w:rPr>
          <w:rFonts w:hint="eastAsia" w:ascii="宋体" w:hAnsi="宋体" w:cs="宋体"/>
          <w:highlight w:val="none"/>
        </w:rPr>
        <w:t>（1）排污费、社保费、公积金；</w:t>
      </w:r>
    </w:p>
    <w:p w14:paraId="28C10729">
      <w:pPr>
        <w:pStyle w:val="8"/>
        <w:tabs>
          <w:tab w:val="left" w:pos="574"/>
        </w:tabs>
        <w:autoSpaceDE/>
        <w:autoSpaceDN/>
        <w:spacing w:line="440" w:lineRule="exact"/>
        <w:outlineLvl w:val="9"/>
        <w:rPr>
          <w:rFonts w:ascii="宋体" w:hAnsi="宋体" w:cs="宋体"/>
          <w:highlight w:val="none"/>
        </w:rPr>
      </w:pPr>
      <w:r>
        <w:rPr>
          <w:rFonts w:hint="eastAsia" w:ascii="宋体" w:hAnsi="宋体" w:cs="宋体"/>
          <w:highlight w:val="none"/>
        </w:rPr>
        <w:t>（2）民工工伤保险费。</w:t>
      </w:r>
    </w:p>
    <w:p w14:paraId="6DBDCFD0">
      <w:pPr>
        <w:pStyle w:val="8"/>
        <w:tabs>
          <w:tab w:val="left" w:pos="574"/>
        </w:tabs>
        <w:autoSpaceDE/>
        <w:autoSpaceDN/>
        <w:spacing w:line="440" w:lineRule="exact"/>
        <w:ind w:left="0" w:firstLine="480" w:firstLineChars="200"/>
        <w:outlineLvl w:val="9"/>
        <w:rPr>
          <w:rFonts w:hint="eastAsia" w:ascii="宋体" w:hAnsi="宋体" w:cs="宋体"/>
          <w:highlight w:val="none"/>
          <w:u w:val="none"/>
        </w:rPr>
      </w:pPr>
      <w:r>
        <w:rPr>
          <w:rFonts w:hint="eastAsia" w:ascii="宋体" w:hAnsi="宋体" w:cs="宋体"/>
          <w:highlight w:val="none"/>
          <w:u w:val="none"/>
        </w:rPr>
        <w:t>规费的计算基数中所涉及的人工费和机械单价按投标人自报的人工和机械台班单价计取。</w:t>
      </w:r>
    </w:p>
    <w:p w14:paraId="0AF742B6">
      <w:pPr>
        <w:pStyle w:val="8"/>
        <w:tabs>
          <w:tab w:val="left" w:pos="574"/>
        </w:tabs>
        <w:autoSpaceDE/>
        <w:autoSpaceDN/>
        <w:spacing w:line="440" w:lineRule="exact"/>
        <w:ind w:left="0" w:firstLine="480" w:firstLineChars="200"/>
        <w:outlineLvl w:val="9"/>
        <w:rPr>
          <w:rFonts w:ascii="宋体" w:hAnsi="宋体" w:cs="宋体"/>
          <w:highlight w:val="none"/>
          <w:u w:val="none"/>
        </w:rPr>
      </w:pPr>
      <w:r>
        <w:rPr>
          <w:rFonts w:hint="eastAsia" w:ascii="宋体" w:hAnsi="宋体" w:cs="宋体"/>
          <w:highlight w:val="none"/>
          <w:u w:val="none"/>
        </w:rPr>
        <w:t>1.8危险作业意外伤害保险费，本项目不计取。</w:t>
      </w:r>
    </w:p>
    <w:p w14:paraId="113DD397">
      <w:pPr>
        <w:pStyle w:val="8"/>
        <w:tabs>
          <w:tab w:val="left" w:pos="574"/>
        </w:tabs>
        <w:autoSpaceDE/>
        <w:autoSpaceDN/>
        <w:spacing w:line="440" w:lineRule="exact"/>
        <w:ind w:left="0" w:firstLine="480" w:firstLineChars="200"/>
        <w:outlineLvl w:val="9"/>
        <w:rPr>
          <w:rFonts w:ascii="宋体" w:hAnsi="宋体" w:cs="宋体"/>
          <w:highlight w:val="none"/>
          <w:u w:val="none"/>
        </w:rPr>
      </w:pPr>
      <w:r>
        <w:rPr>
          <w:rFonts w:hint="eastAsia" w:ascii="宋体" w:hAnsi="宋体" w:cs="宋体"/>
          <w:highlight w:val="none"/>
          <w:u w:val="none"/>
        </w:rPr>
        <w:t>1.9税金是指按《关于增值税调整后我省建设工程计价依据增值税税率及有关计价调整的通知》（浙建建发〔2019〕92号）文及最新规定应计入建筑安装工程造价内的税额。</w:t>
      </w:r>
    </w:p>
    <w:p w14:paraId="0E919F08">
      <w:pPr>
        <w:pStyle w:val="27"/>
        <w:spacing w:before="0" w:line="440" w:lineRule="exact"/>
        <w:jc w:val="center"/>
        <w:outlineLvl w:val="9"/>
        <w:rPr>
          <w:highlight w:val="none"/>
        </w:rPr>
      </w:pPr>
      <w:bookmarkStart w:id="689" w:name="_Toc152045774"/>
      <w:bookmarkStart w:id="690" w:name="_Toc152042556"/>
      <w:bookmarkStart w:id="691" w:name="_Toc144974836"/>
      <w:bookmarkStart w:id="692" w:name="_Toc288556306"/>
      <w:bookmarkStart w:id="693" w:name="_Toc394573951"/>
      <w:bookmarkStart w:id="694" w:name="_Toc372899881"/>
      <w:bookmarkStart w:id="695" w:name="_Toc6621"/>
      <w:r>
        <w:rPr>
          <w:highlight w:val="none"/>
        </w:rPr>
        <w:t>2. 投标报价</w:t>
      </w:r>
      <w:bookmarkEnd w:id="689"/>
      <w:bookmarkEnd w:id="690"/>
      <w:bookmarkEnd w:id="691"/>
      <w:r>
        <w:rPr>
          <w:highlight w:val="none"/>
        </w:rPr>
        <w:t>要求</w:t>
      </w:r>
      <w:bookmarkEnd w:id="692"/>
      <w:bookmarkEnd w:id="693"/>
      <w:bookmarkEnd w:id="694"/>
      <w:bookmarkEnd w:id="695"/>
    </w:p>
    <w:p w14:paraId="0C817D89">
      <w:pPr>
        <w:pStyle w:val="8"/>
        <w:tabs>
          <w:tab w:val="left" w:pos="574"/>
        </w:tabs>
        <w:autoSpaceDE/>
        <w:autoSpaceDN/>
        <w:spacing w:line="440" w:lineRule="exact"/>
        <w:ind w:left="0" w:firstLine="480" w:firstLineChars="200"/>
        <w:outlineLvl w:val="9"/>
        <w:rPr>
          <w:highlight w:val="none"/>
        </w:rPr>
      </w:pPr>
      <w:r>
        <w:rPr>
          <w:rFonts w:hint="eastAsia"/>
          <w:highlight w:val="none"/>
        </w:rPr>
        <w:t>2.1招标文件规定应由投标人自行确定的费用，投标人应根据报价要求，结合工程施工的实际情况、市场行情、技术方案和企业的管理水平，综合分析后自主确定报价。</w:t>
      </w:r>
    </w:p>
    <w:p w14:paraId="00B65C9B">
      <w:pPr>
        <w:pStyle w:val="8"/>
        <w:tabs>
          <w:tab w:val="left" w:pos="574"/>
        </w:tabs>
        <w:autoSpaceDE/>
        <w:autoSpaceDN/>
        <w:spacing w:line="440" w:lineRule="exact"/>
        <w:ind w:left="0" w:firstLine="480" w:firstLineChars="200"/>
        <w:outlineLvl w:val="9"/>
        <w:rPr>
          <w:highlight w:val="none"/>
        </w:rPr>
      </w:pPr>
      <w:r>
        <w:rPr>
          <w:rFonts w:hint="eastAsia"/>
          <w:highlight w:val="none"/>
        </w:rPr>
        <w:t>2.2施工技术措施项目可根据施工组织设计增加项目。</w:t>
      </w:r>
    </w:p>
    <w:p w14:paraId="6A6B16C1">
      <w:pPr>
        <w:pStyle w:val="8"/>
        <w:tabs>
          <w:tab w:val="left" w:pos="574"/>
        </w:tabs>
        <w:autoSpaceDE/>
        <w:autoSpaceDN/>
        <w:spacing w:line="440" w:lineRule="exact"/>
        <w:ind w:left="0" w:firstLine="480" w:firstLineChars="200"/>
        <w:outlineLvl w:val="9"/>
        <w:rPr>
          <w:highlight w:val="none"/>
        </w:rPr>
      </w:pPr>
      <w:r>
        <w:rPr>
          <w:rFonts w:hint="eastAsia"/>
          <w:highlight w:val="none"/>
        </w:rPr>
        <w:t>2.3投标人在投标报价中每单项单价和合价均需填写，对没有填写单价和合价的项目，其费用视为已包含或分配到其他项目的单价或合价中。</w:t>
      </w:r>
    </w:p>
    <w:p w14:paraId="1CC6A7A8">
      <w:pPr>
        <w:pStyle w:val="8"/>
        <w:tabs>
          <w:tab w:val="left" w:pos="574"/>
        </w:tabs>
        <w:autoSpaceDE/>
        <w:autoSpaceDN/>
        <w:spacing w:line="440" w:lineRule="exact"/>
        <w:ind w:left="0" w:firstLine="480" w:firstLineChars="200"/>
        <w:outlineLvl w:val="9"/>
        <w:rPr>
          <w:highlight w:val="none"/>
        </w:rPr>
      </w:pPr>
      <w:r>
        <w:rPr>
          <w:rFonts w:hint="eastAsia"/>
          <w:highlight w:val="none"/>
        </w:rPr>
        <w:t>2.4</w:t>
      </w:r>
      <w:r>
        <w:rPr>
          <w:rFonts w:hint="eastAsia"/>
          <w:b/>
          <w:highlight w:val="none"/>
        </w:rPr>
        <w:t>投标人的报价要求详见“投标工具-招标概况-投标报价要求”，未按要求报价的，作无效标处理。</w:t>
      </w:r>
    </w:p>
    <w:p w14:paraId="781BC964">
      <w:pPr>
        <w:pStyle w:val="8"/>
        <w:tabs>
          <w:tab w:val="left" w:pos="574"/>
        </w:tabs>
        <w:autoSpaceDE/>
        <w:autoSpaceDN/>
        <w:spacing w:line="440" w:lineRule="exact"/>
        <w:ind w:left="0" w:firstLine="480" w:firstLineChars="200"/>
        <w:outlineLvl w:val="9"/>
        <w:rPr>
          <w:highlight w:val="none"/>
        </w:rPr>
      </w:pPr>
      <w:r>
        <w:rPr>
          <w:rFonts w:hint="eastAsia"/>
          <w:highlight w:val="none"/>
        </w:rPr>
        <w:t>2.5投标单位报价时应根据本项目施工图纸、项目清单描述，结合清单计价规范相关内容，综合考虑后自主报价，结算时由于清单描述不完整原因的单价不作调整。</w:t>
      </w:r>
    </w:p>
    <w:p w14:paraId="64B0925F">
      <w:pPr>
        <w:pStyle w:val="8"/>
        <w:tabs>
          <w:tab w:val="left" w:pos="574"/>
        </w:tabs>
        <w:autoSpaceDE/>
        <w:autoSpaceDN/>
        <w:spacing w:line="440" w:lineRule="exact"/>
        <w:ind w:left="0" w:firstLine="480" w:firstLineChars="200"/>
        <w:outlineLvl w:val="9"/>
        <w:rPr>
          <w:rFonts w:hint="eastAsia"/>
          <w:highlight w:val="none"/>
        </w:rPr>
      </w:pPr>
      <w:r>
        <w:rPr>
          <w:rFonts w:hint="eastAsia"/>
          <w:highlight w:val="none"/>
        </w:rPr>
        <w:t>2.6投标人的报价其它要求详见“3.工程量清单与计价表，”未按要求报价的，作无效标处理。</w:t>
      </w:r>
    </w:p>
    <w:p w14:paraId="780275D9">
      <w:pPr>
        <w:pStyle w:val="8"/>
        <w:tabs>
          <w:tab w:val="left" w:pos="574"/>
        </w:tabs>
        <w:adjustRightInd w:val="0"/>
        <w:spacing w:after="0" w:line="400" w:lineRule="exact"/>
        <w:jc w:val="left"/>
        <w:rPr>
          <w:rFonts w:hint="eastAsia"/>
        </w:rPr>
      </w:pPr>
      <w:r>
        <w:rPr>
          <w:rFonts w:hint="eastAsia"/>
        </w:rPr>
        <w:t>2.</w:t>
      </w:r>
      <w:r>
        <w:rPr>
          <w:rFonts w:hint="eastAsia"/>
          <w:lang w:val="en-US" w:eastAsia="zh-CN"/>
        </w:rPr>
        <w:t>7</w:t>
      </w:r>
      <w:r>
        <w:rPr>
          <w:rFonts w:hint="eastAsia"/>
        </w:rPr>
        <w:t>税金按9%计入工程造价，结算时如遇政策性调整，按最新政策税率结算。</w:t>
      </w:r>
    </w:p>
    <w:p w14:paraId="573B4FD3">
      <w:pPr>
        <w:pStyle w:val="8"/>
        <w:tabs>
          <w:tab w:val="left" w:pos="574"/>
        </w:tabs>
        <w:adjustRightInd w:val="0"/>
        <w:spacing w:after="0" w:line="400" w:lineRule="exact"/>
        <w:ind w:left="0" w:leftChars="0" w:firstLine="480" w:firstLineChars="200"/>
        <w:jc w:val="left"/>
        <w:rPr>
          <w:rFonts w:hint="eastAsia"/>
        </w:rPr>
      </w:pPr>
      <w:r>
        <w:rPr>
          <w:rFonts w:hint="eastAsia"/>
        </w:rPr>
        <w:t>2.8投标人的报价要求详见“工程量清单编制说明”，未按要求报价的，作无效标处理。</w:t>
      </w:r>
    </w:p>
    <w:p w14:paraId="0798488C">
      <w:pPr>
        <w:pStyle w:val="8"/>
        <w:tabs>
          <w:tab w:val="left" w:pos="574"/>
        </w:tabs>
        <w:adjustRightInd w:val="0"/>
        <w:spacing w:after="0" w:line="400" w:lineRule="exact"/>
        <w:jc w:val="left"/>
        <w:rPr>
          <w:rFonts w:hint="eastAsia"/>
          <w:b/>
          <w:bCs/>
        </w:rPr>
      </w:pPr>
      <w:r>
        <w:rPr>
          <w:rFonts w:hint="eastAsia"/>
          <w:b/>
          <w:bCs/>
        </w:rPr>
        <w:t>2.9 投标函投标总价以“</w:t>
      </w:r>
      <w:r>
        <w:rPr>
          <w:b/>
          <w:bCs/>
        </w:rPr>
        <w:t xml:space="preserve">元”为单位，保留整数，否则作无效标处理。 </w:t>
      </w:r>
    </w:p>
    <w:p w14:paraId="5C942447">
      <w:pPr>
        <w:pStyle w:val="8"/>
        <w:tabs>
          <w:tab w:val="left" w:pos="574"/>
        </w:tabs>
        <w:adjustRightInd w:val="0"/>
        <w:spacing w:after="0" w:line="400" w:lineRule="exact"/>
        <w:ind w:left="0" w:leftChars="0" w:firstLine="480" w:firstLineChars="200"/>
        <w:jc w:val="left"/>
        <w:rPr>
          <w:rFonts w:hint="eastAsia"/>
        </w:rPr>
      </w:pPr>
      <w:r>
        <w:rPr>
          <w:rFonts w:hint="eastAsia"/>
        </w:rPr>
        <w:t>2.10本项目商品砼运距、土方石方</w:t>
      </w:r>
      <w:r>
        <w:rPr>
          <w:rFonts w:hint="eastAsia"/>
          <w:lang w:val="zh-CN"/>
        </w:rPr>
        <w:t>外运运距</w:t>
      </w:r>
      <w:r>
        <w:rPr>
          <w:rFonts w:hint="eastAsia"/>
        </w:rPr>
        <w:t>由投标单位报价时自行考虑，结算时不再调整。</w:t>
      </w:r>
    </w:p>
    <w:p w14:paraId="69EDF8FD">
      <w:pPr>
        <w:pStyle w:val="8"/>
        <w:tabs>
          <w:tab w:val="left" w:pos="574"/>
        </w:tabs>
        <w:adjustRightInd w:val="0"/>
        <w:spacing w:after="0" w:line="400" w:lineRule="exact"/>
        <w:jc w:val="left"/>
        <w:rPr>
          <w:b/>
          <w:bCs/>
        </w:rPr>
      </w:pPr>
      <w:r>
        <w:rPr>
          <w:rFonts w:hint="eastAsia"/>
          <w:b/>
          <w:bCs/>
        </w:rPr>
        <w:t>2.11</w:t>
      </w:r>
      <w:r>
        <w:rPr>
          <w:rFonts w:hint="eastAsia"/>
          <w:b/>
          <w:bCs/>
          <w:lang w:val="en-US" w:eastAsia="zh-CN"/>
        </w:rPr>
        <w:t>本项目中雨水回收池（100T）综合单价</w:t>
      </w:r>
      <w:r>
        <w:rPr>
          <w:rFonts w:hint="eastAsia"/>
          <w:b/>
          <w:bCs/>
        </w:rPr>
        <w:t>暂估为</w:t>
      </w:r>
      <w:r>
        <w:rPr>
          <w:rFonts w:hint="eastAsia"/>
          <w:b/>
          <w:bCs/>
          <w:lang w:val="en-US" w:eastAsia="zh-CN"/>
        </w:rPr>
        <w:t>85000元/个，合计170000元；雨水回收池（60T）综合单价</w:t>
      </w:r>
      <w:r>
        <w:rPr>
          <w:rFonts w:hint="eastAsia"/>
          <w:b/>
          <w:bCs/>
        </w:rPr>
        <w:t>暂估为</w:t>
      </w:r>
      <w:r>
        <w:rPr>
          <w:rFonts w:hint="eastAsia"/>
          <w:b/>
          <w:bCs/>
          <w:lang w:val="en-US" w:eastAsia="zh-CN"/>
        </w:rPr>
        <w:t>60000元/个</w:t>
      </w:r>
      <w:r>
        <w:rPr>
          <w:rFonts w:hint="eastAsia"/>
          <w:b/>
          <w:bCs/>
        </w:rPr>
        <w:t>，</w:t>
      </w:r>
      <w:r>
        <w:rPr>
          <w:rFonts w:hint="eastAsia"/>
          <w:b/>
          <w:bCs/>
          <w:lang w:val="en-US" w:eastAsia="zh-CN"/>
        </w:rPr>
        <w:t>合计300000元。</w:t>
      </w:r>
      <w:r>
        <w:rPr>
          <w:rFonts w:hint="eastAsia"/>
          <w:b/>
          <w:bCs/>
        </w:rPr>
        <w:t>投标人报价时，不得更改，否则作无效标处理。</w:t>
      </w:r>
      <w:r>
        <w:rPr>
          <w:rFonts w:hint="eastAsia"/>
          <w:b/>
          <w:bCs/>
          <w:lang w:val="zh-CN"/>
        </w:rPr>
        <w:t>结算时按实际发生签证为准；</w:t>
      </w:r>
    </w:p>
    <w:p w14:paraId="33FD287A">
      <w:pPr>
        <w:pStyle w:val="8"/>
        <w:tabs>
          <w:tab w:val="left" w:pos="574"/>
        </w:tabs>
        <w:adjustRightInd w:val="0"/>
        <w:spacing w:after="0" w:line="400" w:lineRule="exact"/>
        <w:jc w:val="left"/>
        <w:rPr>
          <w:rFonts w:hint="eastAsia"/>
        </w:rPr>
      </w:pPr>
      <w:r>
        <w:t>2.</w:t>
      </w:r>
      <w:r>
        <w:rPr>
          <w:rFonts w:hint="eastAsia"/>
        </w:rPr>
        <w:t>12</w:t>
      </w:r>
      <w:r>
        <w:t xml:space="preserve">投标单位报价时应根据本项目施工图纸、项目清单描述，结合清单计价规范相关内容，综合考虑后自主报价。 </w:t>
      </w:r>
    </w:p>
    <w:p w14:paraId="2BAE6D69">
      <w:pPr>
        <w:pStyle w:val="20"/>
      </w:pPr>
    </w:p>
    <w:p w14:paraId="11D68DF9">
      <w:pPr>
        <w:pStyle w:val="27"/>
        <w:spacing w:line="440" w:lineRule="exact"/>
        <w:jc w:val="center"/>
        <w:outlineLvl w:val="9"/>
        <w:rPr>
          <w:highlight w:val="none"/>
        </w:rPr>
      </w:pPr>
      <w:bookmarkStart w:id="696" w:name="_Toc288556307"/>
      <w:bookmarkStart w:id="697" w:name="_Toc27218"/>
      <w:bookmarkStart w:id="698" w:name="_Toc394573952"/>
      <w:bookmarkStart w:id="699" w:name="_Toc372899882"/>
      <w:r>
        <w:rPr>
          <w:highlight w:val="none"/>
        </w:rPr>
        <w:t>3. 工程量清单与计价表</w:t>
      </w:r>
      <w:bookmarkEnd w:id="696"/>
      <w:bookmarkEnd w:id="697"/>
      <w:bookmarkEnd w:id="698"/>
      <w:bookmarkEnd w:id="699"/>
    </w:p>
    <w:p w14:paraId="7B7F9D4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outlineLvl w:val="9"/>
        <w:rPr>
          <w:color w:val="auto"/>
          <w:highlight w:val="none"/>
        </w:rPr>
      </w:pPr>
      <w:r>
        <w:rPr>
          <w:rFonts w:hint="eastAsia"/>
          <w:highlight w:val="none"/>
        </w:rPr>
        <w:t>3.1</w:t>
      </w:r>
      <w:r>
        <w:rPr>
          <w:highlight w:val="none"/>
        </w:rPr>
        <w:t>、</w:t>
      </w:r>
      <w:r>
        <w:rPr>
          <w:rFonts w:hint="eastAsia"/>
          <w:highlight w:val="none"/>
        </w:rPr>
        <w:t>工程量清</w:t>
      </w:r>
      <w:r>
        <w:rPr>
          <w:rFonts w:hint="eastAsia"/>
          <w:color w:val="auto"/>
          <w:highlight w:val="none"/>
        </w:rPr>
        <w:t>单：详见后缀名为“.招标文件”的电子招标文件。</w:t>
      </w:r>
    </w:p>
    <w:p w14:paraId="324588EB">
      <w:pPr>
        <w:pStyle w:val="8"/>
        <w:keepNext w:val="0"/>
        <w:keepLines w:val="0"/>
        <w:pageBreakBefore w:val="0"/>
        <w:widowControl w:val="0"/>
        <w:kinsoku/>
        <w:wordWrap/>
        <w:overflowPunct/>
        <w:topLinePunct w:val="0"/>
        <w:autoSpaceDE w:val="0"/>
        <w:autoSpaceDN w:val="0"/>
        <w:bidi w:val="0"/>
        <w:adjustRightInd w:val="0"/>
        <w:snapToGrid/>
        <w:ind w:left="0" w:firstLine="480" w:firstLineChars="200"/>
        <w:textAlignment w:val="auto"/>
        <w:outlineLvl w:val="9"/>
        <w:rPr>
          <w:color w:val="auto"/>
          <w:highlight w:val="none"/>
        </w:rPr>
      </w:pPr>
      <w:r>
        <w:rPr>
          <w:rFonts w:hint="eastAsia"/>
          <w:color w:val="auto"/>
          <w:highlight w:val="none"/>
        </w:rPr>
        <w:t>3.2、工程量清单编制说明</w:t>
      </w:r>
    </w:p>
    <w:bookmarkEnd w:id="685"/>
    <w:bookmarkEnd w:id="686"/>
    <w:bookmarkEnd w:id="687"/>
    <w:p w14:paraId="28BBB4A4">
      <w:pPr>
        <w:bidi w:val="0"/>
        <w:jc w:val="center"/>
        <w:rPr>
          <w:rFonts w:hint="eastAsia"/>
          <w:b/>
          <w:bCs/>
          <w:sz w:val="36"/>
          <w:szCs w:val="36"/>
          <w:highlight w:val="none"/>
          <w:lang w:eastAsia="zh-CN"/>
        </w:rPr>
      </w:pPr>
    </w:p>
    <w:p w14:paraId="59758E65">
      <w:pPr>
        <w:bidi w:val="0"/>
        <w:jc w:val="center"/>
        <w:rPr>
          <w:rFonts w:hint="eastAsia"/>
          <w:b/>
          <w:bCs/>
          <w:sz w:val="36"/>
          <w:szCs w:val="36"/>
          <w:highlight w:val="none"/>
          <w:lang w:eastAsia="zh-CN"/>
        </w:rPr>
      </w:pPr>
    </w:p>
    <w:p w14:paraId="12695473">
      <w:pPr>
        <w:pStyle w:val="8"/>
        <w:rPr>
          <w:rFonts w:hint="eastAsia"/>
          <w:b/>
          <w:bCs/>
          <w:sz w:val="36"/>
          <w:szCs w:val="36"/>
          <w:highlight w:val="none"/>
          <w:lang w:eastAsia="zh-CN"/>
        </w:rPr>
      </w:pPr>
    </w:p>
    <w:p w14:paraId="0EE413DA">
      <w:pPr>
        <w:pStyle w:val="20"/>
        <w:rPr>
          <w:rFonts w:hint="eastAsia"/>
          <w:b/>
          <w:bCs/>
          <w:sz w:val="36"/>
          <w:szCs w:val="36"/>
          <w:highlight w:val="none"/>
          <w:lang w:eastAsia="zh-CN"/>
        </w:rPr>
      </w:pPr>
    </w:p>
    <w:p w14:paraId="0C2C8FA0">
      <w:pPr>
        <w:rPr>
          <w:rFonts w:hint="eastAsia"/>
          <w:b/>
          <w:bCs/>
          <w:sz w:val="36"/>
          <w:szCs w:val="36"/>
          <w:highlight w:val="none"/>
          <w:lang w:eastAsia="zh-CN"/>
        </w:rPr>
      </w:pPr>
    </w:p>
    <w:p w14:paraId="06FEE70B">
      <w:pPr>
        <w:pStyle w:val="8"/>
        <w:rPr>
          <w:rFonts w:hint="eastAsia"/>
          <w:b/>
          <w:bCs/>
          <w:sz w:val="36"/>
          <w:szCs w:val="36"/>
          <w:highlight w:val="none"/>
          <w:lang w:eastAsia="zh-CN"/>
        </w:rPr>
      </w:pPr>
    </w:p>
    <w:p w14:paraId="68F8A5BF">
      <w:pPr>
        <w:pStyle w:val="20"/>
        <w:rPr>
          <w:rFonts w:hint="eastAsia"/>
          <w:b/>
          <w:bCs/>
          <w:sz w:val="36"/>
          <w:szCs w:val="36"/>
          <w:highlight w:val="none"/>
          <w:lang w:eastAsia="zh-CN"/>
        </w:rPr>
      </w:pPr>
    </w:p>
    <w:p w14:paraId="6621D7A2">
      <w:pPr>
        <w:rPr>
          <w:rFonts w:hint="eastAsia"/>
          <w:b/>
          <w:bCs/>
          <w:sz w:val="36"/>
          <w:szCs w:val="36"/>
          <w:highlight w:val="none"/>
          <w:lang w:eastAsia="zh-CN"/>
        </w:rPr>
      </w:pPr>
    </w:p>
    <w:p w14:paraId="4E0050E3">
      <w:pPr>
        <w:pStyle w:val="8"/>
        <w:rPr>
          <w:rFonts w:hint="eastAsia"/>
          <w:b/>
          <w:bCs/>
          <w:sz w:val="36"/>
          <w:szCs w:val="36"/>
          <w:highlight w:val="none"/>
          <w:lang w:eastAsia="zh-CN"/>
        </w:rPr>
      </w:pPr>
    </w:p>
    <w:p w14:paraId="3F5B55E3">
      <w:pPr>
        <w:pStyle w:val="20"/>
        <w:rPr>
          <w:rFonts w:hint="eastAsia"/>
          <w:b/>
          <w:bCs/>
          <w:sz w:val="36"/>
          <w:szCs w:val="36"/>
          <w:highlight w:val="none"/>
          <w:lang w:eastAsia="zh-CN"/>
        </w:rPr>
      </w:pPr>
    </w:p>
    <w:p w14:paraId="2B368567">
      <w:pPr>
        <w:rPr>
          <w:rFonts w:hint="eastAsia"/>
          <w:b/>
          <w:bCs/>
          <w:sz w:val="36"/>
          <w:szCs w:val="36"/>
          <w:highlight w:val="none"/>
          <w:lang w:eastAsia="zh-CN"/>
        </w:rPr>
      </w:pPr>
    </w:p>
    <w:p w14:paraId="4D424DB7">
      <w:pPr>
        <w:pStyle w:val="8"/>
        <w:rPr>
          <w:rFonts w:hint="eastAsia"/>
          <w:b/>
          <w:bCs/>
          <w:sz w:val="36"/>
          <w:szCs w:val="36"/>
          <w:highlight w:val="none"/>
          <w:lang w:eastAsia="zh-CN"/>
        </w:rPr>
      </w:pPr>
    </w:p>
    <w:p w14:paraId="1A829567">
      <w:pPr>
        <w:pStyle w:val="20"/>
        <w:rPr>
          <w:rFonts w:hint="eastAsia"/>
          <w:b/>
          <w:bCs/>
          <w:sz w:val="36"/>
          <w:szCs w:val="36"/>
          <w:highlight w:val="none"/>
          <w:lang w:eastAsia="zh-CN"/>
        </w:rPr>
      </w:pPr>
    </w:p>
    <w:p w14:paraId="753CFA5D">
      <w:pPr>
        <w:rPr>
          <w:rFonts w:hint="eastAsia"/>
          <w:b/>
          <w:bCs/>
          <w:sz w:val="36"/>
          <w:szCs w:val="36"/>
          <w:highlight w:val="none"/>
          <w:lang w:eastAsia="zh-CN"/>
        </w:rPr>
      </w:pPr>
    </w:p>
    <w:p w14:paraId="71768AB7">
      <w:pPr>
        <w:pStyle w:val="8"/>
        <w:rPr>
          <w:rFonts w:hint="eastAsia"/>
          <w:b/>
          <w:bCs/>
          <w:sz w:val="36"/>
          <w:szCs w:val="36"/>
          <w:highlight w:val="none"/>
          <w:lang w:eastAsia="zh-CN"/>
        </w:rPr>
      </w:pPr>
    </w:p>
    <w:p w14:paraId="08AB08C6">
      <w:pPr>
        <w:pStyle w:val="20"/>
        <w:rPr>
          <w:rFonts w:hint="eastAsia"/>
          <w:b/>
          <w:bCs/>
          <w:sz w:val="36"/>
          <w:szCs w:val="36"/>
          <w:highlight w:val="none"/>
          <w:lang w:eastAsia="zh-CN"/>
        </w:rPr>
      </w:pPr>
    </w:p>
    <w:p w14:paraId="5DA7ACE9">
      <w:pPr>
        <w:rPr>
          <w:rFonts w:hint="eastAsia"/>
          <w:b/>
          <w:bCs/>
          <w:sz w:val="36"/>
          <w:szCs w:val="36"/>
          <w:highlight w:val="none"/>
          <w:lang w:eastAsia="zh-CN"/>
        </w:rPr>
      </w:pPr>
    </w:p>
    <w:p w14:paraId="0946A588">
      <w:pPr>
        <w:pStyle w:val="8"/>
        <w:rPr>
          <w:rFonts w:hint="eastAsia"/>
          <w:b/>
          <w:bCs/>
          <w:sz w:val="36"/>
          <w:szCs w:val="36"/>
          <w:highlight w:val="none"/>
          <w:lang w:eastAsia="zh-CN"/>
        </w:rPr>
      </w:pPr>
    </w:p>
    <w:p w14:paraId="1A96EE38">
      <w:pPr>
        <w:pStyle w:val="20"/>
        <w:rPr>
          <w:rFonts w:hint="eastAsia"/>
          <w:b/>
          <w:bCs/>
          <w:sz w:val="36"/>
          <w:szCs w:val="36"/>
          <w:highlight w:val="none"/>
          <w:lang w:eastAsia="zh-CN"/>
        </w:rPr>
      </w:pPr>
    </w:p>
    <w:p w14:paraId="7903CCE9">
      <w:pPr>
        <w:rPr>
          <w:rFonts w:hint="eastAsia"/>
          <w:b/>
          <w:bCs/>
          <w:sz w:val="36"/>
          <w:szCs w:val="36"/>
          <w:highlight w:val="none"/>
          <w:lang w:eastAsia="zh-CN"/>
        </w:rPr>
      </w:pPr>
    </w:p>
    <w:p w14:paraId="19A6DAAD">
      <w:pPr>
        <w:pStyle w:val="8"/>
        <w:rPr>
          <w:rFonts w:hint="eastAsia"/>
          <w:b/>
          <w:bCs/>
          <w:sz w:val="36"/>
          <w:szCs w:val="36"/>
          <w:highlight w:val="none"/>
          <w:lang w:eastAsia="zh-CN"/>
        </w:rPr>
      </w:pPr>
    </w:p>
    <w:p w14:paraId="5E80E166">
      <w:pPr>
        <w:pStyle w:val="20"/>
        <w:rPr>
          <w:rFonts w:hint="eastAsia"/>
          <w:b/>
          <w:bCs/>
          <w:sz w:val="36"/>
          <w:szCs w:val="36"/>
          <w:highlight w:val="none"/>
          <w:lang w:eastAsia="zh-CN"/>
        </w:rPr>
      </w:pPr>
    </w:p>
    <w:p w14:paraId="3504A827">
      <w:pPr>
        <w:rPr>
          <w:rFonts w:hint="eastAsia"/>
          <w:lang w:eastAsia="zh-CN"/>
        </w:rPr>
      </w:pPr>
    </w:p>
    <w:p w14:paraId="56803C55">
      <w:pPr>
        <w:bidi w:val="0"/>
        <w:jc w:val="center"/>
        <w:rPr>
          <w:rFonts w:hint="eastAsia"/>
          <w:b/>
          <w:bCs/>
          <w:sz w:val="36"/>
          <w:szCs w:val="36"/>
          <w:highlight w:val="none"/>
          <w:lang w:eastAsia="zh-CN"/>
        </w:rPr>
      </w:pPr>
    </w:p>
    <w:p w14:paraId="1643ED21">
      <w:pPr>
        <w:bidi w:val="0"/>
        <w:jc w:val="center"/>
        <w:rPr>
          <w:rFonts w:hint="eastAsia"/>
          <w:b/>
          <w:bCs/>
          <w:sz w:val="36"/>
          <w:szCs w:val="36"/>
          <w:highlight w:val="none"/>
          <w:lang w:eastAsia="zh-CN"/>
        </w:rPr>
      </w:pPr>
    </w:p>
    <w:p w14:paraId="64EFD799">
      <w:pPr>
        <w:pageBreakBefore w:val="0"/>
        <w:widowControl w:val="0"/>
        <w:kinsoku/>
        <w:wordWrap/>
        <w:overflowPunct/>
        <w:topLinePunct w:val="0"/>
        <w:bidi w:val="0"/>
        <w:spacing w:line="360" w:lineRule="auto"/>
        <w:jc w:val="center"/>
        <w:textAlignment w:val="auto"/>
        <w:rPr>
          <w:b/>
          <w:bCs/>
          <w:sz w:val="36"/>
          <w:szCs w:val="36"/>
          <w:highlight w:val="none"/>
          <w:lang w:eastAsia="zh-CN"/>
        </w:rPr>
      </w:pPr>
      <w:r>
        <w:rPr>
          <w:rFonts w:hint="eastAsia"/>
          <w:b/>
          <w:bCs/>
          <w:sz w:val="36"/>
          <w:szCs w:val="36"/>
          <w:highlight w:val="none"/>
          <w:lang w:eastAsia="zh-CN"/>
        </w:rPr>
        <w:t>三门县东部新区泰康路周边提升工程</w:t>
      </w:r>
    </w:p>
    <w:p w14:paraId="6E7D2ECD">
      <w:pPr>
        <w:pageBreakBefore w:val="0"/>
        <w:widowControl w:val="0"/>
        <w:kinsoku/>
        <w:wordWrap/>
        <w:overflowPunct/>
        <w:topLinePunct w:val="0"/>
        <w:bidi w:val="0"/>
        <w:spacing w:line="360" w:lineRule="auto"/>
        <w:jc w:val="center"/>
        <w:textAlignment w:val="auto"/>
        <w:rPr>
          <w:rFonts w:hint="eastAsia"/>
          <w:b/>
          <w:bCs/>
          <w:sz w:val="36"/>
          <w:szCs w:val="36"/>
          <w:highlight w:val="none"/>
          <w:lang w:eastAsia="zh-CN"/>
        </w:rPr>
      </w:pPr>
      <w:r>
        <w:rPr>
          <w:rFonts w:hint="eastAsia"/>
          <w:b/>
          <w:bCs/>
          <w:sz w:val="36"/>
          <w:szCs w:val="36"/>
          <w:highlight w:val="none"/>
          <w:lang w:eastAsia="zh-CN"/>
        </w:rPr>
        <w:t>工程量清单编制说明</w:t>
      </w:r>
    </w:p>
    <w:p w14:paraId="46FCC243">
      <w:pPr>
        <w:keepNext w:val="0"/>
        <w:keepLines w:val="0"/>
        <w:pageBreakBefore w:val="0"/>
        <w:widowControl w:val="0"/>
        <w:numPr>
          <w:ilvl w:val="0"/>
          <w:numId w:val="77"/>
        </w:numPr>
        <w:kinsoku/>
        <w:wordWrap/>
        <w:overflowPunct/>
        <w:topLinePunct w:val="0"/>
        <w:autoSpaceDE w:val="0"/>
        <w:autoSpaceDN w:val="0"/>
        <w:bidi w:val="0"/>
        <w:adjustRightInd w:val="0"/>
        <w:snapToGrid/>
        <w:spacing w:line="360" w:lineRule="auto"/>
        <w:ind w:left="0" w:leftChars="0" w:firstLine="420" w:firstLineChars="0"/>
        <w:textAlignment w:val="auto"/>
        <w:rPr>
          <w:rFonts w:hint="eastAsia" w:ascii="宋体" w:hAnsi="宋体" w:eastAsia="宋体" w:cs="宋体"/>
          <w:b/>
          <w:sz w:val="24"/>
        </w:rPr>
      </w:pPr>
      <w:bookmarkStart w:id="700" w:name="_Hlk67002757"/>
      <w:r>
        <w:rPr>
          <w:rFonts w:hint="eastAsia" w:ascii="宋体" w:hAnsi="宋体" w:eastAsia="宋体" w:cs="宋体"/>
          <w:b/>
          <w:sz w:val="24"/>
        </w:rPr>
        <w:t>基本情况</w:t>
      </w:r>
    </w:p>
    <w:p w14:paraId="1747FC72">
      <w:pPr>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该工程由</w:t>
      </w:r>
      <w:r>
        <w:rPr>
          <w:rFonts w:hint="eastAsia" w:ascii="宋体" w:hAnsi="宋体" w:cs="宋体"/>
          <w:color w:val="auto"/>
          <w:kern w:val="0"/>
          <w:sz w:val="24"/>
          <w:lang w:val="en-US" w:eastAsia="zh-CN"/>
        </w:rPr>
        <w:t>浙江三门经济开发区管理委员会</w:t>
      </w:r>
      <w:r>
        <w:rPr>
          <w:rFonts w:hint="eastAsia" w:ascii="宋体" w:hAnsi="宋体" w:eastAsia="宋体" w:cs="宋体"/>
          <w:color w:val="auto"/>
          <w:kern w:val="0"/>
          <w:sz w:val="24"/>
          <w:lang w:val="en-US" w:eastAsia="zh-CN"/>
        </w:rPr>
        <w:t>负责建设。项目区位于三门</w:t>
      </w:r>
      <w:r>
        <w:rPr>
          <w:rFonts w:hint="eastAsia" w:ascii="宋体" w:hAnsi="宋体" w:eastAsia="宋体" w:cs="宋体"/>
          <w:color w:val="auto"/>
          <w:kern w:val="0"/>
          <w:sz w:val="24"/>
          <w:u w:val="none"/>
          <w:lang w:val="en-US" w:eastAsia="zh-CN"/>
        </w:rPr>
        <w:t>县。</w:t>
      </w:r>
      <w:r>
        <w:rPr>
          <w:rFonts w:hint="eastAsia" w:ascii="宋体" w:hAnsi="宋体" w:cs="宋体"/>
          <w:b w:val="0"/>
          <w:bCs w:val="0"/>
          <w:color w:val="auto"/>
          <w:sz w:val="24"/>
          <w:szCs w:val="24"/>
          <w:highlight w:val="none"/>
          <w:u w:val="none"/>
          <w:lang w:val="en-US" w:eastAsia="zh-CN" w:bidi="ar-SA"/>
        </w:rPr>
        <w:t>工程建设内容为施工图范围内的绿化、景观、市政、排水、给水、景观照明等工程</w:t>
      </w:r>
      <w:r>
        <w:rPr>
          <w:rFonts w:hint="eastAsia" w:ascii="宋体" w:hAnsi="宋体" w:eastAsia="宋体" w:cs="宋体"/>
          <w:b w:val="0"/>
          <w:bCs w:val="0"/>
          <w:color w:val="auto"/>
          <w:sz w:val="24"/>
          <w:szCs w:val="24"/>
          <w:highlight w:val="none"/>
          <w:u w:val="none"/>
          <w:lang w:val="en-US" w:eastAsia="zh-CN" w:bidi="ar-SA"/>
        </w:rPr>
        <w:t>。</w:t>
      </w:r>
    </w:p>
    <w:p w14:paraId="06034AF2">
      <w:pPr>
        <w:keepNext w:val="0"/>
        <w:keepLines w:val="0"/>
        <w:pageBreakBefore w:val="0"/>
        <w:widowControl w:val="0"/>
        <w:numPr>
          <w:ilvl w:val="0"/>
          <w:numId w:val="77"/>
        </w:numPr>
        <w:kinsoku/>
        <w:wordWrap/>
        <w:overflowPunct/>
        <w:topLinePunct w:val="0"/>
        <w:autoSpaceDE w:val="0"/>
        <w:autoSpaceDN w:val="0"/>
        <w:bidi w:val="0"/>
        <w:adjustRightInd w:val="0"/>
        <w:snapToGrid/>
        <w:spacing w:line="360" w:lineRule="auto"/>
        <w:ind w:left="0" w:leftChars="0" w:firstLine="420" w:firstLineChars="0"/>
        <w:textAlignment w:val="auto"/>
        <w:rPr>
          <w:rFonts w:hint="eastAsia" w:ascii="宋体" w:hAnsi="宋体" w:eastAsia="宋体" w:cs="宋体"/>
          <w:b/>
          <w:highlight w:val="none"/>
        </w:rPr>
      </w:pPr>
      <w:r>
        <w:rPr>
          <w:rFonts w:hint="eastAsia" w:ascii="宋体" w:hAnsi="宋体" w:eastAsia="宋体" w:cs="宋体"/>
          <w:b/>
          <w:highlight w:val="none"/>
        </w:rPr>
        <w:t>编制依据</w:t>
      </w:r>
    </w:p>
    <w:p w14:paraId="42977194">
      <w:pPr>
        <w:pageBreakBefore w:val="0"/>
        <w:widowControl w:val="0"/>
        <w:kinsoku/>
        <w:wordWrap/>
        <w:overflowPunct/>
        <w:topLinePunct w:val="0"/>
        <w:bidi w:val="0"/>
        <w:spacing w:line="360" w:lineRule="auto"/>
        <w:ind w:firstLine="480" w:firstLineChars="200"/>
        <w:textAlignment w:val="auto"/>
        <w:rPr>
          <w:rFonts w:hint="eastAsia" w:ascii="宋体" w:hAnsi="宋体"/>
          <w:szCs w:val="21"/>
          <w:lang w:val="zh-CN"/>
        </w:rPr>
      </w:pPr>
      <w:r>
        <w:rPr>
          <w:rFonts w:hint="eastAsia" w:ascii="宋体" w:hAnsi="宋体"/>
          <w:szCs w:val="21"/>
          <w:lang w:val="zh-CN"/>
        </w:rPr>
        <w:t>1、建设单位提供的施工图；</w:t>
      </w:r>
    </w:p>
    <w:p w14:paraId="60C67D40">
      <w:pPr>
        <w:pageBreakBefore w:val="0"/>
        <w:widowControl w:val="0"/>
        <w:kinsoku/>
        <w:wordWrap/>
        <w:overflowPunct/>
        <w:topLinePunct w:val="0"/>
        <w:bidi w:val="0"/>
        <w:spacing w:line="360" w:lineRule="auto"/>
        <w:ind w:firstLine="480" w:firstLineChars="200"/>
        <w:textAlignment w:val="auto"/>
        <w:rPr>
          <w:rFonts w:ascii="宋体" w:hAnsi="宋体" w:cs="宋体"/>
          <w:szCs w:val="21"/>
        </w:rPr>
      </w:pPr>
      <w:r>
        <w:rPr>
          <w:rFonts w:hint="eastAsia" w:ascii="宋体" w:hAnsi="宋体"/>
          <w:szCs w:val="21"/>
          <w:lang w:val="zh-CN"/>
        </w:rPr>
        <w:t>2、</w:t>
      </w:r>
      <w:r>
        <w:rPr>
          <w:rFonts w:hint="eastAsia" w:ascii="宋体" w:hAnsi="宋体"/>
          <w:kern w:val="0"/>
          <w:szCs w:val="21"/>
        </w:rPr>
        <w:t>《浙江省建设工程计价规则》（2018版）</w:t>
      </w:r>
      <w:r>
        <w:rPr>
          <w:rFonts w:hint="eastAsia" w:ascii="宋体" w:hAnsi="宋体"/>
          <w:kern w:val="0"/>
          <w:szCs w:val="21"/>
          <w:lang w:eastAsia="zh-CN"/>
        </w:rPr>
        <w:t>、</w:t>
      </w:r>
      <w:r>
        <w:rPr>
          <w:rFonts w:hint="eastAsia" w:ascii="宋体" w:hAnsi="宋体"/>
          <w:szCs w:val="21"/>
        </w:rPr>
        <w:t>《浙江省房屋建筑与装饰工程预算定额》（2018版）、</w:t>
      </w:r>
      <w:r>
        <w:rPr>
          <w:rFonts w:hint="eastAsia" w:ascii="宋体" w:hAnsi="宋体"/>
          <w:kern w:val="0"/>
          <w:szCs w:val="21"/>
        </w:rPr>
        <w:t>《浙江省市政工程预算定额》（2018版）、《浙江省园林绿化及仿古建筑工程预算定额》（2018版）、《市政工程工程量计算规范》 GB50857-2013、《房屋建筑与装饰工程工程量计算规范》 GB50854-2013、《园林绿化工程工程量计算规范》 GB50858-2013；</w:t>
      </w:r>
      <w:r>
        <w:rPr>
          <w:rFonts w:hint="eastAsia" w:ascii="宋体" w:hAnsi="宋体"/>
          <w:szCs w:val="21"/>
        </w:rPr>
        <w:t>《浙江省通用安装工程预算定额》（2018版）</w:t>
      </w:r>
      <w:r>
        <w:rPr>
          <w:rFonts w:hint="eastAsia" w:ascii="宋体" w:hAnsi="宋体"/>
          <w:szCs w:val="21"/>
          <w:lang w:eastAsia="zh-CN"/>
        </w:rPr>
        <w:t>、</w:t>
      </w:r>
      <w:r>
        <w:rPr>
          <w:rFonts w:ascii="宋体" w:hAnsi="宋体"/>
          <w:szCs w:val="21"/>
        </w:rPr>
        <w:t>《通用安装工程工程量计算规范》GB50856-2013</w:t>
      </w:r>
      <w:r>
        <w:rPr>
          <w:rFonts w:hint="eastAsia" w:ascii="宋体" w:hAnsi="宋体"/>
          <w:szCs w:val="21"/>
          <w:lang w:val="zh-CN"/>
        </w:rPr>
        <w:t>以及相关补充规定与综合解释等；</w:t>
      </w:r>
    </w:p>
    <w:p w14:paraId="6D3EB93F">
      <w:pPr>
        <w:pageBreakBefore w:val="0"/>
        <w:widowControl w:val="0"/>
        <w:kinsoku/>
        <w:wordWrap/>
        <w:overflowPunct/>
        <w:topLinePunct w:val="0"/>
        <w:autoSpaceDE w:val="0"/>
        <w:autoSpaceDN w:val="0"/>
        <w:bidi w:val="0"/>
        <w:adjustRightInd w:val="0"/>
        <w:snapToGrid w:val="0"/>
        <w:spacing w:line="360" w:lineRule="auto"/>
        <w:ind w:firstLine="240" w:firstLineChars="100"/>
        <w:textAlignment w:val="auto"/>
        <w:rPr>
          <w:rFonts w:ascii="宋体" w:hAnsi="宋体" w:cs="宋体"/>
          <w:szCs w:val="21"/>
        </w:rPr>
      </w:pPr>
      <w:r>
        <w:rPr>
          <w:rFonts w:hint="eastAsia" w:ascii="宋体" w:hAnsi="宋体" w:cs="宋体"/>
          <w:szCs w:val="21"/>
        </w:rPr>
        <w:t>3、造价管理部门有关文件、标准、规范、解释等。</w:t>
      </w:r>
    </w:p>
    <w:p w14:paraId="29627B9F">
      <w:pPr>
        <w:pageBreakBefore w:val="0"/>
        <w:widowControl w:val="0"/>
        <w:kinsoku/>
        <w:wordWrap/>
        <w:overflowPunct/>
        <w:topLinePunct w:val="0"/>
        <w:bidi w:val="0"/>
        <w:adjustRightInd w:val="0"/>
        <w:snapToGrid w:val="0"/>
        <w:spacing w:line="360" w:lineRule="auto"/>
        <w:ind w:firstLine="241" w:firstLineChars="100"/>
        <w:textAlignment w:val="auto"/>
        <w:rPr>
          <w:rFonts w:hint="eastAsia" w:ascii="宋体" w:hAnsi="宋体"/>
          <w:b/>
          <w:bCs/>
          <w:szCs w:val="21"/>
        </w:rPr>
      </w:pPr>
      <w:r>
        <w:rPr>
          <w:rFonts w:hint="eastAsia" w:ascii="宋体" w:hAnsi="宋体"/>
          <w:b/>
          <w:bCs/>
          <w:szCs w:val="21"/>
        </w:rPr>
        <w:t>三、编制说明</w:t>
      </w:r>
    </w:p>
    <w:p w14:paraId="32854B26">
      <w:pPr>
        <w:pageBreakBefore w:val="0"/>
        <w:widowControl w:val="0"/>
        <w:kinsoku/>
        <w:wordWrap/>
        <w:overflowPunct/>
        <w:topLinePunct w:val="0"/>
        <w:bidi w:val="0"/>
        <w:spacing w:line="360" w:lineRule="auto"/>
        <w:ind w:firstLine="480" w:firstLineChars="200"/>
        <w:textAlignment w:val="auto"/>
        <w:rPr>
          <w:rFonts w:hint="eastAsia" w:ascii="宋体" w:hAnsi="宋体"/>
          <w:szCs w:val="21"/>
          <w:lang w:val="zh-CN"/>
        </w:rPr>
      </w:pPr>
      <w:r>
        <w:rPr>
          <w:rFonts w:hint="eastAsia" w:ascii="宋体" w:hAnsi="宋体"/>
          <w:szCs w:val="21"/>
          <w:lang w:val="zh-CN"/>
        </w:rPr>
        <w:t>1.清单项目特征仅描述项目主要特征，项目的详细特征应参照设计图纸；</w:t>
      </w:r>
    </w:p>
    <w:p w14:paraId="7EB87B51">
      <w:pPr>
        <w:pageBreakBefore w:val="0"/>
        <w:widowControl w:val="0"/>
        <w:kinsoku/>
        <w:wordWrap/>
        <w:overflowPunct/>
        <w:topLinePunct w:val="0"/>
        <w:bidi w:val="0"/>
        <w:spacing w:line="360" w:lineRule="auto"/>
        <w:ind w:firstLine="480" w:firstLineChars="200"/>
        <w:textAlignment w:val="auto"/>
        <w:rPr>
          <w:rFonts w:hint="eastAsia" w:ascii="宋体" w:hAnsi="宋体"/>
          <w:szCs w:val="21"/>
          <w:lang w:val="zh-CN"/>
        </w:rPr>
      </w:pPr>
      <w:r>
        <w:rPr>
          <w:rFonts w:hint="eastAsia" w:ascii="宋体" w:hAnsi="宋体"/>
          <w:szCs w:val="21"/>
          <w:lang w:val="zh-CN"/>
        </w:rPr>
        <w:t>2.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慎重报价；</w:t>
      </w:r>
    </w:p>
    <w:p w14:paraId="35FB2164">
      <w:pPr>
        <w:pageBreakBefore w:val="0"/>
        <w:widowControl w:val="0"/>
        <w:kinsoku/>
        <w:wordWrap/>
        <w:overflowPunct/>
        <w:topLinePunct w:val="0"/>
        <w:bidi w:val="0"/>
        <w:spacing w:line="360" w:lineRule="auto"/>
        <w:ind w:firstLine="480" w:firstLineChars="200"/>
        <w:textAlignment w:val="auto"/>
        <w:rPr>
          <w:rFonts w:hint="eastAsia" w:ascii="宋体" w:hAnsi="宋体"/>
          <w:szCs w:val="21"/>
          <w:lang w:val="zh-CN"/>
        </w:rPr>
      </w:pPr>
      <w:r>
        <w:rPr>
          <w:rFonts w:hint="eastAsia" w:ascii="宋体" w:hAnsi="宋体"/>
          <w:szCs w:val="21"/>
        </w:rPr>
        <w:t>3、</w:t>
      </w:r>
      <w:r>
        <w:rPr>
          <w:rFonts w:hint="eastAsia" w:ascii="宋体" w:hAnsi="宋体"/>
          <w:kern w:val="0"/>
          <w:szCs w:val="21"/>
        </w:rPr>
        <w:t>本工程土方类型按三类土，多余土方按场内就近回填考虑。</w:t>
      </w:r>
      <w:r>
        <w:rPr>
          <w:rFonts w:hint="eastAsia" w:ascii="宋体" w:hAnsi="宋体"/>
          <w:szCs w:val="21"/>
          <w:lang w:val="zh-CN"/>
        </w:rPr>
        <w:t xml:space="preserve"> </w:t>
      </w:r>
    </w:p>
    <w:p w14:paraId="7FB929E8">
      <w:pPr>
        <w:pageBreakBefore w:val="0"/>
        <w:widowControl w:val="0"/>
        <w:kinsoku/>
        <w:wordWrap/>
        <w:overflowPunct/>
        <w:topLinePunct w:val="0"/>
        <w:bidi w:val="0"/>
        <w:spacing w:line="360" w:lineRule="auto"/>
        <w:ind w:firstLine="480" w:firstLineChars="200"/>
        <w:textAlignment w:val="auto"/>
        <w:rPr>
          <w:rFonts w:hint="eastAsia" w:ascii="宋体" w:hAnsi="宋体"/>
          <w:szCs w:val="21"/>
          <w:lang w:val="zh-CN"/>
        </w:rPr>
      </w:pPr>
      <w:r>
        <w:rPr>
          <w:rFonts w:hint="eastAsia" w:ascii="宋体" w:hAnsi="宋体"/>
          <w:szCs w:val="21"/>
        </w:rPr>
        <w:t>4、</w:t>
      </w:r>
      <w:r>
        <w:rPr>
          <w:rFonts w:hint="eastAsia" w:ascii="宋体" w:hAnsi="宋体"/>
          <w:szCs w:val="21"/>
          <w:lang w:val="en-US" w:eastAsia="zh-CN"/>
        </w:rPr>
        <w:t>本项目</w:t>
      </w:r>
      <w:r>
        <w:rPr>
          <w:rFonts w:hint="eastAsia" w:ascii="宋体" w:hAnsi="宋体"/>
          <w:szCs w:val="21"/>
          <w:lang w:val="zh-CN"/>
        </w:rPr>
        <w:t>绿化养护期按一年计；</w:t>
      </w:r>
      <w:r>
        <w:rPr>
          <w:rFonts w:hint="eastAsia" w:ascii="宋体" w:hAnsi="宋体"/>
          <w:szCs w:val="21"/>
          <w:lang w:val="zh-CN"/>
        </w:rPr>
        <w:t xml:space="preserve">                                                                   </w:t>
      </w:r>
    </w:p>
    <w:p w14:paraId="1DACDBEC">
      <w:pPr>
        <w:pageBreakBefore w:val="0"/>
        <w:widowControl w:val="0"/>
        <w:kinsoku/>
        <w:wordWrap/>
        <w:overflowPunct/>
        <w:topLinePunct w:val="0"/>
        <w:bidi w:val="0"/>
        <w:spacing w:line="360" w:lineRule="auto"/>
        <w:ind w:firstLine="482" w:firstLineChars="200"/>
        <w:textAlignment w:val="auto"/>
        <w:rPr>
          <w:rFonts w:hint="eastAsia" w:ascii="宋体" w:hAnsi="宋体"/>
          <w:b/>
          <w:bCs/>
          <w:szCs w:val="21"/>
          <w:lang w:val="zh-CN"/>
        </w:rPr>
      </w:pPr>
      <w:r>
        <w:rPr>
          <w:rFonts w:hint="eastAsia" w:ascii="宋体" w:hAnsi="宋体"/>
          <w:b/>
          <w:bCs/>
          <w:szCs w:val="21"/>
          <w:lang w:val="en-US" w:eastAsia="zh-CN"/>
        </w:rPr>
        <w:t>5</w:t>
      </w:r>
      <w:r>
        <w:rPr>
          <w:rFonts w:hint="eastAsia" w:ascii="宋体" w:hAnsi="宋体"/>
          <w:b/>
          <w:bCs/>
          <w:szCs w:val="21"/>
          <w:lang w:val="zh-CN"/>
        </w:rPr>
        <w:t>、</w:t>
      </w:r>
      <w:r>
        <w:rPr>
          <w:rFonts w:hint="eastAsia" w:ascii="宋体" w:hAnsi="宋体"/>
          <w:b/>
          <w:bCs/>
          <w:szCs w:val="21"/>
          <w:lang w:val="en-US" w:eastAsia="zh-CN"/>
        </w:rPr>
        <w:t>本项目中雨水回收池（100T）综合单价</w:t>
      </w:r>
      <w:r>
        <w:rPr>
          <w:rFonts w:hint="eastAsia" w:ascii="宋体" w:hAnsi="宋体"/>
          <w:b/>
          <w:bCs/>
          <w:szCs w:val="21"/>
          <w:lang w:val="zh-CN"/>
        </w:rPr>
        <w:t>暂估为</w:t>
      </w:r>
      <w:r>
        <w:rPr>
          <w:rFonts w:hint="eastAsia" w:ascii="宋体" w:hAnsi="宋体"/>
          <w:b/>
          <w:bCs/>
          <w:szCs w:val="21"/>
          <w:lang w:val="en-US" w:eastAsia="zh-CN"/>
        </w:rPr>
        <w:t>85000元/个，合计170000元；雨水回收池（60T）综合单价</w:t>
      </w:r>
      <w:r>
        <w:rPr>
          <w:rFonts w:hint="eastAsia" w:ascii="宋体" w:hAnsi="宋体"/>
          <w:b/>
          <w:bCs/>
          <w:szCs w:val="21"/>
          <w:lang w:val="zh-CN"/>
        </w:rPr>
        <w:t>暂估为</w:t>
      </w:r>
      <w:r>
        <w:rPr>
          <w:rFonts w:hint="eastAsia" w:ascii="宋体" w:hAnsi="宋体"/>
          <w:b/>
          <w:bCs/>
          <w:szCs w:val="21"/>
          <w:lang w:val="en-US" w:eastAsia="zh-CN"/>
        </w:rPr>
        <w:t>60000元/个</w:t>
      </w:r>
      <w:r>
        <w:rPr>
          <w:rFonts w:hint="eastAsia" w:ascii="宋体" w:hAnsi="宋体"/>
          <w:b/>
          <w:bCs/>
          <w:szCs w:val="21"/>
          <w:lang w:val="zh-CN"/>
        </w:rPr>
        <w:t>，</w:t>
      </w:r>
      <w:r>
        <w:rPr>
          <w:rFonts w:hint="eastAsia" w:ascii="宋体" w:hAnsi="宋体"/>
          <w:b/>
          <w:bCs/>
          <w:szCs w:val="21"/>
          <w:lang w:val="en-US" w:eastAsia="zh-CN"/>
        </w:rPr>
        <w:t>合计300000元。</w:t>
      </w:r>
      <w:r>
        <w:rPr>
          <w:rFonts w:hint="eastAsia" w:ascii="宋体" w:hAnsi="宋体"/>
          <w:b/>
          <w:bCs/>
          <w:szCs w:val="21"/>
          <w:lang w:val="zh-CN"/>
        </w:rPr>
        <w:t>投标人报价时，不得更改，否则作无效标处理。</w:t>
      </w:r>
    </w:p>
    <w:p w14:paraId="02B76C12">
      <w:pPr>
        <w:pageBreakBefore w:val="0"/>
        <w:widowControl w:val="0"/>
        <w:kinsoku/>
        <w:wordWrap/>
        <w:overflowPunct/>
        <w:topLinePunct w:val="0"/>
        <w:bidi w:val="0"/>
        <w:adjustRightInd w:val="0"/>
        <w:snapToGrid w:val="0"/>
        <w:spacing w:line="360" w:lineRule="auto"/>
        <w:textAlignment w:val="auto"/>
        <w:rPr>
          <w:rFonts w:ascii="宋体" w:hAnsi="宋体"/>
          <w:b/>
          <w:bCs/>
          <w:szCs w:val="21"/>
        </w:rPr>
      </w:pPr>
      <w:r>
        <w:rPr>
          <w:rFonts w:hint="eastAsia" w:ascii="宋体" w:hAnsi="宋体"/>
          <w:b/>
          <w:bCs/>
          <w:szCs w:val="21"/>
        </w:rPr>
        <w:t>四、工程质量要求：</w:t>
      </w:r>
      <w:r>
        <w:rPr>
          <w:rFonts w:hint="eastAsia" w:ascii="宋体" w:hAnsi="宋体"/>
          <w:szCs w:val="21"/>
        </w:rPr>
        <w:t>详见招标文件。</w:t>
      </w:r>
    </w:p>
    <w:p w14:paraId="38C7816D">
      <w:pPr>
        <w:pageBreakBefore w:val="0"/>
        <w:widowControl w:val="0"/>
        <w:kinsoku/>
        <w:wordWrap/>
        <w:overflowPunct/>
        <w:topLinePunct w:val="0"/>
        <w:bidi w:val="0"/>
        <w:adjustRightInd w:val="0"/>
        <w:snapToGrid w:val="0"/>
        <w:spacing w:line="360" w:lineRule="auto"/>
        <w:textAlignment w:val="auto"/>
        <w:rPr>
          <w:rFonts w:ascii="宋体" w:hAnsi="宋体"/>
          <w:szCs w:val="21"/>
        </w:rPr>
      </w:pPr>
      <w:r>
        <w:rPr>
          <w:rFonts w:hint="eastAsia" w:ascii="宋体" w:hAnsi="宋体"/>
          <w:b/>
          <w:bCs/>
          <w:szCs w:val="21"/>
        </w:rPr>
        <w:t>五、工期要求：</w:t>
      </w:r>
      <w:r>
        <w:rPr>
          <w:rFonts w:hint="eastAsia" w:ascii="宋体" w:hAnsi="宋体"/>
          <w:szCs w:val="21"/>
        </w:rPr>
        <w:t>详见招标文件。</w:t>
      </w:r>
    </w:p>
    <w:p w14:paraId="7CE1909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b/>
          <w:highlight w:val="none"/>
        </w:rPr>
      </w:pPr>
    </w:p>
    <w:p w14:paraId="198E408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0"/>
        <w:textAlignment w:val="auto"/>
        <w:rPr>
          <w:rFonts w:hint="eastAsia" w:ascii="宋体" w:hAnsi="宋体" w:eastAsia="宋体" w:cs="宋体"/>
          <w:b/>
          <w:highlight w:val="none"/>
        </w:rPr>
      </w:pPr>
    </w:p>
    <w:bookmarkEnd w:id="700"/>
    <w:p w14:paraId="21B977D5">
      <w:pPr>
        <w:widowControl/>
        <w:autoSpaceDE/>
        <w:autoSpaceDN/>
        <w:adjustRightInd/>
        <w:rPr>
          <w:rFonts w:ascii="Times New Roman" w:hAnsi="Times New Roman" w:eastAsia="黑体"/>
          <w:bCs/>
          <w:kern w:val="44"/>
          <w:sz w:val="44"/>
          <w:szCs w:val="44"/>
          <w:highlight w:val="none"/>
        </w:rPr>
      </w:pPr>
    </w:p>
    <w:p w14:paraId="7F9DD54A">
      <w:pPr>
        <w:pStyle w:val="14"/>
        <w:rPr>
          <w:highlight w:val="none"/>
        </w:rPr>
      </w:pPr>
    </w:p>
    <w:p w14:paraId="43CAF26B">
      <w:pPr>
        <w:widowControl/>
        <w:autoSpaceDE/>
        <w:autoSpaceDN/>
        <w:adjustRightInd/>
        <w:rPr>
          <w:rFonts w:ascii="Times New Roman" w:hAnsi="Times New Roman" w:eastAsia="黑体"/>
          <w:bCs/>
          <w:kern w:val="44"/>
          <w:sz w:val="44"/>
          <w:szCs w:val="44"/>
          <w:highlight w:val="none"/>
        </w:rPr>
      </w:pPr>
    </w:p>
    <w:p w14:paraId="282FBB2C">
      <w:pPr>
        <w:widowControl/>
        <w:autoSpaceDE/>
        <w:autoSpaceDN/>
        <w:adjustRightInd/>
        <w:rPr>
          <w:rFonts w:ascii="Times New Roman" w:hAnsi="Times New Roman" w:eastAsia="黑体"/>
          <w:bCs/>
          <w:kern w:val="44"/>
          <w:sz w:val="44"/>
          <w:szCs w:val="44"/>
          <w:highlight w:val="none"/>
        </w:rPr>
      </w:pPr>
    </w:p>
    <w:p w14:paraId="3C021FB9">
      <w:pPr>
        <w:widowControl/>
        <w:autoSpaceDE/>
        <w:autoSpaceDN/>
        <w:adjustRightInd/>
        <w:rPr>
          <w:rFonts w:ascii="Times New Roman" w:hAnsi="Times New Roman" w:eastAsia="黑体"/>
          <w:bCs/>
          <w:kern w:val="44"/>
          <w:sz w:val="44"/>
          <w:szCs w:val="44"/>
          <w:highlight w:val="none"/>
        </w:rPr>
      </w:pPr>
    </w:p>
    <w:p w14:paraId="4A4DF027">
      <w:pPr>
        <w:widowControl/>
        <w:autoSpaceDE/>
        <w:autoSpaceDN/>
        <w:adjustRightInd/>
        <w:rPr>
          <w:rFonts w:ascii="Times New Roman" w:hAnsi="Times New Roman" w:eastAsia="黑体"/>
          <w:bCs/>
          <w:kern w:val="44"/>
          <w:sz w:val="44"/>
          <w:szCs w:val="44"/>
          <w:highlight w:val="none"/>
        </w:rPr>
      </w:pPr>
    </w:p>
    <w:p w14:paraId="3950A058">
      <w:pPr>
        <w:widowControl/>
        <w:autoSpaceDE/>
        <w:autoSpaceDN/>
        <w:adjustRightInd/>
        <w:rPr>
          <w:rFonts w:ascii="Times New Roman" w:hAnsi="Times New Roman" w:eastAsia="黑体"/>
          <w:bCs/>
          <w:kern w:val="44"/>
          <w:sz w:val="44"/>
          <w:szCs w:val="44"/>
          <w:highlight w:val="none"/>
        </w:rPr>
      </w:pPr>
    </w:p>
    <w:p w14:paraId="739DD8EF">
      <w:pPr>
        <w:widowControl/>
        <w:autoSpaceDE/>
        <w:autoSpaceDN/>
        <w:adjustRightInd/>
        <w:rPr>
          <w:rFonts w:ascii="Times New Roman" w:hAnsi="Times New Roman" w:eastAsia="黑体"/>
          <w:bCs/>
          <w:kern w:val="44"/>
          <w:sz w:val="44"/>
          <w:szCs w:val="44"/>
          <w:highlight w:val="none"/>
        </w:rPr>
      </w:pPr>
    </w:p>
    <w:p w14:paraId="589A197B">
      <w:pPr>
        <w:widowControl/>
        <w:autoSpaceDE/>
        <w:autoSpaceDN/>
        <w:adjustRightInd/>
        <w:rPr>
          <w:rFonts w:ascii="Times New Roman" w:hAnsi="Times New Roman" w:eastAsia="黑体"/>
          <w:bCs/>
          <w:kern w:val="44"/>
          <w:sz w:val="44"/>
          <w:szCs w:val="44"/>
          <w:highlight w:val="none"/>
        </w:rPr>
      </w:pPr>
    </w:p>
    <w:p w14:paraId="01F3492B">
      <w:pPr>
        <w:widowControl/>
        <w:autoSpaceDE/>
        <w:autoSpaceDN/>
        <w:adjustRightInd/>
        <w:rPr>
          <w:rFonts w:ascii="Times New Roman" w:hAnsi="Times New Roman" w:eastAsia="黑体"/>
          <w:bCs/>
          <w:kern w:val="44"/>
          <w:sz w:val="44"/>
          <w:szCs w:val="44"/>
          <w:highlight w:val="none"/>
        </w:rPr>
      </w:pPr>
    </w:p>
    <w:p w14:paraId="41B8217D">
      <w:pPr>
        <w:pStyle w:val="2"/>
        <w:keepNext/>
        <w:keepLines/>
        <w:pageBreakBefore w:val="0"/>
        <w:numPr>
          <w:ilvl w:val="0"/>
          <w:numId w:val="4"/>
        </w:numPr>
        <w:overflowPunct/>
        <w:topLinePunct w:val="0"/>
        <w:bidi w:val="0"/>
        <w:snapToGrid/>
        <w:ind w:left="0" w:leftChars="0" w:firstLine="402" w:firstLineChars="0"/>
        <w:textAlignment w:val="auto"/>
        <w:outlineLvl w:val="0"/>
        <w:rPr>
          <w:rFonts w:hint="eastAsia"/>
          <w:highlight w:val="none"/>
        </w:rPr>
      </w:pPr>
      <w:bookmarkStart w:id="701" w:name="_Toc5788"/>
      <w:r>
        <w:rPr>
          <w:rFonts w:hint="eastAsia"/>
          <w:highlight w:val="none"/>
        </w:rPr>
        <w:t>图纸</w:t>
      </w:r>
      <w:bookmarkEnd w:id="701"/>
    </w:p>
    <w:bookmarkEnd w:id="688"/>
    <w:p w14:paraId="0F6A4E1A">
      <w:pPr>
        <w:spacing w:line="440" w:lineRule="exact"/>
        <w:jc w:val="center"/>
        <w:rPr>
          <w:sz w:val="28"/>
          <w:szCs w:val="28"/>
          <w:highlight w:val="none"/>
        </w:rPr>
      </w:pPr>
      <w:r>
        <w:rPr>
          <w:sz w:val="28"/>
          <w:szCs w:val="28"/>
          <w:highlight w:val="none"/>
        </w:rPr>
        <w:t>详见</w:t>
      </w:r>
      <w:r>
        <w:rPr>
          <w:rFonts w:hint="eastAsia"/>
          <w:sz w:val="28"/>
          <w:szCs w:val="28"/>
          <w:highlight w:val="none"/>
        </w:rPr>
        <w:t>三门县公共资源交易中心网站</w:t>
      </w:r>
      <w:r>
        <w:rPr>
          <w:sz w:val="28"/>
          <w:szCs w:val="28"/>
          <w:highlight w:val="none"/>
        </w:rPr>
        <w:t>施工图纸</w:t>
      </w:r>
    </w:p>
    <w:p w14:paraId="1C7C9D27">
      <w:pPr>
        <w:pStyle w:val="11"/>
        <w:spacing w:line="440" w:lineRule="exact"/>
        <w:jc w:val="center"/>
        <w:rPr>
          <w:rFonts w:hAnsi="宋体"/>
          <w:sz w:val="24"/>
          <w:szCs w:val="24"/>
          <w:highlight w:val="none"/>
        </w:rPr>
      </w:pPr>
      <w:r>
        <w:rPr>
          <w:sz w:val="28"/>
          <w:szCs w:val="28"/>
          <w:highlight w:val="none"/>
        </w:rPr>
        <w:t>（</w:t>
      </w:r>
      <w:r>
        <w:rPr>
          <w:highlight w:val="none"/>
        </w:rPr>
        <w:t>http://www.sanmen.gov.cn/col/col1229610743/index.html</w:t>
      </w:r>
      <w:r>
        <w:rPr>
          <w:sz w:val="28"/>
          <w:szCs w:val="28"/>
          <w:highlight w:val="none"/>
        </w:rPr>
        <w:t>）</w:t>
      </w:r>
    </w:p>
    <w:p w14:paraId="6E9F428C">
      <w:pPr>
        <w:pStyle w:val="11"/>
        <w:spacing w:line="440" w:lineRule="exact"/>
        <w:jc w:val="center"/>
        <w:rPr>
          <w:rFonts w:hAnsi="宋体"/>
          <w:sz w:val="24"/>
          <w:szCs w:val="24"/>
          <w:highlight w:val="none"/>
        </w:rPr>
      </w:pPr>
    </w:p>
    <w:p w14:paraId="541BB811">
      <w:pPr>
        <w:pStyle w:val="11"/>
        <w:spacing w:line="440" w:lineRule="exact"/>
        <w:jc w:val="center"/>
        <w:rPr>
          <w:rFonts w:hAnsi="宋体"/>
          <w:sz w:val="24"/>
          <w:szCs w:val="24"/>
          <w:highlight w:val="none"/>
        </w:rPr>
      </w:pPr>
    </w:p>
    <w:p w14:paraId="5B668ACC">
      <w:pPr>
        <w:pStyle w:val="11"/>
        <w:spacing w:line="440" w:lineRule="exact"/>
        <w:rPr>
          <w:rFonts w:hAnsi="宋体"/>
          <w:sz w:val="24"/>
          <w:szCs w:val="24"/>
          <w:highlight w:val="none"/>
        </w:rPr>
      </w:pPr>
    </w:p>
    <w:p w14:paraId="6ACA3ED0">
      <w:pPr>
        <w:pStyle w:val="11"/>
        <w:spacing w:line="440" w:lineRule="exact"/>
        <w:jc w:val="center"/>
        <w:rPr>
          <w:rFonts w:hAnsi="宋体"/>
          <w:sz w:val="24"/>
          <w:szCs w:val="24"/>
          <w:highlight w:val="none"/>
        </w:rPr>
      </w:pPr>
    </w:p>
    <w:p w14:paraId="16401412">
      <w:pPr>
        <w:pStyle w:val="11"/>
        <w:spacing w:line="440" w:lineRule="exact"/>
        <w:rPr>
          <w:rFonts w:hAnsi="宋体"/>
          <w:sz w:val="24"/>
          <w:szCs w:val="24"/>
          <w:highlight w:val="none"/>
        </w:rPr>
      </w:pPr>
      <w:r>
        <w:rPr>
          <w:rFonts w:hAnsi="宋体"/>
          <w:sz w:val="24"/>
          <w:szCs w:val="24"/>
          <w:highlight w:val="none"/>
        </w:rPr>
        <w:br w:type="page"/>
      </w:r>
    </w:p>
    <w:p w14:paraId="3EDE39AF">
      <w:pPr>
        <w:pStyle w:val="2"/>
        <w:keepNext/>
        <w:keepLines/>
        <w:pageBreakBefore w:val="0"/>
        <w:numPr>
          <w:ilvl w:val="0"/>
          <w:numId w:val="4"/>
        </w:numPr>
        <w:overflowPunct/>
        <w:topLinePunct w:val="0"/>
        <w:bidi w:val="0"/>
        <w:snapToGrid/>
        <w:ind w:left="0" w:leftChars="0" w:firstLine="402" w:firstLineChars="0"/>
        <w:textAlignment w:val="auto"/>
        <w:outlineLvl w:val="0"/>
        <w:rPr>
          <w:rFonts w:hint="eastAsia"/>
          <w:highlight w:val="none"/>
        </w:rPr>
      </w:pPr>
      <w:bookmarkStart w:id="702" w:name="_Toc29530"/>
      <w:bookmarkStart w:id="703" w:name="_Toc494360706"/>
      <w:bookmarkStart w:id="704" w:name="_Toc494121492"/>
      <w:r>
        <w:rPr>
          <w:rFonts w:hint="eastAsia"/>
          <w:highlight w:val="none"/>
        </w:rPr>
        <w:t>技术标准和要求</w:t>
      </w:r>
      <w:bookmarkEnd w:id="702"/>
      <w:bookmarkEnd w:id="703"/>
      <w:bookmarkEnd w:id="704"/>
    </w:p>
    <w:p w14:paraId="1106B9A3">
      <w:pPr>
        <w:spacing w:line="360" w:lineRule="auto"/>
        <w:rPr>
          <w:rFonts w:ascii="宋体" w:hAnsi="宋体"/>
          <w:i/>
          <w:sz w:val="28"/>
          <w:szCs w:val="28"/>
          <w:highlight w:val="none"/>
        </w:rPr>
      </w:pPr>
    </w:p>
    <w:p w14:paraId="5ED9139B">
      <w:pPr>
        <w:pStyle w:val="27"/>
        <w:spacing w:before="0" w:line="480" w:lineRule="exact"/>
        <w:ind w:firstLine="562" w:firstLineChars="200"/>
        <w:jc w:val="center"/>
        <w:outlineLvl w:val="9"/>
        <w:rPr>
          <w:highlight w:val="none"/>
        </w:rPr>
      </w:pPr>
      <w:bookmarkStart w:id="705" w:name="_Toc8305386"/>
      <w:bookmarkStart w:id="706" w:name="_Toc12041"/>
      <w:bookmarkStart w:id="707" w:name="_Toc16521982"/>
      <w:bookmarkStart w:id="708" w:name="_Toc282596326"/>
      <w:bookmarkStart w:id="709" w:name="_Toc283886271"/>
      <w:bookmarkStart w:id="710" w:name="_Toc394573957"/>
      <w:bookmarkStart w:id="711" w:name="_Toc372899887"/>
      <w:bookmarkStart w:id="712" w:name="_Toc288556313"/>
      <w:bookmarkStart w:id="713" w:name="_Toc283976561"/>
      <w:r>
        <w:rPr>
          <w:rFonts w:hint="eastAsia"/>
          <w:highlight w:val="none"/>
        </w:rPr>
        <w:t>1. 工程概况</w:t>
      </w:r>
      <w:bookmarkEnd w:id="705"/>
      <w:bookmarkEnd w:id="706"/>
      <w:bookmarkEnd w:id="707"/>
    </w:p>
    <w:p w14:paraId="379C1089">
      <w:pPr>
        <w:pStyle w:val="36"/>
        <w:spacing w:line="480" w:lineRule="exact"/>
        <w:ind w:firstLine="480"/>
        <w:outlineLvl w:val="9"/>
        <w:rPr>
          <w:rFonts w:hint="eastAsia" w:ascii="Times New Roman" w:hAnsi="Times New Roman"/>
          <w:highlight w:val="none"/>
          <w:lang w:eastAsia="zh-CN"/>
        </w:rPr>
      </w:pPr>
      <w:r>
        <w:rPr>
          <w:rFonts w:hint="eastAsia" w:ascii="Times New Roman" w:hAnsi="Times New Roman"/>
          <w:highlight w:val="none"/>
          <w:lang w:eastAsia="zh-CN"/>
        </w:rPr>
        <w:t xml:space="preserve">1.1招标工程：三门县东部新区泰康路周边提升工程 </w:t>
      </w:r>
    </w:p>
    <w:p w14:paraId="4DDD4259">
      <w:pPr>
        <w:pStyle w:val="36"/>
        <w:spacing w:line="480" w:lineRule="exact"/>
        <w:ind w:firstLine="480"/>
        <w:outlineLvl w:val="9"/>
        <w:rPr>
          <w:rFonts w:hint="eastAsia" w:ascii="Times New Roman" w:hAnsi="Times New Roman"/>
          <w:highlight w:val="none"/>
          <w:lang w:eastAsia="zh-CN"/>
        </w:rPr>
      </w:pPr>
      <w:r>
        <w:rPr>
          <w:rFonts w:hint="eastAsia" w:ascii="Times New Roman" w:hAnsi="Times New Roman"/>
          <w:highlight w:val="none"/>
          <w:lang w:eastAsia="zh-CN"/>
        </w:rPr>
        <w:t>1.2建设规模：</w:t>
      </w:r>
      <w:r>
        <w:rPr>
          <w:rFonts w:hint="eastAsia" w:ascii="Times New Roman" w:hAnsi="Times New Roman"/>
          <w:highlight w:val="none"/>
          <w:lang w:val="en-US" w:eastAsia="zh-CN"/>
        </w:rPr>
        <w:t>工程建设内容为施工图范围内的绿化、景观、市政、排水、给水、景观照明等工程。</w:t>
      </w:r>
      <w:r>
        <w:rPr>
          <w:rFonts w:hint="eastAsia" w:ascii="Times New Roman" w:hAnsi="Times New Roman"/>
          <w:highlight w:val="none"/>
          <w:lang w:eastAsia="zh-CN"/>
        </w:rPr>
        <w:t xml:space="preserve">                   </w:t>
      </w:r>
    </w:p>
    <w:p w14:paraId="5D6D237B">
      <w:pPr>
        <w:pStyle w:val="36"/>
        <w:spacing w:line="480" w:lineRule="exact"/>
        <w:ind w:firstLine="480"/>
        <w:outlineLvl w:val="9"/>
        <w:rPr>
          <w:rFonts w:hint="eastAsia" w:ascii="Times New Roman" w:hAnsi="Times New Roman"/>
          <w:highlight w:val="none"/>
          <w:lang w:eastAsia="zh-CN"/>
        </w:rPr>
      </w:pPr>
      <w:r>
        <w:rPr>
          <w:rFonts w:hint="eastAsia" w:ascii="Times New Roman" w:hAnsi="Times New Roman"/>
          <w:highlight w:val="none"/>
          <w:lang w:eastAsia="zh-CN"/>
        </w:rPr>
        <w:t>1.3招标控制价：</w:t>
      </w:r>
      <w:r>
        <w:rPr>
          <w:rFonts w:hint="eastAsia" w:ascii="Times New Roman" w:hAnsi="Times New Roman"/>
          <w:highlight w:val="none"/>
          <w:lang w:val="en-US" w:eastAsia="zh-CN"/>
        </w:rPr>
        <w:t>47466251</w:t>
      </w:r>
      <w:r>
        <w:rPr>
          <w:rFonts w:hint="eastAsia" w:ascii="Times New Roman" w:hAnsi="Times New Roman"/>
          <w:highlight w:val="none"/>
          <w:lang w:eastAsia="zh-CN"/>
        </w:rPr>
        <w:t>元。</w:t>
      </w:r>
    </w:p>
    <w:p w14:paraId="325D8A68">
      <w:pPr>
        <w:pStyle w:val="36"/>
        <w:spacing w:line="480" w:lineRule="exact"/>
        <w:ind w:firstLine="480"/>
        <w:outlineLvl w:val="9"/>
        <w:rPr>
          <w:rFonts w:ascii="Times New Roman" w:hAnsi="Times New Roman"/>
          <w:highlight w:val="none"/>
        </w:rPr>
      </w:pPr>
      <w:r>
        <w:rPr>
          <w:rFonts w:hint="eastAsia" w:ascii="Times New Roman" w:hAnsi="Times New Roman"/>
          <w:highlight w:val="none"/>
          <w:lang w:eastAsia="zh-CN"/>
        </w:rPr>
        <w:t>1.4建设地点：三门县</w:t>
      </w:r>
      <w:r>
        <w:rPr>
          <w:rFonts w:hint="eastAsia" w:ascii="Times New Roman" w:hAnsi="Times New Roman"/>
          <w:highlight w:val="none"/>
          <w:lang w:val="en-US" w:eastAsia="zh-CN"/>
        </w:rPr>
        <w:t xml:space="preserve"> </w:t>
      </w:r>
      <w:r>
        <w:rPr>
          <w:rFonts w:hint="eastAsia" w:ascii="Times New Roman" w:hAnsi="Times New Roman"/>
          <w:highlight w:val="none"/>
          <w:lang w:eastAsia="zh-CN"/>
        </w:rPr>
        <w:t xml:space="preserve">。 </w:t>
      </w:r>
      <w:r>
        <w:rPr>
          <w:rFonts w:hint="eastAsia" w:ascii="Times New Roman" w:hAnsi="Times New Roman"/>
          <w:highlight w:val="none"/>
        </w:rPr>
        <w:t xml:space="preserve">                </w:t>
      </w:r>
    </w:p>
    <w:p w14:paraId="34A13BA5">
      <w:pPr>
        <w:pStyle w:val="27"/>
        <w:spacing w:before="0" w:line="480" w:lineRule="exact"/>
        <w:ind w:firstLine="562" w:firstLineChars="200"/>
        <w:jc w:val="center"/>
        <w:outlineLvl w:val="9"/>
        <w:rPr>
          <w:highlight w:val="none"/>
        </w:rPr>
      </w:pPr>
      <w:bookmarkStart w:id="714" w:name="_Toc9504"/>
      <w:bookmarkStart w:id="715" w:name="_Toc16521983"/>
      <w:bookmarkStart w:id="716" w:name="_Toc8305387"/>
      <w:r>
        <w:rPr>
          <w:rFonts w:hint="eastAsia"/>
          <w:highlight w:val="none"/>
        </w:rPr>
        <w:t>2. 技术规范及标准</w:t>
      </w:r>
      <w:bookmarkEnd w:id="714"/>
      <w:bookmarkEnd w:id="715"/>
      <w:bookmarkEnd w:id="716"/>
    </w:p>
    <w:p w14:paraId="2301708B">
      <w:pPr>
        <w:spacing w:line="480" w:lineRule="exact"/>
        <w:ind w:firstLine="480" w:firstLineChars="200"/>
        <w:outlineLvl w:val="9"/>
        <w:rPr>
          <w:highlight w:val="none"/>
        </w:rPr>
      </w:pPr>
      <w:r>
        <w:rPr>
          <w:rFonts w:hint="eastAsia"/>
          <w:highlight w:val="none"/>
        </w:rPr>
        <w:t xml:space="preserve">2.1 </w:t>
      </w:r>
      <w:r>
        <w:rPr>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14:paraId="7758F71C">
      <w:pPr>
        <w:widowControl/>
        <w:spacing w:line="440" w:lineRule="exact"/>
        <w:jc w:val="left"/>
        <w:rPr>
          <w:rFonts w:cs="宋体"/>
          <w:szCs w:val="20"/>
        </w:rPr>
      </w:pPr>
      <w:r>
        <w:rPr>
          <w:rFonts w:hint="eastAsia" w:cs="宋体"/>
          <w:szCs w:val="20"/>
        </w:rPr>
        <w:t>《道路工程术语标准</w:t>
      </w:r>
      <w:r>
        <w:rPr>
          <w:rFonts w:cs="宋体"/>
          <w:szCs w:val="20"/>
        </w:rPr>
        <w:t xml:space="preserve"> GBJ124-88 </w:t>
      </w:r>
      <w:r>
        <w:rPr>
          <w:rFonts w:hint="eastAsia" w:cs="宋体"/>
          <w:szCs w:val="20"/>
        </w:rPr>
        <w:t>》</w:t>
      </w:r>
    </w:p>
    <w:p w14:paraId="6F6AB610">
      <w:pPr>
        <w:widowControl/>
        <w:spacing w:line="440" w:lineRule="exact"/>
        <w:jc w:val="left"/>
        <w:rPr>
          <w:rFonts w:cs="宋体"/>
          <w:szCs w:val="20"/>
        </w:rPr>
      </w:pPr>
      <w:r>
        <w:rPr>
          <w:rFonts w:hint="eastAsia" w:cs="宋体"/>
          <w:szCs w:val="20"/>
        </w:rPr>
        <w:t>《道路工程制图标准</w:t>
      </w:r>
      <w:r>
        <w:rPr>
          <w:rFonts w:cs="宋体"/>
          <w:szCs w:val="20"/>
        </w:rPr>
        <w:t xml:space="preserve"> GB50162-92 </w:t>
      </w:r>
      <w:r>
        <w:rPr>
          <w:rFonts w:hint="eastAsia" w:cs="宋体"/>
          <w:szCs w:val="20"/>
        </w:rPr>
        <w:t>》</w:t>
      </w:r>
    </w:p>
    <w:p w14:paraId="08E77312">
      <w:pPr>
        <w:widowControl/>
        <w:spacing w:line="440" w:lineRule="exact"/>
        <w:jc w:val="left"/>
        <w:rPr>
          <w:rFonts w:cs="宋体"/>
          <w:szCs w:val="20"/>
        </w:rPr>
      </w:pPr>
      <w:r>
        <w:rPr>
          <w:rFonts w:hint="eastAsia" w:cs="宋体"/>
          <w:szCs w:val="20"/>
        </w:rPr>
        <w:t>《市政道路工程质量检验评定标准</w:t>
      </w:r>
      <w:r>
        <w:rPr>
          <w:rFonts w:cs="宋体"/>
          <w:szCs w:val="20"/>
        </w:rPr>
        <w:t xml:space="preserve"> CJJ1-2008 </w:t>
      </w:r>
      <w:r>
        <w:rPr>
          <w:rFonts w:hint="eastAsia" w:cs="宋体"/>
          <w:szCs w:val="20"/>
        </w:rPr>
        <w:t>》</w:t>
      </w:r>
    </w:p>
    <w:p w14:paraId="26594415">
      <w:pPr>
        <w:widowControl/>
        <w:spacing w:line="440" w:lineRule="exact"/>
        <w:jc w:val="left"/>
        <w:rPr>
          <w:rFonts w:cs="宋体"/>
          <w:szCs w:val="20"/>
        </w:rPr>
      </w:pPr>
      <w:r>
        <w:rPr>
          <w:rFonts w:hint="eastAsia" w:cs="宋体"/>
          <w:szCs w:val="20"/>
        </w:rPr>
        <w:t>《市政桥梁工程质量检验评定标准</w:t>
      </w:r>
      <w:r>
        <w:rPr>
          <w:rFonts w:cs="宋体"/>
          <w:szCs w:val="20"/>
        </w:rPr>
        <w:t xml:space="preserve"> CJJ2-2008 </w:t>
      </w:r>
      <w:r>
        <w:rPr>
          <w:rFonts w:hint="eastAsia" w:cs="宋体"/>
          <w:szCs w:val="20"/>
        </w:rPr>
        <w:t>》</w:t>
      </w:r>
    </w:p>
    <w:p w14:paraId="4064E90D">
      <w:pPr>
        <w:widowControl/>
        <w:spacing w:line="440" w:lineRule="exact"/>
        <w:jc w:val="left"/>
        <w:rPr>
          <w:rFonts w:cs="宋体"/>
          <w:szCs w:val="20"/>
        </w:rPr>
      </w:pPr>
      <w:r>
        <w:rPr>
          <w:rFonts w:hint="eastAsia" w:cs="宋体"/>
          <w:szCs w:val="20"/>
        </w:rPr>
        <w:t>《粉煤灰石灰类道路基层施工及验收规程</w:t>
      </w:r>
      <w:r>
        <w:rPr>
          <w:rFonts w:cs="宋体"/>
          <w:szCs w:val="20"/>
        </w:rPr>
        <w:t xml:space="preserve"> CJJ4-97 </w:t>
      </w:r>
      <w:r>
        <w:rPr>
          <w:rFonts w:hint="eastAsia" w:cs="宋体"/>
          <w:szCs w:val="20"/>
        </w:rPr>
        <w:t>》</w:t>
      </w:r>
    </w:p>
    <w:p w14:paraId="75FB7AA6">
      <w:pPr>
        <w:widowControl/>
        <w:spacing w:line="440" w:lineRule="exact"/>
        <w:jc w:val="left"/>
        <w:rPr>
          <w:rFonts w:cs="宋体"/>
          <w:szCs w:val="20"/>
        </w:rPr>
      </w:pPr>
      <w:r>
        <w:rPr>
          <w:rFonts w:hint="eastAsia" w:cs="宋体"/>
          <w:szCs w:val="20"/>
        </w:rPr>
        <w:t>《城市桥梁养护技术规范</w:t>
      </w:r>
      <w:r>
        <w:rPr>
          <w:rFonts w:cs="宋体"/>
          <w:szCs w:val="20"/>
        </w:rPr>
        <w:t xml:space="preserve"> CJJ99-2003 </w:t>
      </w:r>
      <w:r>
        <w:rPr>
          <w:rFonts w:hint="eastAsia" w:cs="宋体"/>
          <w:szCs w:val="20"/>
        </w:rPr>
        <w:t>》</w:t>
      </w:r>
    </w:p>
    <w:p w14:paraId="418A165E">
      <w:pPr>
        <w:widowControl/>
        <w:spacing w:line="440" w:lineRule="exact"/>
        <w:jc w:val="left"/>
        <w:rPr>
          <w:rFonts w:cs="宋体"/>
          <w:szCs w:val="20"/>
        </w:rPr>
      </w:pPr>
      <w:r>
        <w:rPr>
          <w:rFonts w:hint="eastAsia" w:cs="宋体"/>
          <w:szCs w:val="20"/>
        </w:rPr>
        <w:t>《城市道路养护技术规范</w:t>
      </w:r>
      <w:r>
        <w:rPr>
          <w:rFonts w:cs="宋体"/>
          <w:szCs w:val="20"/>
        </w:rPr>
        <w:t xml:space="preserve"> CJJ36-90 </w:t>
      </w:r>
      <w:r>
        <w:rPr>
          <w:rFonts w:hint="eastAsia" w:cs="宋体"/>
          <w:szCs w:val="20"/>
        </w:rPr>
        <w:t>》</w:t>
      </w:r>
    </w:p>
    <w:p w14:paraId="55B306E8">
      <w:pPr>
        <w:widowControl/>
        <w:spacing w:line="440" w:lineRule="exact"/>
        <w:jc w:val="left"/>
        <w:rPr>
          <w:rFonts w:cs="宋体"/>
          <w:szCs w:val="20"/>
        </w:rPr>
      </w:pPr>
      <w:r>
        <w:rPr>
          <w:rFonts w:hint="eastAsia" w:cs="宋体"/>
          <w:szCs w:val="20"/>
        </w:rPr>
        <w:t>《城市道路设计规范</w:t>
      </w:r>
      <w:r>
        <w:rPr>
          <w:rFonts w:cs="宋体"/>
          <w:szCs w:val="20"/>
        </w:rPr>
        <w:t xml:space="preserve"> CJJ37-90 </w:t>
      </w:r>
      <w:r>
        <w:rPr>
          <w:rFonts w:hint="eastAsia" w:cs="宋体"/>
          <w:szCs w:val="20"/>
        </w:rPr>
        <w:t>》</w:t>
      </w:r>
    </w:p>
    <w:p w14:paraId="1ADD4C98">
      <w:pPr>
        <w:widowControl/>
        <w:spacing w:line="440" w:lineRule="exact"/>
        <w:jc w:val="left"/>
        <w:rPr>
          <w:rFonts w:cs="宋体"/>
          <w:szCs w:val="20"/>
        </w:rPr>
      </w:pPr>
      <w:r>
        <w:rPr>
          <w:rFonts w:hint="eastAsia" w:cs="宋体"/>
          <w:szCs w:val="20"/>
        </w:rPr>
        <w:t>《城市道路路基工程施工及验收规范</w:t>
      </w:r>
      <w:r>
        <w:rPr>
          <w:rFonts w:cs="宋体"/>
          <w:szCs w:val="20"/>
        </w:rPr>
        <w:t xml:space="preserve"> CJJ44-91 </w:t>
      </w:r>
      <w:r>
        <w:rPr>
          <w:rFonts w:hint="eastAsia" w:cs="宋体"/>
          <w:szCs w:val="20"/>
        </w:rPr>
        <w:t>》</w:t>
      </w:r>
    </w:p>
    <w:p w14:paraId="30869657">
      <w:pPr>
        <w:widowControl/>
        <w:spacing w:line="440" w:lineRule="exact"/>
        <w:jc w:val="left"/>
        <w:rPr>
          <w:rFonts w:cs="宋体"/>
          <w:szCs w:val="20"/>
        </w:rPr>
      </w:pPr>
      <w:r>
        <w:rPr>
          <w:rFonts w:hint="eastAsia" w:cs="宋体"/>
          <w:szCs w:val="20"/>
        </w:rPr>
        <w:t>《城市道路照明设计标准</w:t>
      </w:r>
      <w:r>
        <w:rPr>
          <w:rFonts w:cs="宋体"/>
          <w:szCs w:val="20"/>
        </w:rPr>
        <w:t xml:space="preserve"> CJJ45-91 </w:t>
      </w:r>
      <w:r>
        <w:rPr>
          <w:rFonts w:hint="eastAsia" w:cs="宋体"/>
          <w:szCs w:val="20"/>
        </w:rPr>
        <w:t>》</w:t>
      </w:r>
    </w:p>
    <w:p w14:paraId="4D486D0D">
      <w:pPr>
        <w:widowControl/>
        <w:spacing w:line="440" w:lineRule="exact"/>
        <w:jc w:val="left"/>
        <w:rPr>
          <w:rFonts w:cs="宋体"/>
          <w:szCs w:val="20"/>
        </w:rPr>
      </w:pPr>
      <w:r>
        <w:rPr>
          <w:rFonts w:hint="eastAsia" w:cs="宋体"/>
          <w:szCs w:val="20"/>
        </w:rPr>
        <w:t>《室外排水设计规范</w:t>
      </w:r>
      <w:r>
        <w:rPr>
          <w:rFonts w:cs="宋体"/>
          <w:szCs w:val="20"/>
        </w:rPr>
        <w:t xml:space="preserve">(1997 </w:t>
      </w:r>
      <w:r>
        <w:rPr>
          <w:rFonts w:hint="eastAsia" w:cs="宋体"/>
          <w:szCs w:val="20"/>
        </w:rPr>
        <w:t>年版</w:t>
      </w:r>
      <w:r>
        <w:rPr>
          <w:rFonts w:cs="宋体"/>
          <w:szCs w:val="20"/>
        </w:rPr>
        <w:t xml:space="preserve">) GBJ14-87 </w:t>
      </w:r>
      <w:r>
        <w:rPr>
          <w:rFonts w:hint="eastAsia" w:cs="宋体"/>
          <w:szCs w:val="20"/>
        </w:rPr>
        <w:t>》</w:t>
      </w:r>
    </w:p>
    <w:p w14:paraId="7CF07F6D">
      <w:pPr>
        <w:widowControl/>
        <w:spacing w:line="440" w:lineRule="exact"/>
        <w:jc w:val="left"/>
        <w:rPr>
          <w:rFonts w:cs="宋体"/>
          <w:szCs w:val="20"/>
        </w:rPr>
      </w:pPr>
      <w:r>
        <w:rPr>
          <w:rFonts w:hint="eastAsia" w:cs="宋体"/>
          <w:szCs w:val="20"/>
        </w:rPr>
        <w:t>《室外给水排水和燃气热力工程抗震设计规范</w:t>
      </w:r>
      <w:r>
        <w:rPr>
          <w:rFonts w:cs="宋体"/>
          <w:szCs w:val="20"/>
        </w:rPr>
        <w:t xml:space="preserve"> GB 50035-2003 </w:t>
      </w:r>
      <w:r>
        <w:rPr>
          <w:rFonts w:hint="eastAsia" w:cs="宋体"/>
          <w:szCs w:val="20"/>
        </w:rPr>
        <w:t>》</w:t>
      </w:r>
    </w:p>
    <w:p w14:paraId="48C6AA3E">
      <w:pPr>
        <w:widowControl/>
        <w:spacing w:line="440" w:lineRule="exact"/>
        <w:jc w:val="left"/>
        <w:rPr>
          <w:rFonts w:cs="宋体"/>
          <w:szCs w:val="20"/>
        </w:rPr>
      </w:pPr>
      <w:r>
        <w:rPr>
          <w:rFonts w:hint="eastAsia" w:cs="宋体"/>
          <w:szCs w:val="20"/>
        </w:rPr>
        <w:t>《给水排水工程构筑物结构设计规范</w:t>
      </w:r>
      <w:r>
        <w:rPr>
          <w:rFonts w:cs="宋体"/>
          <w:szCs w:val="20"/>
        </w:rPr>
        <w:t xml:space="preserve"> GB50069-2002 </w:t>
      </w:r>
      <w:r>
        <w:rPr>
          <w:rFonts w:hint="eastAsia" w:cs="宋体"/>
          <w:szCs w:val="20"/>
        </w:rPr>
        <w:t>》</w:t>
      </w:r>
    </w:p>
    <w:p w14:paraId="1E1E86B8">
      <w:pPr>
        <w:widowControl/>
        <w:spacing w:line="440" w:lineRule="exact"/>
        <w:jc w:val="left"/>
        <w:rPr>
          <w:rFonts w:cs="宋体"/>
          <w:szCs w:val="20"/>
        </w:rPr>
      </w:pPr>
      <w:r>
        <w:rPr>
          <w:rFonts w:hint="eastAsia" w:cs="宋体"/>
          <w:szCs w:val="20"/>
        </w:rPr>
        <w:t>《给水排水制图标准</w:t>
      </w:r>
      <w:r>
        <w:rPr>
          <w:rFonts w:cs="宋体"/>
          <w:szCs w:val="20"/>
        </w:rPr>
        <w:t xml:space="preserve"> GB/T50106-2001 </w:t>
      </w:r>
      <w:r>
        <w:rPr>
          <w:rFonts w:hint="eastAsia" w:cs="宋体"/>
          <w:szCs w:val="20"/>
        </w:rPr>
        <w:t>》</w:t>
      </w:r>
    </w:p>
    <w:p w14:paraId="3F62CAA3">
      <w:pPr>
        <w:widowControl/>
        <w:spacing w:line="440" w:lineRule="exact"/>
        <w:jc w:val="left"/>
        <w:rPr>
          <w:rFonts w:cs="宋体"/>
          <w:szCs w:val="20"/>
        </w:rPr>
      </w:pPr>
      <w:r>
        <w:rPr>
          <w:rFonts w:hint="eastAsia" w:cs="宋体"/>
          <w:szCs w:val="20"/>
        </w:rPr>
        <w:t>《给水排水设计基本术语标准</w:t>
      </w:r>
      <w:r>
        <w:rPr>
          <w:rFonts w:cs="宋体"/>
          <w:szCs w:val="20"/>
        </w:rPr>
        <w:t xml:space="preserve"> GBJ125-89 </w:t>
      </w:r>
      <w:r>
        <w:rPr>
          <w:rFonts w:hint="eastAsia" w:cs="宋体"/>
          <w:szCs w:val="20"/>
        </w:rPr>
        <w:t>》</w:t>
      </w:r>
    </w:p>
    <w:p w14:paraId="270CB880">
      <w:pPr>
        <w:widowControl/>
        <w:spacing w:line="440" w:lineRule="exact"/>
        <w:jc w:val="left"/>
        <w:rPr>
          <w:rFonts w:cs="宋体"/>
          <w:szCs w:val="20"/>
        </w:rPr>
      </w:pPr>
      <w:r>
        <w:rPr>
          <w:rFonts w:hint="eastAsia" w:cs="宋体"/>
          <w:szCs w:val="20"/>
        </w:rPr>
        <w:t>《建筑给水排水及采暖工程施工质量验收规范</w:t>
      </w:r>
      <w:r>
        <w:rPr>
          <w:rFonts w:cs="宋体"/>
          <w:szCs w:val="20"/>
        </w:rPr>
        <w:t xml:space="preserve"> GB50242-2002 </w:t>
      </w:r>
      <w:r>
        <w:rPr>
          <w:rFonts w:hint="eastAsia" w:cs="宋体"/>
          <w:szCs w:val="20"/>
        </w:rPr>
        <w:t>》</w:t>
      </w:r>
    </w:p>
    <w:p w14:paraId="7E3D3732">
      <w:pPr>
        <w:widowControl/>
        <w:spacing w:line="440" w:lineRule="exact"/>
        <w:jc w:val="left"/>
        <w:rPr>
          <w:rFonts w:cs="宋体"/>
          <w:szCs w:val="20"/>
        </w:rPr>
      </w:pPr>
      <w:r>
        <w:rPr>
          <w:rFonts w:hint="eastAsia" w:cs="宋体"/>
          <w:szCs w:val="20"/>
        </w:rPr>
        <w:t>《给水排水管道工程施工及验收规范</w:t>
      </w:r>
      <w:r>
        <w:rPr>
          <w:rFonts w:cs="宋体"/>
          <w:szCs w:val="20"/>
        </w:rPr>
        <w:t xml:space="preserve"> GB50268-2008 </w:t>
      </w:r>
      <w:r>
        <w:rPr>
          <w:rFonts w:hint="eastAsia" w:cs="宋体"/>
          <w:szCs w:val="20"/>
        </w:rPr>
        <w:t>》</w:t>
      </w:r>
    </w:p>
    <w:p w14:paraId="47120BAE">
      <w:pPr>
        <w:widowControl/>
        <w:spacing w:line="440" w:lineRule="exact"/>
        <w:jc w:val="left"/>
        <w:rPr>
          <w:rFonts w:hint="eastAsia" w:cs="宋体"/>
          <w:szCs w:val="20"/>
        </w:rPr>
      </w:pPr>
      <w:r>
        <w:rPr>
          <w:rFonts w:hint="eastAsia" w:cs="宋体"/>
          <w:szCs w:val="20"/>
        </w:rPr>
        <w:t>《给水排水工程管道结构设计规范</w:t>
      </w:r>
      <w:r>
        <w:rPr>
          <w:rFonts w:cs="宋体"/>
          <w:szCs w:val="20"/>
        </w:rPr>
        <w:t xml:space="preserve"> GB50332-2002 </w:t>
      </w:r>
      <w:r>
        <w:rPr>
          <w:rFonts w:hint="eastAsia" w:cs="宋体"/>
          <w:szCs w:val="20"/>
        </w:rPr>
        <w:t>》</w:t>
      </w:r>
    </w:p>
    <w:p w14:paraId="48975E85">
      <w:pPr>
        <w:pStyle w:val="36"/>
        <w:spacing w:line="440" w:lineRule="exact"/>
        <w:ind w:firstLine="0" w:firstLineChars="0"/>
        <w:rPr>
          <w:rFonts w:hint="eastAsia" w:ascii="Times New Roman" w:hAnsi="Times New Roman"/>
        </w:rPr>
      </w:pPr>
      <w:r>
        <w:rPr>
          <w:rFonts w:hint="eastAsia" w:ascii="Times New Roman" w:hAnsi="Times New Roman"/>
        </w:rPr>
        <w:t>《给水排水构筑物工程施工及验收规范</w:t>
      </w:r>
      <w:r>
        <w:rPr>
          <w:rFonts w:ascii="Times New Roman" w:hAnsi="Times New Roman"/>
        </w:rPr>
        <w:t>(GB50141-2008)</w:t>
      </w:r>
      <w:r>
        <w:rPr>
          <w:rFonts w:hint="eastAsia" w:ascii="Times New Roman" w:hAnsi="Times New Roman"/>
        </w:rPr>
        <w:t>》</w:t>
      </w:r>
    </w:p>
    <w:p w14:paraId="365AB78E">
      <w:pPr>
        <w:autoSpaceDE w:val="0"/>
        <w:autoSpaceDN w:val="0"/>
        <w:adjustRightInd w:val="0"/>
        <w:spacing w:line="440" w:lineRule="exact"/>
        <w:jc w:val="left"/>
        <w:rPr>
          <w:rFonts w:hint="eastAsia"/>
        </w:rPr>
      </w:pPr>
      <w:r>
        <w:rPr>
          <w:rFonts w:hint="eastAsia" w:cs="宋体"/>
          <w:szCs w:val="20"/>
        </w:rPr>
        <w:t>《埋地塑料排水管道工程技术规程（</w:t>
      </w:r>
      <w:r>
        <w:rPr>
          <w:rFonts w:cs="宋体"/>
          <w:szCs w:val="20"/>
        </w:rPr>
        <w:t>CJJ143-2010</w:t>
      </w:r>
      <w:r>
        <w:rPr>
          <w:rFonts w:hint="eastAsia" w:cs="宋体"/>
          <w:szCs w:val="20"/>
        </w:rPr>
        <w:t>）》</w:t>
      </w:r>
    </w:p>
    <w:p w14:paraId="639473FA">
      <w:pPr>
        <w:widowControl/>
        <w:spacing w:line="440" w:lineRule="exact"/>
        <w:jc w:val="left"/>
        <w:rPr>
          <w:rFonts w:cs="宋体"/>
          <w:szCs w:val="20"/>
        </w:rPr>
      </w:pPr>
      <w:r>
        <w:rPr>
          <w:rFonts w:hint="eastAsia" w:cs="宋体"/>
          <w:szCs w:val="20"/>
        </w:rPr>
        <w:t>《市政排水管渠工程质量检验评定标准</w:t>
      </w:r>
      <w:r>
        <w:rPr>
          <w:rFonts w:cs="宋体"/>
          <w:szCs w:val="20"/>
        </w:rPr>
        <w:t xml:space="preserve"> CJJ3-2008 </w:t>
      </w:r>
      <w:r>
        <w:rPr>
          <w:rFonts w:hint="eastAsia" w:cs="宋体"/>
          <w:szCs w:val="20"/>
        </w:rPr>
        <w:t>》</w:t>
      </w:r>
    </w:p>
    <w:p w14:paraId="4109A140">
      <w:pPr>
        <w:widowControl/>
        <w:spacing w:line="440" w:lineRule="exact"/>
        <w:jc w:val="left"/>
        <w:rPr>
          <w:rFonts w:cs="宋体"/>
          <w:szCs w:val="20"/>
        </w:rPr>
      </w:pPr>
      <w:r>
        <w:rPr>
          <w:rFonts w:hint="eastAsia" w:cs="宋体"/>
          <w:szCs w:val="20"/>
        </w:rPr>
        <w:t>《排水管道维护安全技术规程</w:t>
      </w:r>
      <w:r>
        <w:rPr>
          <w:rFonts w:cs="宋体"/>
          <w:szCs w:val="20"/>
        </w:rPr>
        <w:t xml:space="preserve"> CJJ685 </w:t>
      </w:r>
      <w:r>
        <w:rPr>
          <w:rFonts w:hint="eastAsia" w:cs="宋体"/>
          <w:szCs w:val="20"/>
        </w:rPr>
        <w:t>》</w:t>
      </w:r>
    </w:p>
    <w:p w14:paraId="5FD4AEE4">
      <w:pPr>
        <w:widowControl/>
        <w:spacing w:line="440" w:lineRule="exact"/>
        <w:jc w:val="left"/>
        <w:rPr>
          <w:rFonts w:cs="宋体"/>
          <w:szCs w:val="20"/>
        </w:rPr>
      </w:pPr>
      <w:r>
        <w:rPr>
          <w:rFonts w:hint="eastAsia" w:cs="宋体"/>
          <w:szCs w:val="20"/>
        </w:rPr>
        <w:t>《城镇排水管渠与泵站维护技术规程</w:t>
      </w:r>
      <w:r>
        <w:rPr>
          <w:rFonts w:cs="宋体"/>
          <w:szCs w:val="20"/>
        </w:rPr>
        <w:t xml:space="preserve"> CJJ/T68-96 </w:t>
      </w:r>
      <w:r>
        <w:rPr>
          <w:rFonts w:hint="eastAsia" w:cs="宋体"/>
          <w:szCs w:val="20"/>
        </w:rPr>
        <w:t>》</w:t>
      </w:r>
    </w:p>
    <w:p w14:paraId="2E35CBCC">
      <w:pPr>
        <w:widowControl/>
        <w:spacing w:line="440" w:lineRule="exact"/>
        <w:jc w:val="left"/>
        <w:rPr>
          <w:rFonts w:cs="宋体"/>
          <w:szCs w:val="20"/>
        </w:rPr>
      </w:pPr>
      <w:r>
        <w:rPr>
          <w:rFonts w:hint="eastAsia" w:cs="宋体"/>
          <w:szCs w:val="20"/>
        </w:rPr>
        <w:t>《浙江省园林绿化工程施工质量验收规范 》</w:t>
      </w:r>
    </w:p>
    <w:p w14:paraId="5F710854">
      <w:pPr>
        <w:widowControl/>
        <w:spacing w:line="440" w:lineRule="exact"/>
        <w:jc w:val="left"/>
      </w:pPr>
      <w:r>
        <w:rPr>
          <w:rFonts w:hint="eastAsia" w:cs="宋体"/>
          <w:szCs w:val="20"/>
        </w:rPr>
        <w:t>《浙江省园林绿化技术规程（试行）DB33/T1009-2001、DB33/T1009.1-2001 》</w:t>
      </w:r>
    </w:p>
    <w:p w14:paraId="456A0F7F">
      <w:pPr>
        <w:pStyle w:val="36"/>
        <w:spacing w:line="480" w:lineRule="exact"/>
        <w:ind w:firstLine="480"/>
        <w:jc w:val="both"/>
        <w:outlineLvl w:val="9"/>
        <w:rPr>
          <w:rFonts w:hint="eastAsia" w:cs="宋体"/>
          <w:color w:val="000000" w:themeColor="text1"/>
          <w:szCs w:val="20"/>
          <w:highlight w:val="none"/>
          <w14:textFill>
            <w14:solidFill>
              <w14:schemeClr w14:val="tx1"/>
            </w14:solidFill>
          </w14:textFill>
        </w:rPr>
      </w:pPr>
      <w:r>
        <w:rPr>
          <w:rFonts w:hint="eastAsia" w:cs="宋体"/>
          <w:color w:val="000000" w:themeColor="text1"/>
          <w:szCs w:val="20"/>
          <w:highlight w:val="none"/>
          <w14:textFill>
            <w14:solidFill>
              <w14:schemeClr w14:val="tx1"/>
            </w14:solidFill>
          </w14:textFill>
        </w:rPr>
        <w:t>…………</w:t>
      </w:r>
    </w:p>
    <w:p w14:paraId="4FB5F253">
      <w:pPr>
        <w:pStyle w:val="36"/>
        <w:spacing w:line="480" w:lineRule="exact"/>
        <w:ind w:firstLine="480"/>
        <w:jc w:val="both"/>
        <w:outlineLvl w:val="9"/>
        <w:rPr>
          <w:rFonts w:ascii="Times New Roman" w:hAnsi="Times New Roman"/>
          <w:highlight w:val="none"/>
        </w:rPr>
      </w:pPr>
      <w:r>
        <w:rPr>
          <w:rFonts w:hint="eastAsia" w:ascii="Times New Roman" w:hAnsi="Times New Roman"/>
          <w:highlight w:val="none"/>
        </w:rPr>
        <w:t>2.2</w:t>
      </w:r>
      <w:r>
        <w:rPr>
          <w:rFonts w:ascii="Times New Roman" w:hAnsi="Times New Roman"/>
          <w:highlight w:val="none"/>
        </w:rPr>
        <w:t>以上技术规范由承包人自备，如有不足之处或未能达到国家最新标准时，承包人应使施工及选用的设备和材料符合最新版本的国家标准、规范。</w:t>
      </w:r>
    </w:p>
    <w:p w14:paraId="6E38F338">
      <w:pPr>
        <w:pStyle w:val="27"/>
        <w:spacing w:before="0" w:line="480" w:lineRule="exact"/>
        <w:ind w:firstLine="562" w:firstLineChars="200"/>
        <w:jc w:val="center"/>
        <w:outlineLvl w:val="9"/>
        <w:rPr>
          <w:highlight w:val="none"/>
        </w:rPr>
      </w:pPr>
      <w:bookmarkStart w:id="717" w:name="_Toc20876"/>
      <w:bookmarkStart w:id="718" w:name="_Toc8305388"/>
      <w:bookmarkStart w:id="719" w:name="_Toc16521984"/>
      <w:r>
        <w:rPr>
          <w:rFonts w:hint="eastAsia"/>
          <w:highlight w:val="none"/>
        </w:rPr>
        <w:t>3</w:t>
      </w:r>
      <w:r>
        <w:rPr>
          <w:highlight w:val="none"/>
        </w:rPr>
        <w:t>．材料质量要求</w:t>
      </w:r>
      <w:bookmarkEnd w:id="717"/>
      <w:bookmarkEnd w:id="718"/>
      <w:bookmarkEnd w:id="719"/>
    </w:p>
    <w:p w14:paraId="61B953A0">
      <w:pPr>
        <w:pStyle w:val="36"/>
        <w:spacing w:line="480" w:lineRule="exact"/>
        <w:ind w:firstLine="480"/>
        <w:outlineLvl w:val="9"/>
        <w:rPr>
          <w:rFonts w:ascii="Times New Roman" w:hAnsi="Times New Roman"/>
          <w:highlight w:val="none"/>
        </w:rPr>
      </w:pPr>
      <w:r>
        <w:rPr>
          <w:rFonts w:hint="eastAsia" w:ascii="Times New Roman" w:hAnsi="Times New Roman"/>
          <w:highlight w:val="none"/>
        </w:rPr>
        <w:t xml:space="preserve">3.1 </w:t>
      </w:r>
      <w:r>
        <w:rPr>
          <w:rFonts w:ascii="Times New Roman" w:hAnsi="Times New Roman"/>
          <w:highlight w:val="none"/>
        </w:rPr>
        <w:t>材料选择</w:t>
      </w:r>
    </w:p>
    <w:p w14:paraId="7DCC5A18">
      <w:pPr>
        <w:pStyle w:val="36"/>
        <w:spacing w:line="480" w:lineRule="exact"/>
        <w:ind w:firstLine="480"/>
        <w:jc w:val="both"/>
        <w:outlineLvl w:val="9"/>
        <w:rPr>
          <w:rFonts w:ascii="Times New Roman" w:hAnsi="Times New Roman" w:cs="Arial"/>
          <w:highlight w:val="none"/>
        </w:rPr>
      </w:pPr>
      <w:r>
        <w:rPr>
          <w:rFonts w:hint="eastAsia" w:ascii="Times New Roman" w:hAnsi="Times New Roman"/>
          <w:highlight w:val="none"/>
        </w:rPr>
        <w:t>（1）</w:t>
      </w:r>
      <w:r>
        <w:rPr>
          <w:rFonts w:ascii="Times New Roman" w:hAnsi="Times New Roman" w:cs="Arial"/>
          <w:highlight w:val="none"/>
        </w:rPr>
        <w:t>本章节附件为</w:t>
      </w:r>
      <w:r>
        <w:rPr>
          <w:rFonts w:hint="eastAsia" w:ascii="宋体" w:hAnsi="宋体" w:cs="Arial"/>
          <w:highlight w:val="none"/>
        </w:rPr>
        <w:t>“</w:t>
      </w:r>
      <w:r>
        <w:rPr>
          <w:rFonts w:ascii="宋体" w:hAnsi="宋体" w:cs="Arial"/>
          <w:highlight w:val="none"/>
        </w:rPr>
        <w:t>主要设备材料备选品牌一览表”</w:t>
      </w:r>
      <w:r>
        <w:rPr>
          <w:rFonts w:ascii="Times New Roman" w:hAnsi="Times New Roman" w:cs="Arial"/>
          <w:highlight w:val="none"/>
        </w:rPr>
        <w:t>，投标人在投标时必须按表中所列的备选品牌之一进行报价。</w:t>
      </w:r>
    </w:p>
    <w:p w14:paraId="29B27455">
      <w:pPr>
        <w:pStyle w:val="36"/>
        <w:spacing w:line="480" w:lineRule="exact"/>
        <w:ind w:firstLine="480"/>
        <w:jc w:val="both"/>
        <w:outlineLvl w:val="9"/>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632330C4">
      <w:pPr>
        <w:pStyle w:val="36"/>
        <w:spacing w:line="480" w:lineRule="exact"/>
        <w:ind w:firstLine="480"/>
        <w:jc w:val="both"/>
        <w:outlineLvl w:val="9"/>
        <w:rPr>
          <w:rFonts w:ascii="Times New Roman" w:hAnsi="Times New Roman"/>
          <w:highlight w:val="none"/>
        </w:rPr>
      </w:pPr>
      <w:r>
        <w:rPr>
          <w:rFonts w:hint="eastAsia" w:ascii="Times New Roman" w:hAnsi="Times New Roman"/>
          <w:highlight w:val="none"/>
        </w:rPr>
        <w:t xml:space="preserve">3.2 </w:t>
      </w:r>
      <w:r>
        <w:rPr>
          <w:rFonts w:ascii="Times New Roman" w:hAnsi="Times New Roman"/>
          <w:highlight w:val="none"/>
        </w:rPr>
        <w:t>材料的质量保证</w:t>
      </w:r>
    </w:p>
    <w:p w14:paraId="58D12443">
      <w:pPr>
        <w:pStyle w:val="36"/>
        <w:spacing w:line="480" w:lineRule="exact"/>
        <w:ind w:firstLine="480"/>
        <w:jc w:val="both"/>
        <w:outlineLvl w:val="9"/>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在免费保修期内，</w:t>
      </w:r>
      <w:r>
        <w:rPr>
          <w:rFonts w:hint="eastAsia" w:ascii="Times New Roman" w:hAnsi="Times New Roman"/>
          <w:highlight w:val="none"/>
        </w:rPr>
        <w:t>承包</w:t>
      </w:r>
      <w:r>
        <w:rPr>
          <w:rFonts w:ascii="Times New Roman" w:hAnsi="Times New Roman"/>
          <w:highlight w:val="none"/>
        </w:rPr>
        <w:t>人对有缺陷的部位必须无偿地给予修理与更换，并承担一切由此引起的对</w:t>
      </w:r>
      <w:r>
        <w:rPr>
          <w:rFonts w:hint="eastAsia" w:ascii="Times New Roman" w:hAnsi="Times New Roman"/>
          <w:highlight w:val="none"/>
        </w:rPr>
        <w:t>发包人</w:t>
      </w:r>
      <w:r>
        <w:rPr>
          <w:rFonts w:ascii="Times New Roman" w:hAnsi="Times New Roman"/>
          <w:highlight w:val="none"/>
        </w:rPr>
        <w:t>或第三者的直接损失，除非该缺陷是由于人为破坏或合同规定的不可抗因素造成的损坏。</w:t>
      </w:r>
    </w:p>
    <w:p w14:paraId="504DF490">
      <w:pPr>
        <w:pStyle w:val="36"/>
        <w:spacing w:line="480" w:lineRule="exact"/>
        <w:ind w:firstLine="480"/>
        <w:jc w:val="both"/>
        <w:outlineLvl w:val="9"/>
        <w:rPr>
          <w:rFonts w:ascii="Times New Roman" w:hAnsi="Times New Roman"/>
          <w:highlight w:val="none"/>
        </w:rPr>
      </w:pPr>
      <w:r>
        <w:rPr>
          <w:rFonts w:hint="eastAsia" w:ascii="Times New Roman" w:hAnsi="Times New Roman"/>
          <w:highlight w:val="none"/>
        </w:rPr>
        <w:t>（2）承包</w:t>
      </w:r>
      <w:r>
        <w:rPr>
          <w:rFonts w:ascii="Times New Roman" w:hAnsi="Times New Roman"/>
          <w:highlight w:val="none"/>
        </w:rPr>
        <w:t>人必须对所承包的工程的质量负全部责任，其责任不因其他材料生产商提供的保证书而减轻或更改。</w:t>
      </w:r>
    </w:p>
    <w:p w14:paraId="0F13EC34">
      <w:pPr>
        <w:pStyle w:val="36"/>
        <w:spacing w:line="480" w:lineRule="exact"/>
        <w:ind w:firstLine="480"/>
        <w:jc w:val="both"/>
        <w:outlineLvl w:val="9"/>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材料检验结果证明其有害物质含量指标超标的产品不得在工程上使用。</w:t>
      </w:r>
    </w:p>
    <w:p w14:paraId="2B1694DD">
      <w:pPr>
        <w:pStyle w:val="36"/>
        <w:spacing w:line="480" w:lineRule="exact"/>
        <w:ind w:firstLine="480"/>
        <w:jc w:val="both"/>
        <w:outlineLvl w:val="9"/>
        <w:rPr>
          <w:rFonts w:ascii="Times New Roman" w:hAnsi="Times New Roman"/>
          <w:highlight w:val="none"/>
        </w:rPr>
      </w:pPr>
      <w:r>
        <w:rPr>
          <w:rFonts w:hint="eastAsia" w:ascii="Times New Roman" w:hAnsi="Times New Roman"/>
          <w:highlight w:val="none"/>
        </w:rPr>
        <w:t xml:space="preserve">3.3 </w:t>
      </w:r>
      <w:r>
        <w:rPr>
          <w:rFonts w:ascii="Times New Roman" w:hAnsi="Times New Roman"/>
          <w:highlight w:val="none"/>
        </w:rPr>
        <w:t>供应要求</w:t>
      </w:r>
    </w:p>
    <w:p w14:paraId="0D956D35">
      <w:pPr>
        <w:pStyle w:val="36"/>
        <w:spacing w:line="480" w:lineRule="exact"/>
        <w:ind w:firstLine="480"/>
        <w:jc w:val="both"/>
        <w:outlineLvl w:val="9"/>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本次招标承包范围内的建筑施工材料均由承包人根据本招标文件、设计图纸和国家有关规定的具体要求进行采购、运输、检验、保管，但</w:t>
      </w:r>
      <w:r>
        <w:rPr>
          <w:rFonts w:hint="eastAsia" w:ascii="Times New Roman" w:hAnsi="Times New Roman"/>
          <w:highlight w:val="none"/>
        </w:rPr>
        <w:t>发包</w:t>
      </w:r>
      <w:r>
        <w:rPr>
          <w:rFonts w:ascii="Times New Roman" w:hAnsi="Times New Roman"/>
          <w:highlight w:val="none"/>
        </w:rPr>
        <w:t>人保留变更和指定材料的权利；所有建筑材料须有产品合格证和质量保证书，应先送样品，样品经设计方、监理方、</w:t>
      </w:r>
      <w:r>
        <w:rPr>
          <w:rFonts w:hint="eastAsia" w:ascii="Times New Roman" w:hAnsi="Times New Roman"/>
          <w:highlight w:val="none"/>
        </w:rPr>
        <w:t>发包</w:t>
      </w:r>
      <w:r>
        <w:rPr>
          <w:rFonts w:ascii="Times New Roman" w:hAnsi="Times New Roman"/>
          <w:highlight w:val="none"/>
        </w:rPr>
        <w:t>人确认与招标要求一致后封存，批量供应时应与样品一致，并经相关部门检验合格后方可使用。</w:t>
      </w:r>
    </w:p>
    <w:p w14:paraId="028A9AF5">
      <w:pPr>
        <w:pStyle w:val="36"/>
        <w:spacing w:line="480" w:lineRule="exact"/>
        <w:ind w:firstLine="480"/>
        <w:jc w:val="both"/>
        <w:outlineLvl w:val="9"/>
        <w:rPr>
          <w:rFonts w:ascii="Times New Roman" w:hAnsi="Times New Roman"/>
          <w:szCs w:val="28"/>
          <w:highlight w:val="none"/>
        </w:rPr>
      </w:pPr>
      <w:r>
        <w:rPr>
          <w:rFonts w:hint="eastAsia" w:ascii="Times New Roman" w:hAnsi="Times New Roman"/>
          <w:highlight w:val="none"/>
        </w:rPr>
        <w:t>（2）</w:t>
      </w:r>
      <w:r>
        <w:rPr>
          <w:rFonts w:ascii="Times New Roman" w:hAnsi="Times New Roman"/>
          <w:highlight w:val="none"/>
        </w:rPr>
        <w:t>由承包人采购的主要建筑材料，当承包人选定的产品质量达不到设计要求和预期质量目标时，</w:t>
      </w:r>
      <w:r>
        <w:rPr>
          <w:rFonts w:hint="eastAsia" w:ascii="Times New Roman" w:hAnsi="Times New Roman"/>
          <w:highlight w:val="none"/>
        </w:rPr>
        <w:t>发包</w:t>
      </w:r>
      <w:r>
        <w:rPr>
          <w:rFonts w:ascii="Times New Roman" w:hAnsi="Times New Roman"/>
          <w:highlight w:val="none"/>
        </w:rPr>
        <w:t>人保留更换的权利，且中标价不予调整。</w:t>
      </w:r>
    </w:p>
    <w:p w14:paraId="4FECBD46">
      <w:pPr>
        <w:pStyle w:val="27"/>
        <w:spacing w:before="0" w:line="480" w:lineRule="exact"/>
        <w:ind w:firstLine="562" w:firstLineChars="200"/>
        <w:jc w:val="center"/>
        <w:outlineLvl w:val="9"/>
        <w:rPr>
          <w:rFonts w:hint="eastAsia"/>
          <w:highlight w:val="none"/>
        </w:rPr>
      </w:pPr>
      <w:bookmarkStart w:id="720" w:name="_Toc26660"/>
      <w:bookmarkStart w:id="721" w:name="_Toc8305389"/>
      <w:bookmarkStart w:id="722" w:name="_Toc16521985"/>
    </w:p>
    <w:p w14:paraId="2178F36A">
      <w:pPr>
        <w:pStyle w:val="27"/>
        <w:spacing w:before="0" w:line="480" w:lineRule="exact"/>
        <w:ind w:firstLine="562" w:firstLineChars="200"/>
        <w:jc w:val="center"/>
        <w:outlineLvl w:val="9"/>
        <w:rPr>
          <w:highlight w:val="none"/>
        </w:rPr>
      </w:pPr>
      <w:r>
        <w:rPr>
          <w:rFonts w:hint="eastAsia"/>
          <w:highlight w:val="none"/>
        </w:rPr>
        <w:t>4</w:t>
      </w:r>
      <w:r>
        <w:rPr>
          <w:highlight w:val="none"/>
        </w:rPr>
        <w:t>．工程管理的要求</w:t>
      </w:r>
      <w:bookmarkEnd w:id="720"/>
      <w:bookmarkEnd w:id="721"/>
      <w:bookmarkEnd w:id="722"/>
    </w:p>
    <w:p w14:paraId="7BCBA2BA">
      <w:pPr>
        <w:pStyle w:val="36"/>
        <w:spacing w:line="480" w:lineRule="exact"/>
        <w:ind w:firstLine="480"/>
        <w:jc w:val="both"/>
        <w:outlineLvl w:val="9"/>
        <w:rPr>
          <w:rFonts w:ascii="Times New Roman" w:hAnsi="Times New Roman"/>
          <w:highlight w:val="none"/>
        </w:rPr>
      </w:pPr>
      <w:r>
        <w:rPr>
          <w:rFonts w:hint="eastAsia" w:ascii="Times New Roman" w:hAnsi="Times New Roman"/>
          <w:highlight w:val="none"/>
        </w:rPr>
        <w:t xml:space="preserve">4.1 </w:t>
      </w:r>
      <w:r>
        <w:rPr>
          <w:rFonts w:ascii="Times New Roman" w:hAnsi="Times New Roman"/>
          <w:highlight w:val="none"/>
        </w:rPr>
        <w:t>本工程发包范围内的工程项目，未经发包人同意一律不得分包。一经发现立即取消承包资格，作违约处理，并承担由此引起的一切经济损失。</w:t>
      </w:r>
    </w:p>
    <w:p w14:paraId="25E9FC75">
      <w:pPr>
        <w:pStyle w:val="36"/>
        <w:spacing w:line="480" w:lineRule="exact"/>
        <w:ind w:firstLine="480"/>
        <w:jc w:val="both"/>
        <w:outlineLvl w:val="9"/>
        <w:rPr>
          <w:rFonts w:ascii="Times New Roman" w:hAnsi="Times New Roman"/>
          <w:highlight w:val="none"/>
        </w:rPr>
      </w:pPr>
      <w:r>
        <w:rPr>
          <w:rFonts w:hint="eastAsia" w:ascii="Times New Roman" w:hAnsi="Times New Roman"/>
          <w:highlight w:val="none"/>
        </w:rPr>
        <w:t xml:space="preserve">4.2 </w:t>
      </w:r>
      <w:r>
        <w:rPr>
          <w:rFonts w:ascii="Times New Roman" w:hAnsi="Times New Roman"/>
          <w:highlight w:val="none"/>
        </w:rPr>
        <w:t>承包人应严格按已确认设计图纸和施工技术方案组织施工，并无条件地接受发包人委托的监理单位对施工质量的监督和管理。</w:t>
      </w:r>
    </w:p>
    <w:bookmarkEnd w:id="708"/>
    <w:bookmarkEnd w:id="709"/>
    <w:bookmarkEnd w:id="710"/>
    <w:bookmarkEnd w:id="711"/>
    <w:bookmarkEnd w:id="712"/>
    <w:bookmarkEnd w:id="713"/>
    <w:p w14:paraId="7A9F5745">
      <w:pPr>
        <w:pStyle w:val="27"/>
        <w:spacing w:before="0" w:line="480" w:lineRule="exact"/>
        <w:ind w:firstLine="562" w:firstLineChars="200"/>
        <w:jc w:val="center"/>
        <w:outlineLvl w:val="9"/>
        <w:rPr>
          <w:highlight w:val="none"/>
        </w:rPr>
        <w:sectPr>
          <w:footerReference r:id="rId6" w:type="default"/>
          <w:pgSz w:w="11906" w:h="16838"/>
          <w:pgMar w:top="1440" w:right="1400" w:bottom="1440" w:left="1400" w:header="851" w:footer="992" w:gutter="0"/>
          <w:cols w:space="0" w:num="1"/>
          <w:docGrid w:linePitch="312" w:charSpace="0"/>
        </w:sectPr>
      </w:pPr>
      <w:bookmarkStart w:id="723" w:name="_Toc288556317"/>
      <w:bookmarkStart w:id="724" w:name="_Toc14581"/>
      <w:bookmarkStart w:id="725" w:name="_Toc16521986"/>
      <w:bookmarkStart w:id="726" w:name="_Toc282596329"/>
      <w:bookmarkStart w:id="727" w:name="_Toc394573961"/>
      <w:bookmarkStart w:id="728" w:name="_Toc283976564"/>
      <w:bookmarkStart w:id="729" w:name="_Toc8305390"/>
      <w:bookmarkStart w:id="730" w:name="_Toc372899891"/>
      <w:bookmarkStart w:id="731" w:name="_Toc283886274"/>
      <w:bookmarkStart w:id="732" w:name="_Toc229990374"/>
      <w:r>
        <w:rPr>
          <w:highlight w:val="none"/>
        </w:rPr>
        <w:t>5．其他</w:t>
      </w:r>
      <w:bookmarkEnd w:id="723"/>
      <w:bookmarkEnd w:id="724"/>
      <w:bookmarkEnd w:id="725"/>
      <w:bookmarkEnd w:id="726"/>
      <w:bookmarkEnd w:id="727"/>
      <w:bookmarkEnd w:id="728"/>
      <w:bookmarkEnd w:id="729"/>
      <w:bookmarkEnd w:id="730"/>
      <w:bookmarkEnd w:id="731"/>
      <w:bookmarkEnd w:id="732"/>
    </w:p>
    <w:p w14:paraId="34BDB8E5">
      <w:pPr>
        <w:rPr>
          <w:b/>
          <w:highlight w:val="none"/>
        </w:rPr>
      </w:pPr>
      <w:bookmarkStart w:id="733" w:name="_Toc149922258"/>
      <w:bookmarkStart w:id="734" w:name="_Toc151471707"/>
      <w:bookmarkStart w:id="735" w:name="_Toc229990375"/>
      <w:bookmarkStart w:id="736" w:name="_Toc8305391"/>
      <w:bookmarkStart w:id="737" w:name="_Toc283886275"/>
      <w:bookmarkStart w:id="738" w:name="_Toc283976565"/>
      <w:bookmarkStart w:id="739" w:name="_Toc394573962"/>
      <w:bookmarkStart w:id="740" w:name="_Toc372899892"/>
      <w:bookmarkStart w:id="741" w:name="_Toc4130"/>
      <w:bookmarkStart w:id="742" w:name="_Toc288556318"/>
      <w:bookmarkStart w:id="743" w:name="_Toc282596330"/>
      <w:bookmarkStart w:id="744" w:name="_Toc16521987"/>
      <w:r>
        <w:rPr>
          <w:b/>
          <w:highlight w:val="none"/>
        </w:rPr>
        <w:t>附件：主要设备材料备选品牌一览表</w:t>
      </w:r>
      <w:bookmarkEnd w:id="733"/>
      <w:bookmarkEnd w:id="734"/>
    </w:p>
    <w:bookmarkEnd w:id="735"/>
    <w:bookmarkEnd w:id="736"/>
    <w:bookmarkEnd w:id="737"/>
    <w:bookmarkEnd w:id="738"/>
    <w:bookmarkEnd w:id="739"/>
    <w:bookmarkEnd w:id="740"/>
    <w:bookmarkEnd w:id="741"/>
    <w:bookmarkEnd w:id="742"/>
    <w:bookmarkEnd w:id="743"/>
    <w:bookmarkEnd w:id="744"/>
    <w:tbl>
      <w:tblPr>
        <w:tblStyle w:val="21"/>
        <w:tblW w:w="8960" w:type="dxa"/>
        <w:tblInd w:w="93" w:type="dxa"/>
        <w:tblLayout w:type="autofit"/>
        <w:tblCellMar>
          <w:top w:w="0" w:type="dxa"/>
          <w:left w:w="108" w:type="dxa"/>
          <w:bottom w:w="0" w:type="dxa"/>
          <w:right w:w="108" w:type="dxa"/>
        </w:tblCellMar>
      </w:tblPr>
      <w:tblGrid>
        <w:gridCol w:w="580"/>
        <w:gridCol w:w="2960"/>
        <w:gridCol w:w="4240"/>
        <w:gridCol w:w="1180"/>
      </w:tblGrid>
      <w:tr w14:paraId="29E0B766">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14:paraId="14B9004F">
            <w:pPr>
              <w:widowControl/>
              <w:autoSpaceDE/>
              <w:autoSpaceDN/>
              <w:adjustRightInd/>
              <w:jc w:val="center"/>
              <w:rPr>
                <w:rFonts w:cs="宋体" w:asciiTheme="minorEastAsia" w:hAnsiTheme="minorEastAsia" w:eastAsiaTheme="minorEastAsia"/>
                <w:b/>
                <w:bCs/>
                <w:sz w:val="36"/>
                <w:szCs w:val="36"/>
                <w:highlight w:val="none"/>
              </w:rPr>
            </w:pPr>
            <w:bookmarkStart w:id="745" w:name="_Toc45697247"/>
            <w:r>
              <w:rPr>
                <w:rFonts w:hint="eastAsia" w:cs="宋体" w:asciiTheme="minorEastAsia" w:hAnsiTheme="minorEastAsia" w:eastAsiaTheme="minorEastAsia"/>
                <w:b/>
                <w:bCs/>
                <w:sz w:val="36"/>
                <w:szCs w:val="36"/>
                <w:highlight w:val="none"/>
              </w:rPr>
              <w:t>主材设备材料备选品牌一览表</w:t>
            </w:r>
          </w:p>
        </w:tc>
      </w:tr>
      <w:tr w14:paraId="7C7C0A7F">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24270C2D">
            <w:pPr>
              <w:widowControl/>
              <w:autoSpaceDE/>
              <w:autoSpaceDN/>
              <w:adjustRightInd/>
              <w:jc w:val="center"/>
              <w:rPr>
                <w:rFonts w:ascii="宋体" w:hAnsi="宋体" w:cs="宋体"/>
                <w:b/>
                <w:bCs/>
                <w:highlight w:val="none"/>
              </w:rPr>
            </w:pPr>
            <w:r>
              <w:rPr>
                <w:rFonts w:hint="eastAsia" w:ascii="宋体" w:hAnsi="宋体" w:cs="宋体"/>
                <w:b/>
                <w:bCs/>
                <w:highlight w:val="none"/>
              </w:rPr>
              <w:t>序号</w:t>
            </w:r>
          </w:p>
        </w:tc>
        <w:tc>
          <w:tcPr>
            <w:tcW w:w="2960" w:type="dxa"/>
            <w:tcBorders>
              <w:top w:val="single" w:color="auto" w:sz="4" w:space="0"/>
              <w:left w:val="nil"/>
              <w:bottom w:val="single" w:color="auto" w:sz="4" w:space="0"/>
              <w:right w:val="single" w:color="auto" w:sz="4" w:space="0"/>
            </w:tcBorders>
            <w:shd w:val="clear" w:color="auto" w:fill="auto"/>
            <w:vAlign w:val="center"/>
          </w:tcPr>
          <w:p w14:paraId="46E78F4A">
            <w:pPr>
              <w:jc w:val="center"/>
              <w:rPr>
                <w:rFonts w:ascii="宋体" w:hAnsi="宋体" w:cs="宋体"/>
                <w:b/>
                <w:bCs/>
                <w:highlight w:val="none"/>
              </w:rPr>
            </w:pPr>
            <w:r>
              <w:rPr>
                <w:rFonts w:hint="eastAsia" w:ascii="宋体" w:hAnsi="宋体" w:eastAsia="宋体" w:cs="宋体"/>
                <w:color w:val="auto"/>
                <w:sz w:val="21"/>
                <w:szCs w:val="21"/>
                <w:highlight w:val="none"/>
              </w:rPr>
              <w:t>材料名称</w:t>
            </w:r>
          </w:p>
        </w:tc>
        <w:tc>
          <w:tcPr>
            <w:tcW w:w="4240" w:type="dxa"/>
            <w:tcBorders>
              <w:top w:val="single" w:color="auto" w:sz="4" w:space="0"/>
              <w:left w:val="nil"/>
              <w:bottom w:val="single" w:color="auto" w:sz="4" w:space="0"/>
              <w:right w:val="single" w:color="auto" w:sz="4" w:space="0"/>
            </w:tcBorders>
            <w:shd w:val="clear" w:color="auto" w:fill="auto"/>
            <w:vAlign w:val="center"/>
          </w:tcPr>
          <w:p w14:paraId="3384AAD9">
            <w:pPr>
              <w:jc w:val="center"/>
              <w:rPr>
                <w:rFonts w:ascii="宋体" w:hAnsi="宋体" w:cs="宋体"/>
                <w:b/>
                <w:bCs/>
                <w:highlight w:val="none"/>
              </w:rPr>
            </w:pPr>
            <w:r>
              <w:rPr>
                <w:rFonts w:hint="eastAsia" w:ascii="宋体" w:hAnsi="宋体" w:eastAsia="宋体" w:cs="宋体"/>
                <w:color w:val="auto"/>
                <w:sz w:val="21"/>
                <w:szCs w:val="21"/>
                <w:highlight w:val="none"/>
              </w:rPr>
              <w:t>备选品牌或厂家</w:t>
            </w:r>
          </w:p>
        </w:tc>
        <w:tc>
          <w:tcPr>
            <w:tcW w:w="1180" w:type="dxa"/>
            <w:tcBorders>
              <w:top w:val="single" w:color="auto" w:sz="4" w:space="0"/>
              <w:left w:val="nil"/>
              <w:bottom w:val="single" w:color="auto" w:sz="4" w:space="0"/>
              <w:right w:val="single" w:color="auto" w:sz="4" w:space="0"/>
            </w:tcBorders>
            <w:shd w:val="clear" w:color="auto" w:fill="auto"/>
            <w:vAlign w:val="center"/>
          </w:tcPr>
          <w:p w14:paraId="267D4451">
            <w:pPr>
              <w:jc w:val="center"/>
              <w:rPr>
                <w:rFonts w:ascii="宋体" w:hAnsi="宋体" w:cs="宋体"/>
                <w:b/>
                <w:bCs/>
                <w:highlight w:val="none"/>
              </w:rPr>
            </w:pPr>
            <w:r>
              <w:rPr>
                <w:rFonts w:hint="eastAsia" w:ascii="宋体" w:hAnsi="宋体" w:eastAsia="宋体" w:cs="宋体"/>
                <w:color w:val="auto"/>
                <w:sz w:val="21"/>
                <w:szCs w:val="21"/>
                <w:highlight w:val="none"/>
              </w:rPr>
              <w:t>备用品牌</w:t>
            </w:r>
          </w:p>
        </w:tc>
      </w:tr>
      <w:tr w14:paraId="4B6958A2">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A337064">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w:t>
            </w:r>
          </w:p>
        </w:tc>
        <w:tc>
          <w:tcPr>
            <w:tcW w:w="2960" w:type="dxa"/>
            <w:tcBorders>
              <w:top w:val="nil"/>
              <w:left w:val="nil"/>
              <w:bottom w:val="single" w:color="auto" w:sz="4" w:space="0"/>
              <w:right w:val="single" w:color="auto" w:sz="4" w:space="0"/>
            </w:tcBorders>
            <w:shd w:val="clear" w:color="auto" w:fill="auto"/>
            <w:vAlign w:val="center"/>
          </w:tcPr>
          <w:p w14:paraId="7A6F1EAB">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73AE2C88">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4A268E2C">
            <w:pPr>
              <w:widowControl/>
              <w:autoSpaceDE/>
              <w:autoSpaceDN/>
              <w:adjustRightInd/>
              <w:jc w:val="center"/>
              <w:rPr>
                <w:rFonts w:ascii="宋体" w:hAnsi="宋体" w:cs="宋体"/>
                <w:sz w:val="22"/>
                <w:szCs w:val="22"/>
                <w:highlight w:val="none"/>
              </w:rPr>
            </w:pPr>
          </w:p>
        </w:tc>
      </w:tr>
      <w:tr w14:paraId="053C7112">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0C47126">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2</w:t>
            </w:r>
          </w:p>
        </w:tc>
        <w:tc>
          <w:tcPr>
            <w:tcW w:w="2960" w:type="dxa"/>
            <w:tcBorders>
              <w:top w:val="nil"/>
              <w:left w:val="nil"/>
              <w:bottom w:val="single" w:color="auto" w:sz="4" w:space="0"/>
              <w:right w:val="single" w:color="auto" w:sz="4" w:space="0"/>
            </w:tcBorders>
            <w:shd w:val="clear" w:color="auto" w:fill="auto"/>
            <w:vAlign w:val="center"/>
          </w:tcPr>
          <w:p w14:paraId="2071F9FB">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44558A56">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43A937B0">
            <w:pPr>
              <w:widowControl/>
              <w:autoSpaceDE/>
              <w:autoSpaceDN/>
              <w:adjustRightInd/>
              <w:jc w:val="center"/>
              <w:rPr>
                <w:rFonts w:ascii="宋体" w:hAnsi="宋体" w:cs="宋体"/>
                <w:sz w:val="22"/>
                <w:szCs w:val="22"/>
                <w:highlight w:val="none"/>
              </w:rPr>
            </w:pPr>
          </w:p>
        </w:tc>
      </w:tr>
      <w:tr w14:paraId="6649BDB7">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1F29855">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3</w:t>
            </w:r>
          </w:p>
        </w:tc>
        <w:tc>
          <w:tcPr>
            <w:tcW w:w="2960" w:type="dxa"/>
            <w:tcBorders>
              <w:top w:val="nil"/>
              <w:left w:val="nil"/>
              <w:bottom w:val="single" w:color="auto" w:sz="4" w:space="0"/>
              <w:right w:val="single" w:color="auto" w:sz="4" w:space="0"/>
            </w:tcBorders>
            <w:shd w:val="clear" w:color="auto" w:fill="auto"/>
            <w:vAlign w:val="center"/>
          </w:tcPr>
          <w:p w14:paraId="2EBEABD6">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50F1AC45">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3682B578">
            <w:pPr>
              <w:widowControl/>
              <w:autoSpaceDE/>
              <w:autoSpaceDN/>
              <w:adjustRightInd/>
              <w:jc w:val="center"/>
              <w:rPr>
                <w:rFonts w:ascii="宋体" w:hAnsi="宋体" w:cs="宋体"/>
                <w:sz w:val="22"/>
                <w:szCs w:val="22"/>
                <w:highlight w:val="none"/>
              </w:rPr>
            </w:pPr>
          </w:p>
        </w:tc>
      </w:tr>
      <w:tr w14:paraId="4405074E">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510C11D">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4</w:t>
            </w:r>
          </w:p>
        </w:tc>
        <w:tc>
          <w:tcPr>
            <w:tcW w:w="2960" w:type="dxa"/>
            <w:tcBorders>
              <w:top w:val="nil"/>
              <w:left w:val="nil"/>
              <w:bottom w:val="single" w:color="auto" w:sz="4" w:space="0"/>
              <w:right w:val="single" w:color="auto" w:sz="4" w:space="0"/>
            </w:tcBorders>
            <w:shd w:val="clear" w:color="auto" w:fill="auto"/>
            <w:vAlign w:val="center"/>
          </w:tcPr>
          <w:p w14:paraId="14F4BFF0">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F8220D0">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59B90959">
            <w:pPr>
              <w:widowControl/>
              <w:autoSpaceDE/>
              <w:autoSpaceDN/>
              <w:adjustRightInd/>
              <w:jc w:val="center"/>
              <w:rPr>
                <w:rFonts w:ascii="宋体" w:hAnsi="宋体" w:cs="宋体"/>
                <w:sz w:val="22"/>
                <w:szCs w:val="22"/>
                <w:highlight w:val="none"/>
              </w:rPr>
            </w:pPr>
          </w:p>
        </w:tc>
      </w:tr>
      <w:tr w14:paraId="4085B79E">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164F3EC0">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5</w:t>
            </w:r>
          </w:p>
        </w:tc>
        <w:tc>
          <w:tcPr>
            <w:tcW w:w="2960" w:type="dxa"/>
            <w:tcBorders>
              <w:top w:val="nil"/>
              <w:left w:val="nil"/>
              <w:bottom w:val="single" w:color="auto" w:sz="4" w:space="0"/>
              <w:right w:val="single" w:color="auto" w:sz="4" w:space="0"/>
            </w:tcBorders>
            <w:shd w:val="clear" w:color="auto" w:fill="auto"/>
            <w:vAlign w:val="center"/>
          </w:tcPr>
          <w:p w14:paraId="769FB1A2">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74C41F4">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AFCEEC8">
            <w:pPr>
              <w:widowControl/>
              <w:autoSpaceDE/>
              <w:autoSpaceDN/>
              <w:adjustRightInd/>
              <w:jc w:val="center"/>
              <w:rPr>
                <w:rFonts w:ascii="宋体" w:hAnsi="宋体" w:cs="宋体"/>
                <w:sz w:val="22"/>
                <w:szCs w:val="22"/>
                <w:highlight w:val="none"/>
              </w:rPr>
            </w:pPr>
          </w:p>
        </w:tc>
      </w:tr>
      <w:tr w14:paraId="6CC870B5">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02D9350E">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6</w:t>
            </w:r>
          </w:p>
        </w:tc>
        <w:tc>
          <w:tcPr>
            <w:tcW w:w="2960" w:type="dxa"/>
            <w:tcBorders>
              <w:top w:val="nil"/>
              <w:left w:val="nil"/>
              <w:bottom w:val="single" w:color="auto" w:sz="4" w:space="0"/>
              <w:right w:val="single" w:color="auto" w:sz="4" w:space="0"/>
            </w:tcBorders>
            <w:shd w:val="clear" w:color="auto" w:fill="auto"/>
            <w:vAlign w:val="center"/>
          </w:tcPr>
          <w:p w14:paraId="795BD037">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2C969CCD">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F02146A">
            <w:pPr>
              <w:widowControl/>
              <w:autoSpaceDE/>
              <w:autoSpaceDN/>
              <w:adjustRightInd/>
              <w:jc w:val="center"/>
              <w:rPr>
                <w:rFonts w:ascii="宋体" w:hAnsi="宋体" w:cs="宋体"/>
                <w:sz w:val="22"/>
                <w:szCs w:val="22"/>
                <w:highlight w:val="none"/>
              </w:rPr>
            </w:pPr>
          </w:p>
        </w:tc>
      </w:tr>
      <w:tr w14:paraId="3BD40315">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FF5CEE4">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7</w:t>
            </w:r>
          </w:p>
        </w:tc>
        <w:tc>
          <w:tcPr>
            <w:tcW w:w="2960" w:type="dxa"/>
            <w:tcBorders>
              <w:top w:val="nil"/>
              <w:left w:val="nil"/>
              <w:bottom w:val="single" w:color="auto" w:sz="4" w:space="0"/>
              <w:right w:val="single" w:color="auto" w:sz="4" w:space="0"/>
            </w:tcBorders>
            <w:shd w:val="clear" w:color="auto" w:fill="auto"/>
            <w:vAlign w:val="center"/>
          </w:tcPr>
          <w:p w14:paraId="5C482A10">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0EBF3D9F">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C5655C6">
            <w:pPr>
              <w:widowControl/>
              <w:autoSpaceDE/>
              <w:autoSpaceDN/>
              <w:adjustRightInd/>
              <w:jc w:val="center"/>
              <w:rPr>
                <w:rFonts w:ascii="宋体" w:hAnsi="宋体" w:cs="宋体"/>
                <w:sz w:val="22"/>
                <w:szCs w:val="22"/>
                <w:highlight w:val="none"/>
              </w:rPr>
            </w:pPr>
          </w:p>
        </w:tc>
      </w:tr>
      <w:tr w14:paraId="5ABF0848">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82DA906">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8</w:t>
            </w:r>
          </w:p>
        </w:tc>
        <w:tc>
          <w:tcPr>
            <w:tcW w:w="2960" w:type="dxa"/>
            <w:tcBorders>
              <w:top w:val="nil"/>
              <w:left w:val="nil"/>
              <w:bottom w:val="single" w:color="auto" w:sz="4" w:space="0"/>
              <w:right w:val="single" w:color="auto" w:sz="4" w:space="0"/>
            </w:tcBorders>
            <w:shd w:val="clear" w:color="auto" w:fill="auto"/>
            <w:vAlign w:val="center"/>
          </w:tcPr>
          <w:p w14:paraId="0A446696">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36448291">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3806F86B">
            <w:pPr>
              <w:widowControl/>
              <w:autoSpaceDE/>
              <w:autoSpaceDN/>
              <w:adjustRightInd/>
              <w:jc w:val="center"/>
              <w:rPr>
                <w:rFonts w:ascii="宋体" w:hAnsi="宋体" w:cs="宋体"/>
                <w:sz w:val="22"/>
                <w:szCs w:val="22"/>
                <w:highlight w:val="none"/>
              </w:rPr>
            </w:pPr>
          </w:p>
        </w:tc>
      </w:tr>
      <w:tr w14:paraId="25370158">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E6739B7">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9</w:t>
            </w:r>
          </w:p>
        </w:tc>
        <w:tc>
          <w:tcPr>
            <w:tcW w:w="2960" w:type="dxa"/>
            <w:tcBorders>
              <w:top w:val="nil"/>
              <w:left w:val="nil"/>
              <w:bottom w:val="single" w:color="auto" w:sz="4" w:space="0"/>
              <w:right w:val="single" w:color="auto" w:sz="4" w:space="0"/>
            </w:tcBorders>
            <w:shd w:val="clear" w:color="auto" w:fill="auto"/>
            <w:vAlign w:val="center"/>
          </w:tcPr>
          <w:p w14:paraId="0930ECC9">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900CA9F">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6AF4358D">
            <w:pPr>
              <w:widowControl/>
              <w:autoSpaceDE/>
              <w:autoSpaceDN/>
              <w:adjustRightInd/>
              <w:jc w:val="center"/>
              <w:rPr>
                <w:rFonts w:ascii="宋体" w:hAnsi="宋体" w:cs="宋体"/>
                <w:sz w:val="22"/>
                <w:szCs w:val="22"/>
                <w:highlight w:val="none"/>
              </w:rPr>
            </w:pPr>
          </w:p>
        </w:tc>
      </w:tr>
      <w:tr w14:paraId="4D182BB9">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4FFB3F3">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10</w:t>
            </w:r>
          </w:p>
        </w:tc>
        <w:tc>
          <w:tcPr>
            <w:tcW w:w="2960" w:type="dxa"/>
            <w:tcBorders>
              <w:top w:val="nil"/>
              <w:left w:val="nil"/>
              <w:bottom w:val="single" w:color="auto" w:sz="4" w:space="0"/>
              <w:right w:val="single" w:color="auto" w:sz="4" w:space="0"/>
            </w:tcBorders>
            <w:shd w:val="clear" w:color="auto" w:fill="auto"/>
            <w:vAlign w:val="center"/>
          </w:tcPr>
          <w:p w14:paraId="67CAB3A2">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3356402C">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15A77C99">
            <w:pPr>
              <w:widowControl/>
              <w:autoSpaceDE/>
              <w:autoSpaceDN/>
              <w:adjustRightInd/>
              <w:jc w:val="center"/>
              <w:rPr>
                <w:rFonts w:ascii="宋体" w:hAnsi="宋体" w:cs="宋体"/>
                <w:sz w:val="22"/>
                <w:szCs w:val="22"/>
                <w:highlight w:val="none"/>
              </w:rPr>
            </w:pPr>
          </w:p>
        </w:tc>
      </w:tr>
      <w:tr w14:paraId="09898E54">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ABC41BE">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11</w:t>
            </w:r>
          </w:p>
        </w:tc>
        <w:tc>
          <w:tcPr>
            <w:tcW w:w="2960" w:type="dxa"/>
            <w:tcBorders>
              <w:top w:val="nil"/>
              <w:left w:val="nil"/>
              <w:bottom w:val="single" w:color="auto" w:sz="4" w:space="0"/>
              <w:right w:val="single" w:color="auto" w:sz="4" w:space="0"/>
            </w:tcBorders>
            <w:shd w:val="clear" w:color="auto" w:fill="auto"/>
            <w:vAlign w:val="center"/>
          </w:tcPr>
          <w:p w14:paraId="21DCDAAC">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44D24582">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09163E88">
            <w:pPr>
              <w:widowControl/>
              <w:autoSpaceDE/>
              <w:autoSpaceDN/>
              <w:adjustRightInd/>
              <w:jc w:val="center"/>
              <w:rPr>
                <w:rFonts w:ascii="宋体" w:hAnsi="宋体" w:cs="宋体"/>
                <w:sz w:val="22"/>
                <w:szCs w:val="22"/>
                <w:highlight w:val="none"/>
              </w:rPr>
            </w:pPr>
          </w:p>
        </w:tc>
      </w:tr>
      <w:tr w14:paraId="0CA98CE3">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6BC5C27">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12</w:t>
            </w:r>
          </w:p>
        </w:tc>
        <w:tc>
          <w:tcPr>
            <w:tcW w:w="2960" w:type="dxa"/>
            <w:tcBorders>
              <w:top w:val="nil"/>
              <w:left w:val="nil"/>
              <w:bottom w:val="single" w:color="auto" w:sz="4" w:space="0"/>
              <w:right w:val="single" w:color="auto" w:sz="4" w:space="0"/>
            </w:tcBorders>
            <w:shd w:val="clear" w:color="auto" w:fill="auto"/>
            <w:vAlign w:val="center"/>
          </w:tcPr>
          <w:p w14:paraId="32B2368C">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2A616F89">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345570E2">
            <w:pPr>
              <w:widowControl/>
              <w:autoSpaceDE/>
              <w:autoSpaceDN/>
              <w:adjustRightInd/>
              <w:jc w:val="center"/>
              <w:rPr>
                <w:rFonts w:ascii="宋体" w:hAnsi="宋体" w:cs="宋体"/>
                <w:sz w:val="22"/>
                <w:szCs w:val="22"/>
                <w:highlight w:val="none"/>
              </w:rPr>
            </w:pPr>
          </w:p>
        </w:tc>
      </w:tr>
      <w:tr w14:paraId="61F00A53">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305D3C3">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13</w:t>
            </w:r>
          </w:p>
        </w:tc>
        <w:tc>
          <w:tcPr>
            <w:tcW w:w="2960" w:type="dxa"/>
            <w:tcBorders>
              <w:top w:val="nil"/>
              <w:left w:val="nil"/>
              <w:bottom w:val="single" w:color="auto" w:sz="4" w:space="0"/>
              <w:right w:val="single" w:color="auto" w:sz="4" w:space="0"/>
            </w:tcBorders>
            <w:shd w:val="clear" w:color="auto" w:fill="auto"/>
            <w:vAlign w:val="center"/>
          </w:tcPr>
          <w:p w14:paraId="55F33D94">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0E2C7438">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01134C52">
            <w:pPr>
              <w:widowControl/>
              <w:autoSpaceDE/>
              <w:autoSpaceDN/>
              <w:adjustRightInd/>
              <w:jc w:val="center"/>
              <w:rPr>
                <w:rFonts w:ascii="宋体" w:hAnsi="宋体" w:cs="宋体"/>
                <w:sz w:val="22"/>
                <w:szCs w:val="22"/>
                <w:highlight w:val="none"/>
              </w:rPr>
            </w:pPr>
          </w:p>
        </w:tc>
      </w:tr>
    </w:tbl>
    <w:p w14:paraId="78CBB3BA">
      <w:pPr>
        <w:spacing w:line="400" w:lineRule="exact"/>
        <w:rPr>
          <w:rFonts w:ascii="Times New Roman" w:hAnsi="Times New Roman"/>
          <w:color w:val="auto"/>
          <w:highlight w:val="none"/>
        </w:rPr>
      </w:pPr>
      <w:r>
        <w:rPr>
          <w:rFonts w:ascii="Times New Roman" w:hAnsi="Times New Roman"/>
          <w:color w:val="auto"/>
          <w:highlight w:val="none"/>
        </w:rPr>
        <w:t>注：1.若某设备材料的品牌与厂家存在同名时，以品牌为先。</w:t>
      </w:r>
    </w:p>
    <w:p w14:paraId="184C9A2F">
      <w:pPr>
        <w:spacing w:line="400" w:lineRule="exact"/>
        <w:ind w:firstLine="480" w:firstLineChars="200"/>
        <w:rPr>
          <w:rFonts w:ascii="Times New Roman" w:hAnsi="Times New Roman"/>
          <w:color w:val="auto"/>
          <w:highlight w:val="none"/>
        </w:rPr>
      </w:pPr>
      <w:r>
        <w:rPr>
          <w:rFonts w:ascii="Times New Roman" w:hAnsi="Times New Roman"/>
          <w:color w:val="auto"/>
          <w:highlight w:val="none"/>
        </w:rPr>
        <w:t>2.为了保证主要设备材料“或相当于”具有操作性，主要设备材料备在招标人纪检监察部门的监督下，选品牌按以下方法产生：</w:t>
      </w:r>
    </w:p>
    <w:p w14:paraId="2DE105E0">
      <w:pPr>
        <w:spacing w:line="400" w:lineRule="exact"/>
        <w:ind w:left="480" w:leftChars="200"/>
        <w:rPr>
          <w:rFonts w:ascii="Times New Roman" w:hAnsi="Times New Roman"/>
          <w:color w:val="auto"/>
          <w:highlight w:val="none"/>
        </w:rPr>
      </w:pPr>
      <w:r>
        <w:rPr>
          <w:rFonts w:hint="eastAsia" w:ascii="宋体" w:hAnsi="宋体" w:cs="宋体"/>
          <w:color w:val="auto"/>
          <w:highlight w:val="none"/>
        </w:rPr>
        <w:t>①</w:t>
      </w:r>
      <w:r>
        <w:rPr>
          <w:rFonts w:ascii="Times New Roman" w:hAnsi="Times New Roman"/>
          <w:color w:val="auto"/>
          <w:highlight w:val="none"/>
        </w:rPr>
        <w:t>由招标人提供某种设备材料7种及以上推荐品牌；</w:t>
      </w:r>
    </w:p>
    <w:p w14:paraId="567D2413">
      <w:pPr>
        <w:spacing w:line="400" w:lineRule="exact"/>
        <w:ind w:firstLine="480" w:firstLineChars="200"/>
        <w:rPr>
          <w:rFonts w:ascii="Times New Roman" w:hAnsi="Times New Roman"/>
          <w:color w:val="auto"/>
          <w:highlight w:val="none"/>
        </w:rPr>
      </w:pPr>
      <w:r>
        <w:rPr>
          <w:rFonts w:hint="eastAsia" w:ascii="宋体" w:hAnsi="宋体" w:cs="宋体"/>
          <w:color w:val="auto"/>
          <w:highlight w:val="none"/>
        </w:rPr>
        <w:t>②</w:t>
      </w:r>
      <w:r>
        <w:rPr>
          <w:rFonts w:ascii="Times New Roman" w:hAnsi="Times New Roman"/>
          <w:color w:val="auto"/>
          <w:highlight w:val="none"/>
        </w:rPr>
        <w:t>由招标人选取其中3种直接作为备选品牌，在剩余的推荐品牌中随机抽取2种进入备选品牌，其余作为备用品牌；</w:t>
      </w:r>
    </w:p>
    <w:p w14:paraId="25EE44F3">
      <w:pPr>
        <w:spacing w:line="400" w:lineRule="exact"/>
        <w:ind w:firstLine="480" w:firstLineChars="200"/>
        <w:rPr>
          <w:rFonts w:ascii="Times New Roman" w:hAnsi="Times New Roman"/>
          <w:color w:val="auto"/>
          <w:highlight w:val="none"/>
        </w:rPr>
      </w:pPr>
      <w:r>
        <w:rPr>
          <w:rFonts w:hint="eastAsia" w:ascii="宋体" w:hAnsi="宋体" w:cs="宋体"/>
          <w:color w:val="auto"/>
          <w:highlight w:val="none"/>
        </w:rPr>
        <w:t>③</w:t>
      </w:r>
      <w:r>
        <w:rPr>
          <w:rFonts w:ascii="Times New Roman" w:hAnsi="Times New Roman"/>
          <w:color w:val="auto"/>
          <w:highlight w:val="none"/>
        </w:rPr>
        <w:t>当以上备选品牌的实际购买价明显高于市场价时，中标人可向招标人提出申请采用备用品牌，情况属实的，招标人应同意将备用品牌增补为备选品牌。</w:t>
      </w:r>
    </w:p>
    <w:p w14:paraId="4E5A1CCF">
      <w:pPr>
        <w:rPr>
          <w:rFonts w:hint="eastAsia"/>
          <w:highlight w:val="none"/>
        </w:rPr>
      </w:pPr>
      <w:r>
        <w:rPr>
          <w:rFonts w:hint="eastAsia"/>
          <w:highlight w:val="none"/>
        </w:rPr>
        <w:br w:type="page"/>
      </w:r>
    </w:p>
    <w:p w14:paraId="3844F5DC">
      <w:pPr>
        <w:pStyle w:val="2"/>
        <w:keepNext/>
        <w:keepLines/>
        <w:pageBreakBefore w:val="0"/>
        <w:numPr>
          <w:ilvl w:val="0"/>
          <w:numId w:val="4"/>
        </w:numPr>
        <w:overflowPunct/>
        <w:topLinePunct w:val="0"/>
        <w:bidi w:val="0"/>
        <w:snapToGrid/>
        <w:ind w:left="0" w:leftChars="0" w:firstLine="402" w:firstLineChars="0"/>
        <w:textAlignment w:val="auto"/>
        <w:outlineLvl w:val="0"/>
        <w:rPr>
          <w:rFonts w:hint="eastAsia"/>
          <w:color w:val="auto"/>
          <w:highlight w:val="none"/>
        </w:rPr>
      </w:pPr>
      <w:bookmarkStart w:id="746" w:name="_Toc29634"/>
      <w:r>
        <w:rPr>
          <w:rFonts w:hint="eastAsia"/>
          <w:color w:val="auto"/>
          <w:highlight w:val="none"/>
        </w:rPr>
        <w:t>投标文件格式</w:t>
      </w:r>
      <w:bookmarkEnd w:id="745"/>
      <w:bookmarkEnd w:id="746"/>
    </w:p>
    <w:p w14:paraId="7F01F6F6">
      <w:pPr>
        <w:pStyle w:val="11"/>
        <w:spacing w:line="360" w:lineRule="auto"/>
        <w:ind w:firstLine="602"/>
        <w:jc w:val="center"/>
        <w:rPr>
          <w:b/>
          <w:bCs/>
          <w:color w:val="FF0000"/>
          <w:sz w:val="30"/>
          <w:highlight w:val="none"/>
        </w:rPr>
      </w:pPr>
    </w:p>
    <w:p w14:paraId="32A1EA19">
      <w:pPr>
        <w:pStyle w:val="11"/>
        <w:spacing w:line="360" w:lineRule="auto"/>
        <w:jc w:val="center"/>
        <w:rPr>
          <w:b/>
          <w:bCs/>
          <w:color w:val="auto"/>
          <w:sz w:val="36"/>
          <w:szCs w:val="36"/>
          <w:highlight w:val="none"/>
        </w:rPr>
      </w:pPr>
      <w:r>
        <w:rPr>
          <w:rFonts w:hint="eastAsia"/>
          <w:b/>
          <w:bCs/>
          <w:color w:val="auto"/>
          <w:sz w:val="36"/>
          <w:szCs w:val="36"/>
          <w:highlight w:val="none"/>
        </w:rPr>
        <w:t>目</w:t>
      </w:r>
      <w:r>
        <w:rPr>
          <w:b/>
          <w:bCs/>
          <w:color w:val="auto"/>
          <w:sz w:val="36"/>
          <w:szCs w:val="36"/>
          <w:highlight w:val="none"/>
        </w:rPr>
        <w:t xml:space="preserve">    </w:t>
      </w:r>
      <w:r>
        <w:rPr>
          <w:rFonts w:hint="eastAsia"/>
          <w:b/>
          <w:bCs/>
          <w:color w:val="auto"/>
          <w:sz w:val="36"/>
          <w:szCs w:val="36"/>
          <w:highlight w:val="none"/>
        </w:rPr>
        <w:t>录</w:t>
      </w:r>
    </w:p>
    <w:p w14:paraId="1F53F5BB">
      <w:pPr>
        <w:spacing w:line="540" w:lineRule="exact"/>
        <w:ind w:firstLine="480" w:firstLineChars="200"/>
        <w:rPr>
          <w:color w:val="auto"/>
          <w:highlight w:val="none"/>
        </w:rPr>
      </w:pPr>
      <w:r>
        <w:rPr>
          <w:rFonts w:hint="eastAsia"/>
          <w:color w:val="auto"/>
          <w:highlight w:val="none"/>
        </w:rPr>
        <w:t>一、项目负责人简历表</w:t>
      </w:r>
    </w:p>
    <w:p w14:paraId="1FCB7B5F">
      <w:pPr>
        <w:spacing w:line="540" w:lineRule="exact"/>
        <w:ind w:firstLine="480" w:firstLineChars="200"/>
        <w:rPr>
          <w:color w:val="auto"/>
          <w:highlight w:val="none"/>
        </w:rPr>
      </w:pPr>
      <w:r>
        <w:rPr>
          <w:rFonts w:hint="eastAsia"/>
          <w:color w:val="auto"/>
          <w:highlight w:val="none"/>
        </w:rPr>
        <w:t>二、技术负责人简历表</w:t>
      </w:r>
    </w:p>
    <w:p w14:paraId="3974EE01">
      <w:pPr>
        <w:spacing w:line="540" w:lineRule="exact"/>
        <w:ind w:firstLine="480" w:firstLineChars="200"/>
        <w:rPr>
          <w:color w:val="auto"/>
          <w:highlight w:val="none"/>
        </w:rPr>
      </w:pPr>
      <w:r>
        <w:rPr>
          <w:rFonts w:hint="eastAsia"/>
          <w:color w:val="auto"/>
          <w:highlight w:val="none"/>
        </w:rPr>
        <w:t>三、主要施工机械设备表</w:t>
      </w:r>
    </w:p>
    <w:p w14:paraId="2A1B9A91">
      <w:pPr>
        <w:spacing w:line="540" w:lineRule="exact"/>
        <w:ind w:firstLine="480" w:firstLineChars="200"/>
        <w:rPr>
          <w:color w:val="auto"/>
          <w:highlight w:val="none"/>
        </w:rPr>
      </w:pPr>
      <w:r>
        <w:rPr>
          <w:rFonts w:hint="eastAsia"/>
          <w:color w:val="auto"/>
          <w:highlight w:val="none"/>
        </w:rPr>
        <w:t>四、台州市建设工程投标人资格自查表</w:t>
      </w:r>
    </w:p>
    <w:p w14:paraId="4168BBCB">
      <w:pPr>
        <w:spacing w:line="540" w:lineRule="exact"/>
        <w:ind w:firstLine="480" w:firstLineChars="200"/>
        <w:rPr>
          <w:color w:val="auto"/>
          <w:highlight w:val="none"/>
        </w:rPr>
      </w:pPr>
      <w:r>
        <w:rPr>
          <w:rFonts w:hint="eastAsia"/>
          <w:color w:val="auto"/>
          <w:highlight w:val="none"/>
        </w:rPr>
        <w:t>五、台州市建设工程投标项目负责人资格自查表</w:t>
      </w:r>
    </w:p>
    <w:p w14:paraId="7DDCAE1D">
      <w:pPr>
        <w:spacing w:line="540" w:lineRule="exact"/>
        <w:ind w:firstLine="480" w:firstLineChars="200"/>
        <w:rPr>
          <w:color w:val="auto"/>
          <w:highlight w:val="none"/>
        </w:rPr>
      </w:pPr>
      <w:r>
        <w:rPr>
          <w:rFonts w:hint="eastAsia"/>
          <w:color w:val="auto"/>
          <w:highlight w:val="none"/>
        </w:rPr>
        <w:t>六、建设工程投标人及项目负责人资信分自查表</w:t>
      </w:r>
    </w:p>
    <w:p w14:paraId="4822E292">
      <w:pPr>
        <w:spacing w:line="540" w:lineRule="exact"/>
        <w:ind w:firstLine="480" w:firstLineChars="200"/>
        <w:rPr>
          <w:color w:val="auto"/>
          <w:highlight w:val="none"/>
        </w:rPr>
      </w:pPr>
      <w:r>
        <w:rPr>
          <w:rFonts w:hint="eastAsia"/>
          <w:color w:val="auto"/>
          <w:highlight w:val="none"/>
        </w:rPr>
        <w:t>七、台州市建设工程诚信投标承诺书</w:t>
      </w:r>
    </w:p>
    <w:p w14:paraId="4EB67FA9">
      <w:pPr>
        <w:spacing w:line="540" w:lineRule="exact"/>
        <w:ind w:firstLine="480" w:firstLineChars="200"/>
        <w:rPr>
          <w:rFonts w:hint="eastAsia"/>
          <w:color w:val="auto"/>
          <w:highlight w:val="none"/>
        </w:rPr>
      </w:pPr>
      <w:r>
        <w:rPr>
          <w:rFonts w:hint="eastAsia"/>
          <w:color w:val="auto"/>
          <w:highlight w:val="none"/>
        </w:rPr>
        <w:t>八、法定代表人授权委托书</w:t>
      </w:r>
    </w:p>
    <w:p w14:paraId="2D28A214">
      <w:pPr>
        <w:spacing w:line="540" w:lineRule="exact"/>
        <w:ind w:firstLine="480" w:firstLineChars="200"/>
        <w:rPr>
          <w:rFonts w:hint="eastAsia"/>
          <w:color w:val="auto"/>
          <w:highlight w:val="none"/>
        </w:rPr>
      </w:pPr>
      <w:r>
        <w:rPr>
          <w:rFonts w:hint="eastAsia"/>
          <w:color w:val="auto"/>
          <w:highlight w:val="none"/>
        </w:rPr>
        <w:t>九、台州市建设工程安全生产任职资格承诺书</w:t>
      </w:r>
    </w:p>
    <w:p w14:paraId="23FDAFA1">
      <w:pPr>
        <w:spacing w:line="540" w:lineRule="exact"/>
        <w:ind w:firstLine="480" w:firstLineChars="200"/>
        <w:rPr>
          <w:rFonts w:hint="eastAsia"/>
          <w:color w:val="auto"/>
          <w:highlight w:val="none"/>
        </w:rPr>
      </w:pPr>
      <w:r>
        <w:rPr>
          <w:rFonts w:hint="eastAsia"/>
          <w:color w:val="auto"/>
          <w:highlight w:val="none"/>
        </w:rPr>
        <w:t>十、危大工程清单及安全管理措施表</w:t>
      </w:r>
    </w:p>
    <w:p w14:paraId="66EE6337">
      <w:pPr>
        <w:spacing w:line="540" w:lineRule="exact"/>
        <w:ind w:firstLine="480" w:firstLineChars="200"/>
        <w:rPr>
          <w:rFonts w:hint="eastAsia"/>
          <w:color w:val="auto"/>
          <w:highlight w:val="none"/>
        </w:rPr>
      </w:pPr>
      <w:r>
        <w:rPr>
          <w:rFonts w:hint="eastAsia"/>
          <w:color w:val="auto"/>
          <w:highlight w:val="none"/>
        </w:rPr>
        <w:t>十</w:t>
      </w:r>
      <w:r>
        <w:rPr>
          <w:rFonts w:hint="eastAsia"/>
          <w:color w:val="auto"/>
          <w:highlight w:val="none"/>
          <w:lang w:val="en-US" w:eastAsia="zh-CN"/>
        </w:rPr>
        <w:t>一</w:t>
      </w:r>
      <w:r>
        <w:rPr>
          <w:rFonts w:hint="eastAsia"/>
          <w:color w:val="auto"/>
          <w:highlight w:val="none"/>
        </w:rPr>
        <w:t>、停工证明（若有）</w:t>
      </w:r>
    </w:p>
    <w:p w14:paraId="2865A46D">
      <w:pPr>
        <w:spacing w:line="540" w:lineRule="exact"/>
        <w:ind w:firstLine="480" w:firstLineChars="200"/>
        <w:rPr>
          <w:rFonts w:hint="eastAsia"/>
          <w:color w:val="auto"/>
          <w:highlight w:val="none"/>
        </w:rPr>
      </w:pPr>
      <w:r>
        <w:rPr>
          <w:rFonts w:hint="eastAsia"/>
          <w:color w:val="auto"/>
          <w:highlight w:val="none"/>
        </w:rPr>
        <w:t>十</w:t>
      </w:r>
      <w:r>
        <w:rPr>
          <w:rFonts w:hint="eastAsia"/>
          <w:color w:val="auto"/>
          <w:highlight w:val="none"/>
          <w:lang w:val="en-US" w:eastAsia="zh-CN"/>
        </w:rPr>
        <w:t>二</w:t>
      </w:r>
      <w:r>
        <w:rPr>
          <w:rFonts w:hint="eastAsia"/>
          <w:color w:val="auto"/>
          <w:highlight w:val="none"/>
        </w:rPr>
        <w:t>、未验收证明（若有）</w:t>
      </w:r>
    </w:p>
    <w:p w14:paraId="1E4C7FCC">
      <w:pPr>
        <w:spacing w:line="540" w:lineRule="exact"/>
        <w:ind w:firstLine="480" w:firstLineChars="200"/>
        <w:rPr>
          <w:color w:val="auto"/>
          <w:highlight w:val="none"/>
        </w:rPr>
      </w:pPr>
      <w:r>
        <w:rPr>
          <w:rFonts w:hint="eastAsia"/>
          <w:color w:val="auto"/>
          <w:highlight w:val="none"/>
        </w:rPr>
        <w:t>十</w:t>
      </w:r>
      <w:r>
        <w:rPr>
          <w:rFonts w:hint="eastAsia"/>
          <w:color w:val="auto"/>
          <w:highlight w:val="none"/>
          <w:lang w:val="en-US" w:eastAsia="zh-CN"/>
        </w:rPr>
        <w:t>三</w:t>
      </w:r>
      <w:r>
        <w:rPr>
          <w:rFonts w:hint="eastAsia"/>
          <w:color w:val="auto"/>
          <w:highlight w:val="none"/>
        </w:rPr>
        <w:t>、法定代表人身份证明</w:t>
      </w:r>
    </w:p>
    <w:p w14:paraId="22459345">
      <w:pPr>
        <w:spacing w:line="540" w:lineRule="exact"/>
        <w:rPr>
          <w:highlight w:val="none"/>
        </w:rPr>
      </w:pPr>
    </w:p>
    <w:p w14:paraId="46D00148">
      <w:pPr>
        <w:pStyle w:val="11"/>
        <w:spacing w:after="156" w:afterLines="50" w:line="480" w:lineRule="auto"/>
        <w:ind w:firstLine="640"/>
        <w:jc w:val="center"/>
        <w:rPr>
          <w:sz w:val="32"/>
          <w:highlight w:val="none"/>
        </w:rPr>
      </w:pPr>
    </w:p>
    <w:p w14:paraId="2E6DD38F">
      <w:pPr>
        <w:pStyle w:val="11"/>
        <w:spacing w:line="440" w:lineRule="exact"/>
        <w:jc w:val="center"/>
        <w:rPr>
          <w:sz w:val="24"/>
          <w:highlight w:val="none"/>
        </w:rPr>
      </w:pPr>
    </w:p>
    <w:p w14:paraId="7F4CACC1">
      <w:pPr>
        <w:pStyle w:val="11"/>
        <w:spacing w:line="440" w:lineRule="exact"/>
        <w:jc w:val="center"/>
        <w:rPr>
          <w:sz w:val="24"/>
          <w:highlight w:val="none"/>
        </w:rPr>
      </w:pPr>
    </w:p>
    <w:p w14:paraId="4341FBD3">
      <w:pPr>
        <w:pStyle w:val="27"/>
        <w:rPr>
          <w:rFonts w:ascii="宋体" w:hAnsi="宋体"/>
          <w:sz w:val="32"/>
          <w:szCs w:val="21"/>
          <w:highlight w:val="none"/>
        </w:rPr>
      </w:pPr>
      <w:r>
        <w:rPr>
          <w:sz w:val="24"/>
          <w:highlight w:val="none"/>
        </w:rPr>
        <w:br w:type="page"/>
      </w:r>
      <w:bookmarkStart w:id="747" w:name="_Toc24059"/>
      <w:bookmarkStart w:id="748" w:name="_Toc16521988"/>
      <w:bookmarkStart w:id="749" w:name="_Toc1942"/>
      <w:r>
        <w:rPr>
          <w:rFonts w:hint="eastAsia"/>
          <w:szCs w:val="28"/>
          <w:highlight w:val="none"/>
        </w:rPr>
        <w:t>一、项目负责人简历表</w:t>
      </w:r>
      <w:bookmarkEnd w:id="747"/>
      <w:bookmarkEnd w:id="748"/>
      <w:bookmarkEnd w:id="749"/>
    </w:p>
    <w:p w14:paraId="14035ABA">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70CDC736">
      <w:pPr>
        <w:spacing w:line="360" w:lineRule="auto"/>
        <w:jc w:val="center"/>
        <w:rPr>
          <w:rFonts w:eastAsia="黑体"/>
          <w:sz w:val="44"/>
          <w:highlight w:val="none"/>
        </w:rPr>
      </w:pPr>
      <w:r>
        <w:rPr>
          <w:rFonts w:hint="eastAsia" w:eastAsia="黑体"/>
          <w:sz w:val="44"/>
          <w:highlight w:val="none"/>
        </w:rPr>
        <w:t>项目负责人简历表</w:t>
      </w:r>
    </w:p>
    <w:tbl>
      <w:tblPr>
        <w:tblStyle w:val="21"/>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14:paraId="5FE2E857">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C8828">
            <w:pPr>
              <w:widowControl/>
              <w:jc w:val="center"/>
              <w:rPr>
                <w:rFonts w:cs="宋体"/>
                <w:highlight w:val="none"/>
              </w:rPr>
            </w:pPr>
            <w:r>
              <w:rPr>
                <w:rFonts w:hint="eastAsia" w:cs="宋体"/>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14:paraId="7D7F1A2A">
            <w:pPr>
              <w:widowControl/>
              <w:jc w:val="center"/>
              <w:rPr>
                <w:rFonts w:cs="宋体"/>
                <w:highlight w:val="none"/>
              </w:rPr>
            </w:pPr>
            <w:r>
              <w:rPr>
                <w:rFonts w:hint="eastAsia" w:cs="宋体"/>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061CF83A">
            <w:pPr>
              <w:widowControl/>
              <w:jc w:val="center"/>
              <w:rPr>
                <w:rFonts w:cs="宋体"/>
                <w:highlight w:val="none"/>
              </w:rPr>
            </w:pPr>
            <w:r>
              <w:rPr>
                <w:rFonts w:hint="eastAsia" w:cs="宋体"/>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1542950A">
            <w:pPr>
              <w:widowControl/>
              <w:jc w:val="center"/>
              <w:rPr>
                <w:rFonts w:cs="宋体"/>
                <w:highlight w:val="none"/>
              </w:rPr>
            </w:pPr>
            <w:r>
              <w:rPr>
                <w:rFonts w:hint="eastAsia" w:cs="宋体"/>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5171C15E">
            <w:pPr>
              <w:widowControl/>
              <w:jc w:val="center"/>
              <w:rPr>
                <w:rFonts w:cs="宋体"/>
                <w:highlight w:val="none"/>
              </w:rPr>
            </w:pPr>
            <w:r>
              <w:rPr>
                <w:rFonts w:hint="eastAsia" w:cs="宋体"/>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2243C227">
            <w:pPr>
              <w:widowControl/>
              <w:jc w:val="center"/>
              <w:rPr>
                <w:rFonts w:cs="宋体"/>
                <w:highlight w:val="none"/>
              </w:rPr>
            </w:pPr>
            <w:r>
              <w:rPr>
                <w:rFonts w:hint="eastAsia" w:cs="宋体"/>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333E76FF">
            <w:pPr>
              <w:widowControl/>
              <w:jc w:val="center"/>
              <w:rPr>
                <w:rFonts w:cs="宋体"/>
                <w:highlight w:val="none"/>
              </w:rPr>
            </w:pPr>
            <w:r>
              <w:rPr>
                <w:rFonts w:hint="eastAsia" w:cs="宋体"/>
                <w:highlight w:val="none"/>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14:paraId="12FF656B">
            <w:pPr>
              <w:widowControl/>
              <w:jc w:val="center"/>
              <w:rPr>
                <w:rFonts w:cs="宋体"/>
                <w:highlight w:val="none"/>
              </w:rPr>
            </w:pPr>
            <w:r>
              <w:rPr>
                <w:rFonts w:hint="eastAsia" w:cs="宋体"/>
                <w:highlight w:val="none"/>
              </w:rPr>
              <w:t>　</w:t>
            </w:r>
          </w:p>
        </w:tc>
      </w:tr>
      <w:tr w14:paraId="12BB7C94">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4C3E1B">
            <w:pPr>
              <w:widowControl/>
              <w:jc w:val="center"/>
              <w:rPr>
                <w:rFonts w:cs="宋体"/>
                <w:highlight w:val="none"/>
              </w:rPr>
            </w:pPr>
            <w:r>
              <w:rPr>
                <w:rFonts w:hint="eastAsia" w:cs="宋体"/>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5B481CF7">
            <w:pPr>
              <w:widowControl/>
              <w:jc w:val="center"/>
              <w:rPr>
                <w:rFonts w:cs="宋体"/>
                <w:highlight w:val="none"/>
              </w:rPr>
            </w:pPr>
            <w:r>
              <w:rPr>
                <w:rFonts w:hint="eastAsia" w:cs="宋体"/>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43C48C16">
            <w:pPr>
              <w:widowControl/>
              <w:jc w:val="center"/>
              <w:rPr>
                <w:rFonts w:cs="宋体"/>
                <w:highlight w:val="none"/>
              </w:rPr>
            </w:pPr>
            <w:r>
              <w:rPr>
                <w:rFonts w:hint="eastAsia" w:cs="宋体"/>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230506E6">
            <w:pPr>
              <w:widowControl/>
              <w:jc w:val="center"/>
              <w:rPr>
                <w:rFonts w:cs="宋体"/>
                <w:highlight w:val="none"/>
              </w:rPr>
            </w:pPr>
            <w:r>
              <w:rPr>
                <w:rFonts w:hint="eastAsia" w:cs="宋体"/>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3FF45620">
            <w:pPr>
              <w:widowControl/>
              <w:jc w:val="center"/>
              <w:rPr>
                <w:rFonts w:cs="宋体"/>
                <w:highlight w:val="none"/>
              </w:rPr>
            </w:pPr>
            <w:r>
              <w:rPr>
                <w:rFonts w:hint="eastAsia" w:cs="宋体"/>
                <w:highlight w:val="none"/>
              </w:rPr>
              <w:t>学历</w:t>
            </w:r>
          </w:p>
        </w:tc>
        <w:tc>
          <w:tcPr>
            <w:tcW w:w="1753" w:type="dxa"/>
            <w:tcBorders>
              <w:top w:val="nil"/>
              <w:left w:val="nil"/>
              <w:bottom w:val="single" w:color="000000" w:sz="4" w:space="0"/>
              <w:right w:val="single" w:color="000000" w:sz="4" w:space="0"/>
            </w:tcBorders>
            <w:shd w:val="clear" w:color="auto" w:fill="FFFFFF"/>
            <w:vAlign w:val="center"/>
          </w:tcPr>
          <w:p w14:paraId="0752548C">
            <w:pPr>
              <w:widowControl/>
              <w:jc w:val="center"/>
              <w:rPr>
                <w:rFonts w:cs="宋体"/>
                <w:highlight w:val="none"/>
              </w:rPr>
            </w:pPr>
            <w:r>
              <w:rPr>
                <w:rFonts w:hint="eastAsia" w:cs="宋体"/>
                <w:highlight w:val="none"/>
              </w:rPr>
              <w:t>　</w:t>
            </w:r>
          </w:p>
        </w:tc>
      </w:tr>
      <w:tr w14:paraId="2B7016A4">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89ABEE">
            <w:pPr>
              <w:widowControl/>
              <w:jc w:val="center"/>
              <w:rPr>
                <w:rFonts w:cs="宋体"/>
                <w:highlight w:val="none"/>
              </w:rPr>
            </w:pPr>
            <w:r>
              <w:rPr>
                <w:rFonts w:hint="eastAsia" w:cs="宋体"/>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79044A41">
            <w:pPr>
              <w:widowControl/>
              <w:ind w:left="-41" w:leftChars="-137" w:hanging="288" w:hangingChars="120"/>
              <w:rPr>
                <w:rFonts w:cs="宋体"/>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47FD32BF">
            <w:pPr>
              <w:widowControl/>
              <w:jc w:val="center"/>
              <w:rPr>
                <w:rFonts w:cs="宋体"/>
                <w:highlight w:val="none"/>
              </w:rPr>
            </w:pPr>
            <w:r>
              <w:rPr>
                <w:rFonts w:hint="eastAsia" w:cs="宋体"/>
                <w:highlight w:val="none"/>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14:paraId="4AA4C59B">
            <w:pPr>
              <w:widowControl/>
              <w:rPr>
                <w:rFonts w:cs="宋体"/>
                <w:highlight w:val="none"/>
              </w:rPr>
            </w:pPr>
            <w:r>
              <w:rPr>
                <w:rFonts w:hint="eastAsia" w:cs="宋体"/>
                <w:highlight w:val="none"/>
              </w:rPr>
              <w:t>　</w:t>
            </w:r>
          </w:p>
        </w:tc>
      </w:tr>
      <w:tr w14:paraId="2930AD52">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1E1A62">
            <w:pPr>
              <w:widowControl/>
              <w:jc w:val="center"/>
              <w:rPr>
                <w:rFonts w:cs="宋体"/>
                <w:highlight w:val="none"/>
              </w:rPr>
            </w:pPr>
            <w:r>
              <w:rPr>
                <w:rFonts w:hint="eastAsia" w:cs="宋体"/>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3FD30FF5">
            <w:pPr>
              <w:widowControl/>
              <w:jc w:val="center"/>
              <w:rPr>
                <w:rFonts w:cs="宋体"/>
                <w:highlight w:val="none"/>
              </w:rPr>
            </w:pPr>
            <w:r>
              <w:rPr>
                <w:rFonts w:hint="eastAsia" w:cs="宋体"/>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2091049D">
            <w:pPr>
              <w:widowControl/>
              <w:jc w:val="center"/>
              <w:rPr>
                <w:rFonts w:cs="宋体"/>
                <w:highlight w:val="none"/>
              </w:rPr>
            </w:pPr>
            <w:r>
              <w:rPr>
                <w:rFonts w:hint="eastAsia" w:cs="宋体"/>
                <w:highlight w:val="none"/>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14:paraId="0E992A37">
            <w:pPr>
              <w:widowControl/>
              <w:jc w:val="center"/>
              <w:rPr>
                <w:rFonts w:cs="宋体"/>
                <w:highlight w:val="none"/>
              </w:rPr>
            </w:pPr>
            <w:r>
              <w:rPr>
                <w:rFonts w:hint="eastAsia" w:cs="宋体"/>
                <w:highlight w:val="none"/>
              </w:rPr>
              <w:t>　</w:t>
            </w:r>
          </w:p>
        </w:tc>
      </w:tr>
      <w:tr w14:paraId="6527160B">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000E0FDB">
            <w:pPr>
              <w:widowControl/>
              <w:jc w:val="center"/>
              <w:rPr>
                <w:rFonts w:cs="宋体"/>
                <w:highlight w:val="none"/>
              </w:rPr>
            </w:pPr>
            <w:r>
              <w:rPr>
                <w:rFonts w:hint="eastAsia" w:cs="宋体"/>
                <w:highlight w:val="none"/>
              </w:rPr>
              <w:t>简</w:t>
            </w:r>
          </w:p>
          <w:p w14:paraId="6BFC473B">
            <w:pPr>
              <w:widowControl/>
              <w:jc w:val="center"/>
              <w:rPr>
                <w:rFonts w:cs="宋体"/>
                <w:highlight w:val="none"/>
              </w:rPr>
            </w:pPr>
          </w:p>
          <w:p w14:paraId="4CF4B0F0">
            <w:pPr>
              <w:widowControl/>
              <w:jc w:val="center"/>
              <w:rPr>
                <w:rFonts w:cs="宋体"/>
                <w:highlight w:val="none"/>
              </w:rPr>
            </w:pPr>
          </w:p>
          <w:p w14:paraId="2C1D588F">
            <w:pPr>
              <w:widowControl/>
              <w:jc w:val="center"/>
              <w:rPr>
                <w:rFonts w:cs="宋体"/>
                <w:highlight w:val="none"/>
              </w:rPr>
            </w:pPr>
          </w:p>
          <w:p w14:paraId="4D095C05">
            <w:pPr>
              <w:widowControl/>
              <w:jc w:val="center"/>
              <w:rPr>
                <w:rFonts w:cs="宋体"/>
                <w:highlight w:val="none"/>
              </w:rPr>
            </w:pPr>
          </w:p>
          <w:p w14:paraId="19EF2409">
            <w:pPr>
              <w:widowControl/>
              <w:jc w:val="center"/>
              <w:rPr>
                <w:rFonts w:cs="宋体"/>
                <w:highlight w:val="none"/>
              </w:rPr>
            </w:pPr>
          </w:p>
          <w:p w14:paraId="7B6DF014">
            <w:pPr>
              <w:widowControl/>
              <w:jc w:val="center"/>
              <w:rPr>
                <w:rFonts w:cs="宋体"/>
                <w:highlight w:val="none"/>
              </w:rPr>
            </w:pPr>
            <w:r>
              <w:rPr>
                <w:rFonts w:hint="eastAsia" w:cs="宋体"/>
                <w:highlight w:val="none"/>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09D48CF8">
            <w:pPr>
              <w:widowControl/>
              <w:rPr>
                <w:rFonts w:cs="宋体"/>
                <w:highlight w:val="none"/>
              </w:rPr>
            </w:pPr>
          </w:p>
        </w:tc>
      </w:tr>
      <w:tr w14:paraId="001F2E3E">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14:paraId="5C4742FB">
            <w:pPr>
              <w:widowControl/>
              <w:rPr>
                <w:rFonts w:cs="宋体"/>
                <w:sz w:val="22"/>
                <w:szCs w:val="22"/>
                <w:highlight w:val="none"/>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5FEFD8EF">
            <w:pPr>
              <w:widowControl/>
              <w:rPr>
                <w:rFonts w:cs="宋体"/>
                <w:sz w:val="22"/>
                <w:szCs w:val="22"/>
                <w:highlight w:val="none"/>
              </w:rPr>
            </w:pPr>
          </w:p>
        </w:tc>
      </w:tr>
    </w:tbl>
    <w:p w14:paraId="3D76B49E">
      <w:pPr>
        <w:spacing w:line="440" w:lineRule="exact"/>
        <w:ind w:right="480"/>
        <w:rPr>
          <w:highlight w:val="none"/>
        </w:rPr>
      </w:pPr>
    </w:p>
    <w:p w14:paraId="16A79F46">
      <w:pPr>
        <w:spacing w:line="440" w:lineRule="exact"/>
        <w:ind w:right="480"/>
        <w:rPr>
          <w:highlight w:val="none"/>
        </w:rPr>
      </w:pPr>
      <w:r>
        <w:rPr>
          <w:rFonts w:hint="eastAsia"/>
          <w:highlight w:val="none"/>
        </w:rPr>
        <w:t xml:space="preserve">法定代表人（签字或盖章）        </w:t>
      </w:r>
    </w:p>
    <w:p w14:paraId="1FC222AD">
      <w:pPr>
        <w:spacing w:line="440" w:lineRule="exact"/>
        <w:ind w:right="480"/>
        <w:rPr>
          <w:highlight w:val="none"/>
        </w:rPr>
      </w:pPr>
      <w:r>
        <w:rPr>
          <w:rFonts w:hint="eastAsia"/>
          <w:highlight w:val="none"/>
        </w:rPr>
        <w:t xml:space="preserve">投 标 人（盖章）：  </w:t>
      </w:r>
    </w:p>
    <w:p w14:paraId="698ECFBE">
      <w:pPr>
        <w:spacing w:line="440" w:lineRule="exact"/>
        <w:ind w:right="480"/>
        <w:rPr>
          <w:highlight w:val="none"/>
        </w:rPr>
      </w:pPr>
      <w:r>
        <w:rPr>
          <w:rFonts w:hint="eastAsia"/>
          <w:highlight w:val="none"/>
        </w:rPr>
        <w:t>日期：    年   月   日</w:t>
      </w:r>
    </w:p>
    <w:p w14:paraId="7086874D">
      <w:pPr>
        <w:spacing w:line="440" w:lineRule="exact"/>
        <w:ind w:right="480"/>
        <w:jc w:val="right"/>
        <w:rPr>
          <w:highlight w:val="none"/>
        </w:rPr>
      </w:pPr>
    </w:p>
    <w:p w14:paraId="77916C90">
      <w:pPr>
        <w:pStyle w:val="27"/>
        <w:rPr>
          <w:szCs w:val="28"/>
          <w:highlight w:val="none"/>
        </w:rPr>
      </w:pPr>
      <w:bookmarkStart w:id="750" w:name="_Toc11309"/>
      <w:bookmarkStart w:id="751" w:name="_Toc16521989"/>
      <w:bookmarkStart w:id="752" w:name="_Toc16935"/>
      <w:r>
        <w:rPr>
          <w:rFonts w:hint="eastAsia"/>
          <w:szCs w:val="28"/>
          <w:highlight w:val="none"/>
        </w:rPr>
        <w:t>二、技术负责人简历表</w:t>
      </w:r>
      <w:bookmarkEnd w:id="750"/>
      <w:bookmarkEnd w:id="751"/>
      <w:bookmarkEnd w:id="752"/>
    </w:p>
    <w:p w14:paraId="3E6DD89A">
      <w:pPr>
        <w:spacing w:line="440" w:lineRule="exact"/>
        <w:jc w:val="center"/>
        <w:rPr>
          <w:rFonts w:eastAsia="黑体"/>
          <w:sz w:val="20"/>
          <w:szCs w:val="20"/>
          <w:highlight w:val="none"/>
        </w:rPr>
      </w:pPr>
    </w:p>
    <w:p w14:paraId="29F4C3D2">
      <w:pPr>
        <w:spacing w:line="360" w:lineRule="auto"/>
        <w:jc w:val="center"/>
        <w:rPr>
          <w:highlight w:val="none"/>
        </w:rPr>
      </w:pPr>
      <w:r>
        <w:rPr>
          <w:rFonts w:hint="eastAsia"/>
          <w:highlight w:val="none"/>
          <w:u w:val="single"/>
        </w:rPr>
        <w:t xml:space="preserve">                              </w:t>
      </w:r>
      <w:r>
        <w:rPr>
          <w:rFonts w:hint="eastAsia"/>
          <w:highlight w:val="none"/>
        </w:rPr>
        <w:t>工程</w:t>
      </w:r>
    </w:p>
    <w:p w14:paraId="4247C56C">
      <w:pPr>
        <w:spacing w:line="360" w:lineRule="auto"/>
        <w:jc w:val="center"/>
        <w:rPr>
          <w:rFonts w:eastAsia="黑体"/>
          <w:sz w:val="44"/>
          <w:highlight w:val="none"/>
        </w:rPr>
      </w:pPr>
      <w:r>
        <w:rPr>
          <w:rFonts w:hint="eastAsia" w:eastAsia="黑体"/>
          <w:sz w:val="44"/>
          <w:highlight w:val="none"/>
        </w:rPr>
        <w:t>技术负责人简历表</w:t>
      </w:r>
    </w:p>
    <w:tbl>
      <w:tblPr>
        <w:tblStyle w:val="21"/>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04AAF36F">
        <w:tblPrEx>
          <w:tblCellMar>
            <w:top w:w="0" w:type="dxa"/>
            <w:left w:w="108" w:type="dxa"/>
            <w:bottom w:w="0" w:type="dxa"/>
            <w:right w:w="108" w:type="dxa"/>
          </w:tblCellMar>
        </w:tblPrEx>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164E5">
            <w:pPr>
              <w:widowControl/>
              <w:jc w:val="center"/>
              <w:rPr>
                <w:rFonts w:cs="宋体"/>
                <w:highlight w:val="none"/>
              </w:rPr>
            </w:pPr>
            <w:r>
              <w:rPr>
                <w:rFonts w:hint="eastAsia" w:cs="宋体"/>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6DFC4208">
            <w:pPr>
              <w:widowControl/>
              <w:jc w:val="center"/>
              <w:rPr>
                <w:rFonts w:cs="宋体"/>
                <w:highlight w:val="none"/>
              </w:rPr>
            </w:pPr>
            <w:r>
              <w:rPr>
                <w:rFonts w:hint="eastAsia" w:cs="宋体"/>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872877F">
            <w:pPr>
              <w:widowControl/>
              <w:jc w:val="center"/>
              <w:rPr>
                <w:rFonts w:cs="宋体"/>
                <w:highlight w:val="none"/>
              </w:rPr>
            </w:pPr>
            <w:r>
              <w:rPr>
                <w:rFonts w:hint="eastAsia" w:cs="宋体"/>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14:paraId="4BD965B2">
            <w:pPr>
              <w:widowControl/>
              <w:jc w:val="center"/>
              <w:rPr>
                <w:rFonts w:cs="宋体"/>
                <w:highlight w:val="none"/>
              </w:rPr>
            </w:pPr>
            <w:r>
              <w:rPr>
                <w:rFonts w:hint="eastAsia" w:cs="宋体"/>
                <w:highlight w:val="none"/>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496B13A2">
            <w:pPr>
              <w:widowControl/>
              <w:jc w:val="center"/>
              <w:rPr>
                <w:rFonts w:cs="宋体"/>
                <w:highlight w:val="none"/>
              </w:rPr>
            </w:pPr>
            <w:r>
              <w:rPr>
                <w:rFonts w:hint="eastAsia" w:cs="宋体"/>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5E27D55F">
            <w:pPr>
              <w:widowControl/>
              <w:jc w:val="center"/>
              <w:rPr>
                <w:rFonts w:cs="宋体"/>
                <w:highlight w:val="none"/>
              </w:rPr>
            </w:pPr>
            <w:r>
              <w:rPr>
                <w:rFonts w:hint="eastAsia" w:cs="宋体"/>
                <w:highlight w:val="none"/>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1E796271">
            <w:pPr>
              <w:widowControl/>
              <w:jc w:val="center"/>
              <w:rPr>
                <w:rFonts w:cs="宋体"/>
                <w:highlight w:val="none"/>
              </w:rPr>
            </w:pPr>
            <w:r>
              <w:rPr>
                <w:rFonts w:hint="eastAsia" w:cs="宋体"/>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14:paraId="00A6BD16">
            <w:pPr>
              <w:widowControl/>
              <w:jc w:val="center"/>
              <w:rPr>
                <w:rFonts w:cs="宋体"/>
                <w:highlight w:val="none"/>
              </w:rPr>
            </w:pPr>
            <w:r>
              <w:rPr>
                <w:rFonts w:hint="eastAsia" w:cs="宋体"/>
                <w:highlight w:val="none"/>
              </w:rPr>
              <w:t>　</w:t>
            </w:r>
          </w:p>
        </w:tc>
      </w:tr>
      <w:tr w14:paraId="0BD8EE88">
        <w:tblPrEx>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4C0F5AF8">
            <w:pPr>
              <w:widowControl/>
              <w:jc w:val="center"/>
              <w:rPr>
                <w:rFonts w:cs="宋体"/>
                <w:highlight w:val="none"/>
              </w:rPr>
            </w:pPr>
            <w:r>
              <w:rPr>
                <w:rFonts w:hint="eastAsia" w:cs="宋体"/>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49BDDECB">
            <w:pPr>
              <w:widowControl/>
              <w:jc w:val="center"/>
              <w:rPr>
                <w:rFonts w:cs="宋体"/>
                <w:highlight w:val="none"/>
              </w:rPr>
            </w:pPr>
            <w:r>
              <w:rPr>
                <w:rFonts w:hint="eastAsia" w:cs="宋体"/>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3E8544A8">
            <w:pPr>
              <w:widowControl/>
              <w:jc w:val="center"/>
              <w:rPr>
                <w:rFonts w:cs="宋体"/>
                <w:highlight w:val="none"/>
              </w:rPr>
            </w:pPr>
            <w:r>
              <w:rPr>
                <w:rFonts w:hint="eastAsia" w:cs="宋体"/>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0174856E">
            <w:pPr>
              <w:widowControl/>
              <w:jc w:val="center"/>
              <w:rPr>
                <w:rFonts w:cs="宋体"/>
                <w:highlight w:val="none"/>
              </w:rPr>
            </w:pPr>
            <w:r>
              <w:rPr>
                <w:rFonts w:hint="eastAsia" w:cs="宋体"/>
                <w:highlight w:val="none"/>
              </w:rPr>
              <w:t>　</w:t>
            </w:r>
          </w:p>
        </w:tc>
        <w:tc>
          <w:tcPr>
            <w:tcW w:w="1080" w:type="dxa"/>
            <w:tcBorders>
              <w:top w:val="nil"/>
              <w:left w:val="nil"/>
              <w:bottom w:val="single" w:color="000000" w:sz="4" w:space="0"/>
              <w:right w:val="single" w:color="000000" w:sz="4" w:space="0"/>
            </w:tcBorders>
            <w:shd w:val="clear" w:color="auto" w:fill="FFFFFF"/>
            <w:vAlign w:val="center"/>
          </w:tcPr>
          <w:p w14:paraId="6EA50427">
            <w:pPr>
              <w:widowControl/>
              <w:jc w:val="center"/>
              <w:rPr>
                <w:rFonts w:cs="宋体"/>
                <w:highlight w:val="none"/>
              </w:rPr>
            </w:pPr>
            <w:r>
              <w:rPr>
                <w:rFonts w:hint="eastAsia" w:cs="宋体"/>
                <w:highlight w:val="none"/>
              </w:rPr>
              <w:t>学历</w:t>
            </w:r>
          </w:p>
        </w:tc>
        <w:tc>
          <w:tcPr>
            <w:tcW w:w="1500" w:type="dxa"/>
            <w:tcBorders>
              <w:top w:val="nil"/>
              <w:left w:val="nil"/>
              <w:bottom w:val="single" w:color="000000" w:sz="4" w:space="0"/>
              <w:right w:val="single" w:color="000000" w:sz="4" w:space="0"/>
            </w:tcBorders>
            <w:shd w:val="clear" w:color="auto" w:fill="FFFFFF"/>
            <w:vAlign w:val="center"/>
          </w:tcPr>
          <w:p w14:paraId="08134DE4">
            <w:pPr>
              <w:widowControl/>
              <w:jc w:val="center"/>
              <w:rPr>
                <w:rFonts w:cs="宋体"/>
                <w:highlight w:val="none"/>
              </w:rPr>
            </w:pPr>
            <w:r>
              <w:rPr>
                <w:rFonts w:hint="eastAsia" w:cs="宋体"/>
                <w:highlight w:val="none"/>
              </w:rPr>
              <w:t>　</w:t>
            </w:r>
          </w:p>
        </w:tc>
      </w:tr>
      <w:tr w14:paraId="289E8229">
        <w:tblPrEx>
          <w:tblCellMar>
            <w:top w:w="0" w:type="dxa"/>
            <w:left w:w="108" w:type="dxa"/>
            <w:bottom w:w="0" w:type="dxa"/>
            <w:right w:w="108" w:type="dxa"/>
          </w:tblCellMar>
        </w:tblPrEx>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C98F25">
            <w:pPr>
              <w:widowControl/>
              <w:jc w:val="center"/>
              <w:rPr>
                <w:rFonts w:cs="宋体"/>
                <w:highlight w:val="none"/>
              </w:rPr>
            </w:pPr>
            <w:r>
              <w:rPr>
                <w:rFonts w:hint="eastAsia" w:cs="宋体"/>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5F7BA79A">
            <w:pPr>
              <w:widowControl/>
              <w:jc w:val="center"/>
              <w:rPr>
                <w:rFonts w:cs="宋体"/>
                <w:highlight w:val="none"/>
              </w:rPr>
            </w:pPr>
            <w:r>
              <w:rPr>
                <w:rFonts w:hint="eastAsia" w:cs="宋体"/>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14:paraId="74CC1AF7">
            <w:pPr>
              <w:widowControl/>
              <w:jc w:val="center"/>
              <w:rPr>
                <w:rFonts w:cs="宋体"/>
                <w:highlight w:val="none"/>
              </w:rPr>
            </w:pPr>
            <w:r>
              <w:rPr>
                <w:rFonts w:hint="eastAsia" w:cs="宋体"/>
                <w:highlight w:val="none"/>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14:paraId="76D5857C">
            <w:pPr>
              <w:widowControl/>
              <w:jc w:val="center"/>
              <w:rPr>
                <w:rFonts w:cs="宋体"/>
                <w:highlight w:val="none"/>
              </w:rPr>
            </w:pPr>
            <w:r>
              <w:rPr>
                <w:rFonts w:hint="eastAsia" w:cs="宋体"/>
                <w:highlight w:val="none"/>
              </w:rPr>
              <w:t>　</w:t>
            </w:r>
          </w:p>
        </w:tc>
      </w:tr>
      <w:tr w14:paraId="3BE9D45E">
        <w:tblPrEx>
          <w:tblCellMar>
            <w:top w:w="0" w:type="dxa"/>
            <w:left w:w="108" w:type="dxa"/>
            <w:bottom w:w="0" w:type="dxa"/>
            <w:right w:w="108" w:type="dxa"/>
          </w:tblCellMar>
        </w:tblPrEx>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14:paraId="58689350">
            <w:pPr>
              <w:widowControl/>
              <w:jc w:val="center"/>
              <w:rPr>
                <w:rFonts w:cs="宋体"/>
                <w:highlight w:val="none"/>
              </w:rPr>
            </w:pPr>
            <w:r>
              <w:rPr>
                <w:rFonts w:hint="eastAsia" w:cs="宋体"/>
                <w:highlight w:val="none"/>
              </w:rPr>
              <w:t>简</w:t>
            </w:r>
          </w:p>
          <w:p w14:paraId="5B728D7E">
            <w:pPr>
              <w:widowControl/>
              <w:jc w:val="center"/>
              <w:rPr>
                <w:rFonts w:cs="宋体"/>
                <w:highlight w:val="none"/>
              </w:rPr>
            </w:pPr>
          </w:p>
          <w:p w14:paraId="58347293">
            <w:pPr>
              <w:widowControl/>
              <w:jc w:val="center"/>
              <w:rPr>
                <w:rFonts w:cs="宋体"/>
                <w:highlight w:val="none"/>
              </w:rPr>
            </w:pPr>
          </w:p>
          <w:p w14:paraId="71AAE20F">
            <w:pPr>
              <w:widowControl/>
              <w:jc w:val="center"/>
              <w:rPr>
                <w:rFonts w:cs="宋体"/>
                <w:highlight w:val="none"/>
              </w:rPr>
            </w:pPr>
          </w:p>
          <w:p w14:paraId="13D307F3">
            <w:pPr>
              <w:widowControl/>
              <w:jc w:val="center"/>
              <w:rPr>
                <w:rFonts w:cs="宋体"/>
                <w:highlight w:val="none"/>
              </w:rPr>
            </w:pPr>
          </w:p>
          <w:p w14:paraId="49ED4B82">
            <w:pPr>
              <w:widowControl/>
              <w:jc w:val="center"/>
              <w:rPr>
                <w:rFonts w:cs="宋体"/>
                <w:highlight w:val="none"/>
              </w:rPr>
            </w:pPr>
          </w:p>
          <w:p w14:paraId="356F8A86">
            <w:pPr>
              <w:widowControl/>
              <w:jc w:val="center"/>
              <w:rPr>
                <w:rFonts w:cs="宋体"/>
                <w:highlight w:val="none"/>
              </w:rPr>
            </w:pPr>
            <w:r>
              <w:rPr>
                <w:rFonts w:hint="eastAsia" w:cs="宋体"/>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14:paraId="7C70B731">
            <w:pPr>
              <w:widowControl/>
              <w:rPr>
                <w:rFonts w:cs="宋体"/>
                <w:highlight w:val="none"/>
              </w:rPr>
            </w:pPr>
            <w:r>
              <w:rPr>
                <w:rFonts w:hint="eastAsia" w:cs="宋体"/>
                <w:highlight w:val="none"/>
              </w:rPr>
              <w:t>　</w:t>
            </w:r>
          </w:p>
        </w:tc>
      </w:tr>
    </w:tbl>
    <w:p w14:paraId="42EEA90D">
      <w:pPr>
        <w:spacing w:line="440" w:lineRule="exact"/>
        <w:ind w:right="480"/>
        <w:rPr>
          <w:highlight w:val="none"/>
        </w:rPr>
      </w:pPr>
    </w:p>
    <w:p w14:paraId="4A747A36">
      <w:pPr>
        <w:spacing w:line="440" w:lineRule="exact"/>
        <w:ind w:right="480"/>
        <w:rPr>
          <w:highlight w:val="none"/>
        </w:rPr>
      </w:pPr>
      <w:r>
        <w:rPr>
          <w:rFonts w:hint="eastAsia"/>
          <w:highlight w:val="none"/>
        </w:rPr>
        <w:t xml:space="preserve">法定代表人（签字或盖章）：  </w:t>
      </w:r>
    </w:p>
    <w:p w14:paraId="5E829F90">
      <w:pPr>
        <w:spacing w:line="440" w:lineRule="exact"/>
        <w:ind w:right="480"/>
        <w:jc w:val="both"/>
        <w:rPr>
          <w:highlight w:val="none"/>
        </w:rPr>
      </w:pPr>
      <w:r>
        <w:rPr>
          <w:rFonts w:hint="eastAsia"/>
          <w:highlight w:val="none"/>
        </w:rPr>
        <w:t xml:space="preserve">投 标 人（盖章）：  </w:t>
      </w:r>
    </w:p>
    <w:p w14:paraId="0CBE1421">
      <w:pPr>
        <w:spacing w:line="440" w:lineRule="exact"/>
        <w:jc w:val="both"/>
        <w:rPr>
          <w:highlight w:val="none"/>
        </w:rPr>
      </w:pPr>
      <w:r>
        <w:rPr>
          <w:rFonts w:hint="eastAsia"/>
          <w:highlight w:val="none"/>
        </w:rPr>
        <w:t>日期：    年   月   日</w:t>
      </w:r>
    </w:p>
    <w:p w14:paraId="3ABB69F2">
      <w:pPr>
        <w:pStyle w:val="14"/>
        <w:ind w:firstLine="217"/>
        <w:rPr>
          <w:highlight w:val="none"/>
        </w:rPr>
      </w:pPr>
    </w:p>
    <w:p w14:paraId="67B9397A">
      <w:pPr>
        <w:rPr>
          <w:highlight w:val="none"/>
        </w:rPr>
      </w:pPr>
    </w:p>
    <w:p w14:paraId="274BA95C">
      <w:pPr>
        <w:pStyle w:val="14"/>
        <w:rPr>
          <w:highlight w:val="none"/>
        </w:rPr>
      </w:pPr>
    </w:p>
    <w:p w14:paraId="5673378F">
      <w:pPr>
        <w:rPr>
          <w:highlight w:val="none"/>
        </w:rPr>
      </w:pPr>
    </w:p>
    <w:p w14:paraId="1EBAA867">
      <w:pPr>
        <w:rPr>
          <w:highlight w:val="none"/>
        </w:rPr>
      </w:pPr>
    </w:p>
    <w:p w14:paraId="217A265C">
      <w:pPr>
        <w:pStyle w:val="14"/>
        <w:adjustRightInd w:val="0"/>
        <w:snapToGrid w:val="0"/>
        <w:spacing w:after="0" w:line="360" w:lineRule="auto"/>
        <w:ind w:firstLine="482" w:firstLineChars="200"/>
        <w:rPr>
          <w:rFonts w:ascii="宋体" w:hAnsi="宋体" w:eastAsia="宋体"/>
          <w:sz w:val="24"/>
          <w:szCs w:val="24"/>
          <w:highlight w:val="none"/>
        </w:rPr>
      </w:pPr>
    </w:p>
    <w:p w14:paraId="30A71AA0">
      <w:pPr>
        <w:pStyle w:val="27"/>
        <w:rPr>
          <w:szCs w:val="28"/>
          <w:highlight w:val="none"/>
        </w:rPr>
      </w:pPr>
      <w:bookmarkStart w:id="753" w:name="_Toc30347"/>
      <w:bookmarkStart w:id="754" w:name="_Toc16521990"/>
      <w:bookmarkStart w:id="755" w:name="_Toc20667"/>
      <w:r>
        <w:rPr>
          <w:rFonts w:hint="eastAsia"/>
          <w:szCs w:val="28"/>
          <w:highlight w:val="none"/>
        </w:rPr>
        <w:t>三、主要施工机械设备表</w:t>
      </w:r>
      <w:bookmarkEnd w:id="753"/>
      <w:bookmarkEnd w:id="754"/>
      <w:bookmarkEnd w:id="755"/>
    </w:p>
    <w:p w14:paraId="487FCA65">
      <w:pPr>
        <w:spacing w:line="440" w:lineRule="exact"/>
        <w:jc w:val="center"/>
        <w:rPr>
          <w:rFonts w:eastAsia="黑体"/>
          <w:sz w:val="20"/>
          <w:szCs w:val="20"/>
          <w:highlight w:val="none"/>
        </w:rPr>
      </w:pPr>
    </w:p>
    <w:p w14:paraId="1CAE8A77">
      <w:pPr>
        <w:spacing w:line="360" w:lineRule="auto"/>
        <w:jc w:val="center"/>
        <w:rPr>
          <w:highlight w:val="none"/>
        </w:rPr>
      </w:pPr>
      <w:r>
        <w:rPr>
          <w:rFonts w:hint="eastAsia"/>
          <w:highlight w:val="none"/>
          <w:u w:val="single"/>
        </w:rPr>
        <w:t xml:space="preserve">                              </w:t>
      </w:r>
      <w:r>
        <w:rPr>
          <w:rFonts w:hint="eastAsia"/>
          <w:highlight w:val="none"/>
        </w:rPr>
        <w:t>工程</w:t>
      </w:r>
    </w:p>
    <w:p w14:paraId="617BF453">
      <w:pPr>
        <w:spacing w:line="360" w:lineRule="auto"/>
        <w:jc w:val="center"/>
        <w:rPr>
          <w:rFonts w:eastAsia="黑体"/>
          <w:sz w:val="44"/>
          <w:highlight w:val="none"/>
        </w:rPr>
      </w:pPr>
      <w:r>
        <w:rPr>
          <w:rFonts w:hint="eastAsia" w:eastAsia="黑体"/>
          <w:sz w:val="44"/>
          <w:highlight w:val="none"/>
        </w:rPr>
        <w:t>主要施工机械设备表</w:t>
      </w:r>
    </w:p>
    <w:tbl>
      <w:tblPr>
        <w:tblStyle w:val="21"/>
        <w:tblW w:w="0" w:type="auto"/>
        <w:jc w:val="center"/>
        <w:tblLayout w:type="fixed"/>
        <w:tblCellMar>
          <w:top w:w="0" w:type="dxa"/>
          <w:left w:w="108" w:type="dxa"/>
          <w:bottom w:w="0" w:type="dxa"/>
          <w:right w:w="108" w:type="dxa"/>
        </w:tblCellMar>
      </w:tblPr>
      <w:tblGrid>
        <w:gridCol w:w="828"/>
        <w:gridCol w:w="1440"/>
        <w:gridCol w:w="1440"/>
        <w:gridCol w:w="1060"/>
        <w:gridCol w:w="1420"/>
        <w:gridCol w:w="1340"/>
        <w:gridCol w:w="1369"/>
      </w:tblGrid>
      <w:tr w14:paraId="0ACC60F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F17F2">
            <w:pPr>
              <w:widowControl/>
              <w:jc w:val="center"/>
              <w:rPr>
                <w:rFonts w:cs="宋体"/>
                <w:sz w:val="22"/>
                <w:szCs w:val="22"/>
                <w:highlight w:val="none"/>
              </w:rPr>
            </w:pPr>
            <w:r>
              <w:rPr>
                <w:rFonts w:hint="eastAsia" w:cs="宋体"/>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33AAAA9">
            <w:pPr>
              <w:widowControl/>
              <w:jc w:val="center"/>
              <w:rPr>
                <w:rFonts w:cs="宋体"/>
                <w:sz w:val="22"/>
                <w:szCs w:val="22"/>
                <w:highlight w:val="none"/>
              </w:rPr>
            </w:pPr>
            <w:r>
              <w:rPr>
                <w:rFonts w:hint="eastAsia" w:cs="宋体"/>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1983A6A">
            <w:pPr>
              <w:widowControl/>
              <w:jc w:val="center"/>
              <w:rPr>
                <w:rFonts w:cs="宋体"/>
                <w:sz w:val="22"/>
                <w:szCs w:val="22"/>
                <w:highlight w:val="none"/>
              </w:rPr>
            </w:pPr>
            <w:r>
              <w:rPr>
                <w:rFonts w:hint="eastAsia" w:cs="宋体"/>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59F4693">
            <w:pPr>
              <w:widowControl/>
              <w:jc w:val="center"/>
              <w:rPr>
                <w:rFonts w:cs="宋体"/>
                <w:sz w:val="22"/>
                <w:szCs w:val="22"/>
                <w:highlight w:val="none"/>
              </w:rPr>
            </w:pPr>
            <w:r>
              <w:rPr>
                <w:rFonts w:hint="eastAsia" w:cs="宋体"/>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4D17D2A">
            <w:pPr>
              <w:widowControl/>
              <w:jc w:val="center"/>
              <w:rPr>
                <w:rFonts w:cs="宋体"/>
                <w:sz w:val="22"/>
                <w:szCs w:val="22"/>
                <w:highlight w:val="none"/>
              </w:rPr>
            </w:pPr>
            <w:r>
              <w:rPr>
                <w:rFonts w:hint="eastAsia" w:cs="宋体"/>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478603B">
            <w:pPr>
              <w:widowControl/>
              <w:jc w:val="center"/>
              <w:rPr>
                <w:rFonts w:cs="宋体"/>
                <w:sz w:val="22"/>
                <w:szCs w:val="22"/>
                <w:highlight w:val="none"/>
              </w:rPr>
            </w:pPr>
            <w:r>
              <w:rPr>
                <w:rFonts w:hint="eastAsia" w:cs="宋体"/>
                <w:sz w:val="22"/>
                <w:szCs w:val="22"/>
                <w:highlight w:val="none"/>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0F8EDA1">
            <w:pPr>
              <w:widowControl/>
              <w:jc w:val="center"/>
              <w:rPr>
                <w:rFonts w:cs="宋体"/>
                <w:sz w:val="22"/>
                <w:szCs w:val="22"/>
                <w:highlight w:val="none"/>
              </w:rPr>
            </w:pPr>
            <w:r>
              <w:rPr>
                <w:rFonts w:hint="eastAsia" w:cs="宋体"/>
                <w:sz w:val="22"/>
                <w:szCs w:val="22"/>
                <w:highlight w:val="none"/>
              </w:rPr>
              <w:t>备注</w:t>
            </w:r>
          </w:p>
        </w:tc>
      </w:tr>
      <w:tr w14:paraId="34970BF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3554C">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6395424">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B321A89">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225B30C">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DBB5013">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B47426F">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4A57DCF">
            <w:pPr>
              <w:widowControl/>
              <w:jc w:val="center"/>
              <w:rPr>
                <w:rFonts w:cs="宋体"/>
                <w:sz w:val="22"/>
                <w:szCs w:val="22"/>
                <w:highlight w:val="none"/>
              </w:rPr>
            </w:pPr>
          </w:p>
        </w:tc>
      </w:tr>
      <w:tr w14:paraId="073BCF9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E52A4">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E148D7B">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8E2D9C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245C14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2ABAA22">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BFC2038">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FD2A877">
            <w:pPr>
              <w:widowControl/>
              <w:jc w:val="center"/>
              <w:rPr>
                <w:rFonts w:cs="宋体"/>
                <w:sz w:val="22"/>
                <w:szCs w:val="22"/>
                <w:highlight w:val="none"/>
              </w:rPr>
            </w:pPr>
          </w:p>
        </w:tc>
      </w:tr>
      <w:tr w14:paraId="0745884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459AD">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BBB8B1D">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D342E0B">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4557D8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F579CF6">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1B9B84D">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8D4FF57">
            <w:pPr>
              <w:widowControl/>
              <w:jc w:val="center"/>
              <w:rPr>
                <w:rFonts w:cs="宋体"/>
                <w:sz w:val="22"/>
                <w:szCs w:val="22"/>
                <w:highlight w:val="none"/>
              </w:rPr>
            </w:pPr>
          </w:p>
        </w:tc>
      </w:tr>
      <w:tr w14:paraId="391FD57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57DB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D5986B3">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AE3BF5F">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E94A4F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185BA3B">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6037496">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23065D8">
            <w:pPr>
              <w:widowControl/>
              <w:jc w:val="center"/>
              <w:rPr>
                <w:rFonts w:cs="宋体"/>
                <w:sz w:val="22"/>
                <w:szCs w:val="22"/>
                <w:highlight w:val="none"/>
              </w:rPr>
            </w:pPr>
          </w:p>
        </w:tc>
      </w:tr>
      <w:tr w14:paraId="510D599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11E1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41049A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C66D016">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1DDD9A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7F8E023">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61B98FE">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7FEF132">
            <w:pPr>
              <w:widowControl/>
              <w:jc w:val="center"/>
              <w:rPr>
                <w:rFonts w:cs="宋体"/>
                <w:sz w:val="22"/>
                <w:szCs w:val="22"/>
                <w:highlight w:val="none"/>
              </w:rPr>
            </w:pPr>
          </w:p>
        </w:tc>
      </w:tr>
      <w:tr w14:paraId="5DB2412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1661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1B7428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4A2523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802DFB5">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DF3932C">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FB6CAFC">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B88E4C7">
            <w:pPr>
              <w:widowControl/>
              <w:jc w:val="center"/>
              <w:rPr>
                <w:rFonts w:cs="宋体"/>
                <w:sz w:val="22"/>
                <w:szCs w:val="22"/>
                <w:highlight w:val="none"/>
              </w:rPr>
            </w:pPr>
          </w:p>
        </w:tc>
      </w:tr>
      <w:tr w14:paraId="2FEB2A1A">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42A77">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AB7F044">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7A32DB9">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A9AC60E">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9362711">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F993510">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3178844">
            <w:pPr>
              <w:widowControl/>
              <w:jc w:val="center"/>
              <w:rPr>
                <w:rFonts w:cs="宋体"/>
                <w:sz w:val="22"/>
                <w:szCs w:val="22"/>
                <w:highlight w:val="none"/>
              </w:rPr>
            </w:pPr>
          </w:p>
        </w:tc>
      </w:tr>
      <w:tr w14:paraId="59BFABE0">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F921A">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D4CFBB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C22E1FA">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2AE7B2F">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8CB3F66">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EA58344">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AA1BC45">
            <w:pPr>
              <w:widowControl/>
              <w:jc w:val="center"/>
              <w:rPr>
                <w:rFonts w:cs="宋体"/>
                <w:sz w:val="22"/>
                <w:szCs w:val="22"/>
                <w:highlight w:val="none"/>
              </w:rPr>
            </w:pPr>
          </w:p>
        </w:tc>
      </w:tr>
      <w:tr w14:paraId="1CB7E2E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44B3E">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1520E21">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F1916F6">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2549393">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8E60F73">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790A150">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0D1D2FE">
            <w:pPr>
              <w:widowControl/>
              <w:jc w:val="center"/>
              <w:rPr>
                <w:rFonts w:cs="宋体"/>
                <w:sz w:val="22"/>
                <w:szCs w:val="22"/>
                <w:highlight w:val="none"/>
              </w:rPr>
            </w:pPr>
          </w:p>
        </w:tc>
      </w:tr>
      <w:tr w14:paraId="71F82A8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5669A">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6710D8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3B1A9D2">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254DBF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4C3C951">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AAFE577">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BE098E1">
            <w:pPr>
              <w:widowControl/>
              <w:jc w:val="center"/>
              <w:rPr>
                <w:rFonts w:cs="宋体"/>
                <w:sz w:val="22"/>
                <w:szCs w:val="22"/>
                <w:highlight w:val="none"/>
              </w:rPr>
            </w:pPr>
          </w:p>
        </w:tc>
      </w:tr>
      <w:tr w14:paraId="58FC9216">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DF52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FC8D298">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44B00D1">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4D7BE45">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9A1BA2C">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4BBC233">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9ADEDEA">
            <w:pPr>
              <w:widowControl/>
              <w:jc w:val="center"/>
              <w:rPr>
                <w:rFonts w:cs="宋体"/>
                <w:sz w:val="22"/>
                <w:szCs w:val="22"/>
                <w:highlight w:val="none"/>
              </w:rPr>
            </w:pPr>
          </w:p>
        </w:tc>
      </w:tr>
      <w:tr w14:paraId="1015A333">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31653">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4DB727C">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C24087A">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A35E995">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B380A81">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4295BDA">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A26FF3F">
            <w:pPr>
              <w:widowControl/>
              <w:jc w:val="center"/>
              <w:rPr>
                <w:rFonts w:cs="宋体"/>
                <w:sz w:val="22"/>
                <w:szCs w:val="22"/>
                <w:highlight w:val="none"/>
              </w:rPr>
            </w:pPr>
          </w:p>
        </w:tc>
      </w:tr>
      <w:tr w14:paraId="4A5DF1F4">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E60A4">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4EE97FA">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9D9176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D5757E4">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CC1F260">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E3C7E0E">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8EC14BB">
            <w:pPr>
              <w:widowControl/>
              <w:jc w:val="center"/>
              <w:rPr>
                <w:rFonts w:cs="宋体"/>
                <w:sz w:val="22"/>
                <w:szCs w:val="22"/>
                <w:highlight w:val="none"/>
              </w:rPr>
            </w:pPr>
          </w:p>
        </w:tc>
      </w:tr>
    </w:tbl>
    <w:p w14:paraId="248DD2DF">
      <w:pPr>
        <w:spacing w:line="440" w:lineRule="exact"/>
        <w:ind w:right="480"/>
        <w:rPr>
          <w:highlight w:val="none"/>
        </w:rPr>
      </w:pPr>
    </w:p>
    <w:p w14:paraId="7DDE47B6">
      <w:pPr>
        <w:spacing w:line="440" w:lineRule="exact"/>
        <w:ind w:right="480"/>
        <w:rPr>
          <w:highlight w:val="none"/>
        </w:rPr>
      </w:pPr>
      <w:r>
        <w:rPr>
          <w:rFonts w:hint="eastAsia"/>
          <w:highlight w:val="none"/>
        </w:rPr>
        <w:t xml:space="preserve">法定代表人（签字或盖章）：  </w:t>
      </w:r>
    </w:p>
    <w:p w14:paraId="57958AE6">
      <w:pPr>
        <w:spacing w:line="440" w:lineRule="exact"/>
        <w:ind w:right="480"/>
        <w:jc w:val="both"/>
        <w:rPr>
          <w:highlight w:val="none"/>
        </w:rPr>
      </w:pPr>
      <w:r>
        <w:rPr>
          <w:rFonts w:hint="eastAsia"/>
          <w:highlight w:val="none"/>
        </w:rPr>
        <w:t xml:space="preserve">投 标 人（盖章）：   </w:t>
      </w:r>
    </w:p>
    <w:p w14:paraId="12E38451">
      <w:pPr>
        <w:spacing w:line="440" w:lineRule="exact"/>
        <w:jc w:val="both"/>
        <w:rPr>
          <w:highlight w:val="none"/>
        </w:rPr>
      </w:pPr>
      <w:r>
        <w:rPr>
          <w:rFonts w:hint="eastAsia"/>
          <w:highlight w:val="none"/>
        </w:rPr>
        <w:t>日期：    年   月   日</w:t>
      </w:r>
      <w:bookmarkStart w:id="756" w:name="_Toc288556325"/>
      <w:bookmarkStart w:id="757" w:name="_Toc10562"/>
      <w:bookmarkStart w:id="758" w:name="_Toc12085"/>
      <w:bookmarkStart w:id="759" w:name="_Toc16521991"/>
      <w:bookmarkStart w:id="760" w:name="_Toc365645478"/>
      <w:bookmarkStart w:id="761" w:name="_Toc370743415"/>
    </w:p>
    <w:p w14:paraId="578743C5">
      <w:pPr>
        <w:spacing w:line="440" w:lineRule="exact"/>
        <w:rPr>
          <w:szCs w:val="28"/>
          <w:highlight w:val="none"/>
        </w:rPr>
      </w:pPr>
    </w:p>
    <w:p w14:paraId="71CE7729">
      <w:pPr>
        <w:pStyle w:val="27"/>
        <w:rPr>
          <w:szCs w:val="28"/>
          <w:highlight w:val="none"/>
        </w:rPr>
        <w:sectPr>
          <w:pgSz w:w="11906" w:h="16838"/>
          <w:pgMar w:top="1418" w:right="1588" w:bottom="1418" w:left="1588" w:header="851" w:footer="992" w:gutter="0"/>
          <w:cols w:space="720" w:num="1"/>
          <w:docGrid w:type="lines" w:linePitch="312" w:charSpace="0"/>
        </w:sectPr>
      </w:pPr>
    </w:p>
    <w:p w14:paraId="4E51CE2D">
      <w:pPr>
        <w:pStyle w:val="27"/>
        <w:rPr>
          <w:szCs w:val="28"/>
          <w:highlight w:val="none"/>
        </w:rPr>
      </w:pPr>
      <w:bookmarkStart w:id="762" w:name="_Toc18647"/>
      <w:r>
        <w:rPr>
          <w:rFonts w:hint="eastAsia"/>
          <w:szCs w:val="28"/>
          <w:highlight w:val="none"/>
        </w:rPr>
        <w:t>四、</w:t>
      </w:r>
      <w:bookmarkEnd w:id="756"/>
      <w:r>
        <w:rPr>
          <w:rFonts w:hint="eastAsia"/>
          <w:szCs w:val="28"/>
          <w:highlight w:val="none"/>
        </w:rPr>
        <w:t>台州市建设工程投标人资格自查表</w:t>
      </w:r>
      <w:bookmarkEnd w:id="757"/>
      <w:bookmarkEnd w:id="758"/>
      <w:bookmarkEnd w:id="759"/>
      <w:bookmarkEnd w:id="760"/>
      <w:bookmarkEnd w:id="761"/>
      <w:bookmarkEnd w:id="762"/>
    </w:p>
    <w:p w14:paraId="4AD17ACB">
      <w:pPr>
        <w:spacing w:line="360" w:lineRule="auto"/>
        <w:jc w:val="center"/>
        <w:rPr>
          <w:highlight w:val="none"/>
        </w:rPr>
      </w:pPr>
      <w:r>
        <w:rPr>
          <w:rFonts w:hint="eastAsia"/>
          <w:highlight w:val="none"/>
          <w:u w:val="single"/>
        </w:rPr>
        <w:t xml:space="preserve">                              </w:t>
      </w:r>
      <w:r>
        <w:rPr>
          <w:rFonts w:hint="eastAsia"/>
          <w:highlight w:val="none"/>
        </w:rPr>
        <w:t>工程</w:t>
      </w:r>
    </w:p>
    <w:p w14:paraId="40912C4C">
      <w:pPr>
        <w:ind w:left="-30" w:leftChars="-95" w:hanging="198" w:hangingChars="66"/>
        <w:jc w:val="center"/>
        <w:rPr>
          <w:rFonts w:eastAsia="黑体"/>
          <w:b/>
          <w:sz w:val="30"/>
          <w:szCs w:val="30"/>
          <w:highlight w:val="none"/>
        </w:rPr>
      </w:pPr>
      <w:r>
        <w:rPr>
          <w:rFonts w:hint="eastAsia" w:eastAsia="黑体"/>
          <w:b/>
          <w:sz w:val="30"/>
          <w:szCs w:val="30"/>
          <w:highlight w:val="none"/>
        </w:rPr>
        <w:t>台州市建设工程投标人资格自查表</w:t>
      </w:r>
    </w:p>
    <w:tbl>
      <w:tblPr>
        <w:tblStyle w:val="21"/>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712"/>
        <w:gridCol w:w="1401"/>
        <w:gridCol w:w="1258"/>
        <w:gridCol w:w="1276"/>
      </w:tblGrid>
      <w:tr w14:paraId="6020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4" w:type="dxa"/>
            <w:vAlign w:val="center"/>
          </w:tcPr>
          <w:p w14:paraId="73609373">
            <w:pPr>
              <w:spacing w:line="360" w:lineRule="auto"/>
              <w:jc w:val="center"/>
              <w:rPr>
                <w:rFonts w:eastAsia="黑体"/>
                <w:b/>
                <w:sz w:val="21"/>
                <w:szCs w:val="21"/>
                <w:highlight w:val="none"/>
              </w:rPr>
            </w:pPr>
            <w:r>
              <w:rPr>
                <w:rFonts w:eastAsia="黑体"/>
                <w:b/>
                <w:sz w:val="21"/>
                <w:szCs w:val="21"/>
                <w:highlight w:val="none"/>
              </w:rPr>
              <w:t>序号</w:t>
            </w:r>
          </w:p>
        </w:tc>
        <w:tc>
          <w:tcPr>
            <w:tcW w:w="4712" w:type="dxa"/>
            <w:vAlign w:val="center"/>
          </w:tcPr>
          <w:p w14:paraId="65446D49">
            <w:pPr>
              <w:spacing w:line="360" w:lineRule="auto"/>
              <w:jc w:val="center"/>
              <w:rPr>
                <w:rFonts w:eastAsia="黑体"/>
                <w:b/>
                <w:sz w:val="21"/>
                <w:szCs w:val="21"/>
                <w:highlight w:val="none"/>
              </w:rPr>
            </w:pPr>
            <w:r>
              <w:rPr>
                <w:rFonts w:eastAsia="黑体"/>
                <w:b/>
                <w:sz w:val="21"/>
                <w:szCs w:val="21"/>
                <w:highlight w:val="none"/>
              </w:rPr>
              <w:t>自查内容</w:t>
            </w:r>
          </w:p>
        </w:tc>
        <w:tc>
          <w:tcPr>
            <w:tcW w:w="1401" w:type="dxa"/>
            <w:vAlign w:val="center"/>
          </w:tcPr>
          <w:p w14:paraId="02F8B4F0">
            <w:pPr>
              <w:snapToGrid w:val="0"/>
              <w:jc w:val="center"/>
              <w:rPr>
                <w:rFonts w:eastAsia="黑体"/>
                <w:b/>
                <w:sz w:val="21"/>
                <w:szCs w:val="21"/>
                <w:highlight w:val="none"/>
              </w:rPr>
            </w:pPr>
            <w:r>
              <w:rPr>
                <w:rFonts w:eastAsia="黑体"/>
                <w:b/>
                <w:sz w:val="21"/>
                <w:szCs w:val="21"/>
                <w:highlight w:val="none"/>
              </w:rPr>
              <w:t>招标文件</w:t>
            </w:r>
          </w:p>
          <w:p w14:paraId="7644BB9D">
            <w:pPr>
              <w:snapToGrid w:val="0"/>
              <w:jc w:val="center"/>
              <w:rPr>
                <w:rFonts w:eastAsia="黑体"/>
                <w:b/>
                <w:sz w:val="21"/>
                <w:szCs w:val="21"/>
                <w:highlight w:val="none"/>
              </w:rPr>
            </w:pPr>
            <w:r>
              <w:rPr>
                <w:rFonts w:eastAsia="黑体"/>
                <w:b/>
                <w:sz w:val="21"/>
                <w:szCs w:val="21"/>
                <w:highlight w:val="none"/>
              </w:rPr>
              <w:t>条款号</w:t>
            </w:r>
          </w:p>
        </w:tc>
        <w:tc>
          <w:tcPr>
            <w:tcW w:w="1258" w:type="dxa"/>
            <w:vAlign w:val="center"/>
          </w:tcPr>
          <w:p w14:paraId="1283DA99">
            <w:pPr>
              <w:spacing w:line="360" w:lineRule="auto"/>
              <w:jc w:val="center"/>
              <w:rPr>
                <w:rFonts w:eastAsia="黑体"/>
                <w:b/>
                <w:sz w:val="21"/>
                <w:szCs w:val="21"/>
                <w:highlight w:val="none"/>
              </w:rPr>
            </w:pPr>
            <w:r>
              <w:rPr>
                <w:rFonts w:eastAsia="黑体"/>
                <w:b/>
                <w:sz w:val="21"/>
                <w:szCs w:val="21"/>
                <w:highlight w:val="none"/>
              </w:rPr>
              <w:t>投标要求</w:t>
            </w:r>
          </w:p>
        </w:tc>
        <w:tc>
          <w:tcPr>
            <w:tcW w:w="1276" w:type="dxa"/>
            <w:vAlign w:val="center"/>
          </w:tcPr>
          <w:p w14:paraId="4D3BFF42">
            <w:pPr>
              <w:spacing w:line="360" w:lineRule="auto"/>
              <w:jc w:val="center"/>
              <w:rPr>
                <w:rFonts w:eastAsia="黑体"/>
                <w:b/>
                <w:sz w:val="21"/>
                <w:szCs w:val="21"/>
                <w:highlight w:val="none"/>
              </w:rPr>
            </w:pPr>
            <w:r>
              <w:rPr>
                <w:rFonts w:eastAsia="黑体"/>
                <w:b/>
                <w:sz w:val="21"/>
                <w:szCs w:val="21"/>
                <w:highlight w:val="none"/>
              </w:rPr>
              <w:t>自查情况</w:t>
            </w:r>
          </w:p>
        </w:tc>
      </w:tr>
      <w:tr w14:paraId="7797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06DF30BF">
            <w:pPr>
              <w:spacing w:line="360" w:lineRule="auto"/>
              <w:jc w:val="center"/>
              <w:rPr>
                <w:sz w:val="21"/>
                <w:szCs w:val="21"/>
                <w:highlight w:val="none"/>
              </w:rPr>
            </w:pPr>
            <w:r>
              <w:rPr>
                <w:sz w:val="21"/>
                <w:szCs w:val="21"/>
                <w:highlight w:val="none"/>
              </w:rPr>
              <w:t>1</w:t>
            </w:r>
          </w:p>
        </w:tc>
        <w:tc>
          <w:tcPr>
            <w:tcW w:w="4712" w:type="dxa"/>
            <w:vAlign w:val="center"/>
          </w:tcPr>
          <w:p w14:paraId="19F1C460">
            <w:pPr>
              <w:rPr>
                <w:sz w:val="21"/>
                <w:szCs w:val="21"/>
                <w:highlight w:val="none"/>
              </w:rPr>
            </w:pPr>
            <w:r>
              <w:rPr>
                <w:sz w:val="21"/>
                <w:szCs w:val="21"/>
                <w:highlight w:val="none"/>
              </w:rPr>
              <w:t>投标人资质条件是否符合</w:t>
            </w:r>
          </w:p>
        </w:tc>
        <w:tc>
          <w:tcPr>
            <w:tcW w:w="1401" w:type="dxa"/>
            <w:vAlign w:val="center"/>
          </w:tcPr>
          <w:p w14:paraId="1B30D13D">
            <w:pPr>
              <w:spacing w:line="360" w:lineRule="auto"/>
              <w:jc w:val="center"/>
              <w:rPr>
                <w:sz w:val="21"/>
                <w:szCs w:val="21"/>
                <w:highlight w:val="none"/>
              </w:rPr>
            </w:pPr>
            <w:r>
              <w:rPr>
                <w:sz w:val="21"/>
                <w:szCs w:val="21"/>
                <w:highlight w:val="none"/>
              </w:rPr>
              <w:t>1.4.1（1）</w:t>
            </w:r>
          </w:p>
        </w:tc>
        <w:tc>
          <w:tcPr>
            <w:tcW w:w="1258" w:type="dxa"/>
            <w:vAlign w:val="center"/>
          </w:tcPr>
          <w:p w14:paraId="62E8CFA7">
            <w:pPr>
              <w:spacing w:line="360" w:lineRule="auto"/>
              <w:jc w:val="center"/>
              <w:rPr>
                <w:sz w:val="21"/>
                <w:szCs w:val="21"/>
                <w:highlight w:val="none"/>
              </w:rPr>
            </w:pPr>
            <w:r>
              <w:rPr>
                <w:sz w:val="21"/>
                <w:szCs w:val="21"/>
                <w:highlight w:val="none"/>
              </w:rPr>
              <w:t>是</w:t>
            </w:r>
          </w:p>
        </w:tc>
        <w:tc>
          <w:tcPr>
            <w:tcW w:w="1276" w:type="dxa"/>
            <w:vAlign w:val="center"/>
          </w:tcPr>
          <w:p w14:paraId="4DB8AE11">
            <w:pPr>
              <w:spacing w:line="360" w:lineRule="auto"/>
              <w:jc w:val="center"/>
              <w:rPr>
                <w:rFonts w:eastAsia="黑体"/>
                <w:b/>
                <w:sz w:val="21"/>
                <w:szCs w:val="21"/>
                <w:highlight w:val="none"/>
              </w:rPr>
            </w:pPr>
          </w:p>
        </w:tc>
      </w:tr>
      <w:tr w14:paraId="46FB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5C81C657">
            <w:pPr>
              <w:spacing w:line="360" w:lineRule="auto"/>
              <w:jc w:val="center"/>
              <w:rPr>
                <w:sz w:val="21"/>
                <w:szCs w:val="21"/>
                <w:highlight w:val="none"/>
              </w:rPr>
            </w:pPr>
            <w:r>
              <w:rPr>
                <w:sz w:val="21"/>
                <w:szCs w:val="21"/>
                <w:highlight w:val="none"/>
              </w:rPr>
              <w:t>2</w:t>
            </w:r>
          </w:p>
        </w:tc>
        <w:tc>
          <w:tcPr>
            <w:tcW w:w="4712" w:type="dxa"/>
            <w:vAlign w:val="center"/>
          </w:tcPr>
          <w:p w14:paraId="0F5067AF">
            <w:pPr>
              <w:spacing w:line="260" w:lineRule="exact"/>
              <w:rPr>
                <w:sz w:val="21"/>
                <w:szCs w:val="21"/>
                <w:highlight w:val="none"/>
              </w:rPr>
            </w:pPr>
            <w:r>
              <w:rPr>
                <w:sz w:val="21"/>
                <w:szCs w:val="21"/>
                <w:highlight w:val="none"/>
              </w:rPr>
              <w:t>是否为招标人不具有独立法人资格的附属机构（单位）</w:t>
            </w:r>
          </w:p>
        </w:tc>
        <w:tc>
          <w:tcPr>
            <w:tcW w:w="1401" w:type="dxa"/>
            <w:vAlign w:val="center"/>
          </w:tcPr>
          <w:p w14:paraId="3EB423FC">
            <w:pPr>
              <w:spacing w:line="360" w:lineRule="auto"/>
              <w:jc w:val="center"/>
              <w:rPr>
                <w:sz w:val="21"/>
                <w:szCs w:val="21"/>
                <w:highlight w:val="none"/>
              </w:rPr>
            </w:pPr>
            <w:r>
              <w:rPr>
                <w:sz w:val="21"/>
                <w:szCs w:val="21"/>
                <w:highlight w:val="none"/>
              </w:rPr>
              <w:t>1.4.4（1）</w:t>
            </w:r>
          </w:p>
        </w:tc>
        <w:tc>
          <w:tcPr>
            <w:tcW w:w="1258" w:type="dxa"/>
            <w:vAlign w:val="center"/>
          </w:tcPr>
          <w:p w14:paraId="488AD4BD">
            <w:pPr>
              <w:spacing w:line="360" w:lineRule="auto"/>
              <w:jc w:val="center"/>
              <w:rPr>
                <w:sz w:val="21"/>
                <w:szCs w:val="21"/>
                <w:highlight w:val="none"/>
              </w:rPr>
            </w:pPr>
            <w:r>
              <w:rPr>
                <w:sz w:val="21"/>
                <w:szCs w:val="21"/>
                <w:highlight w:val="none"/>
              </w:rPr>
              <w:t>否</w:t>
            </w:r>
          </w:p>
        </w:tc>
        <w:tc>
          <w:tcPr>
            <w:tcW w:w="1276" w:type="dxa"/>
            <w:vAlign w:val="center"/>
          </w:tcPr>
          <w:p w14:paraId="42B159A2">
            <w:pPr>
              <w:spacing w:line="360" w:lineRule="auto"/>
              <w:jc w:val="center"/>
              <w:rPr>
                <w:rFonts w:eastAsia="黑体"/>
                <w:b/>
                <w:sz w:val="21"/>
                <w:szCs w:val="21"/>
                <w:highlight w:val="none"/>
              </w:rPr>
            </w:pPr>
          </w:p>
        </w:tc>
      </w:tr>
      <w:tr w14:paraId="7A74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5423AB37">
            <w:pPr>
              <w:spacing w:line="360" w:lineRule="auto"/>
              <w:jc w:val="center"/>
              <w:rPr>
                <w:sz w:val="21"/>
                <w:szCs w:val="21"/>
                <w:highlight w:val="none"/>
              </w:rPr>
            </w:pPr>
            <w:r>
              <w:rPr>
                <w:rFonts w:hint="eastAsia"/>
                <w:sz w:val="21"/>
                <w:szCs w:val="21"/>
                <w:highlight w:val="none"/>
              </w:rPr>
              <w:t>3</w:t>
            </w:r>
          </w:p>
        </w:tc>
        <w:tc>
          <w:tcPr>
            <w:tcW w:w="4712" w:type="dxa"/>
            <w:vAlign w:val="center"/>
          </w:tcPr>
          <w:p w14:paraId="34C018A9">
            <w:pPr>
              <w:spacing w:line="260" w:lineRule="exact"/>
              <w:rPr>
                <w:sz w:val="21"/>
                <w:szCs w:val="21"/>
                <w:highlight w:val="none"/>
              </w:rPr>
            </w:pPr>
            <w:r>
              <w:rPr>
                <w:rFonts w:hint="eastAsia"/>
                <w:sz w:val="21"/>
                <w:szCs w:val="21"/>
                <w:highlight w:val="none"/>
              </w:rPr>
              <w:t>是否为与招标人存在利害关系可能影响招标公正性的法人、其他组织或者个人</w:t>
            </w:r>
          </w:p>
        </w:tc>
        <w:tc>
          <w:tcPr>
            <w:tcW w:w="1401" w:type="dxa"/>
            <w:vAlign w:val="center"/>
          </w:tcPr>
          <w:p w14:paraId="1DA1999A">
            <w:pPr>
              <w:spacing w:line="360" w:lineRule="auto"/>
              <w:jc w:val="center"/>
              <w:rPr>
                <w:sz w:val="21"/>
                <w:szCs w:val="21"/>
                <w:highlight w:val="none"/>
              </w:rPr>
            </w:pPr>
            <w:r>
              <w:rPr>
                <w:rFonts w:hint="eastAsia"/>
                <w:sz w:val="21"/>
                <w:szCs w:val="21"/>
                <w:highlight w:val="none"/>
              </w:rPr>
              <w:t>1.4.4（2）</w:t>
            </w:r>
          </w:p>
        </w:tc>
        <w:tc>
          <w:tcPr>
            <w:tcW w:w="1258" w:type="dxa"/>
            <w:vAlign w:val="center"/>
          </w:tcPr>
          <w:p w14:paraId="090CD0C6">
            <w:pPr>
              <w:spacing w:line="360" w:lineRule="auto"/>
              <w:jc w:val="center"/>
              <w:rPr>
                <w:sz w:val="21"/>
                <w:szCs w:val="21"/>
                <w:highlight w:val="none"/>
              </w:rPr>
            </w:pPr>
            <w:r>
              <w:rPr>
                <w:rFonts w:hint="eastAsia"/>
                <w:sz w:val="21"/>
                <w:szCs w:val="21"/>
                <w:highlight w:val="none"/>
              </w:rPr>
              <w:t>否</w:t>
            </w:r>
          </w:p>
        </w:tc>
        <w:tc>
          <w:tcPr>
            <w:tcW w:w="1276" w:type="dxa"/>
            <w:vAlign w:val="center"/>
          </w:tcPr>
          <w:p w14:paraId="3A5B5E5B">
            <w:pPr>
              <w:spacing w:line="360" w:lineRule="auto"/>
              <w:jc w:val="center"/>
              <w:rPr>
                <w:rFonts w:eastAsia="黑体"/>
                <w:b/>
                <w:sz w:val="21"/>
                <w:szCs w:val="21"/>
                <w:highlight w:val="none"/>
              </w:rPr>
            </w:pPr>
          </w:p>
        </w:tc>
      </w:tr>
      <w:tr w14:paraId="69B7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30AA64D1">
            <w:pPr>
              <w:spacing w:line="360" w:lineRule="auto"/>
              <w:jc w:val="center"/>
              <w:rPr>
                <w:sz w:val="21"/>
                <w:szCs w:val="21"/>
                <w:highlight w:val="none"/>
              </w:rPr>
            </w:pPr>
            <w:r>
              <w:rPr>
                <w:rFonts w:hint="eastAsia"/>
                <w:sz w:val="21"/>
                <w:szCs w:val="21"/>
                <w:highlight w:val="none"/>
              </w:rPr>
              <w:t>4</w:t>
            </w:r>
          </w:p>
        </w:tc>
        <w:tc>
          <w:tcPr>
            <w:tcW w:w="4712" w:type="dxa"/>
            <w:vAlign w:val="center"/>
          </w:tcPr>
          <w:p w14:paraId="6B238D21">
            <w:pPr>
              <w:spacing w:line="260" w:lineRule="exact"/>
              <w:rPr>
                <w:sz w:val="21"/>
                <w:szCs w:val="21"/>
                <w:highlight w:val="none"/>
              </w:rPr>
            </w:pPr>
            <w:r>
              <w:rPr>
                <w:rFonts w:hint="eastAsia"/>
                <w:sz w:val="21"/>
                <w:szCs w:val="21"/>
                <w:highlight w:val="none"/>
              </w:rPr>
              <w:t>是否不同投标人的单位负责人为同一人或者互相存在控股、管理关系的</w:t>
            </w:r>
          </w:p>
        </w:tc>
        <w:tc>
          <w:tcPr>
            <w:tcW w:w="1401" w:type="dxa"/>
            <w:vAlign w:val="center"/>
          </w:tcPr>
          <w:p w14:paraId="07EBD847">
            <w:pPr>
              <w:spacing w:line="360" w:lineRule="auto"/>
              <w:jc w:val="center"/>
              <w:rPr>
                <w:sz w:val="21"/>
                <w:szCs w:val="21"/>
                <w:highlight w:val="none"/>
              </w:rPr>
            </w:pPr>
            <w:r>
              <w:rPr>
                <w:rFonts w:hint="eastAsia"/>
                <w:sz w:val="21"/>
                <w:szCs w:val="21"/>
                <w:highlight w:val="none"/>
              </w:rPr>
              <w:t>1.4.4（3）</w:t>
            </w:r>
          </w:p>
        </w:tc>
        <w:tc>
          <w:tcPr>
            <w:tcW w:w="1258" w:type="dxa"/>
            <w:vAlign w:val="center"/>
          </w:tcPr>
          <w:p w14:paraId="64CCE9BE">
            <w:pPr>
              <w:spacing w:line="360" w:lineRule="auto"/>
              <w:jc w:val="center"/>
              <w:rPr>
                <w:sz w:val="21"/>
                <w:szCs w:val="21"/>
                <w:highlight w:val="none"/>
              </w:rPr>
            </w:pPr>
            <w:r>
              <w:rPr>
                <w:rFonts w:hint="eastAsia"/>
                <w:sz w:val="21"/>
                <w:szCs w:val="21"/>
                <w:highlight w:val="none"/>
              </w:rPr>
              <w:t>否</w:t>
            </w:r>
          </w:p>
        </w:tc>
        <w:tc>
          <w:tcPr>
            <w:tcW w:w="1276" w:type="dxa"/>
            <w:vAlign w:val="center"/>
          </w:tcPr>
          <w:p w14:paraId="2EE93FFF">
            <w:pPr>
              <w:spacing w:line="360" w:lineRule="auto"/>
              <w:jc w:val="center"/>
              <w:rPr>
                <w:rFonts w:eastAsia="黑体"/>
                <w:b/>
                <w:sz w:val="21"/>
                <w:szCs w:val="21"/>
                <w:highlight w:val="none"/>
              </w:rPr>
            </w:pPr>
          </w:p>
        </w:tc>
      </w:tr>
      <w:tr w14:paraId="6EC8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24" w:type="dxa"/>
            <w:vAlign w:val="center"/>
          </w:tcPr>
          <w:p w14:paraId="281E1415">
            <w:pPr>
              <w:spacing w:line="360" w:lineRule="auto"/>
              <w:jc w:val="center"/>
              <w:rPr>
                <w:sz w:val="21"/>
                <w:szCs w:val="21"/>
                <w:highlight w:val="none"/>
              </w:rPr>
            </w:pPr>
            <w:r>
              <w:rPr>
                <w:sz w:val="21"/>
                <w:szCs w:val="21"/>
                <w:highlight w:val="none"/>
              </w:rPr>
              <w:t>5</w:t>
            </w:r>
          </w:p>
        </w:tc>
        <w:tc>
          <w:tcPr>
            <w:tcW w:w="4712" w:type="dxa"/>
            <w:vAlign w:val="center"/>
          </w:tcPr>
          <w:p w14:paraId="207D41F5">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前期准备提供设计或咨询服务的</w:t>
            </w:r>
          </w:p>
        </w:tc>
        <w:tc>
          <w:tcPr>
            <w:tcW w:w="1401" w:type="dxa"/>
            <w:vAlign w:val="center"/>
          </w:tcPr>
          <w:p w14:paraId="68F66C5D">
            <w:pPr>
              <w:spacing w:line="360" w:lineRule="auto"/>
              <w:jc w:val="center"/>
              <w:rPr>
                <w:sz w:val="21"/>
                <w:szCs w:val="21"/>
                <w:highlight w:val="none"/>
              </w:rPr>
            </w:pPr>
            <w:r>
              <w:rPr>
                <w:sz w:val="21"/>
                <w:szCs w:val="21"/>
                <w:highlight w:val="none"/>
              </w:rPr>
              <w:t>1.4.4（4）</w:t>
            </w:r>
          </w:p>
        </w:tc>
        <w:tc>
          <w:tcPr>
            <w:tcW w:w="1258" w:type="dxa"/>
            <w:vAlign w:val="center"/>
          </w:tcPr>
          <w:p w14:paraId="0ECD8038">
            <w:pPr>
              <w:spacing w:line="360" w:lineRule="auto"/>
              <w:jc w:val="center"/>
              <w:rPr>
                <w:sz w:val="21"/>
                <w:szCs w:val="21"/>
                <w:highlight w:val="none"/>
              </w:rPr>
            </w:pPr>
            <w:r>
              <w:rPr>
                <w:sz w:val="21"/>
                <w:szCs w:val="21"/>
                <w:highlight w:val="none"/>
              </w:rPr>
              <w:t>否</w:t>
            </w:r>
          </w:p>
        </w:tc>
        <w:tc>
          <w:tcPr>
            <w:tcW w:w="1276" w:type="dxa"/>
            <w:vAlign w:val="center"/>
          </w:tcPr>
          <w:p w14:paraId="70320D6E">
            <w:pPr>
              <w:spacing w:line="360" w:lineRule="auto"/>
              <w:jc w:val="center"/>
              <w:rPr>
                <w:rFonts w:eastAsia="黑体"/>
                <w:b/>
                <w:sz w:val="21"/>
                <w:szCs w:val="21"/>
                <w:highlight w:val="none"/>
              </w:rPr>
            </w:pPr>
          </w:p>
        </w:tc>
      </w:tr>
      <w:tr w14:paraId="2704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824" w:type="dxa"/>
            <w:vAlign w:val="center"/>
          </w:tcPr>
          <w:p w14:paraId="7F9D76BB">
            <w:pPr>
              <w:spacing w:line="360" w:lineRule="auto"/>
              <w:jc w:val="center"/>
              <w:rPr>
                <w:sz w:val="21"/>
                <w:szCs w:val="21"/>
                <w:highlight w:val="none"/>
              </w:rPr>
            </w:pPr>
            <w:r>
              <w:rPr>
                <w:sz w:val="21"/>
                <w:szCs w:val="21"/>
                <w:highlight w:val="none"/>
              </w:rPr>
              <w:t>6</w:t>
            </w:r>
          </w:p>
        </w:tc>
        <w:tc>
          <w:tcPr>
            <w:tcW w:w="4712" w:type="dxa"/>
            <w:vAlign w:val="center"/>
          </w:tcPr>
          <w:p w14:paraId="3A1C8993">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的监理人</w:t>
            </w:r>
          </w:p>
        </w:tc>
        <w:tc>
          <w:tcPr>
            <w:tcW w:w="1401" w:type="dxa"/>
            <w:vAlign w:val="center"/>
          </w:tcPr>
          <w:p w14:paraId="5277B059">
            <w:pPr>
              <w:spacing w:line="360" w:lineRule="auto"/>
              <w:jc w:val="center"/>
              <w:rPr>
                <w:sz w:val="21"/>
                <w:szCs w:val="21"/>
                <w:highlight w:val="none"/>
              </w:rPr>
            </w:pPr>
            <w:r>
              <w:rPr>
                <w:sz w:val="21"/>
                <w:szCs w:val="21"/>
                <w:highlight w:val="none"/>
              </w:rPr>
              <w:t>1.4.4（5）</w:t>
            </w:r>
          </w:p>
        </w:tc>
        <w:tc>
          <w:tcPr>
            <w:tcW w:w="1258" w:type="dxa"/>
            <w:vAlign w:val="center"/>
          </w:tcPr>
          <w:p w14:paraId="6EB435B5">
            <w:pPr>
              <w:spacing w:line="360" w:lineRule="auto"/>
              <w:jc w:val="center"/>
              <w:rPr>
                <w:sz w:val="21"/>
                <w:szCs w:val="21"/>
                <w:highlight w:val="none"/>
              </w:rPr>
            </w:pPr>
            <w:r>
              <w:rPr>
                <w:sz w:val="21"/>
                <w:szCs w:val="21"/>
                <w:highlight w:val="none"/>
              </w:rPr>
              <w:t>否</w:t>
            </w:r>
          </w:p>
        </w:tc>
        <w:tc>
          <w:tcPr>
            <w:tcW w:w="1276" w:type="dxa"/>
            <w:vAlign w:val="center"/>
          </w:tcPr>
          <w:p w14:paraId="3D98C38E">
            <w:pPr>
              <w:spacing w:line="360" w:lineRule="auto"/>
              <w:jc w:val="center"/>
              <w:rPr>
                <w:rFonts w:eastAsia="黑体"/>
                <w:b/>
                <w:sz w:val="21"/>
                <w:szCs w:val="21"/>
                <w:highlight w:val="none"/>
              </w:rPr>
            </w:pPr>
          </w:p>
        </w:tc>
      </w:tr>
      <w:tr w14:paraId="6731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24" w:type="dxa"/>
            <w:vAlign w:val="center"/>
          </w:tcPr>
          <w:p w14:paraId="6C429BF4">
            <w:pPr>
              <w:spacing w:line="360" w:lineRule="auto"/>
              <w:jc w:val="center"/>
              <w:rPr>
                <w:sz w:val="21"/>
                <w:szCs w:val="21"/>
                <w:highlight w:val="none"/>
              </w:rPr>
            </w:pPr>
            <w:r>
              <w:rPr>
                <w:sz w:val="21"/>
                <w:szCs w:val="21"/>
                <w:highlight w:val="none"/>
              </w:rPr>
              <w:t>7</w:t>
            </w:r>
          </w:p>
        </w:tc>
        <w:tc>
          <w:tcPr>
            <w:tcW w:w="4712" w:type="dxa"/>
            <w:vAlign w:val="center"/>
          </w:tcPr>
          <w:p w14:paraId="5DFEBEDF">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的代建人</w:t>
            </w:r>
          </w:p>
        </w:tc>
        <w:tc>
          <w:tcPr>
            <w:tcW w:w="1401" w:type="dxa"/>
            <w:vAlign w:val="center"/>
          </w:tcPr>
          <w:p w14:paraId="49576E80">
            <w:pPr>
              <w:spacing w:line="360" w:lineRule="auto"/>
              <w:jc w:val="center"/>
              <w:rPr>
                <w:sz w:val="21"/>
                <w:szCs w:val="21"/>
                <w:highlight w:val="none"/>
              </w:rPr>
            </w:pPr>
            <w:r>
              <w:rPr>
                <w:sz w:val="21"/>
                <w:szCs w:val="21"/>
                <w:highlight w:val="none"/>
              </w:rPr>
              <w:t>1.4.4（6）</w:t>
            </w:r>
          </w:p>
        </w:tc>
        <w:tc>
          <w:tcPr>
            <w:tcW w:w="1258" w:type="dxa"/>
            <w:vAlign w:val="center"/>
          </w:tcPr>
          <w:p w14:paraId="0D677628">
            <w:pPr>
              <w:spacing w:line="360" w:lineRule="auto"/>
              <w:jc w:val="center"/>
              <w:rPr>
                <w:sz w:val="21"/>
                <w:szCs w:val="21"/>
                <w:highlight w:val="none"/>
              </w:rPr>
            </w:pPr>
            <w:r>
              <w:rPr>
                <w:sz w:val="21"/>
                <w:szCs w:val="21"/>
                <w:highlight w:val="none"/>
              </w:rPr>
              <w:t>否</w:t>
            </w:r>
          </w:p>
        </w:tc>
        <w:tc>
          <w:tcPr>
            <w:tcW w:w="1276" w:type="dxa"/>
            <w:vAlign w:val="center"/>
          </w:tcPr>
          <w:p w14:paraId="37EF8373">
            <w:pPr>
              <w:spacing w:line="360" w:lineRule="auto"/>
              <w:jc w:val="center"/>
              <w:rPr>
                <w:rFonts w:eastAsia="黑体"/>
                <w:b/>
                <w:sz w:val="21"/>
                <w:szCs w:val="21"/>
                <w:highlight w:val="none"/>
              </w:rPr>
            </w:pPr>
          </w:p>
        </w:tc>
      </w:tr>
      <w:tr w14:paraId="6417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787ADF72">
            <w:pPr>
              <w:spacing w:line="360" w:lineRule="auto"/>
              <w:jc w:val="center"/>
              <w:rPr>
                <w:sz w:val="21"/>
                <w:szCs w:val="21"/>
                <w:highlight w:val="none"/>
              </w:rPr>
            </w:pPr>
            <w:r>
              <w:rPr>
                <w:sz w:val="21"/>
                <w:szCs w:val="21"/>
                <w:highlight w:val="none"/>
              </w:rPr>
              <w:t>8</w:t>
            </w:r>
          </w:p>
        </w:tc>
        <w:tc>
          <w:tcPr>
            <w:tcW w:w="4712" w:type="dxa"/>
            <w:vAlign w:val="center"/>
          </w:tcPr>
          <w:p w14:paraId="48FF4F52">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提供招标代理服务</w:t>
            </w:r>
          </w:p>
        </w:tc>
        <w:tc>
          <w:tcPr>
            <w:tcW w:w="1401" w:type="dxa"/>
            <w:vAlign w:val="center"/>
          </w:tcPr>
          <w:p w14:paraId="345AA3BD">
            <w:pPr>
              <w:spacing w:line="360" w:lineRule="auto"/>
              <w:jc w:val="center"/>
              <w:rPr>
                <w:sz w:val="21"/>
                <w:szCs w:val="21"/>
                <w:highlight w:val="none"/>
              </w:rPr>
            </w:pPr>
            <w:r>
              <w:rPr>
                <w:sz w:val="21"/>
                <w:szCs w:val="21"/>
                <w:highlight w:val="none"/>
              </w:rPr>
              <w:t>1.4.4（7）</w:t>
            </w:r>
          </w:p>
        </w:tc>
        <w:tc>
          <w:tcPr>
            <w:tcW w:w="1258" w:type="dxa"/>
            <w:vAlign w:val="center"/>
          </w:tcPr>
          <w:p w14:paraId="1DD58948">
            <w:pPr>
              <w:spacing w:line="360" w:lineRule="auto"/>
              <w:jc w:val="center"/>
              <w:rPr>
                <w:sz w:val="21"/>
                <w:szCs w:val="21"/>
                <w:highlight w:val="none"/>
              </w:rPr>
            </w:pPr>
            <w:r>
              <w:rPr>
                <w:sz w:val="21"/>
                <w:szCs w:val="21"/>
                <w:highlight w:val="none"/>
              </w:rPr>
              <w:t>否</w:t>
            </w:r>
          </w:p>
        </w:tc>
        <w:tc>
          <w:tcPr>
            <w:tcW w:w="1276" w:type="dxa"/>
            <w:vAlign w:val="center"/>
          </w:tcPr>
          <w:p w14:paraId="1775BE9B">
            <w:pPr>
              <w:spacing w:line="360" w:lineRule="auto"/>
              <w:jc w:val="center"/>
              <w:rPr>
                <w:rFonts w:eastAsia="黑体"/>
                <w:b/>
                <w:sz w:val="21"/>
                <w:szCs w:val="21"/>
                <w:highlight w:val="none"/>
              </w:rPr>
            </w:pPr>
          </w:p>
        </w:tc>
      </w:tr>
      <w:tr w14:paraId="1C24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24" w:type="dxa"/>
            <w:vAlign w:val="center"/>
          </w:tcPr>
          <w:p w14:paraId="25F97B41">
            <w:pPr>
              <w:spacing w:line="360" w:lineRule="auto"/>
              <w:jc w:val="center"/>
              <w:rPr>
                <w:sz w:val="21"/>
                <w:szCs w:val="21"/>
                <w:highlight w:val="none"/>
              </w:rPr>
            </w:pPr>
            <w:r>
              <w:rPr>
                <w:sz w:val="21"/>
                <w:szCs w:val="21"/>
                <w:highlight w:val="none"/>
              </w:rPr>
              <w:t>9</w:t>
            </w:r>
          </w:p>
        </w:tc>
        <w:tc>
          <w:tcPr>
            <w:tcW w:w="4712" w:type="dxa"/>
            <w:vAlign w:val="center"/>
          </w:tcPr>
          <w:p w14:paraId="45758D84">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的监理人或代建人或招标代理机构同为一个法定代表人</w:t>
            </w:r>
          </w:p>
        </w:tc>
        <w:tc>
          <w:tcPr>
            <w:tcW w:w="1401" w:type="dxa"/>
            <w:vAlign w:val="center"/>
          </w:tcPr>
          <w:p w14:paraId="5DFA2FC0">
            <w:pPr>
              <w:spacing w:line="360" w:lineRule="auto"/>
              <w:jc w:val="center"/>
              <w:rPr>
                <w:sz w:val="21"/>
                <w:szCs w:val="21"/>
                <w:highlight w:val="none"/>
              </w:rPr>
            </w:pPr>
            <w:r>
              <w:rPr>
                <w:sz w:val="21"/>
                <w:szCs w:val="21"/>
                <w:highlight w:val="none"/>
              </w:rPr>
              <w:t>1.4.4（8）</w:t>
            </w:r>
          </w:p>
        </w:tc>
        <w:tc>
          <w:tcPr>
            <w:tcW w:w="1258" w:type="dxa"/>
            <w:vAlign w:val="center"/>
          </w:tcPr>
          <w:p w14:paraId="37CAA101">
            <w:pPr>
              <w:spacing w:line="360" w:lineRule="auto"/>
              <w:jc w:val="center"/>
              <w:rPr>
                <w:sz w:val="21"/>
                <w:szCs w:val="21"/>
                <w:highlight w:val="none"/>
              </w:rPr>
            </w:pPr>
            <w:r>
              <w:rPr>
                <w:sz w:val="21"/>
                <w:szCs w:val="21"/>
                <w:highlight w:val="none"/>
              </w:rPr>
              <w:t>否</w:t>
            </w:r>
          </w:p>
        </w:tc>
        <w:tc>
          <w:tcPr>
            <w:tcW w:w="1276" w:type="dxa"/>
            <w:vAlign w:val="center"/>
          </w:tcPr>
          <w:p w14:paraId="36888484">
            <w:pPr>
              <w:spacing w:line="360" w:lineRule="auto"/>
              <w:jc w:val="center"/>
              <w:rPr>
                <w:rFonts w:eastAsia="黑体"/>
                <w:b/>
                <w:sz w:val="21"/>
                <w:szCs w:val="21"/>
                <w:highlight w:val="none"/>
              </w:rPr>
            </w:pPr>
          </w:p>
        </w:tc>
      </w:tr>
      <w:tr w14:paraId="207D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824" w:type="dxa"/>
            <w:vAlign w:val="center"/>
          </w:tcPr>
          <w:p w14:paraId="1209F69A">
            <w:pPr>
              <w:spacing w:line="360" w:lineRule="auto"/>
              <w:jc w:val="center"/>
              <w:rPr>
                <w:sz w:val="21"/>
                <w:szCs w:val="21"/>
                <w:highlight w:val="none"/>
              </w:rPr>
            </w:pPr>
            <w:r>
              <w:rPr>
                <w:sz w:val="21"/>
                <w:szCs w:val="21"/>
                <w:highlight w:val="none"/>
              </w:rPr>
              <w:t>10</w:t>
            </w:r>
          </w:p>
        </w:tc>
        <w:tc>
          <w:tcPr>
            <w:tcW w:w="4712" w:type="dxa"/>
            <w:vAlign w:val="center"/>
          </w:tcPr>
          <w:p w14:paraId="2B117000">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的监理人或代建人或招标代理机构相互控股或参股</w:t>
            </w:r>
          </w:p>
        </w:tc>
        <w:tc>
          <w:tcPr>
            <w:tcW w:w="1401" w:type="dxa"/>
            <w:vAlign w:val="center"/>
          </w:tcPr>
          <w:p w14:paraId="6042371B">
            <w:pPr>
              <w:spacing w:line="360" w:lineRule="auto"/>
              <w:jc w:val="center"/>
              <w:rPr>
                <w:sz w:val="21"/>
                <w:szCs w:val="21"/>
                <w:highlight w:val="none"/>
              </w:rPr>
            </w:pPr>
            <w:r>
              <w:rPr>
                <w:sz w:val="21"/>
                <w:szCs w:val="21"/>
                <w:highlight w:val="none"/>
              </w:rPr>
              <w:t>1.4.4（9）</w:t>
            </w:r>
          </w:p>
        </w:tc>
        <w:tc>
          <w:tcPr>
            <w:tcW w:w="1258" w:type="dxa"/>
            <w:vAlign w:val="center"/>
          </w:tcPr>
          <w:p w14:paraId="52ECA24B">
            <w:pPr>
              <w:spacing w:line="360" w:lineRule="auto"/>
              <w:jc w:val="center"/>
              <w:rPr>
                <w:sz w:val="21"/>
                <w:szCs w:val="21"/>
                <w:highlight w:val="none"/>
              </w:rPr>
            </w:pPr>
            <w:r>
              <w:rPr>
                <w:sz w:val="21"/>
                <w:szCs w:val="21"/>
                <w:highlight w:val="none"/>
              </w:rPr>
              <w:t>否</w:t>
            </w:r>
          </w:p>
        </w:tc>
        <w:tc>
          <w:tcPr>
            <w:tcW w:w="1276" w:type="dxa"/>
            <w:vAlign w:val="center"/>
          </w:tcPr>
          <w:p w14:paraId="28485D81">
            <w:pPr>
              <w:spacing w:line="360" w:lineRule="auto"/>
              <w:jc w:val="center"/>
              <w:rPr>
                <w:rFonts w:eastAsia="黑体"/>
                <w:b/>
                <w:sz w:val="21"/>
                <w:szCs w:val="21"/>
                <w:highlight w:val="none"/>
              </w:rPr>
            </w:pPr>
          </w:p>
        </w:tc>
      </w:tr>
      <w:tr w14:paraId="0D14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24" w:type="dxa"/>
            <w:vAlign w:val="center"/>
          </w:tcPr>
          <w:p w14:paraId="6CAAD804">
            <w:pPr>
              <w:spacing w:line="360" w:lineRule="auto"/>
              <w:jc w:val="center"/>
              <w:rPr>
                <w:sz w:val="21"/>
                <w:szCs w:val="21"/>
                <w:highlight w:val="none"/>
              </w:rPr>
            </w:pPr>
            <w:r>
              <w:rPr>
                <w:sz w:val="21"/>
                <w:szCs w:val="21"/>
                <w:highlight w:val="none"/>
              </w:rPr>
              <w:t>11</w:t>
            </w:r>
          </w:p>
        </w:tc>
        <w:tc>
          <w:tcPr>
            <w:tcW w:w="4712" w:type="dxa"/>
            <w:vAlign w:val="center"/>
          </w:tcPr>
          <w:p w14:paraId="748212F7">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的监理人或代建人或招标代理机构相互任职或工作</w:t>
            </w:r>
          </w:p>
        </w:tc>
        <w:tc>
          <w:tcPr>
            <w:tcW w:w="1401" w:type="dxa"/>
            <w:vAlign w:val="center"/>
          </w:tcPr>
          <w:p w14:paraId="6D7B466F">
            <w:pPr>
              <w:spacing w:line="360" w:lineRule="auto"/>
              <w:jc w:val="center"/>
              <w:rPr>
                <w:sz w:val="21"/>
                <w:szCs w:val="21"/>
                <w:highlight w:val="none"/>
              </w:rPr>
            </w:pPr>
            <w:r>
              <w:rPr>
                <w:sz w:val="21"/>
                <w:szCs w:val="21"/>
                <w:highlight w:val="none"/>
              </w:rPr>
              <w:t>1.4.4（10）</w:t>
            </w:r>
          </w:p>
        </w:tc>
        <w:tc>
          <w:tcPr>
            <w:tcW w:w="1258" w:type="dxa"/>
            <w:vAlign w:val="center"/>
          </w:tcPr>
          <w:p w14:paraId="49162B40">
            <w:pPr>
              <w:spacing w:line="360" w:lineRule="auto"/>
              <w:jc w:val="center"/>
              <w:rPr>
                <w:sz w:val="21"/>
                <w:szCs w:val="21"/>
                <w:highlight w:val="none"/>
              </w:rPr>
            </w:pPr>
            <w:r>
              <w:rPr>
                <w:sz w:val="21"/>
                <w:szCs w:val="21"/>
                <w:highlight w:val="none"/>
              </w:rPr>
              <w:t>否</w:t>
            </w:r>
          </w:p>
        </w:tc>
        <w:tc>
          <w:tcPr>
            <w:tcW w:w="1276" w:type="dxa"/>
            <w:vAlign w:val="center"/>
          </w:tcPr>
          <w:p w14:paraId="7A697DDB">
            <w:pPr>
              <w:spacing w:line="360" w:lineRule="auto"/>
              <w:jc w:val="center"/>
              <w:rPr>
                <w:rFonts w:eastAsia="黑体"/>
                <w:b/>
                <w:sz w:val="21"/>
                <w:szCs w:val="21"/>
                <w:highlight w:val="none"/>
              </w:rPr>
            </w:pPr>
          </w:p>
        </w:tc>
      </w:tr>
      <w:tr w14:paraId="5E50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11262BD2">
            <w:pPr>
              <w:spacing w:line="360" w:lineRule="auto"/>
              <w:jc w:val="center"/>
              <w:rPr>
                <w:sz w:val="21"/>
                <w:szCs w:val="21"/>
                <w:highlight w:val="none"/>
              </w:rPr>
            </w:pPr>
            <w:r>
              <w:rPr>
                <w:sz w:val="21"/>
                <w:szCs w:val="21"/>
                <w:highlight w:val="none"/>
              </w:rPr>
              <w:t>12</w:t>
            </w:r>
          </w:p>
        </w:tc>
        <w:tc>
          <w:tcPr>
            <w:tcW w:w="4712" w:type="dxa"/>
            <w:vAlign w:val="center"/>
          </w:tcPr>
          <w:p w14:paraId="06D0FC2F">
            <w:pPr>
              <w:spacing w:line="260" w:lineRule="exact"/>
              <w:rPr>
                <w:sz w:val="21"/>
                <w:szCs w:val="21"/>
                <w:highlight w:val="none"/>
              </w:rPr>
            </w:pPr>
            <w:r>
              <w:rPr>
                <w:sz w:val="21"/>
                <w:szCs w:val="21"/>
                <w:highlight w:val="none"/>
              </w:rPr>
              <w:t>是否</w:t>
            </w:r>
            <w:r>
              <w:rPr>
                <w:rFonts w:hint="eastAsia"/>
                <w:sz w:val="21"/>
                <w:szCs w:val="21"/>
                <w:highlight w:val="none"/>
              </w:rPr>
              <w:t>被责令停产停业、暂扣或者吊销许可证、暂扣或者吊销执照</w:t>
            </w:r>
          </w:p>
        </w:tc>
        <w:tc>
          <w:tcPr>
            <w:tcW w:w="1401" w:type="dxa"/>
            <w:vAlign w:val="center"/>
          </w:tcPr>
          <w:p w14:paraId="3C0EFC5C">
            <w:pPr>
              <w:spacing w:line="360" w:lineRule="auto"/>
              <w:jc w:val="center"/>
              <w:rPr>
                <w:sz w:val="21"/>
                <w:szCs w:val="21"/>
                <w:highlight w:val="none"/>
              </w:rPr>
            </w:pPr>
            <w:r>
              <w:rPr>
                <w:sz w:val="21"/>
                <w:szCs w:val="21"/>
                <w:highlight w:val="none"/>
              </w:rPr>
              <w:t>1.4.4（11）</w:t>
            </w:r>
          </w:p>
        </w:tc>
        <w:tc>
          <w:tcPr>
            <w:tcW w:w="1258" w:type="dxa"/>
            <w:vAlign w:val="center"/>
          </w:tcPr>
          <w:p w14:paraId="7B0300BA">
            <w:pPr>
              <w:spacing w:line="360" w:lineRule="auto"/>
              <w:jc w:val="center"/>
              <w:rPr>
                <w:sz w:val="21"/>
                <w:szCs w:val="21"/>
                <w:highlight w:val="none"/>
              </w:rPr>
            </w:pPr>
            <w:r>
              <w:rPr>
                <w:sz w:val="21"/>
                <w:szCs w:val="21"/>
                <w:highlight w:val="none"/>
              </w:rPr>
              <w:t>否</w:t>
            </w:r>
          </w:p>
        </w:tc>
        <w:tc>
          <w:tcPr>
            <w:tcW w:w="1276" w:type="dxa"/>
            <w:vAlign w:val="center"/>
          </w:tcPr>
          <w:p w14:paraId="3408C7F1">
            <w:pPr>
              <w:spacing w:line="360" w:lineRule="auto"/>
              <w:jc w:val="center"/>
              <w:rPr>
                <w:rFonts w:eastAsia="黑体"/>
                <w:b/>
                <w:sz w:val="21"/>
                <w:szCs w:val="21"/>
                <w:highlight w:val="none"/>
              </w:rPr>
            </w:pPr>
          </w:p>
        </w:tc>
      </w:tr>
      <w:tr w14:paraId="3726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179DCD02">
            <w:pPr>
              <w:spacing w:line="360" w:lineRule="auto"/>
              <w:jc w:val="center"/>
              <w:rPr>
                <w:sz w:val="21"/>
                <w:szCs w:val="21"/>
                <w:highlight w:val="none"/>
              </w:rPr>
            </w:pPr>
            <w:r>
              <w:rPr>
                <w:sz w:val="21"/>
                <w:szCs w:val="21"/>
                <w:highlight w:val="none"/>
              </w:rPr>
              <w:t>13</w:t>
            </w:r>
          </w:p>
        </w:tc>
        <w:tc>
          <w:tcPr>
            <w:tcW w:w="4712" w:type="dxa"/>
            <w:vAlign w:val="center"/>
          </w:tcPr>
          <w:p w14:paraId="4DE8072F">
            <w:pPr>
              <w:rPr>
                <w:sz w:val="21"/>
                <w:szCs w:val="21"/>
                <w:highlight w:val="none"/>
              </w:rPr>
            </w:pPr>
            <w:r>
              <w:rPr>
                <w:sz w:val="21"/>
                <w:szCs w:val="21"/>
                <w:highlight w:val="none"/>
              </w:rPr>
              <w:t>是否</w:t>
            </w:r>
            <w:r>
              <w:rPr>
                <w:rFonts w:hint="eastAsia"/>
                <w:sz w:val="21"/>
                <w:szCs w:val="21"/>
                <w:highlight w:val="none"/>
              </w:rPr>
              <w:t>进入清算程序，或被宣告破产</w:t>
            </w:r>
          </w:p>
        </w:tc>
        <w:tc>
          <w:tcPr>
            <w:tcW w:w="1401" w:type="dxa"/>
            <w:vAlign w:val="center"/>
          </w:tcPr>
          <w:p w14:paraId="02C1BFF0">
            <w:pPr>
              <w:spacing w:line="360" w:lineRule="auto"/>
              <w:jc w:val="center"/>
              <w:rPr>
                <w:sz w:val="21"/>
                <w:szCs w:val="21"/>
                <w:highlight w:val="none"/>
              </w:rPr>
            </w:pPr>
            <w:r>
              <w:rPr>
                <w:sz w:val="21"/>
                <w:szCs w:val="21"/>
                <w:highlight w:val="none"/>
              </w:rPr>
              <w:t>1.4.4（12）</w:t>
            </w:r>
          </w:p>
        </w:tc>
        <w:tc>
          <w:tcPr>
            <w:tcW w:w="1258" w:type="dxa"/>
            <w:vAlign w:val="center"/>
          </w:tcPr>
          <w:p w14:paraId="2E470D6F">
            <w:pPr>
              <w:spacing w:line="360" w:lineRule="auto"/>
              <w:jc w:val="center"/>
              <w:rPr>
                <w:sz w:val="21"/>
                <w:szCs w:val="21"/>
                <w:highlight w:val="none"/>
              </w:rPr>
            </w:pPr>
            <w:r>
              <w:rPr>
                <w:sz w:val="21"/>
                <w:szCs w:val="21"/>
                <w:highlight w:val="none"/>
              </w:rPr>
              <w:t>否</w:t>
            </w:r>
          </w:p>
        </w:tc>
        <w:tc>
          <w:tcPr>
            <w:tcW w:w="1276" w:type="dxa"/>
            <w:vAlign w:val="center"/>
          </w:tcPr>
          <w:p w14:paraId="509E1DE2">
            <w:pPr>
              <w:spacing w:line="360" w:lineRule="auto"/>
              <w:jc w:val="center"/>
              <w:rPr>
                <w:rFonts w:eastAsia="黑体"/>
                <w:b/>
                <w:sz w:val="21"/>
                <w:szCs w:val="21"/>
                <w:highlight w:val="none"/>
              </w:rPr>
            </w:pPr>
          </w:p>
        </w:tc>
      </w:tr>
      <w:tr w14:paraId="1DD7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5B04BB61">
            <w:pPr>
              <w:spacing w:line="360" w:lineRule="auto"/>
              <w:jc w:val="center"/>
              <w:rPr>
                <w:sz w:val="21"/>
                <w:szCs w:val="21"/>
                <w:highlight w:val="none"/>
              </w:rPr>
            </w:pPr>
            <w:r>
              <w:rPr>
                <w:rFonts w:hint="eastAsia"/>
                <w:sz w:val="21"/>
                <w:szCs w:val="21"/>
                <w:highlight w:val="none"/>
              </w:rPr>
              <w:t>1</w:t>
            </w:r>
            <w:r>
              <w:rPr>
                <w:sz w:val="21"/>
                <w:szCs w:val="21"/>
                <w:highlight w:val="none"/>
              </w:rPr>
              <w:t>4</w:t>
            </w:r>
          </w:p>
        </w:tc>
        <w:tc>
          <w:tcPr>
            <w:tcW w:w="4712" w:type="dxa"/>
            <w:vAlign w:val="center"/>
          </w:tcPr>
          <w:p w14:paraId="7761FF8F">
            <w:pPr>
              <w:rPr>
                <w:sz w:val="21"/>
                <w:szCs w:val="21"/>
                <w:highlight w:val="none"/>
              </w:rPr>
            </w:pPr>
            <w:r>
              <w:rPr>
                <w:rFonts w:hint="eastAsia"/>
                <w:sz w:val="21"/>
                <w:szCs w:val="21"/>
                <w:highlight w:val="none"/>
              </w:rPr>
              <w:t>是否</w:t>
            </w:r>
            <w:r>
              <w:rPr>
                <w:rFonts w:hint="eastAsia" w:hAnsi="宋体"/>
                <w:sz w:val="21"/>
                <w:szCs w:val="21"/>
                <w:highlight w:val="none"/>
              </w:rPr>
              <w:t>被依法暂停或取消投标资格</w:t>
            </w:r>
          </w:p>
        </w:tc>
        <w:tc>
          <w:tcPr>
            <w:tcW w:w="1401" w:type="dxa"/>
            <w:vAlign w:val="center"/>
          </w:tcPr>
          <w:p w14:paraId="7A51DF0C">
            <w:pPr>
              <w:spacing w:line="360" w:lineRule="auto"/>
              <w:jc w:val="center"/>
              <w:rPr>
                <w:sz w:val="21"/>
                <w:szCs w:val="21"/>
                <w:highlight w:val="none"/>
              </w:rPr>
            </w:pPr>
            <w:r>
              <w:rPr>
                <w:rFonts w:hint="eastAsia"/>
                <w:sz w:val="21"/>
                <w:szCs w:val="21"/>
                <w:highlight w:val="none"/>
              </w:rPr>
              <w:t>1.4.4（13）</w:t>
            </w:r>
          </w:p>
        </w:tc>
        <w:tc>
          <w:tcPr>
            <w:tcW w:w="1258" w:type="dxa"/>
            <w:vAlign w:val="center"/>
          </w:tcPr>
          <w:p w14:paraId="39560E88">
            <w:pPr>
              <w:spacing w:line="360" w:lineRule="auto"/>
              <w:jc w:val="center"/>
              <w:rPr>
                <w:sz w:val="21"/>
                <w:szCs w:val="21"/>
                <w:highlight w:val="none"/>
              </w:rPr>
            </w:pPr>
            <w:r>
              <w:rPr>
                <w:rFonts w:hint="eastAsia"/>
                <w:sz w:val="21"/>
                <w:szCs w:val="21"/>
                <w:highlight w:val="none"/>
              </w:rPr>
              <w:t>否</w:t>
            </w:r>
          </w:p>
        </w:tc>
        <w:tc>
          <w:tcPr>
            <w:tcW w:w="1276" w:type="dxa"/>
            <w:vAlign w:val="center"/>
          </w:tcPr>
          <w:p w14:paraId="7D7EFA97">
            <w:pPr>
              <w:spacing w:line="360" w:lineRule="auto"/>
              <w:jc w:val="center"/>
              <w:rPr>
                <w:rFonts w:eastAsia="黑体"/>
                <w:b/>
                <w:sz w:val="21"/>
                <w:szCs w:val="21"/>
                <w:highlight w:val="none"/>
              </w:rPr>
            </w:pPr>
          </w:p>
        </w:tc>
      </w:tr>
      <w:tr w14:paraId="4FC5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824" w:type="dxa"/>
            <w:vAlign w:val="center"/>
          </w:tcPr>
          <w:p w14:paraId="7968EBD0">
            <w:pPr>
              <w:spacing w:line="360" w:lineRule="auto"/>
              <w:jc w:val="center"/>
              <w:rPr>
                <w:sz w:val="21"/>
                <w:szCs w:val="21"/>
                <w:highlight w:val="none"/>
              </w:rPr>
            </w:pPr>
            <w:r>
              <w:rPr>
                <w:rFonts w:hint="eastAsia"/>
                <w:sz w:val="21"/>
                <w:szCs w:val="21"/>
                <w:highlight w:val="none"/>
              </w:rPr>
              <w:t>15</w:t>
            </w:r>
          </w:p>
        </w:tc>
        <w:tc>
          <w:tcPr>
            <w:tcW w:w="4712" w:type="dxa"/>
            <w:vAlign w:val="center"/>
          </w:tcPr>
          <w:p w14:paraId="0807E55D">
            <w:pPr>
              <w:spacing w:line="260" w:lineRule="exact"/>
              <w:rPr>
                <w:sz w:val="21"/>
                <w:szCs w:val="21"/>
                <w:highlight w:val="none"/>
              </w:rPr>
            </w:pPr>
            <w:r>
              <w:rPr>
                <w:rFonts w:hint="eastAsia"/>
                <w:sz w:val="21"/>
                <w:szCs w:val="21"/>
                <w:highlight w:val="none"/>
              </w:rPr>
              <w:t>是否存在法律法规或投标人须知前附表规定的其他情形</w:t>
            </w:r>
          </w:p>
        </w:tc>
        <w:tc>
          <w:tcPr>
            <w:tcW w:w="1401" w:type="dxa"/>
            <w:vAlign w:val="center"/>
          </w:tcPr>
          <w:p w14:paraId="71A76E8B">
            <w:pPr>
              <w:spacing w:line="360" w:lineRule="auto"/>
              <w:jc w:val="center"/>
              <w:rPr>
                <w:sz w:val="21"/>
                <w:szCs w:val="21"/>
                <w:highlight w:val="none"/>
              </w:rPr>
            </w:pPr>
            <w:r>
              <w:rPr>
                <w:rFonts w:hint="eastAsia"/>
                <w:sz w:val="21"/>
                <w:szCs w:val="21"/>
                <w:highlight w:val="none"/>
              </w:rPr>
              <w:t>1.4.4（14）</w:t>
            </w:r>
          </w:p>
        </w:tc>
        <w:tc>
          <w:tcPr>
            <w:tcW w:w="1258" w:type="dxa"/>
            <w:vAlign w:val="center"/>
          </w:tcPr>
          <w:p w14:paraId="4575FFFC">
            <w:pPr>
              <w:spacing w:line="360" w:lineRule="auto"/>
              <w:jc w:val="center"/>
              <w:rPr>
                <w:sz w:val="21"/>
                <w:szCs w:val="21"/>
                <w:highlight w:val="none"/>
              </w:rPr>
            </w:pPr>
            <w:r>
              <w:rPr>
                <w:rFonts w:hint="eastAsia"/>
                <w:sz w:val="21"/>
                <w:szCs w:val="21"/>
                <w:highlight w:val="none"/>
              </w:rPr>
              <w:t>否</w:t>
            </w:r>
          </w:p>
        </w:tc>
        <w:tc>
          <w:tcPr>
            <w:tcW w:w="1276" w:type="dxa"/>
            <w:vAlign w:val="center"/>
          </w:tcPr>
          <w:p w14:paraId="49C74FF3">
            <w:pPr>
              <w:spacing w:line="360" w:lineRule="auto"/>
              <w:jc w:val="center"/>
              <w:rPr>
                <w:rFonts w:eastAsia="黑体"/>
                <w:b/>
                <w:sz w:val="21"/>
                <w:szCs w:val="21"/>
                <w:highlight w:val="none"/>
              </w:rPr>
            </w:pPr>
          </w:p>
        </w:tc>
      </w:tr>
      <w:tr w14:paraId="124D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824" w:type="dxa"/>
            <w:vAlign w:val="center"/>
          </w:tcPr>
          <w:p w14:paraId="7FD96019">
            <w:pPr>
              <w:spacing w:line="360" w:lineRule="auto"/>
              <w:jc w:val="center"/>
              <w:rPr>
                <w:sz w:val="21"/>
                <w:szCs w:val="21"/>
                <w:highlight w:val="none"/>
              </w:rPr>
            </w:pPr>
            <w:r>
              <w:rPr>
                <w:sz w:val="21"/>
                <w:szCs w:val="21"/>
                <w:highlight w:val="none"/>
              </w:rPr>
              <w:t>16</w:t>
            </w:r>
          </w:p>
        </w:tc>
        <w:tc>
          <w:tcPr>
            <w:tcW w:w="4712" w:type="dxa"/>
            <w:vAlign w:val="center"/>
          </w:tcPr>
          <w:p w14:paraId="00DD598C">
            <w:pPr>
              <w:spacing w:line="260" w:lineRule="exact"/>
              <w:rPr>
                <w:sz w:val="21"/>
                <w:szCs w:val="21"/>
                <w:highlight w:val="none"/>
              </w:rPr>
            </w:pPr>
            <w:r>
              <w:rPr>
                <w:sz w:val="21"/>
                <w:szCs w:val="21"/>
                <w:highlight w:val="none"/>
              </w:rPr>
              <w:t>是否存在安全生产许可证超出有效期或处于暂扣时限内</w:t>
            </w:r>
          </w:p>
        </w:tc>
        <w:tc>
          <w:tcPr>
            <w:tcW w:w="1401" w:type="dxa"/>
            <w:vAlign w:val="center"/>
          </w:tcPr>
          <w:p w14:paraId="1E332E89">
            <w:pPr>
              <w:spacing w:line="360" w:lineRule="auto"/>
              <w:jc w:val="center"/>
              <w:rPr>
                <w:sz w:val="21"/>
                <w:szCs w:val="21"/>
                <w:highlight w:val="none"/>
              </w:rPr>
            </w:pPr>
            <w:r>
              <w:rPr>
                <w:sz w:val="21"/>
                <w:szCs w:val="21"/>
                <w:highlight w:val="none"/>
              </w:rPr>
              <w:t>1.4.4（15）</w:t>
            </w:r>
          </w:p>
        </w:tc>
        <w:tc>
          <w:tcPr>
            <w:tcW w:w="1258" w:type="dxa"/>
            <w:vAlign w:val="center"/>
          </w:tcPr>
          <w:p w14:paraId="2FD55063">
            <w:pPr>
              <w:spacing w:line="360" w:lineRule="auto"/>
              <w:jc w:val="center"/>
              <w:rPr>
                <w:sz w:val="21"/>
                <w:szCs w:val="21"/>
                <w:highlight w:val="none"/>
              </w:rPr>
            </w:pPr>
            <w:r>
              <w:rPr>
                <w:sz w:val="21"/>
                <w:szCs w:val="21"/>
                <w:highlight w:val="none"/>
              </w:rPr>
              <w:t>否</w:t>
            </w:r>
          </w:p>
        </w:tc>
        <w:tc>
          <w:tcPr>
            <w:tcW w:w="1276" w:type="dxa"/>
            <w:vAlign w:val="center"/>
          </w:tcPr>
          <w:p w14:paraId="32C27F45">
            <w:pPr>
              <w:spacing w:line="360" w:lineRule="auto"/>
              <w:jc w:val="center"/>
              <w:rPr>
                <w:rFonts w:eastAsia="黑体"/>
                <w:b/>
                <w:sz w:val="21"/>
                <w:szCs w:val="21"/>
                <w:highlight w:val="none"/>
              </w:rPr>
            </w:pPr>
          </w:p>
        </w:tc>
      </w:tr>
      <w:tr w14:paraId="547B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14:paraId="1667204F">
            <w:pPr>
              <w:spacing w:line="360" w:lineRule="auto"/>
              <w:jc w:val="center"/>
              <w:rPr>
                <w:sz w:val="21"/>
                <w:szCs w:val="21"/>
                <w:highlight w:val="none"/>
              </w:rPr>
            </w:pPr>
            <w:r>
              <w:rPr>
                <w:rFonts w:hint="eastAsia"/>
                <w:sz w:val="21"/>
                <w:szCs w:val="21"/>
                <w:highlight w:val="none"/>
              </w:rPr>
              <w:t>17</w:t>
            </w:r>
          </w:p>
        </w:tc>
        <w:tc>
          <w:tcPr>
            <w:tcW w:w="4712" w:type="dxa"/>
            <w:vAlign w:val="center"/>
          </w:tcPr>
          <w:p w14:paraId="667BFBF8">
            <w:pPr>
              <w:spacing w:line="260" w:lineRule="exact"/>
              <w:rPr>
                <w:sz w:val="21"/>
                <w:szCs w:val="21"/>
                <w:highlight w:val="none"/>
              </w:rPr>
            </w:pPr>
            <w:r>
              <w:rPr>
                <w:rFonts w:hint="eastAsia"/>
                <w:sz w:val="21"/>
                <w:szCs w:val="21"/>
                <w:highlight w:val="none"/>
              </w:rPr>
              <w:t>是否存在投标人及相关管理人员安全生产任职资格不符合相关规定</w:t>
            </w:r>
          </w:p>
        </w:tc>
        <w:tc>
          <w:tcPr>
            <w:tcW w:w="1401" w:type="dxa"/>
            <w:vAlign w:val="center"/>
          </w:tcPr>
          <w:p w14:paraId="5ECE7219">
            <w:pPr>
              <w:spacing w:line="360" w:lineRule="auto"/>
              <w:jc w:val="center"/>
              <w:rPr>
                <w:sz w:val="21"/>
                <w:szCs w:val="21"/>
                <w:highlight w:val="none"/>
              </w:rPr>
            </w:pPr>
            <w:r>
              <w:rPr>
                <w:rFonts w:hint="eastAsia"/>
                <w:sz w:val="21"/>
                <w:szCs w:val="21"/>
                <w:highlight w:val="none"/>
              </w:rPr>
              <w:t>1.4.4（16）</w:t>
            </w:r>
          </w:p>
        </w:tc>
        <w:tc>
          <w:tcPr>
            <w:tcW w:w="1258" w:type="dxa"/>
            <w:vAlign w:val="center"/>
          </w:tcPr>
          <w:p w14:paraId="7BD7E500">
            <w:pPr>
              <w:spacing w:line="360" w:lineRule="auto"/>
              <w:jc w:val="center"/>
              <w:rPr>
                <w:sz w:val="21"/>
                <w:szCs w:val="21"/>
                <w:highlight w:val="none"/>
              </w:rPr>
            </w:pPr>
            <w:r>
              <w:rPr>
                <w:rFonts w:hint="eastAsia"/>
                <w:sz w:val="21"/>
                <w:szCs w:val="21"/>
                <w:highlight w:val="none"/>
              </w:rPr>
              <w:t>否</w:t>
            </w:r>
          </w:p>
        </w:tc>
        <w:tc>
          <w:tcPr>
            <w:tcW w:w="1276" w:type="dxa"/>
            <w:vAlign w:val="center"/>
          </w:tcPr>
          <w:p w14:paraId="786B2348">
            <w:pPr>
              <w:spacing w:line="360" w:lineRule="auto"/>
              <w:jc w:val="center"/>
              <w:rPr>
                <w:rFonts w:eastAsia="黑体"/>
                <w:b/>
                <w:sz w:val="21"/>
                <w:szCs w:val="21"/>
                <w:highlight w:val="none"/>
              </w:rPr>
            </w:pPr>
          </w:p>
        </w:tc>
      </w:tr>
      <w:tr w14:paraId="11E7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824" w:type="dxa"/>
            <w:vAlign w:val="center"/>
          </w:tcPr>
          <w:p w14:paraId="6D75B9F8">
            <w:pPr>
              <w:spacing w:line="360" w:lineRule="auto"/>
              <w:jc w:val="center"/>
              <w:rPr>
                <w:sz w:val="21"/>
                <w:szCs w:val="21"/>
                <w:highlight w:val="none"/>
              </w:rPr>
            </w:pPr>
            <w:r>
              <w:rPr>
                <w:sz w:val="21"/>
                <w:szCs w:val="21"/>
                <w:highlight w:val="none"/>
              </w:rPr>
              <w:t>18</w:t>
            </w:r>
          </w:p>
        </w:tc>
        <w:tc>
          <w:tcPr>
            <w:tcW w:w="4712" w:type="dxa"/>
            <w:vAlign w:val="center"/>
          </w:tcPr>
          <w:p w14:paraId="046A26D0">
            <w:pPr>
              <w:spacing w:line="260" w:lineRule="exact"/>
              <w:rPr>
                <w:sz w:val="21"/>
                <w:szCs w:val="21"/>
                <w:highlight w:val="none"/>
              </w:rPr>
            </w:pPr>
            <w:r>
              <w:rPr>
                <w:sz w:val="21"/>
                <w:szCs w:val="21"/>
                <w:highlight w:val="none"/>
              </w:rPr>
              <w:t>是否存在投标人（包括法定代表人）有行贿犯罪记录的（由投标文件提交截止之日上溯3年，行贿犯罪记录日期以法院判决生效日期为准）</w:t>
            </w:r>
          </w:p>
        </w:tc>
        <w:tc>
          <w:tcPr>
            <w:tcW w:w="1401" w:type="dxa"/>
            <w:vAlign w:val="center"/>
          </w:tcPr>
          <w:p w14:paraId="38DC4DA1">
            <w:pPr>
              <w:spacing w:line="360" w:lineRule="auto"/>
              <w:jc w:val="center"/>
              <w:rPr>
                <w:sz w:val="21"/>
                <w:szCs w:val="21"/>
                <w:highlight w:val="none"/>
              </w:rPr>
            </w:pPr>
            <w:r>
              <w:rPr>
                <w:sz w:val="21"/>
                <w:szCs w:val="21"/>
                <w:highlight w:val="none"/>
              </w:rPr>
              <w:t>1.4.4（17）</w:t>
            </w:r>
          </w:p>
        </w:tc>
        <w:tc>
          <w:tcPr>
            <w:tcW w:w="1258" w:type="dxa"/>
            <w:vAlign w:val="center"/>
          </w:tcPr>
          <w:p w14:paraId="379E8481">
            <w:pPr>
              <w:spacing w:line="360" w:lineRule="auto"/>
              <w:jc w:val="center"/>
              <w:rPr>
                <w:sz w:val="21"/>
                <w:szCs w:val="21"/>
                <w:highlight w:val="none"/>
              </w:rPr>
            </w:pPr>
            <w:r>
              <w:rPr>
                <w:sz w:val="21"/>
                <w:szCs w:val="21"/>
                <w:highlight w:val="none"/>
              </w:rPr>
              <w:t>否</w:t>
            </w:r>
          </w:p>
        </w:tc>
        <w:tc>
          <w:tcPr>
            <w:tcW w:w="1276" w:type="dxa"/>
            <w:vAlign w:val="center"/>
          </w:tcPr>
          <w:p w14:paraId="64D2F68A">
            <w:pPr>
              <w:spacing w:line="360" w:lineRule="auto"/>
              <w:jc w:val="center"/>
              <w:rPr>
                <w:rFonts w:eastAsia="黑体"/>
                <w:b/>
                <w:sz w:val="21"/>
                <w:szCs w:val="21"/>
                <w:highlight w:val="none"/>
              </w:rPr>
            </w:pPr>
          </w:p>
        </w:tc>
      </w:tr>
      <w:tr w14:paraId="2117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824" w:type="dxa"/>
            <w:vAlign w:val="center"/>
          </w:tcPr>
          <w:p w14:paraId="0A383D3E">
            <w:pPr>
              <w:spacing w:line="360" w:lineRule="auto"/>
              <w:jc w:val="center"/>
              <w:rPr>
                <w:sz w:val="21"/>
                <w:szCs w:val="21"/>
                <w:highlight w:val="none"/>
              </w:rPr>
            </w:pPr>
            <w:r>
              <w:rPr>
                <w:sz w:val="21"/>
                <w:szCs w:val="21"/>
                <w:highlight w:val="none"/>
              </w:rPr>
              <w:t>19</w:t>
            </w:r>
          </w:p>
        </w:tc>
        <w:tc>
          <w:tcPr>
            <w:tcW w:w="4712" w:type="dxa"/>
            <w:vAlign w:val="center"/>
          </w:tcPr>
          <w:p w14:paraId="15B33063">
            <w:pPr>
              <w:spacing w:line="260" w:lineRule="exact"/>
              <w:rPr>
                <w:sz w:val="21"/>
                <w:szCs w:val="21"/>
                <w:highlight w:val="none"/>
              </w:rPr>
            </w:pPr>
            <w:r>
              <w:rPr>
                <w:rFonts w:hint="eastAsia"/>
                <w:sz w:val="21"/>
                <w:szCs w:val="21"/>
                <w:highlight w:val="none"/>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01" w:type="dxa"/>
            <w:vAlign w:val="center"/>
          </w:tcPr>
          <w:p w14:paraId="6E45429B">
            <w:pPr>
              <w:spacing w:line="360" w:lineRule="auto"/>
              <w:jc w:val="center"/>
              <w:rPr>
                <w:sz w:val="21"/>
                <w:szCs w:val="21"/>
                <w:highlight w:val="none"/>
              </w:rPr>
            </w:pPr>
            <w:r>
              <w:rPr>
                <w:sz w:val="21"/>
                <w:szCs w:val="21"/>
                <w:highlight w:val="none"/>
              </w:rPr>
              <w:t>1.4.4（18）</w:t>
            </w:r>
          </w:p>
        </w:tc>
        <w:tc>
          <w:tcPr>
            <w:tcW w:w="1258" w:type="dxa"/>
            <w:vAlign w:val="center"/>
          </w:tcPr>
          <w:p w14:paraId="50DAFB31">
            <w:pPr>
              <w:spacing w:line="360" w:lineRule="auto"/>
              <w:jc w:val="center"/>
              <w:rPr>
                <w:sz w:val="21"/>
                <w:szCs w:val="21"/>
                <w:highlight w:val="none"/>
              </w:rPr>
            </w:pPr>
            <w:r>
              <w:rPr>
                <w:sz w:val="21"/>
                <w:szCs w:val="21"/>
                <w:highlight w:val="none"/>
              </w:rPr>
              <w:t>否</w:t>
            </w:r>
          </w:p>
        </w:tc>
        <w:tc>
          <w:tcPr>
            <w:tcW w:w="1276" w:type="dxa"/>
            <w:vAlign w:val="center"/>
          </w:tcPr>
          <w:p w14:paraId="444330EC">
            <w:pPr>
              <w:spacing w:line="360" w:lineRule="auto"/>
              <w:jc w:val="center"/>
              <w:rPr>
                <w:rFonts w:eastAsia="黑体"/>
                <w:b/>
                <w:sz w:val="21"/>
                <w:szCs w:val="21"/>
                <w:highlight w:val="none"/>
              </w:rPr>
            </w:pPr>
          </w:p>
        </w:tc>
      </w:tr>
    </w:tbl>
    <w:p w14:paraId="1758DC37">
      <w:pPr>
        <w:spacing w:line="360" w:lineRule="exact"/>
        <w:jc w:val="both"/>
        <w:rPr>
          <w:szCs w:val="21"/>
          <w:highlight w:val="none"/>
        </w:rPr>
      </w:pPr>
      <w:r>
        <w:rPr>
          <w:rFonts w:hint="eastAsia"/>
          <w:szCs w:val="21"/>
          <w:highlight w:val="none"/>
        </w:rPr>
        <w:t xml:space="preserve">法定代表人（签字或盖章）：           </w:t>
      </w:r>
    </w:p>
    <w:p w14:paraId="6A3B0CB6">
      <w:pPr>
        <w:spacing w:line="360" w:lineRule="exact"/>
        <w:jc w:val="both"/>
        <w:rPr>
          <w:szCs w:val="21"/>
          <w:highlight w:val="none"/>
        </w:rPr>
      </w:pPr>
      <w:r>
        <w:rPr>
          <w:rFonts w:hint="eastAsia"/>
          <w:szCs w:val="21"/>
          <w:highlight w:val="none"/>
        </w:rPr>
        <w:t xml:space="preserve">投  标  人（盖章）：           </w:t>
      </w:r>
    </w:p>
    <w:p w14:paraId="6E06AF76">
      <w:pPr>
        <w:spacing w:line="360" w:lineRule="exact"/>
        <w:ind w:right="560"/>
        <w:jc w:val="both"/>
        <w:rPr>
          <w:szCs w:val="21"/>
          <w:highlight w:val="none"/>
        </w:rPr>
      </w:pPr>
      <w:r>
        <w:rPr>
          <w:rFonts w:hint="eastAsia"/>
          <w:highlight w:val="none"/>
        </w:rPr>
        <w:t xml:space="preserve">日期：   </w:t>
      </w:r>
      <w:r>
        <w:rPr>
          <w:rFonts w:hint="eastAsia"/>
          <w:szCs w:val="21"/>
          <w:highlight w:val="none"/>
        </w:rPr>
        <w:t>年    月    日</w:t>
      </w:r>
    </w:p>
    <w:p w14:paraId="025EBF3F">
      <w:pPr>
        <w:spacing w:line="360" w:lineRule="exact"/>
        <w:jc w:val="both"/>
        <w:rPr>
          <w:szCs w:val="21"/>
          <w:highlight w:val="none"/>
        </w:rPr>
        <w:sectPr>
          <w:pgSz w:w="11906" w:h="16838"/>
          <w:pgMar w:top="851" w:right="1361" w:bottom="964" w:left="1191" w:header="851" w:footer="992" w:gutter="0"/>
          <w:cols w:space="720" w:num="1"/>
          <w:docGrid w:type="linesAndChars" w:linePitch="312" w:charSpace="0"/>
        </w:sectPr>
      </w:pPr>
    </w:p>
    <w:p w14:paraId="64C26E87">
      <w:pPr>
        <w:pStyle w:val="27"/>
        <w:rPr>
          <w:szCs w:val="28"/>
          <w:highlight w:val="none"/>
        </w:rPr>
      </w:pPr>
      <w:bookmarkStart w:id="763" w:name="_Toc2452"/>
      <w:bookmarkStart w:id="764" w:name="_Toc16521992"/>
      <w:bookmarkStart w:id="765" w:name="_Toc370743416"/>
      <w:bookmarkStart w:id="766" w:name="_Toc365645479"/>
      <w:bookmarkStart w:id="767" w:name="_Toc6379"/>
      <w:r>
        <w:rPr>
          <w:rFonts w:hint="eastAsia"/>
          <w:szCs w:val="28"/>
          <w:highlight w:val="none"/>
        </w:rPr>
        <w:t>五、台州市建设工程投标项目负责人资格自查表</w:t>
      </w:r>
      <w:bookmarkEnd w:id="763"/>
      <w:bookmarkEnd w:id="764"/>
      <w:bookmarkEnd w:id="765"/>
      <w:bookmarkEnd w:id="766"/>
      <w:bookmarkEnd w:id="767"/>
    </w:p>
    <w:p w14:paraId="640F1669">
      <w:pPr>
        <w:spacing w:line="360" w:lineRule="auto"/>
        <w:jc w:val="center"/>
        <w:rPr>
          <w:highlight w:val="none"/>
        </w:rPr>
      </w:pPr>
      <w:r>
        <w:rPr>
          <w:rFonts w:hint="eastAsia"/>
          <w:highlight w:val="none"/>
          <w:u w:val="single"/>
        </w:rPr>
        <w:t xml:space="preserve">                              </w:t>
      </w:r>
      <w:r>
        <w:rPr>
          <w:rFonts w:hint="eastAsia"/>
          <w:highlight w:val="none"/>
        </w:rPr>
        <w:t>工程</w:t>
      </w:r>
    </w:p>
    <w:p w14:paraId="24825707">
      <w:pPr>
        <w:spacing w:line="440" w:lineRule="exact"/>
        <w:jc w:val="center"/>
        <w:rPr>
          <w:rFonts w:eastAsia="黑体"/>
          <w:b/>
          <w:sz w:val="30"/>
          <w:szCs w:val="30"/>
          <w:highlight w:val="none"/>
        </w:rPr>
      </w:pPr>
      <w:r>
        <w:rPr>
          <w:rFonts w:hint="eastAsia" w:eastAsia="黑体"/>
          <w:b/>
          <w:sz w:val="30"/>
          <w:szCs w:val="30"/>
          <w:highlight w:val="none"/>
        </w:rPr>
        <w:t>台州市建设工程投标项目负责人资格自查表</w:t>
      </w:r>
    </w:p>
    <w:tbl>
      <w:tblPr>
        <w:tblStyle w:val="21"/>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80"/>
        <w:gridCol w:w="1301"/>
        <w:gridCol w:w="1440"/>
        <w:gridCol w:w="907"/>
      </w:tblGrid>
      <w:tr w14:paraId="77E1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vAlign w:val="center"/>
          </w:tcPr>
          <w:p w14:paraId="00B69478">
            <w:pPr>
              <w:snapToGrid w:val="0"/>
              <w:jc w:val="center"/>
              <w:rPr>
                <w:rFonts w:eastAsia="黑体"/>
                <w:b/>
                <w:szCs w:val="21"/>
                <w:highlight w:val="none"/>
              </w:rPr>
            </w:pPr>
            <w:r>
              <w:rPr>
                <w:rFonts w:eastAsia="黑体"/>
                <w:b/>
                <w:szCs w:val="21"/>
                <w:highlight w:val="none"/>
              </w:rPr>
              <w:t>序号</w:t>
            </w:r>
          </w:p>
        </w:tc>
        <w:tc>
          <w:tcPr>
            <w:tcW w:w="4680" w:type="dxa"/>
            <w:vAlign w:val="center"/>
          </w:tcPr>
          <w:p w14:paraId="5407A575">
            <w:pPr>
              <w:snapToGrid w:val="0"/>
              <w:jc w:val="center"/>
              <w:rPr>
                <w:rFonts w:eastAsia="黑体"/>
                <w:b/>
                <w:szCs w:val="21"/>
                <w:highlight w:val="none"/>
              </w:rPr>
            </w:pPr>
            <w:r>
              <w:rPr>
                <w:rFonts w:eastAsia="黑体"/>
                <w:b/>
                <w:szCs w:val="21"/>
                <w:highlight w:val="none"/>
              </w:rPr>
              <w:t>自查内容</w:t>
            </w:r>
          </w:p>
        </w:tc>
        <w:tc>
          <w:tcPr>
            <w:tcW w:w="1301" w:type="dxa"/>
            <w:vAlign w:val="center"/>
          </w:tcPr>
          <w:p w14:paraId="53E7271E">
            <w:pPr>
              <w:snapToGrid w:val="0"/>
              <w:jc w:val="center"/>
              <w:rPr>
                <w:rFonts w:eastAsia="黑体"/>
                <w:b/>
                <w:szCs w:val="21"/>
                <w:highlight w:val="none"/>
              </w:rPr>
            </w:pPr>
            <w:r>
              <w:rPr>
                <w:rFonts w:eastAsia="黑体"/>
                <w:b/>
                <w:szCs w:val="21"/>
                <w:highlight w:val="none"/>
              </w:rPr>
              <w:t>招标文件条款号</w:t>
            </w:r>
          </w:p>
        </w:tc>
        <w:tc>
          <w:tcPr>
            <w:tcW w:w="1440" w:type="dxa"/>
            <w:vAlign w:val="center"/>
          </w:tcPr>
          <w:p w14:paraId="283B0DE8">
            <w:pPr>
              <w:snapToGrid w:val="0"/>
              <w:jc w:val="center"/>
              <w:rPr>
                <w:rFonts w:eastAsia="黑体"/>
                <w:b/>
                <w:szCs w:val="21"/>
                <w:highlight w:val="none"/>
              </w:rPr>
            </w:pPr>
            <w:r>
              <w:rPr>
                <w:rFonts w:eastAsia="黑体"/>
                <w:b/>
                <w:szCs w:val="21"/>
                <w:highlight w:val="none"/>
              </w:rPr>
              <w:t>投标要求</w:t>
            </w:r>
          </w:p>
        </w:tc>
        <w:tc>
          <w:tcPr>
            <w:tcW w:w="907" w:type="dxa"/>
            <w:vAlign w:val="center"/>
          </w:tcPr>
          <w:p w14:paraId="53A6FFAB">
            <w:pPr>
              <w:snapToGrid w:val="0"/>
              <w:jc w:val="center"/>
              <w:rPr>
                <w:rFonts w:eastAsia="黑体"/>
                <w:b/>
                <w:szCs w:val="21"/>
                <w:highlight w:val="none"/>
              </w:rPr>
            </w:pPr>
            <w:r>
              <w:rPr>
                <w:rFonts w:eastAsia="黑体"/>
                <w:b/>
                <w:szCs w:val="21"/>
                <w:highlight w:val="none"/>
              </w:rPr>
              <w:t>自查情况</w:t>
            </w:r>
          </w:p>
        </w:tc>
      </w:tr>
      <w:tr w14:paraId="0E27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648" w:type="dxa"/>
            <w:vAlign w:val="center"/>
          </w:tcPr>
          <w:p w14:paraId="68F4657B">
            <w:pPr>
              <w:spacing w:line="360" w:lineRule="auto"/>
              <w:jc w:val="center"/>
              <w:rPr>
                <w:szCs w:val="21"/>
                <w:highlight w:val="none"/>
              </w:rPr>
            </w:pPr>
            <w:r>
              <w:rPr>
                <w:szCs w:val="21"/>
                <w:highlight w:val="none"/>
              </w:rPr>
              <w:t>1</w:t>
            </w:r>
          </w:p>
        </w:tc>
        <w:tc>
          <w:tcPr>
            <w:tcW w:w="4680" w:type="dxa"/>
            <w:vAlign w:val="center"/>
          </w:tcPr>
          <w:p w14:paraId="5994AFDB">
            <w:pPr>
              <w:rPr>
                <w:b/>
                <w:szCs w:val="21"/>
                <w:highlight w:val="none"/>
              </w:rPr>
            </w:pPr>
            <w:r>
              <w:rPr>
                <w:szCs w:val="21"/>
                <w:highlight w:val="none"/>
              </w:rPr>
              <w:t>投标项目负责人建造师专业和等级是否符合</w:t>
            </w:r>
          </w:p>
        </w:tc>
        <w:tc>
          <w:tcPr>
            <w:tcW w:w="1301" w:type="dxa"/>
            <w:vAlign w:val="center"/>
          </w:tcPr>
          <w:p w14:paraId="0D3F4DA8">
            <w:pPr>
              <w:spacing w:line="360" w:lineRule="auto"/>
              <w:jc w:val="center"/>
              <w:rPr>
                <w:szCs w:val="21"/>
                <w:highlight w:val="none"/>
              </w:rPr>
            </w:pPr>
            <w:r>
              <w:rPr>
                <w:szCs w:val="21"/>
                <w:highlight w:val="none"/>
              </w:rPr>
              <w:t>1.4.1（3）</w:t>
            </w:r>
          </w:p>
        </w:tc>
        <w:tc>
          <w:tcPr>
            <w:tcW w:w="1440" w:type="dxa"/>
            <w:vAlign w:val="center"/>
          </w:tcPr>
          <w:p w14:paraId="57EB5848">
            <w:pPr>
              <w:spacing w:line="360" w:lineRule="auto"/>
              <w:jc w:val="center"/>
              <w:rPr>
                <w:rFonts w:eastAsia="黑体"/>
                <w:szCs w:val="21"/>
                <w:highlight w:val="none"/>
              </w:rPr>
            </w:pPr>
            <w:r>
              <w:rPr>
                <w:rFonts w:eastAsia="黑体"/>
                <w:szCs w:val="21"/>
                <w:highlight w:val="none"/>
              </w:rPr>
              <w:t>是</w:t>
            </w:r>
          </w:p>
        </w:tc>
        <w:tc>
          <w:tcPr>
            <w:tcW w:w="907" w:type="dxa"/>
          </w:tcPr>
          <w:p w14:paraId="28E2558B">
            <w:pPr>
              <w:spacing w:line="360" w:lineRule="auto"/>
              <w:jc w:val="center"/>
              <w:rPr>
                <w:rFonts w:eastAsia="黑体"/>
                <w:b/>
                <w:szCs w:val="21"/>
                <w:highlight w:val="none"/>
              </w:rPr>
            </w:pPr>
          </w:p>
        </w:tc>
      </w:tr>
      <w:tr w14:paraId="62AC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9" w:hRule="exact"/>
        </w:trPr>
        <w:tc>
          <w:tcPr>
            <w:tcW w:w="648" w:type="dxa"/>
            <w:vAlign w:val="center"/>
          </w:tcPr>
          <w:p w14:paraId="41113675">
            <w:pPr>
              <w:spacing w:line="360" w:lineRule="auto"/>
              <w:jc w:val="center"/>
              <w:rPr>
                <w:b/>
                <w:szCs w:val="21"/>
                <w:highlight w:val="none"/>
              </w:rPr>
            </w:pPr>
            <w:r>
              <w:rPr>
                <w:b/>
                <w:szCs w:val="21"/>
                <w:highlight w:val="none"/>
              </w:rPr>
              <w:t>2</w:t>
            </w:r>
          </w:p>
        </w:tc>
        <w:tc>
          <w:tcPr>
            <w:tcW w:w="4680" w:type="dxa"/>
            <w:vAlign w:val="center"/>
          </w:tcPr>
          <w:p w14:paraId="52973560">
            <w:pPr>
              <w:snapToGrid w:val="0"/>
              <w:rPr>
                <w:rFonts w:ascii="宋体" w:hAnsi="宋体"/>
                <w:b/>
                <w:highlight w:val="none"/>
              </w:rPr>
            </w:pPr>
            <w:r>
              <w:rPr>
                <w:rFonts w:hint="eastAsia" w:ascii="宋体" w:hAnsi="宋体"/>
                <w:b/>
                <w:highlight w:val="none"/>
              </w:rPr>
              <w:t>投标项目负责人在建状态存在下列四种之一情形的：</w:t>
            </w:r>
          </w:p>
          <w:p w14:paraId="5FE88CFE">
            <w:pPr>
              <w:snapToGrid w:val="0"/>
              <w:ind w:firstLine="472" w:firstLineChars="196"/>
              <w:rPr>
                <w:rFonts w:ascii="宋体" w:hAnsi="宋体"/>
                <w:b/>
                <w:highlight w:val="none"/>
              </w:rPr>
            </w:pPr>
            <w:r>
              <w:rPr>
                <w:rFonts w:hint="eastAsia" w:ascii="宋体" w:hAnsi="宋体"/>
                <w:b/>
                <w:highlight w:val="none"/>
              </w:rPr>
              <w:t>（1）无在建；</w:t>
            </w:r>
          </w:p>
          <w:p w14:paraId="015C620C">
            <w:pPr>
              <w:snapToGrid w:val="0"/>
              <w:ind w:firstLine="472" w:firstLineChars="196"/>
              <w:rPr>
                <w:rFonts w:ascii="宋体" w:hAnsi="宋体"/>
                <w:b/>
                <w:highlight w:val="none"/>
              </w:rPr>
            </w:pPr>
            <w:r>
              <w:rPr>
                <w:rFonts w:hint="eastAsia" w:ascii="宋体" w:hAnsi="宋体"/>
                <w:b/>
                <w:highlight w:val="none"/>
              </w:rPr>
              <w:t>（2）原承接的项目与本工程属于同一工程相邻分段发包或分期施工的；（证明格式自拟）</w:t>
            </w:r>
          </w:p>
          <w:p w14:paraId="79232674">
            <w:pPr>
              <w:snapToGrid w:val="0"/>
              <w:ind w:firstLine="472" w:firstLineChars="196"/>
              <w:rPr>
                <w:rFonts w:ascii="宋体" w:hAnsi="宋体"/>
                <w:b/>
                <w:highlight w:val="none"/>
              </w:rPr>
            </w:pPr>
            <w:r>
              <w:rPr>
                <w:rFonts w:hint="eastAsia" w:ascii="宋体" w:hAnsi="宋体"/>
                <w:b/>
                <w:highlight w:val="none"/>
              </w:rPr>
              <w:t>（3）因非承包方原因致使工程项目停工超过120天（含），经原建设单位同意的（须提供停工报告和经工程所在地建设（建筑业）行政主管部门盖章的书面停工证明</w:t>
            </w:r>
            <w:r>
              <w:rPr>
                <w:rFonts w:hint="eastAsia" w:ascii="宋体" w:hAnsi="宋体"/>
                <w:bCs/>
                <w:highlight w:val="none"/>
              </w:rPr>
              <w:t>（</w:t>
            </w:r>
            <w:r>
              <w:rPr>
                <w:rFonts w:hint="eastAsia" w:ascii="宋体" w:hAnsi="宋体"/>
                <w:bCs/>
                <w:szCs w:val="21"/>
                <w:highlight w:val="none"/>
              </w:rPr>
              <w:t>详见投标文件格式十一</w:t>
            </w:r>
            <w:r>
              <w:rPr>
                <w:rFonts w:hint="eastAsia" w:ascii="宋体" w:hAnsi="宋体"/>
                <w:bCs/>
                <w:highlight w:val="none"/>
              </w:rPr>
              <w:t>））</w:t>
            </w:r>
            <w:r>
              <w:rPr>
                <w:rFonts w:hint="eastAsia" w:ascii="宋体" w:hAnsi="宋体"/>
                <w:b/>
                <w:highlight w:val="none"/>
              </w:rPr>
              <w:t>；</w:t>
            </w:r>
          </w:p>
          <w:p w14:paraId="5253936F">
            <w:pPr>
              <w:snapToGrid w:val="0"/>
              <w:ind w:firstLine="472" w:firstLineChars="196"/>
              <w:rPr>
                <w:rFonts w:ascii="宋体" w:hAnsi="宋体"/>
                <w:b/>
                <w:szCs w:val="21"/>
                <w:highlight w:val="none"/>
              </w:rPr>
            </w:pPr>
            <w:r>
              <w:rPr>
                <w:rFonts w:hint="eastAsia" w:ascii="宋体" w:hAnsi="宋体"/>
                <w:b/>
                <w:szCs w:val="21"/>
                <w:highlight w:val="none"/>
              </w:rPr>
              <w:t>（4）合同约定的工程已完工，承包方向建设单位提交竣工报告时间已超过120天（含），经原建设单位同意的（须提供竣工报告和工程所在地建设（建筑业）行政主管部门书面证明</w:t>
            </w:r>
            <w:r>
              <w:rPr>
                <w:rFonts w:hint="eastAsia" w:ascii="宋体" w:hAnsi="宋体"/>
                <w:bCs/>
                <w:highlight w:val="none"/>
              </w:rPr>
              <w:t>（</w:t>
            </w:r>
            <w:r>
              <w:rPr>
                <w:rFonts w:hint="eastAsia" w:ascii="宋体" w:hAnsi="宋体"/>
                <w:bCs/>
                <w:szCs w:val="21"/>
                <w:highlight w:val="none"/>
              </w:rPr>
              <w:t>详见投标文件格式十二</w:t>
            </w:r>
            <w:r>
              <w:rPr>
                <w:rFonts w:hint="eastAsia" w:ascii="宋体" w:hAnsi="宋体"/>
                <w:bCs/>
                <w:highlight w:val="none"/>
              </w:rPr>
              <w:t>）</w:t>
            </w:r>
            <w:r>
              <w:rPr>
                <w:rFonts w:hint="eastAsia" w:ascii="宋体" w:hAnsi="宋体"/>
                <w:b/>
                <w:szCs w:val="21"/>
                <w:highlight w:val="none"/>
              </w:rPr>
              <w:t>。</w:t>
            </w:r>
          </w:p>
          <w:p w14:paraId="00899057">
            <w:pPr>
              <w:snapToGrid w:val="0"/>
              <w:rPr>
                <w:b/>
                <w:highlight w:val="none"/>
              </w:rPr>
            </w:pPr>
            <w:r>
              <w:rPr>
                <w:rFonts w:hint="eastAsia" w:ascii="宋体" w:hAnsi="宋体"/>
                <w:b/>
                <w:szCs w:val="21"/>
                <w:highlight w:val="none"/>
              </w:rPr>
              <w:t>属上述（2）、（3）、（4）情形的，投标人应在投标文件中提交有关书面证明材料（以电子文档形式随资</w:t>
            </w:r>
            <w:r>
              <w:rPr>
                <w:rFonts w:hint="eastAsia" w:ascii="宋体" w:hAnsi="宋体"/>
                <w:b/>
                <w:szCs w:val="21"/>
                <w:highlight w:val="none"/>
                <w:lang w:val="en-US" w:eastAsia="zh-CN"/>
              </w:rPr>
              <w:t>格</w:t>
            </w:r>
            <w:r>
              <w:rPr>
                <w:rFonts w:hint="eastAsia" w:ascii="宋体" w:hAnsi="宋体"/>
                <w:b/>
                <w:szCs w:val="21"/>
                <w:highlight w:val="none"/>
              </w:rPr>
              <w:t>标上传）。</w:t>
            </w:r>
          </w:p>
        </w:tc>
        <w:tc>
          <w:tcPr>
            <w:tcW w:w="1301" w:type="dxa"/>
            <w:vAlign w:val="center"/>
          </w:tcPr>
          <w:p w14:paraId="74C758D0">
            <w:pPr>
              <w:spacing w:line="360" w:lineRule="auto"/>
              <w:jc w:val="center"/>
              <w:rPr>
                <w:szCs w:val="21"/>
                <w:highlight w:val="none"/>
              </w:rPr>
            </w:pPr>
            <w:r>
              <w:rPr>
                <w:szCs w:val="21"/>
                <w:highlight w:val="none"/>
              </w:rPr>
              <w:t>10.3</w:t>
            </w:r>
          </w:p>
        </w:tc>
        <w:tc>
          <w:tcPr>
            <w:tcW w:w="1440" w:type="dxa"/>
            <w:vAlign w:val="center"/>
          </w:tcPr>
          <w:p w14:paraId="11919DA6">
            <w:pPr>
              <w:spacing w:line="360" w:lineRule="auto"/>
              <w:rPr>
                <w:szCs w:val="21"/>
                <w:highlight w:val="none"/>
              </w:rPr>
            </w:pPr>
            <w:r>
              <w:rPr>
                <w:b/>
                <w:szCs w:val="21"/>
                <w:highlight w:val="none"/>
              </w:rPr>
              <w:t>应是（1）、（2）、（3）、（4）之一情形。自查应填写属何种情形</w:t>
            </w:r>
          </w:p>
        </w:tc>
        <w:tc>
          <w:tcPr>
            <w:tcW w:w="907" w:type="dxa"/>
            <w:vAlign w:val="center"/>
          </w:tcPr>
          <w:p w14:paraId="2475F9E5">
            <w:pPr>
              <w:spacing w:line="360" w:lineRule="auto"/>
              <w:rPr>
                <w:rFonts w:eastAsia="黑体"/>
                <w:b/>
                <w:szCs w:val="21"/>
                <w:highlight w:val="none"/>
              </w:rPr>
            </w:pPr>
            <w:r>
              <w:rPr>
                <w:szCs w:val="21"/>
                <w:highlight w:val="none"/>
              </w:rPr>
              <w:t>属</w:t>
            </w:r>
            <w:r>
              <w:rPr>
                <w:szCs w:val="21"/>
                <w:highlight w:val="none"/>
                <w:u w:val="single"/>
              </w:rPr>
              <w:t xml:space="preserve">   </w:t>
            </w:r>
            <w:r>
              <w:rPr>
                <w:szCs w:val="21"/>
                <w:highlight w:val="none"/>
              </w:rPr>
              <w:t>情形</w:t>
            </w:r>
          </w:p>
        </w:tc>
      </w:tr>
      <w:tr w14:paraId="2EBE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648" w:type="dxa"/>
            <w:vAlign w:val="center"/>
          </w:tcPr>
          <w:p w14:paraId="60674D8B">
            <w:pPr>
              <w:spacing w:line="360" w:lineRule="auto"/>
              <w:jc w:val="center"/>
              <w:rPr>
                <w:b/>
                <w:szCs w:val="21"/>
                <w:highlight w:val="none"/>
              </w:rPr>
            </w:pPr>
            <w:r>
              <w:rPr>
                <w:b/>
                <w:szCs w:val="21"/>
                <w:highlight w:val="none"/>
              </w:rPr>
              <w:t>3</w:t>
            </w:r>
          </w:p>
        </w:tc>
        <w:tc>
          <w:tcPr>
            <w:tcW w:w="4680" w:type="dxa"/>
            <w:vAlign w:val="center"/>
          </w:tcPr>
          <w:p w14:paraId="0BC46861">
            <w:pPr>
              <w:snapToGrid w:val="0"/>
              <w:rPr>
                <w:b/>
                <w:szCs w:val="21"/>
                <w:highlight w:val="none"/>
              </w:rPr>
            </w:pPr>
            <w:r>
              <w:rPr>
                <w:b/>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301" w:type="dxa"/>
            <w:vAlign w:val="center"/>
          </w:tcPr>
          <w:p w14:paraId="23661165">
            <w:pPr>
              <w:spacing w:line="360" w:lineRule="auto"/>
              <w:jc w:val="center"/>
              <w:rPr>
                <w:szCs w:val="21"/>
                <w:highlight w:val="none"/>
              </w:rPr>
            </w:pPr>
            <w:r>
              <w:rPr>
                <w:szCs w:val="21"/>
                <w:highlight w:val="none"/>
              </w:rPr>
              <w:t>1.4.1</w:t>
            </w:r>
            <w:r>
              <w:rPr>
                <w:rFonts w:hint="eastAsia"/>
                <w:szCs w:val="21"/>
                <w:highlight w:val="none"/>
              </w:rPr>
              <w:t>（4）</w:t>
            </w:r>
          </w:p>
        </w:tc>
        <w:tc>
          <w:tcPr>
            <w:tcW w:w="1440" w:type="dxa"/>
            <w:vAlign w:val="center"/>
          </w:tcPr>
          <w:p w14:paraId="26F6838D">
            <w:pPr>
              <w:spacing w:line="360" w:lineRule="auto"/>
              <w:jc w:val="center"/>
              <w:rPr>
                <w:szCs w:val="21"/>
                <w:highlight w:val="none"/>
              </w:rPr>
            </w:pPr>
            <w:r>
              <w:rPr>
                <w:szCs w:val="21"/>
                <w:highlight w:val="none"/>
              </w:rPr>
              <w:t>否</w:t>
            </w:r>
          </w:p>
        </w:tc>
        <w:tc>
          <w:tcPr>
            <w:tcW w:w="907" w:type="dxa"/>
          </w:tcPr>
          <w:p w14:paraId="19AA58DE">
            <w:pPr>
              <w:spacing w:line="360" w:lineRule="auto"/>
              <w:rPr>
                <w:rFonts w:eastAsia="黑体"/>
                <w:b/>
                <w:szCs w:val="21"/>
                <w:highlight w:val="none"/>
              </w:rPr>
            </w:pPr>
          </w:p>
        </w:tc>
      </w:tr>
      <w:tr w14:paraId="4368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14:paraId="505DCFCC">
            <w:pPr>
              <w:spacing w:line="360" w:lineRule="auto"/>
              <w:jc w:val="center"/>
              <w:rPr>
                <w:szCs w:val="21"/>
                <w:highlight w:val="none"/>
              </w:rPr>
            </w:pPr>
            <w:r>
              <w:rPr>
                <w:szCs w:val="21"/>
                <w:highlight w:val="none"/>
              </w:rPr>
              <w:t>4</w:t>
            </w:r>
          </w:p>
        </w:tc>
        <w:tc>
          <w:tcPr>
            <w:tcW w:w="4680" w:type="dxa"/>
            <w:vAlign w:val="center"/>
          </w:tcPr>
          <w:p w14:paraId="0CA5B18E">
            <w:pPr>
              <w:rPr>
                <w:szCs w:val="21"/>
                <w:highlight w:val="none"/>
              </w:rPr>
            </w:pPr>
            <w:r>
              <w:rPr>
                <w:szCs w:val="21"/>
                <w:highlight w:val="none"/>
              </w:rPr>
              <w:t>投标项目负责人</w:t>
            </w:r>
            <w:r>
              <w:rPr>
                <w:highlight w:val="none"/>
              </w:rPr>
              <w:t>是否</w:t>
            </w:r>
            <w:r>
              <w:rPr>
                <w:rFonts w:hint="eastAsia" w:hAnsi="宋体"/>
                <w:highlight w:val="none"/>
              </w:rPr>
              <w:t>被依法</w:t>
            </w:r>
            <w:r>
              <w:rPr>
                <w:szCs w:val="21"/>
                <w:highlight w:val="none"/>
              </w:rPr>
              <w:t>暂停或取消投标资格</w:t>
            </w:r>
          </w:p>
        </w:tc>
        <w:tc>
          <w:tcPr>
            <w:tcW w:w="1301" w:type="dxa"/>
            <w:vAlign w:val="center"/>
          </w:tcPr>
          <w:p w14:paraId="60FC1275">
            <w:pPr>
              <w:spacing w:line="360" w:lineRule="auto"/>
              <w:jc w:val="center"/>
              <w:rPr>
                <w:szCs w:val="21"/>
                <w:highlight w:val="none"/>
              </w:rPr>
            </w:pPr>
            <w:r>
              <w:rPr>
                <w:szCs w:val="21"/>
                <w:highlight w:val="none"/>
              </w:rPr>
              <w:t>1.4.</w:t>
            </w:r>
            <w:r>
              <w:rPr>
                <w:rFonts w:hint="eastAsia"/>
                <w:szCs w:val="21"/>
                <w:highlight w:val="none"/>
                <w:lang w:val="en-US" w:eastAsia="zh-CN"/>
              </w:rPr>
              <w:t>4</w:t>
            </w:r>
            <w:r>
              <w:rPr>
                <w:szCs w:val="21"/>
                <w:highlight w:val="none"/>
              </w:rPr>
              <w:t>（13）</w:t>
            </w:r>
          </w:p>
        </w:tc>
        <w:tc>
          <w:tcPr>
            <w:tcW w:w="1440" w:type="dxa"/>
            <w:vAlign w:val="center"/>
          </w:tcPr>
          <w:p w14:paraId="5CDF3C10">
            <w:pPr>
              <w:spacing w:line="360" w:lineRule="auto"/>
              <w:jc w:val="center"/>
              <w:rPr>
                <w:szCs w:val="21"/>
                <w:highlight w:val="none"/>
              </w:rPr>
            </w:pPr>
            <w:r>
              <w:rPr>
                <w:szCs w:val="21"/>
                <w:highlight w:val="none"/>
              </w:rPr>
              <w:t>否</w:t>
            </w:r>
          </w:p>
        </w:tc>
        <w:tc>
          <w:tcPr>
            <w:tcW w:w="907" w:type="dxa"/>
          </w:tcPr>
          <w:p w14:paraId="34C98AEC">
            <w:pPr>
              <w:spacing w:line="360" w:lineRule="auto"/>
              <w:rPr>
                <w:rFonts w:eastAsia="黑体"/>
                <w:b/>
                <w:szCs w:val="21"/>
                <w:highlight w:val="none"/>
              </w:rPr>
            </w:pPr>
          </w:p>
        </w:tc>
      </w:tr>
      <w:tr w14:paraId="3412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14:paraId="017846F1">
            <w:pPr>
              <w:spacing w:line="360" w:lineRule="auto"/>
              <w:jc w:val="center"/>
              <w:rPr>
                <w:szCs w:val="21"/>
                <w:highlight w:val="none"/>
              </w:rPr>
            </w:pPr>
            <w:r>
              <w:rPr>
                <w:rFonts w:hint="eastAsia"/>
                <w:szCs w:val="21"/>
                <w:highlight w:val="none"/>
              </w:rPr>
              <w:t>5</w:t>
            </w:r>
          </w:p>
        </w:tc>
        <w:tc>
          <w:tcPr>
            <w:tcW w:w="4680" w:type="dxa"/>
            <w:vAlign w:val="center"/>
          </w:tcPr>
          <w:p w14:paraId="28F57918">
            <w:pPr>
              <w:snapToGrid w:val="0"/>
              <w:rPr>
                <w:szCs w:val="21"/>
                <w:highlight w:val="none"/>
              </w:rPr>
            </w:pPr>
            <w:r>
              <w:rPr>
                <w:szCs w:val="21"/>
                <w:highlight w:val="none"/>
              </w:rPr>
              <w:t>投标项目负责人安全生产任职资格是否符合相关规定</w:t>
            </w:r>
          </w:p>
        </w:tc>
        <w:tc>
          <w:tcPr>
            <w:tcW w:w="1301" w:type="dxa"/>
            <w:vAlign w:val="center"/>
          </w:tcPr>
          <w:p w14:paraId="2F66C691">
            <w:pPr>
              <w:spacing w:line="360" w:lineRule="auto"/>
              <w:jc w:val="center"/>
              <w:rPr>
                <w:szCs w:val="21"/>
                <w:highlight w:val="none"/>
              </w:rPr>
            </w:pPr>
            <w:r>
              <w:rPr>
                <w:szCs w:val="21"/>
                <w:highlight w:val="none"/>
              </w:rPr>
              <w:t>1.4.</w:t>
            </w:r>
            <w:r>
              <w:rPr>
                <w:rFonts w:hint="eastAsia"/>
                <w:szCs w:val="21"/>
                <w:highlight w:val="none"/>
                <w:lang w:val="en-US" w:eastAsia="zh-CN"/>
              </w:rPr>
              <w:t>4</w:t>
            </w:r>
            <w:r>
              <w:rPr>
                <w:szCs w:val="21"/>
                <w:highlight w:val="none"/>
              </w:rPr>
              <w:t>（16）</w:t>
            </w:r>
          </w:p>
        </w:tc>
        <w:tc>
          <w:tcPr>
            <w:tcW w:w="1440" w:type="dxa"/>
            <w:vAlign w:val="center"/>
          </w:tcPr>
          <w:p w14:paraId="69F54E97">
            <w:pPr>
              <w:spacing w:line="360" w:lineRule="auto"/>
              <w:jc w:val="center"/>
              <w:rPr>
                <w:szCs w:val="21"/>
                <w:highlight w:val="none"/>
              </w:rPr>
            </w:pPr>
            <w:r>
              <w:rPr>
                <w:szCs w:val="21"/>
                <w:highlight w:val="none"/>
              </w:rPr>
              <w:t>是</w:t>
            </w:r>
          </w:p>
        </w:tc>
        <w:tc>
          <w:tcPr>
            <w:tcW w:w="907" w:type="dxa"/>
          </w:tcPr>
          <w:p w14:paraId="6ADB6734">
            <w:pPr>
              <w:spacing w:line="360" w:lineRule="auto"/>
              <w:rPr>
                <w:rFonts w:eastAsia="黑体"/>
                <w:b/>
                <w:szCs w:val="21"/>
                <w:highlight w:val="none"/>
              </w:rPr>
            </w:pPr>
          </w:p>
        </w:tc>
      </w:tr>
      <w:tr w14:paraId="3CD4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648" w:type="dxa"/>
            <w:vAlign w:val="center"/>
          </w:tcPr>
          <w:p w14:paraId="2172E8A7">
            <w:pPr>
              <w:spacing w:line="360" w:lineRule="auto"/>
              <w:jc w:val="center"/>
              <w:rPr>
                <w:szCs w:val="21"/>
                <w:highlight w:val="none"/>
              </w:rPr>
            </w:pPr>
            <w:r>
              <w:rPr>
                <w:szCs w:val="21"/>
                <w:highlight w:val="none"/>
              </w:rPr>
              <w:t>6</w:t>
            </w:r>
          </w:p>
        </w:tc>
        <w:tc>
          <w:tcPr>
            <w:tcW w:w="4680" w:type="dxa"/>
            <w:vAlign w:val="center"/>
          </w:tcPr>
          <w:p w14:paraId="2271FB4E">
            <w:pPr>
              <w:snapToGrid w:val="0"/>
              <w:rPr>
                <w:szCs w:val="21"/>
                <w:highlight w:val="none"/>
              </w:rPr>
            </w:pPr>
            <w:r>
              <w:rPr>
                <w:szCs w:val="21"/>
                <w:highlight w:val="none"/>
              </w:rPr>
              <w:t>投标项目负责人</w:t>
            </w:r>
            <w:r>
              <w:rPr>
                <w:highlight w:val="none"/>
              </w:rPr>
              <w:t>是否</w:t>
            </w:r>
            <w:r>
              <w:rPr>
                <w:szCs w:val="21"/>
                <w:highlight w:val="none"/>
              </w:rPr>
              <w:t>有行贿犯罪记录的（由投标文件提交截止之日上溯3年，行贿犯罪记录日期以法院判决生效日期为准）</w:t>
            </w:r>
          </w:p>
        </w:tc>
        <w:tc>
          <w:tcPr>
            <w:tcW w:w="1301" w:type="dxa"/>
            <w:vAlign w:val="center"/>
          </w:tcPr>
          <w:p w14:paraId="54EE16D8">
            <w:pPr>
              <w:spacing w:line="360" w:lineRule="auto"/>
              <w:ind w:left="509" w:hanging="508" w:hangingChars="212"/>
              <w:jc w:val="center"/>
              <w:rPr>
                <w:szCs w:val="21"/>
                <w:highlight w:val="none"/>
              </w:rPr>
            </w:pPr>
            <w:r>
              <w:rPr>
                <w:szCs w:val="21"/>
                <w:highlight w:val="none"/>
              </w:rPr>
              <w:t>1.4.</w:t>
            </w:r>
            <w:r>
              <w:rPr>
                <w:rFonts w:hint="eastAsia"/>
                <w:szCs w:val="21"/>
                <w:highlight w:val="none"/>
                <w:lang w:val="en-US" w:eastAsia="zh-CN"/>
              </w:rPr>
              <w:t>4</w:t>
            </w:r>
            <w:r>
              <w:rPr>
                <w:szCs w:val="21"/>
                <w:highlight w:val="none"/>
              </w:rPr>
              <w:t>（17）</w:t>
            </w:r>
          </w:p>
        </w:tc>
        <w:tc>
          <w:tcPr>
            <w:tcW w:w="1440" w:type="dxa"/>
            <w:vAlign w:val="center"/>
          </w:tcPr>
          <w:p w14:paraId="25BF25F5">
            <w:pPr>
              <w:spacing w:line="360" w:lineRule="auto"/>
              <w:jc w:val="center"/>
              <w:rPr>
                <w:szCs w:val="21"/>
                <w:highlight w:val="none"/>
              </w:rPr>
            </w:pPr>
            <w:r>
              <w:rPr>
                <w:szCs w:val="21"/>
                <w:highlight w:val="none"/>
              </w:rPr>
              <w:t>否</w:t>
            </w:r>
          </w:p>
        </w:tc>
        <w:tc>
          <w:tcPr>
            <w:tcW w:w="907" w:type="dxa"/>
          </w:tcPr>
          <w:p w14:paraId="30DC31B8">
            <w:pPr>
              <w:spacing w:line="360" w:lineRule="auto"/>
              <w:rPr>
                <w:rFonts w:eastAsia="黑体"/>
                <w:b/>
                <w:szCs w:val="21"/>
                <w:highlight w:val="none"/>
              </w:rPr>
            </w:pPr>
          </w:p>
        </w:tc>
      </w:tr>
    </w:tbl>
    <w:p w14:paraId="057BCEC2">
      <w:pPr>
        <w:autoSpaceDE/>
        <w:autoSpaceDN/>
        <w:snapToGrid w:val="0"/>
        <w:spacing w:line="340" w:lineRule="exact"/>
        <w:rPr>
          <w:szCs w:val="21"/>
          <w:highlight w:val="none"/>
        </w:rPr>
      </w:pPr>
    </w:p>
    <w:p w14:paraId="55910699">
      <w:pPr>
        <w:autoSpaceDE/>
        <w:autoSpaceDN/>
        <w:snapToGrid w:val="0"/>
        <w:spacing w:line="340" w:lineRule="exact"/>
        <w:rPr>
          <w:szCs w:val="21"/>
          <w:highlight w:val="none"/>
        </w:rPr>
      </w:pPr>
      <w:r>
        <w:rPr>
          <w:rFonts w:hint="eastAsia"/>
          <w:szCs w:val="21"/>
          <w:highlight w:val="none"/>
        </w:rPr>
        <w:t xml:space="preserve">法定代表人（签字或盖章）：               </w:t>
      </w:r>
    </w:p>
    <w:p w14:paraId="4120EC14">
      <w:pPr>
        <w:autoSpaceDE/>
        <w:autoSpaceDN/>
        <w:snapToGrid w:val="0"/>
        <w:spacing w:line="340" w:lineRule="exact"/>
        <w:ind w:right="640"/>
        <w:jc w:val="both"/>
        <w:rPr>
          <w:highlight w:val="none"/>
        </w:rPr>
      </w:pPr>
      <w:r>
        <w:rPr>
          <w:rFonts w:hint="eastAsia"/>
          <w:highlight w:val="none"/>
        </w:rPr>
        <w:t xml:space="preserve">投  标  人（盖章）：              </w:t>
      </w:r>
    </w:p>
    <w:p w14:paraId="3A656165">
      <w:pPr>
        <w:autoSpaceDE/>
        <w:autoSpaceDN/>
        <w:snapToGrid w:val="0"/>
        <w:spacing w:line="340" w:lineRule="exact"/>
        <w:ind w:right="640"/>
        <w:jc w:val="both"/>
        <w:rPr>
          <w:rFonts w:ascii="黑体" w:hAnsi="黑体" w:eastAsia="黑体" w:cs="黑体"/>
          <w:b/>
          <w:bCs/>
          <w:sz w:val="28"/>
          <w:szCs w:val="28"/>
          <w:highlight w:val="none"/>
        </w:rPr>
      </w:pPr>
      <w:r>
        <w:rPr>
          <w:rFonts w:hint="eastAsia"/>
          <w:highlight w:val="none"/>
        </w:rPr>
        <w:t>日期：     年    月    日</w:t>
      </w:r>
      <w:bookmarkStart w:id="768" w:name="_Toc13671"/>
      <w:bookmarkStart w:id="769" w:name="_Toc16521993"/>
      <w:bookmarkStart w:id="770" w:name="_Toc402426895"/>
      <w:r>
        <w:rPr>
          <w:rFonts w:ascii="黑体" w:hAnsi="黑体" w:eastAsia="黑体" w:cs="黑体"/>
          <w:sz w:val="28"/>
          <w:szCs w:val="28"/>
          <w:highlight w:val="none"/>
        </w:rPr>
        <w:br w:type="page"/>
      </w:r>
    </w:p>
    <w:p w14:paraId="175500B7">
      <w:pPr>
        <w:pStyle w:val="3"/>
        <w:ind w:left="0"/>
        <w:rPr>
          <w:rFonts w:ascii="黑体" w:hAnsi="黑体" w:eastAsia="黑体" w:cs="黑体"/>
          <w:sz w:val="28"/>
          <w:szCs w:val="28"/>
          <w:highlight w:val="none"/>
        </w:rPr>
      </w:pPr>
      <w:bookmarkStart w:id="771" w:name="_Toc21415"/>
      <w:r>
        <w:rPr>
          <w:rFonts w:hint="eastAsia" w:ascii="黑体" w:hAnsi="黑体" w:eastAsia="黑体" w:cs="黑体"/>
          <w:sz w:val="28"/>
          <w:szCs w:val="28"/>
          <w:highlight w:val="none"/>
        </w:rPr>
        <w:t>六、建设工程投标人及项目负责人资信分自查表</w:t>
      </w:r>
      <w:bookmarkEnd w:id="768"/>
      <w:bookmarkEnd w:id="769"/>
      <w:bookmarkEnd w:id="770"/>
      <w:bookmarkEnd w:id="771"/>
    </w:p>
    <w:p w14:paraId="0CC9694F">
      <w:pPr>
        <w:rPr>
          <w:rFonts w:ascii="宋体" w:hAnsi="宋体"/>
          <w:b/>
          <w:sz w:val="28"/>
          <w:szCs w:val="28"/>
          <w:highlight w:val="none"/>
        </w:rPr>
      </w:pPr>
    </w:p>
    <w:p w14:paraId="1ECA8006">
      <w:pPr>
        <w:jc w:val="center"/>
        <w:rPr>
          <w:rFonts w:ascii="宋体" w:hAnsi="宋体"/>
          <w:b/>
          <w:sz w:val="28"/>
          <w:szCs w:val="28"/>
          <w:highlight w:val="none"/>
        </w:rPr>
      </w:pPr>
      <w:r>
        <w:rPr>
          <w:rFonts w:hint="eastAsia" w:ascii="宋体" w:hAnsi="宋体"/>
          <w:b/>
          <w:sz w:val="28"/>
          <w:szCs w:val="28"/>
          <w:highlight w:val="none"/>
          <w:u w:val="single"/>
        </w:rPr>
        <w:t xml:space="preserve">                            </w:t>
      </w:r>
      <w:r>
        <w:rPr>
          <w:rFonts w:hint="eastAsia" w:ascii="宋体" w:hAnsi="宋体"/>
          <w:b/>
          <w:sz w:val="28"/>
          <w:szCs w:val="28"/>
          <w:highlight w:val="none"/>
        </w:rPr>
        <w:t>工程</w:t>
      </w:r>
    </w:p>
    <w:p w14:paraId="2239888B">
      <w:pPr>
        <w:jc w:val="center"/>
        <w:rPr>
          <w:rFonts w:ascii="宋体" w:hAnsi="宋体"/>
          <w:b/>
          <w:color w:val="auto"/>
          <w:sz w:val="30"/>
          <w:szCs w:val="30"/>
        </w:rPr>
      </w:pPr>
      <w:r>
        <w:rPr>
          <w:rFonts w:hint="eastAsia" w:ascii="宋体" w:hAnsi="宋体"/>
          <w:b/>
          <w:color w:val="auto"/>
          <w:sz w:val="30"/>
          <w:szCs w:val="30"/>
        </w:rPr>
        <w:t>建设工程投标人及项目负责人资信分自查表</w:t>
      </w:r>
    </w:p>
    <w:p w14:paraId="5C3221D9">
      <w:pPr>
        <w:ind w:firstLine="560" w:firstLineChars="200"/>
        <w:rPr>
          <w:rFonts w:hint="eastAsia" w:ascii="宋体" w:hAnsi="宋体"/>
          <w:color w:val="auto"/>
          <w:sz w:val="28"/>
          <w:szCs w:val="28"/>
        </w:rPr>
      </w:pPr>
      <w:r>
        <w:rPr>
          <w:rFonts w:hint="eastAsia" w:ascii="宋体" w:hAnsi="宋体"/>
          <w:color w:val="auto"/>
          <w:sz w:val="28"/>
          <w:szCs w:val="28"/>
        </w:rPr>
        <w:t>根据本工程投标截止日前两个月，经台州市建筑业信息管理网网站（http://tzjzy.jsj.zjtz.gov.cn/）省信用评价公示公布系统公布栏发布的评审结果，我公司及项目负责人的信用评价等级</w:t>
      </w:r>
      <w:r>
        <w:rPr>
          <w:rFonts w:hint="eastAsia" w:ascii="宋体" w:hAnsi="宋体" w:cs="Times New Roman"/>
          <w:color w:val="auto"/>
          <w:kern w:val="0"/>
          <w:sz w:val="28"/>
          <w:szCs w:val="28"/>
        </w:rPr>
        <w:t>以及省信用评价总分</w:t>
      </w:r>
      <w:r>
        <w:rPr>
          <w:rFonts w:hint="eastAsia" w:ascii="宋体" w:hAnsi="宋体"/>
          <w:color w:val="auto"/>
          <w:sz w:val="28"/>
          <w:szCs w:val="28"/>
        </w:rPr>
        <w:t>如下：</w:t>
      </w:r>
    </w:p>
    <w:p w14:paraId="5FF6C32D">
      <w:pPr>
        <w:ind w:firstLine="560" w:firstLineChars="200"/>
        <w:rPr>
          <w:rFonts w:hint="eastAsia" w:ascii="宋体" w:hAnsi="宋体"/>
          <w:color w:val="auto"/>
          <w:sz w:val="28"/>
          <w:szCs w:val="28"/>
        </w:rPr>
      </w:pP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3"/>
        <w:gridCol w:w="3673"/>
        <w:gridCol w:w="3196"/>
      </w:tblGrid>
      <w:tr w14:paraId="59FC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noWrap w:val="0"/>
            <w:vAlign w:val="center"/>
          </w:tcPr>
          <w:p w14:paraId="57AB14FF">
            <w:pPr>
              <w:jc w:val="center"/>
              <w:rPr>
                <w:rFonts w:hint="eastAsia" w:ascii="宋体" w:hAnsi="宋体"/>
                <w:color w:val="auto"/>
                <w:sz w:val="28"/>
                <w:szCs w:val="28"/>
              </w:rPr>
            </w:pPr>
          </w:p>
        </w:tc>
        <w:tc>
          <w:tcPr>
            <w:tcW w:w="2053" w:type="pct"/>
            <w:noWrap w:val="0"/>
            <w:vAlign w:val="center"/>
          </w:tcPr>
          <w:p w14:paraId="65ADB265">
            <w:pPr>
              <w:jc w:val="center"/>
              <w:rPr>
                <w:rFonts w:hint="eastAsia" w:ascii="宋体" w:hAnsi="宋体"/>
                <w:color w:val="auto"/>
                <w:sz w:val="28"/>
                <w:szCs w:val="28"/>
              </w:rPr>
            </w:pPr>
            <w:r>
              <w:rPr>
                <w:rFonts w:hint="eastAsia" w:ascii="宋体" w:hAnsi="宋体"/>
                <w:color w:val="auto"/>
                <w:sz w:val="28"/>
                <w:szCs w:val="28"/>
              </w:rPr>
              <w:t>信用评价等级</w:t>
            </w:r>
          </w:p>
        </w:tc>
        <w:tc>
          <w:tcPr>
            <w:tcW w:w="1786" w:type="pct"/>
            <w:noWrap w:val="0"/>
            <w:vAlign w:val="center"/>
          </w:tcPr>
          <w:p w14:paraId="01426B99">
            <w:pPr>
              <w:jc w:val="center"/>
              <w:rPr>
                <w:rFonts w:hint="eastAsia" w:ascii="宋体" w:hAnsi="宋体"/>
                <w:color w:val="auto"/>
                <w:sz w:val="28"/>
                <w:szCs w:val="28"/>
              </w:rPr>
            </w:pPr>
            <w:r>
              <w:rPr>
                <w:rFonts w:hint="eastAsia" w:ascii="宋体" w:hAnsi="宋体"/>
                <w:color w:val="auto"/>
                <w:sz w:val="28"/>
                <w:szCs w:val="28"/>
              </w:rPr>
              <w:t>省信用评价总分</w:t>
            </w:r>
          </w:p>
        </w:tc>
      </w:tr>
      <w:tr w14:paraId="6AAD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noWrap w:val="0"/>
            <w:vAlign w:val="center"/>
          </w:tcPr>
          <w:p w14:paraId="396B5A84">
            <w:pPr>
              <w:jc w:val="center"/>
              <w:rPr>
                <w:rFonts w:hint="eastAsia" w:ascii="宋体" w:hAnsi="宋体"/>
                <w:color w:val="auto"/>
                <w:sz w:val="28"/>
                <w:szCs w:val="28"/>
              </w:rPr>
            </w:pPr>
            <w:r>
              <w:rPr>
                <w:rFonts w:hint="eastAsia" w:ascii="宋体" w:hAnsi="宋体"/>
                <w:color w:val="auto"/>
                <w:sz w:val="28"/>
                <w:szCs w:val="28"/>
              </w:rPr>
              <w:t>投标人</w:t>
            </w:r>
          </w:p>
        </w:tc>
        <w:tc>
          <w:tcPr>
            <w:tcW w:w="2053" w:type="pct"/>
            <w:noWrap w:val="0"/>
            <w:vAlign w:val="center"/>
          </w:tcPr>
          <w:p w14:paraId="29D736C2">
            <w:pPr>
              <w:jc w:val="center"/>
              <w:rPr>
                <w:rFonts w:hint="eastAsia" w:ascii="宋体" w:hAnsi="宋体"/>
                <w:color w:val="auto"/>
                <w:sz w:val="28"/>
                <w:szCs w:val="28"/>
              </w:rPr>
            </w:pPr>
          </w:p>
        </w:tc>
        <w:tc>
          <w:tcPr>
            <w:tcW w:w="1786" w:type="pct"/>
            <w:noWrap w:val="0"/>
            <w:vAlign w:val="center"/>
          </w:tcPr>
          <w:p w14:paraId="4B1000D8">
            <w:pPr>
              <w:jc w:val="center"/>
              <w:rPr>
                <w:rFonts w:hint="eastAsia" w:ascii="宋体" w:hAnsi="宋体"/>
                <w:color w:val="auto"/>
                <w:sz w:val="28"/>
                <w:szCs w:val="28"/>
              </w:rPr>
            </w:pPr>
          </w:p>
        </w:tc>
      </w:tr>
      <w:tr w14:paraId="7141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noWrap w:val="0"/>
            <w:vAlign w:val="center"/>
          </w:tcPr>
          <w:p w14:paraId="118068FB">
            <w:pPr>
              <w:jc w:val="center"/>
              <w:rPr>
                <w:rFonts w:hint="eastAsia" w:ascii="宋体" w:hAnsi="宋体"/>
                <w:color w:val="auto"/>
                <w:sz w:val="28"/>
                <w:szCs w:val="28"/>
              </w:rPr>
            </w:pPr>
            <w:r>
              <w:rPr>
                <w:rFonts w:hint="eastAsia" w:ascii="宋体" w:hAnsi="宋体"/>
                <w:color w:val="auto"/>
                <w:sz w:val="28"/>
                <w:szCs w:val="28"/>
                <w:highlight w:val="none"/>
              </w:rPr>
              <w:t>项目负责人</w:t>
            </w:r>
          </w:p>
        </w:tc>
        <w:tc>
          <w:tcPr>
            <w:tcW w:w="2053" w:type="pct"/>
            <w:noWrap w:val="0"/>
            <w:vAlign w:val="center"/>
          </w:tcPr>
          <w:p w14:paraId="2FC524D0">
            <w:pPr>
              <w:jc w:val="center"/>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w:t>
            </w:r>
          </w:p>
        </w:tc>
        <w:tc>
          <w:tcPr>
            <w:tcW w:w="1786" w:type="pct"/>
            <w:noWrap w:val="0"/>
            <w:vAlign w:val="center"/>
          </w:tcPr>
          <w:p w14:paraId="55EE293B">
            <w:pPr>
              <w:jc w:val="center"/>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w:t>
            </w:r>
          </w:p>
        </w:tc>
      </w:tr>
    </w:tbl>
    <w:p w14:paraId="5FD344F2">
      <w:pPr>
        <w:rPr>
          <w:rFonts w:hint="eastAsia" w:ascii="宋体" w:hAnsi="宋体"/>
          <w:color w:val="auto"/>
          <w:sz w:val="28"/>
          <w:szCs w:val="28"/>
          <w:u w:val="single"/>
        </w:rPr>
      </w:pPr>
    </w:p>
    <w:tbl>
      <w:tblPr>
        <w:tblStyle w:val="22"/>
        <w:tblpPr w:leftFromText="180" w:rightFromText="180" w:vertAnchor="text" w:horzAnchor="page" w:tblpX="1674" w:tblpY="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6"/>
        <w:gridCol w:w="4980"/>
      </w:tblGrid>
      <w:tr w14:paraId="4286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pct"/>
            <w:noWrap w:val="0"/>
            <w:vAlign w:val="top"/>
          </w:tcPr>
          <w:p w14:paraId="63B2CBF9">
            <w:pPr>
              <w:jc w:val="both"/>
              <w:rPr>
                <w:rFonts w:hint="eastAsia" w:ascii="宋体" w:hAnsi="宋体"/>
                <w:color w:val="auto"/>
                <w:sz w:val="28"/>
                <w:szCs w:val="28"/>
                <w:u w:val="none"/>
                <w:vertAlign w:val="baseline"/>
              </w:rPr>
            </w:pPr>
          </w:p>
        </w:tc>
        <w:tc>
          <w:tcPr>
            <w:tcW w:w="2783" w:type="pct"/>
            <w:noWrap w:val="0"/>
            <w:vAlign w:val="top"/>
          </w:tcPr>
          <w:p w14:paraId="4C3630BA">
            <w:pPr>
              <w:jc w:val="center"/>
              <w:rPr>
                <w:rFonts w:hint="eastAsia" w:ascii="宋体" w:hAnsi="宋体" w:eastAsia="宋体"/>
                <w:color w:val="auto"/>
                <w:sz w:val="28"/>
                <w:szCs w:val="28"/>
                <w:u w:val="none"/>
                <w:vertAlign w:val="baseline"/>
                <w:lang w:eastAsia="zh-CN"/>
              </w:rPr>
            </w:pPr>
            <w:r>
              <w:rPr>
                <w:rFonts w:hint="eastAsia" w:ascii="宋体" w:hAnsi="宋体"/>
                <w:color w:val="auto"/>
                <w:sz w:val="28"/>
                <w:szCs w:val="28"/>
                <w:u w:val="none"/>
                <w:vertAlign w:val="baseline"/>
                <w:lang w:eastAsia="zh-CN"/>
              </w:rPr>
              <w:t>姓名</w:t>
            </w:r>
          </w:p>
        </w:tc>
      </w:tr>
      <w:tr w14:paraId="38C0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pct"/>
            <w:noWrap w:val="0"/>
            <w:vAlign w:val="top"/>
          </w:tcPr>
          <w:p w14:paraId="3BF30DE2">
            <w:pPr>
              <w:jc w:val="center"/>
              <w:rPr>
                <w:rFonts w:hint="eastAsia" w:ascii="宋体" w:hAnsi="宋体" w:eastAsia="宋体"/>
                <w:color w:val="auto"/>
                <w:sz w:val="28"/>
                <w:szCs w:val="28"/>
                <w:u w:val="none"/>
                <w:vertAlign w:val="baseline"/>
                <w:lang w:eastAsia="zh-CN"/>
              </w:rPr>
            </w:pPr>
            <w:r>
              <w:rPr>
                <w:rFonts w:hint="eastAsia" w:ascii="宋体" w:hAnsi="宋体"/>
                <w:color w:val="auto"/>
                <w:sz w:val="28"/>
                <w:szCs w:val="28"/>
                <w:u w:val="none"/>
                <w:vertAlign w:val="baseline"/>
                <w:lang w:eastAsia="zh-CN"/>
              </w:rPr>
              <w:t>项目负责人</w:t>
            </w:r>
          </w:p>
        </w:tc>
        <w:tc>
          <w:tcPr>
            <w:tcW w:w="2783" w:type="pct"/>
            <w:noWrap w:val="0"/>
            <w:vAlign w:val="top"/>
          </w:tcPr>
          <w:p w14:paraId="42F84808">
            <w:pPr>
              <w:jc w:val="both"/>
              <w:rPr>
                <w:rFonts w:hint="eastAsia" w:ascii="宋体" w:hAnsi="宋体"/>
                <w:color w:val="auto"/>
                <w:sz w:val="28"/>
                <w:szCs w:val="28"/>
                <w:u w:val="none"/>
                <w:vertAlign w:val="baseline"/>
              </w:rPr>
            </w:pPr>
          </w:p>
        </w:tc>
      </w:tr>
    </w:tbl>
    <w:p w14:paraId="3DCE9030">
      <w:pPr>
        <w:rPr>
          <w:rFonts w:ascii="宋体" w:hAnsi="宋体"/>
          <w:color w:val="auto"/>
          <w:sz w:val="28"/>
          <w:szCs w:val="28"/>
        </w:rPr>
      </w:pPr>
    </w:p>
    <w:p w14:paraId="3C255E18">
      <w:pPr>
        <w:snapToGrid w:val="0"/>
        <w:spacing w:line="360" w:lineRule="auto"/>
        <w:jc w:val="both"/>
        <w:rPr>
          <w:rFonts w:hint="eastAsia" w:eastAsia="宋体"/>
          <w:szCs w:val="21"/>
          <w:highlight w:val="none"/>
          <w:lang w:val="en-US" w:eastAsia="zh-CN"/>
        </w:rPr>
      </w:pPr>
      <w:r>
        <w:rPr>
          <w:rFonts w:hint="eastAsia"/>
          <w:szCs w:val="21"/>
          <w:highlight w:val="none"/>
          <w:lang w:val="en-US" w:eastAsia="zh-CN"/>
        </w:rPr>
        <w:t>备注：提供</w:t>
      </w:r>
      <w:r>
        <w:rPr>
          <w:rFonts w:hint="eastAsia"/>
          <w:szCs w:val="21"/>
          <w:highlight w:val="none"/>
        </w:rPr>
        <w:t>信用等级网页查询截图</w:t>
      </w:r>
      <w:r>
        <w:rPr>
          <w:rFonts w:hint="eastAsia"/>
          <w:szCs w:val="21"/>
          <w:highlight w:val="none"/>
          <w:lang w:eastAsia="zh-CN"/>
        </w:rPr>
        <w:t>。</w:t>
      </w:r>
    </w:p>
    <w:p w14:paraId="05C55D25">
      <w:pPr>
        <w:rPr>
          <w:rFonts w:ascii="宋体" w:hAnsi="宋体"/>
          <w:sz w:val="28"/>
          <w:szCs w:val="28"/>
          <w:highlight w:val="none"/>
        </w:rPr>
      </w:pPr>
    </w:p>
    <w:p w14:paraId="221BDB5A">
      <w:pPr>
        <w:snapToGrid w:val="0"/>
        <w:spacing w:line="360" w:lineRule="auto"/>
        <w:jc w:val="both"/>
        <w:rPr>
          <w:szCs w:val="21"/>
          <w:highlight w:val="none"/>
        </w:rPr>
      </w:pPr>
      <w:r>
        <w:rPr>
          <w:rFonts w:hint="eastAsia"/>
          <w:szCs w:val="21"/>
          <w:highlight w:val="none"/>
        </w:rPr>
        <w:t xml:space="preserve">法定代表人（签字或盖章）：                </w:t>
      </w:r>
    </w:p>
    <w:p w14:paraId="238AAF7E">
      <w:pPr>
        <w:snapToGrid w:val="0"/>
        <w:spacing w:line="586" w:lineRule="exact"/>
        <w:ind w:right="640"/>
        <w:jc w:val="both"/>
        <w:rPr>
          <w:highlight w:val="none"/>
        </w:rPr>
      </w:pPr>
      <w:r>
        <w:rPr>
          <w:rFonts w:hint="eastAsia"/>
          <w:highlight w:val="none"/>
        </w:rPr>
        <w:t xml:space="preserve">投  标  人（盖章）：              </w:t>
      </w:r>
    </w:p>
    <w:p w14:paraId="54B9B16F">
      <w:pPr>
        <w:snapToGrid w:val="0"/>
        <w:spacing w:line="586" w:lineRule="exact"/>
        <w:ind w:right="640"/>
        <w:jc w:val="both"/>
        <w:rPr>
          <w:highlight w:val="none"/>
        </w:rPr>
      </w:pPr>
      <w:r>
        <w:rPr>
          <w:rFonts w:hint="eastAsia"/>
          <w:highlight w:val="none"/>
        </w:rPr>
        <w:t>日期：      年    月    日</w:t>
      </w:r>
    </w:p>
    <w:p w14:paraId="4AA57571">
      <w:pPr>
        <w:snapToGrid w:val="0"/>
        <w:spacing w:line="586" w:lineRule="exact"/>
        <w:ind w:right="640"/>
        <w:jc w:val="both"/>
        <w:rPr>
          <w:highlight w:val="none"/>
        </w:rPr>
      </w:pPr>
    </w:p>
    <w:p w14:paraId="6F96A802">
      <w:pPr>
        <w:snapToGrid w:val="0"/>
        <w:spacing w:line="586" w:lineRule="exact"/>
        <w:ind w:right="640"/>
        <w:jc w:val="both"/>
        <w:rPr>
          <w:highlight w:val="none"/>
        </w:rPr>
      </w:pPr>
    </w:p>
    <w:p w14:paraId="02E9AC74">
      <w:pPr>
        <w:pStyle w:val="8"/>
        <w:ind w:left="0" w:leftChars="0" w:firstLine="0" w:firstLineChars="0"/>
        <w:rPr>
          <w:highlight w:val="none"/>
        </w:rPr>
      </w:pPr>
    </w:p>
    <w:p w14:paraId="723FC056">
      <w:pPr>
        <w:pStyle w:val="8"/>
        <w:ind w:left="0" w:leftChars="0" w:firstLine="0" w:firstLineChars="0"/>
        <w:rPr>
          <w:highlight w:val="none"/>
        </w:rPr>
      </w:pPr>
    </w:p>
    <w:p w14:paraId="23BB87B3">
      <w:pPr>
        <w:pStyle w:val="3"/>
        <w:ind w:left="0"/>
        <w:rPr>
          <w:rFonts w:ascii="黑体" w:hAnsi="黑体" w:eastAsia="黑体" w:cs="黑体"/>
          <w:sz w:val="28"/>
          <w:szCs w:val="28"/>
          <w:highlight w:val="none"/>
        </w:rPr>
      </w:pPr>
      <w:bookmarkStart w:id="772" w:name="_Toc26102"/>
      <w:r>
        <w:rPr>
          <w:rFonts w:hint="eastAsia" w:ascii="黑体" w:hAnsi="黑体" w:eastAsia="黑体" w:cs="黑体"/>
          <w:sz w:val="28"/>
          <w:szCs w:val="28"/>
          <w:highlight w:val="none"/>
        </w:rPr>
        <w:t>七、台州市建设工程诚信投标承诺书</w:t>
      </w:r>
      <w:bookmarkEnd w:id="772"/>
    </w:p>
    <w:p w14:paraId="5D15F0B7">
      <w:pPr>
        <w:jc w:val="center"/>
        <w:rPr>
          <w:sz w:val="30"/>
          <w:szCs w:val="30"/>
          <w:highlight w:val="none"/>
        </w:rPr>
      </w:pPr>
      <w:bookmarkStart w:id="773" w:name="_Toc837"/>
      <w:bookmarkStart w:id="774" w:name="_Toc22238_WPSOffice_Level2"/>
      <w:bookmarkStart w:id="775" w:name="_Toc26720_WPSOffice_Level2"/>
      <w:r>
        <w:rPr>
          <w:rFonts w:hint="eastAsia"/>
          <w:sz w:val="30"/>
          <w:szCs w:val="30"/>
          <w:highlight w:val="none"/>
        </w:rPr>
        <w:t>台州市建设工程诚信投标承诺书</w:t>
      </w:r>
      <w:bookmarkEnd w:id="773"/>
      <w:bookmarkEnd w:id="774"/>
      <w:bookmarkEnd w:id="775"/>
    </w:p>
    <w:p w14:paraId="3F2BC8CD">
      <w:pPr>
        <w:snapToGrid w:val="0"/>
        <w:spacing w:line="360" w:lineRule="auto"/>
        <w:rPr>
          <w:highlight w:val="none"/>
        </w:rPr>
      </w:pPr>
    </w:p>
    <w:p w14:paraId="6611F595">
      <w:pPr>
        <w:snapToGrid w:val="0"/>
        <w:spacing w:line="420" w:lineRule="auto"/>
        <w:ind w:firstLine="491" w:firstLineChars="205"/>
        <w:rPr>
          <w:rFonts w:ascii="宋体" w:hAnsi="宋体"/>
          <w:highlight w:val="none"/>
        </w:rPr>
      </w:pPr>
      <w:r>
        <w:rPr>
          <w:rFonts w:hint="eastAsia" w:ascii="宋体" w:hAnsi="宋体"/>
          <w:highlight w:val="none"/>
        </w:rPr>
        <w:t>本人以企业法定代表人的身份郑重承诺：</w:t>
      </w:r>
    </w:p>
    <w:p w14:paraId="79F419AF">
      <w:pPr>
        <w:snapToGrid w:val="0"/>
        <w:spacing w:line="420" w:lineRule="auto"/>
        <w:ind w:firstLine="513" w:firstLineChars="214"/>
        <w:rPr>
          <w:rFonts w:ascii="宋体" w:hAnsi="宋体"/>
          <w:highlight w:val="none"/>
        </w:rPr>
      </w:pPr>
      <w:r>
        <w:rPr>
          <w:rFonts w:hint="eastAsia" w:ascii="宋体" w:hAnsi="宋体"/>
          <w:highlight w:val="none"/>
        </w:rPr>
        <w:t>一、将遵循公开、公平、公正和诚实信用的原则参加</w:t>
      </w:r>
      <w:r>
        <w:rPr>
          <w:rFonts w:hint="eastAsia" w:ascii="宋体" w:hAnsi="宋体"/>
          <w:highlight w:val="none"/>
          <w:u w:val="single"/>
        </w:rPr>
        <w:t xml:space="preserve">                  </w:t>
      </w:r>
      <w:r>
        <w:rPr>
          <w:rFonts w:hint="eastAsia" w:ascii="宋体" w:hAnsi="宋体"/>
          <w:highlight w:val="none"/>
        </w:rPr>
        <w:t>（工程项目名称）的投标；</w:t>
      </w:r>
    </w:p>
    <w:p w14:paraId="7DCEF1F0">
      <w:pPr>
        <w:snapToGrid w:val="0"/>
        <w:spacing w:line="420" w:lineRule="auto"/>
        <w:ind w:firstLine="523" w:firstLineChars="218"/>
        <w:rPr>
          <w:rFonts w:ascii="宋体" w:hAnsi="宋体"/>
          <w:highlight w:val="none"/>
        </w:rPr>
      </w:pPr>
      <w:r>
        <w:rPr>
          <w:rFonts w:hint="eastAsia" w:ascii="宋体" w:hAnsi="宋体"/>
          <w:highlight w:val="none"/>
        </w:rPr>
        <w:t>二、所提供的一切材料都是真实、有效、合法的；</w:t>
      </w:r>
    </w:p>
    <w:p w14:paraId="1CFA773B">
      <w:pPr>
        <w:snapToGrid w:val="0"/>
        <w:spacing w:line="420" w:lineRule="auto"/>
        <w:ind w:firstLine="535" w:firstLineChars="223"/>
        <w:rPr>
          <w:rFonts w:ascii="宋体" w:hAnsi="宋体"/>
          <w:highlight w:val="none"/>
        </w:rPr>
      </w:pPr>
      <w:r>
        <w:rPr>
          <w:rFonts w:hint="eastAsia" w:ascii="宋体" w:hAnsi="宋体"/>
          <w:highlight w:val="none"/>
        </w:rPr>
        <w:t>三、本公司的投标资格已按照《台州市建设工程投标人资格自查表》和《台州市建设工程投标项目负责人资格自查表》逐条自查，并如实填写；</w:t>
      </w:r>
    </w:p>
    <w:p w14:paraId="3B1BF493">
      <w:pPr>
        <w:snapToGrid w:val="0"/>
        <w:spacing w:line="420" w:lineRule="auto"/>
        <w:ind w:firstLine="480" w:firstLineChars="200"/>
        <w:rPr>
          <w:rFonts w:ascii="宋体" w:hAnsi="宋体"/>
          <w:highlight w:val="none"/>
        </w:rPr>
      </w:pPr>
      <w:r>
        <w:rPr>
          <w:rFonts w:hint="eastAsia" w:ascii="宋体" w:hAnsi="宋体"/>
          <w:highlight w:val="none"/>
        </w:rPr>
        <w:t>四、不存在串通投标行为（包括不存在招标文件第三章“评标办法”第3.1.2和第3.1.3项规定的情形）；</w:t>
      </w:r>
    </w:p>
    <w:p w14:paraId="03F96260">
      <w:pPr>
        <w:snapToGrid w:val="0"/>
        <w:spacing w:line="420" w:lineRule="auto"/>
        <w:ind w:firstLine="513" w:firstLineChars="214"/>
        <w:rPr>
          <w:rFonts w:ascii="宋体" w:hAnsi="宋体"/>
          <w:highlight w:val="none"/>
        </w:rPr>
      </w:pPr>
      <w:r>
        <w:rPr>
          <w:rFonts w:hint="eastAsia" w:ascii="宋体" w:hAnsi="宋体"/>
          <w:highlight w:val="none"/>
        </w:rPr>
        <w:t>五、不存在他人以本公司名义投标或者不存在以其他方式弄虚作假的行为；</w:t>
      </w:r>
    </w:p>
    <w:p w14:paraId="055C933A">
      <w:pPr>
        <w:snapToGrid w:val="0"/>
        <w:spacing w:line="420" w:lineRule="auto"/>
        <w:ind w:firstLine="513" w:firstLineChars="214"/>
        <w:rPr>
          <w:rFonts w:ascii="宋体" w:hAnsi="宋体"/>
          <w:highlight w:val="none"/>
        </w:rPr>
      </w:pPr>
      <w:r>
        <w:rPr>
          <w:rFonts w:hint="eastAsia" w:ascii="宋体" w:hAnsi="宋体"/>
          <w:highlight w:val="none"/>
        </w:rPr>
        <w:t>六、不存在向招标人或者评标委员会成员行贿以牟取中标的行为。</w:t>
      </w:r>
    </w:p>
    <w:p w14:paraId="3EC73298">
      <w:pPr>
        <w:snapToGrid w:val="0"/>
        <w:spacing w:line="420" w:lineRule="auto"/>
        <w:ind w:firstLine="516" w:firstLineChars="214"/>
        <w:rPr>
          <w:rFonts w:hint="eastAsia" w:ascii="宋体" w:hAnsi="宋体" w:eastAsia="宋体"/>
          <w:b/>
          <w:bCs/>
          <w:highlight w:val="none"/>
          <w:lang w:eastAsia="zh-CN"/>
        </w:rPr>
      </w:pPr>
      <w:r>
        <w:rPr>
          <w:rFonts w:hint="eastAsia" w:ascii="宋体" w:hAnsi="宋体"/>
          <w:b/>
          <w:bCs/>
          <w:highlight w:val="none"/>
          <w:lang w:eastAsia="zh-CN"/>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40E00FB1">
      <w:pPr>
        <w:snapToGrid w:val="0"/>
        <w:spacing w:line="420" w:lineRule="auto"/>
        <w:ind w:firstLine="513" w:firstLineChars="214"/>
        <w:rPr>
          <w:rFonts w:ascii="宋体" w:hAnsi="宋体"/>
          <w:highlight w:val="none"/>
          <w:u w:val="single"/>
        </w:rPr>
      </w:pPr>
      <w:r>
        <w:rPr>
          <w:rFonts w:hint="eastAsia" w:ascii="宋体" w:hAnsi="宋体"/>
          <w:highlight w:val="none"/>
        </w:rPr>
        <w:t>如招标人需要调查了解的，本公司负责本次投标的主管人员（分管经营的副总）将积极配合。主管人员：</w:t>
      </w:r>
      <w:r>
        <w:rPr>
          <w:rFonts w:hint="eastAsia" w:ascii="宋体" w:hAnsi="宋体"/>
          <w:highlight w:val="none"/>
          <w:u w:val="single"/>
        </w:rPr>
        <w:t xml:space="preserve">            </w:t>
      </w:r>
      <w:r>
        <w:rPr>
          <w:rFonts w:hint="eastAsia" w:ascii="宋体" w:hAnsi="宋体"/>
          <w:highlight w:val="none"/>
        </w:rPr>
        <w:t xml:space="preserve">      手机：</w:t>
      </w:r>
      <w:r>
        <w:rPr>
          <w:rFonts w:hint="eastAsia" w:ascii="宋体" w:hAnsi="宋体"/>
          <w:highlight w:val="none"/>
          <w:u w:val="single"/>
        </w:rPr>
        <w:t xml:space="preserve">                </w:t>
      </w:r>
    </w:p>
    <w:p w14:paraId="5B4670FA">
      <w:pPr>
        <w:snapToGrid w:val="0"/>
        <w:spacing w:line="420" w:lineRule="auto"/>
        <w:ind w:firstLine="482" w:firstLineChars="200"/>
        <w:rPr>
          <w:rFonts w:ascii="宋体" w:hAnsi="宋体"/>
          <w:b/>
          <w:highlight w:val="none"/>
        </w:rPr>
      </w:pPr>
      <w:r>
        <w:rPr>
          <w:rFonts w:hint="eastAsia" w:ascii="宋体" w:hAnsi="宋体"/>
          <w:b/>
          <w:highlight w:val="none"/>
        </w:rPr>
        <w:t>本公司若有违反本承诺内容的行为，愿意按招标文件规定接受投标保证金的处理。如已中标的，自动放弃中标资格；给招标人造成损失的，依法承担赔偿责任。</w:t>
      </w:r>
    </w:p>
    <w:p w14:paraId="4CAAC88B">
      <w:pPr>
        <w:snapToGrid w:val="0"/>
        <w:spacing w:line="420" w:lineRule="auto"/>
        <w:rPr>
          <w:rFonts w:ascii="宋体" w:hAnsi="宋体"/>
          <w:highlight w:val="none"/>
          <w:u w:val="single"/>
        </w:rPr>
      </w:pPr>
    </w:p>
    <w:p w14:paraId="4D369451">
      <w:pPr>
        <w:snapToGrid w:val="0"/>
        <w:spacing w:line="360" w:lineRule="auto"/>
        <w:rPr>
          <w:rFonts w:ascii="宋体" w:hAnsi="宋体"/>
          <w:highlight w:val="none"/>
        </w:rPr>
      </w:pPr>
      <w:r>
        <w:rPr>
          <w:rFonts w:hint="eastAsia" w:ascii="宋体" w:hAnsi="宋体"/>
          <w:highlight w:val="none"/>
        </w:rPr>
        <w:t>法定代表人（签字或盖章）：</w:t>
      </w:r>
    </w:p>
    <w:p w14:paraId="4654C5FC">
      <w:pPr>
        <w:snapToGrid w:val="0"/>
        <w:spacing w:line="360" w:lineRule="auto"/>
        <w:rPr>
          <w:rFonts w:ascii="宋体" w:hAnsi="宋体"/>
          <w:highlight w:val="none"/>
        </w:rPr>
      </w:pPr>
      <w:r>
        <w:rPr>
          <w:rFonts w:hint="eastAsia" w:ascii="宋体" w:hAnsi="宋体"/>
          <w:highlight w:val="none"/>
        </w:rPr>
        <w:t>投  标  人（盖章）：</w:t>
      </w:r>
    </w:p>
    <w:p w14:paraId="0811A0B5">
      <w:pPr>
        <w:spacing w:line="360" w:lineRule="auto"/>
        <w:jc w:val="both"/>
        <w:rPr>
          <w:rFonts w:ascii="宋体" w:hAnsi="宋体"/>
          <w:highlight w:val="none"/>
        </w:rPr>
      </w:pPr>
      <w:r>
        <w:rPr>
          <w:rFonts w:hint="eastAsia"/>
          <w:highlight w:val="none"/>
        </w:rPr>
        <w:t xml:space="preserve">日期：    </w:t>
      </w:r>
      <w:r>
        <w:rPr>
          <w:rFonts w:hint="eastAsia" w:ascii="宋体" w:hAnsi="宋体"/>
          <w:highlight w:val="none"/>
        </w:rPr>
        <w:t>年    月    日</w:t>
      </w:r>
    </w:p>
    <w:p w14:paraId="1D851335">
      <w:pPr>
        <w:widowControl/>
        <w:autoSpaceDE/>
        <w:autoSpaceDN/>
        <w:adjustRightInd/>
        <w:rPr>
          <w:rFonts w:ascii="黑体" w:hAnsi="黑体" w:eastAsia="黑体" w:cs="黑体"/>
          <w:b/>
          <w:bCs/>
          <w:sz w:val="28"/>
          <w:szCs w:val="28"/>
          <w:highlight w:val="none"/>
        </w:rPr>
      </w:pPr>
      <w:bookmarkStart w:id="776" w:name="_Toc16521995"/>
      <w:bookmarkStart w:id="777" w:name="_Toc4248"/>
    </w:p>
    <w:p w14:paraId="2894FC3A">
      <w:pPr>
        <w:pStyle w:val="27"/>
        <w:rPr>
          <w:szCs w:val="28"/>
          <w:highlight w:val="none"/>
        </w:rPr>
      </w:pPr>
      <w:bookmarkStart w:id="778" w:name="_Toc23860"/>
      <w:r>
        <w:rPr>
          <w:rFonts w:hint="eastAsia"/>
          <w:szCs w:val="28"/>
          <w:highlight w:val="none"/>
        </w:rPr>
        <w:t>八、法定代表人授权委托书</w:t>
      </w:r>
      <w:bookmarkEnd w:id="776"/>
      <w:bookmarkEnd w:id="777"/>
      <w:bookmarkEnd w:id="778"/>
    </w:p>
    <w:p w14:paraId="00580439">
      <w:pPr>
        <w:spacing w:line="440" w:lineRule="exact"/>
        <w:rPr>
          <w:rFonts w:ascii="Microsoft JhengHei" w:eastAsia="Microsoft JhengHei" w:cs="Microsoft JhengHei"/>
          <w:b/>
          <w:bCs/>
          <w:highlight w:val="none"/>
        </w:rPr>
      </w:pPr>
    </w:p>
    <w:p w14:paraId="1B12B8C5">
      <w:pPr>
        <w:snapToGrid w:val="0"/>
        <w:spacing w:before="156" w:beforeLines="50"/>
        <w:jc w:val="center"/>
        <w:rPr>
          <w:rFonts w:eastAsia="黑体"/>
          <w:sz w:val="44"/>
          <w:highlight w:val="none"/>
        </w:rPr>
      </w:pPr>
      <w:r>
        <w:rPr>
          <w:rFonts w:hint="eastAsia" w:eastAsia="黑体"/>
          <w:sz w:val="30"/>
          <w:szCs w:val="30"/>
          <w:highlight w:val="none"/>
        </w:rPr>
        <w:t>法定代表人授权委托书</w:t>
      </w:r>
    </w:p>
    <w:p w14:paraId="2D267236">
      <w:pPr>
        <w:snapToGrid w:val="0"/>
        <w:spacing w:before="156" w:beforeLines="50"/>
        <w:jc w:val="center"/>
        <w:rPr>
          <w:sz w:val="28"/>
          <w:highlight w:val="none"/>
        </w:rPr>
      </w:pPr>
      <w:r>
        <w:rPr>
          <w:rFonts w:hint="eastAsia"/>
          <w:sz w:val="28"/>
          <w:highlight w:val="none"/>
        </w:rPr>
        <w:t>（参考样张）</w:t>
      </w:r>
    </w:p>
    <w:p w14:paraId="6C00DE09">
      <w:pPr>
        <w:snapToGrid w:val="0"/>
        <w:spacing w:line="480" w:lineRule="exact"/>
        <w:ind w:firstLine="480" w:firstLineChars="200"/>
        <w:rPr>
          <w:rFonts w:ascii="宋体" w:hAnsi="宋体" w:cs="宋体"/>
          <w:highlight w:val="none"/>
        </w:rPr>
      </w:pPr>
      <w:r>
        <w:rPr>
          <w:rFonts w:hint="eastAsia" w:ascii="宋体" w:hAnsi="宋体" w:cs="宋体"/>
          <w:highlight w:val="none"/>
        </w:rPr>
        <w:t>本授权委托书声明：我</w:t>
      </w:r>
      <w:r>
        <w:rPr>
          <w:rFonts w:hint="eastAsia" w:ascii="宋体" w:hAnsi="宋体" w:cs="宋体"/>
          <w:highlight w:val="none"/>
          <w:u w:val="single"/>
        </w:rPr>
        <w:t xml:space="preserve">        </w:t>
      </w:r>
      <w:r>
        <w:rPr>
          <w:rFonts w:hint="eastAsia" w:ascii="宋体" w:hAnsi="宋体" w:cs="宋体"/>
          <w:highlight w:val="none"/>
        </w:rPr>
        <w:t>（姓名）系</w:t>
      </w:r>
      <w:r>
        <w:rPr>
          <w:rFonts w:hint="eastAsia" w:ascii="宋体" w:hAnsi="宋体" w:cs="宋体"/>
          <w:highlight w:val="none"/>
          <w:u w:val="single"/>
        </w:rPr>
        <w:t xml:space="preserve">                 </w:t>
      </w:r>
      <w:r>
        <w:rPr>
          <w:rFonts w:hint="eastAsia" w:ascii="宋体" w:hAnsi="宋体" w:cs="宋体"/>
          <w:highlight w:val="none"/>
        </w:rPr>
        <w:t>（投标单位名称）的法定代表人，现授权委托</w:t>
      </w:r>
      <w:r>
        <w:rPr>
          <w:rFonts w:hint="eastAsia" w:ascii="宋体" w:hAnsi="宋体" w:cs="宋体"/>
          <w:highlight w:val="none"/>
          <w:u w:val="single"/>
        </w:rPr>
        <w:t xml:space="preserve">            </w:t>
      </w:r>
      <w:r>
        <w:rPr>
          <w:rFonts w:hint="eastAsia" w:ascii="宋体" w:hAnsi="宋体" w:cs="宋体"/>
          <w:highlight w:val="none"/>
        </w:rPr>
        <w:t>（姓名）在</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 xml:space="preserve">日至 </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 xml:space="preserve">月 </w:t>
      </w:r>
      <w:r>
        <w:rPr>
          <w:rFonts w:hint="eastAsia" w:ascii="宋体" w:hAnsi="宋体" w:cs="宋体"/>
          <w:highlight w:val="none"/>
          <w:u w:val="single"/>
        </w:rPr>
        <w:t xml:space="preserve">   </w:t>
      </w:r>
      <w:r>
        <w:rPr>
          <w:rFonts w:hint="eastAsia" w:ascii="宋体" w:hAnsi="宋体" w:cs="宋体"/>
          <w:highlight w:val="none"/>
        </w:rPr>
        <w:t>日（代理时限）为我公司的代理人，以本公司的名义参加</w:t>
      </w:r>
      <w:r>
        <w:rPr>
          <w:rFonts w:hint="eastAsia" w:ascii="宋体" w:hAnsi="宋体" w:cs="宋体"/>
          <w:highlight w:val="none"/>
          <w:u w:val="single"/>
        </w:rPr>
        <w:t xml:space="preserve">              工程 </w:t>
      </w:r>
      <w:r>
        <w:rPr>
          <w:rFonts w:hint="eastAsia" w:ascii="宋体" w:hAnsi="宋体" w:cs="宋体"/>
          <w:highlight w:val="none"/>
        </w:rPr>
        <w:t>的投标活动。代理人在代理时间内参加投标、开标、询标过程中所签署的一切文件和处理与之相关的一切事务，本人均予以承认</w:t>
      </w:r>
    </w:p>
    <w:p w14:paraId="605AF8BE">
      <w:pPr>
        <w:snapToGrid w:val="0"/>
        <w:spacing w:line="480" w:lineRule="exact"/>
        <w:ind w:firstLine="480" w:firstLineChars="200"/>
        <w:rPr>
          <w:rFonts w:ascii="宋体" w:hAnsi="宋体" w:cs="宋体"/>
          <w:highlight w:val="none"/>
        </w:rPr>
      </w:pPr>
      <w:r>
        <w:rPr>
          <w:rFonts w:hint="eastAsia" w:ascii="宋体" w:hAnsi="宋体" w:cs="宋体"/>
          <w:highlight w:val="none"/>
        </w:rPr>
        <w:t>代理人无权转委托，特此委托。</w:t>
      </w:r>
    </w:p>
    <w:p w14:paraId="699F5AE9">
      <w:pPr>
        <w:pStyle w:val="14"/>
        <w:spacing w:after="0" w:line="48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 xml:space="preserve"> 代理人手机号码：</w:t>
      </w:r>
      <w:r>
        <w:rPr>
          <w:rFonts w:hint="eastAsia" w:ascii="宋体" w:hAnsi="宋体" w:eastAsia="宋体" w:cs="宋体"/>
          <w:sz w:val="24"/>
          <w:szCs w:val="24"/>
          <w:highlight w:val="none"/>
          <w:u w:val="single"/>
        </w:rPr>
        <w:t xml:space="preserve">              </w:t>
      </w:r>
    </w:p>
    <w:p w14:paraId="00E73DCF">
      <w:pPr>
        <w:snapToGrid w:val="0"/>
        <w:spacing w:before="156" w:beforeLines="50"/>
        <w:ind w:firstLine="480" w:firstLineChars="200"/>
        <w:rPr>
          <w:sz w:val="28"/>
          <w:highlight w:val="none"/>
        </w:rPr>
      </w:pPr>
      <w:r>
        <w:rPr>
          <w:rFonts w:hint="eastAsia" w:ascii="宋体" w:hAns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650875</wp:posOffset>
                </wp:positionH>
                <wp:positionV relativeFrom="paragraph">
                  <wp:posOffset>71120</wp:posOffset>
                </wp:positionV>
                <wp:extent cx="4781550" cy="4319270"/>
                <wp:effectExtent l="12700" t="12700" r="25400" b="30480"/>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340.1pt;width:376.5pt;z-index:251659264;v-text-anchor:middle;mso-width-relative:page;mso-height-relative:page;" filled="f" stroked="t" coordsize="21600,21600" o:gfxdata="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6q6b2AAAAAoBAAAPAAAAAAAAAAEAIAAAACIAAABkcnMvZG93bnJldi54&#10;bWxQSwECFAAUAAAACACHTuJApCDvnWwCAADPBAAADgAAAAAAAAABACAAAAAnAQAAZHJzL2Uyb0Rv&#10;Yy54bWxQSwUGAAAAAAYABgBZAQAABQYAAAAA&#10;">
                <v:fill on="f" focussize="0,0"/>
                <v:stroke weight="2pt" color="#000000" joinstyle="round"/>
                <v:imagedata o:title=""/>
                <o:lock v:ext="edit" aspectratio="f"/>
              </v:rect>
            </w:pict>
          </mc:Fallback>
        </mc:AlternateContent>
      </w:r>
      <w:r>
        <w:rPr>
          <w:rFonts w:hint="eastAsia"/>
          <w:sz w:val="28"/>
          <w:highlight w:val="none"/>
        </w:rPr>
        <w:t>附</w:t>
      </w:r>
    </w:p>
    <w:p w14:paraId="41CB5F85">
      <w:pPr>
        <w:rPr>
          <w:highlight w:val="none"/>
        </w:rPr>
      </w:pPr>
    </w:p>
    <w:p w14:paraId="080B779C">
      <w:pPr>
        <w:snapToGrid w:val="0"/>
        <w:ind w:firstLine="480" w:firstLineChars="200"/>
        <w:rPr>
          <w:highlight w:val="none"/>
        </w:rPr>
      </w:pPr>
    </w:p>
    <w:p w14:paraId="0C889F41">
      <w:pPr>
        <w:wordWrap w:val="0"/>
        <w:snapToGrid w:val="0"/>
        <w:ind w:firstLine="640" w:firstLineChars="200"/>
        <w:jc w:val="right"/>
        <w:rPr>
          <w:rFonts w:ascii="宋体" w:hAnsi="宋体"/>
          <w:bCs/>
          <w:sz w:val="32"/>
          <w:szCs w:val="32"/>
          <w:highlight w:val="none"/>
        </w:rPr>
      </w:pPr>
    </w:p>
    <w:p w14:paraId="12B9BC8A">
      <w:pPr>
        <w:wordWrap w:val="0"/>
        <w:snapToGrid w:val="0"/>
        <w:ind w:firstLine="48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1327150</wp:posOffset>
                </wp:positionH>
                <wp:positionV relativeFrom="paragraph">
                  <wp:posOffset>100330</wp:posOffset>
                </wp:positionV>
                <wp:extent cx="3476625" cy="324485"/>
                <wp:effectExtent l="4445" t="4445" r="5080" b="13970"/>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13FA5C93">
                            <w:pPr>
                              <w:jc w:val="center"/>
                            </w:pPr>
                            <w:r>
                              <w:rPr>
                                <w:rFonts w:hint="eastAsia"/>
                              </w:rPr>
                              <w:t>代理人身份证</w:t>
                            </w:r>
                            <w:r>
                              <w:rPr>
                                <w:rFonts w:hint="eastAsia"/>
                                <w:lang w:eastAsia="zh-CN"/>
                              </w:rPr>
                              <w:t>人像</w:t>
                            </w:r>
                            <w:r>
                              <w:rPr>
                                <w:rFonts w:hint="eastAsia"/>
                              </w:rPr>
                              <w:t>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25.55pt;width:273.75pt;z-index:251661312;mso-width-relative:page;mso-height-relative:page;" fillcolor="#FFFFFF" filled="t" stroked="t"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k2+A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14:paraId="13FA5C93">
                      <w:pPr>
                        <w:jc w:val="center"/>
                      </w:pPr>
                      <w:r>
                        <w:rPr>
                          <w:rFonts w:hint="eastAsia"/>
                        </w:rPr>
                        <w:t>代理人身份证</w:t>
                      </w:r>
                      <w:r>
                        <w:rPr>
                          <w:rFonts w:hint="eastAsia"/>
                          <w:lang w:eastAsia="zh-CN"/>
                        </w:rPr>
                        <w:t>人像</w:t>
                      </w:r>
                      <w:r>
                        <w:rPr>
                          <w:rFonts w:hint="eastAsia"/>
                        </w:rPr>
                        <w:t>复印件粘贴处</w:t>
                      </w:r>
                    </w:p>
                  </w:txbxContent>
                </v:textbox>
              </v:shape>
            </w:pict>
          </mc:Fallback>
        </mc:AlternateContent>
      </w:r>
    </w:p>
    <w:p w14:paraId="3C14625D">
      <w:pPr>
        <w:wordWrap w:val="0"/>
        <w:snapToGrid w:val="0"/>
        <w:ind w:firstLine="640" w:firstLineChars="200"/>
        <w:jc w:val="right"/>
        <w:rPr>
          <w:rFonts w:ascii="宋体" w:hAnsi="宋体"/>
          <w:bCs/>
          <w:sz w:val="32"/>
          <w:szCs w:val="32"/>
          <w:highlight w:val="none"/>
        </w:rPr>
      </w:pPr>
    </w:p>
    <w:p w14:paraId="07DA4EFB">
      <w:pPr>
        <w:wordWrap w:val="0"/>
        <w:snapToGrid w:val="0"/>
        <w:ind w:firstLine="640" w:firstLineChars="200"/>
        <w:jc w:val="right"/>
        <w:rPr>
          <w:rFonts w:ascii="宋体" w:hAnsi="宋体"/>
          <w:bCs/>
          <w:sz w:val="32"/>
          <w:szCs w:val="32"/>
          <w:highlight w:val="none"/>
        </w:rPr>
      </w:pPr>
    </w:p>
    <w:p w14:paraId="68286607">
      <w:pPr>
        <w:wordWrap w:val="0"/>
        <w:snapToGrid w:val="0"/>
        <w:ind w:firstLine="640" w:firstLineChars="200"/>
        <w:jc w:val="right"/>
        <w:rPr>
          <w:rFonts w:ascii="宋体" w:hAnsi="宋体"/>
          <w:bCs/>
          <w:sz w:val="32"/>
          <w:szCs w:val="32"/>
          <w:highlight w:val="none"/>
        </w:rPr>
      </w:pPr>
    </w:p>
    <w:p w14:paraId="6CFD8655">
      <w:pPr>
        <w:wordWrap w:val="0"/>
        <w:snapToGrid w:val="0"/>
        <w:ind w:firstLine="48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650875</wp:posOffset>
                </wp:positionH>
                <wp:positionV relativeFrom="paragraph">
                  <wp:posOffset>33020</wp:posOffset>
                </wp:positionV>
                <wp:extent cx="4781550" cy="0"/>
                <wp:effectExtent l="0" t="4445" r="0" b="5080"/>
                <wp:wrapNone/>
                <wp:docPr id="4" name="直接连接符 4"/>
                <wp:cNvGraphicFramePr/>
                <a:graphic xmlns:a="http://schemas.openxmlformats.org/drawingml/2006/main">
                  <a:graphicData uri="http://schemas.microsoft.com/office/word/2010/wordprocessingShape">
                    <wps:wsp>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1.25pt;margin-top:2.6pt;height:0pt;width:376.5pt;z-index:251660288;mso-width-relative:page;mso-height-relative:page;" filled="f" stroked="t" coordsize="21600,21600" o:gfxdata="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y7LbS&#10;AAAABwEAAA8AAAAAAAAAAQAgAAAAIgAAAGRycy9kb3ducmV2LnhtbFBLAQIUABQAAAAIAIdO4kDC&#10;uQIP7QEAALQDAAAOAAAAAAAAAAEAIAAAACEBAABkcnMvZTJvRG9jLnhtbFBLBQYAAAAABgAGAFkB&#10;AACABQAAAAA=&#10;">
                <v:fill on="f" focussize="0,0"/>
                <v:stroke color="#000000" joinstyle="round"/>
                <v:imagedata o:title=""/>
                <o:lock v:ext="edit" aspectratio="f"/>
              </v:line>
            </w:pict>
          </mc:Fallback>
        </mc:AlternateContent>
      </w:r>
    </w:p>
    <w:p w14:paraId="62CC61FB">
      <w:pPr>
        <w:wordWrap w:val="0"/>
        <w:snapToGrid w:val="0"/>
        <w:ind w:firstLine="640" w:firstLineChars="200"/>
        <w:jc w:val="right"/>
        <w:rPr>
          <w:rFonts w:ascii="宋体" w:hAnsi="宋体"/>
          <w:bCs/>
          <w:sz w:val="32"/>
          <w:szCs w:val="32"/>
          <w:highlight w:val="none"/>
        </w:rPr>
      </w:pPr>
    </w:p>
    <w:p w14:paraId="13067491">
      <w:pPr>
        <w:wordWrap w:val="0"/>
        <w:snapToGrid w:val="0"/>
        <w:ind w:firstLine="640" w:firstLineChars="200"/>
        <w:jc w:val="right"/>
        <w:rPr>
          <w:rFonts w:ascii="宋体" w:hAnsi="宋体"/>
          <w:bCs/>
          <w:sz w:val="32"/>
          <w:szCs w:val="32"/>
          <w:highlight w:val="none"/>
        </w:rPr>
      </w:pPr>
    </w:p>
    <w:p w14:paraId="71399E1F">
      <w:pPr>
        <w:wordWrap w:val="0"/>
        <w:snapToGrid w:val="0"/>
        <w:ind w:firstLine="640" w:firstLineChars="200"/>
        <w:jc w:val="right"/>
        <w:rPr>
          <w:rFonts w:ascii="宋体" w:hAnsi="宋体"/>
          <w:bCs/>
          <w:sz w:val="32"/>
          <w:szCs w:val="32"/>
          <w:highlight w:val="none"/>
        </w:rPr>
      </w:pPr>
    </w:p>
    <w:p w14:paraId="4AB92DFA">
      <w:pPr>
        <w:wordWrap w:val="0"/>
        <w:snapToGrid w:val="0"/>
        <w:jc w:val="both"/>
        <w:rPr>
          <w:rFonts w:ascii="宋体" w:hAnsi="宋体"/>
          <w:bCs/>
          <w:sz w:val="32"/>
          <w:szCs w:val="32"/>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97155</wp:posOffset>
                </wp:positionV>
                <wp:extent cx="3476625" cy="324485"/>
                <wp:effectExtent l="4445" t="4445" r="5080" b="13970"/>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5E0B9575">
                            <w:pPr>
                              <w:jc w:val="center"/>
                            </w:pPr>
                            <w:r>
                              <w:rPr>
                                <w:rFonts w:hint="eastAsia"/>
                              </w:rPr>
                              <w:t>代理人身份证</w:t>
                            </w:r>
                            <w:r>
                              <w:rPr>
                                <w:rFonts w:hint="eastAsia"/>
                                <w:lang w:eastAsia="zh-CN"/>
                              </w:rPr>
                              <w:t>国徽</w:t>
                            </w:r>
                            <w:r>
                              <w:rPr>
                                <w:rFonts w:hint="eastAsia"/>
                              </w:rPr>
                              <w:t>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7.65pt;height:25.55pt;width:273.75pt;z-index:251662336;mso-width-relative:page;mso-height-relative:page;" fillcolor="#FFFFFF" filled="t" stroked="t"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FwaGsxfAgAAxQ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lMZ+1gAAAAkBAAAPAAAAAAAAAAEAIAAAACIAAABkcnMvZG93bnJldi54bWxQSwECFAAUAAAACACH&#10;TuJAXBoazF8CAADFBAAADgAAAAAAAAABACAAAAAlAQAAZHJzL2Uyb0RvYy54bWxQSwUGAAAAAAYA&#10;BgBZAQAA9gUAAAAA&#10;">
                <v:fill on="t" focussize="0,0"/>
                <v:stroke weight="0.5pt" color="#000000" joinstyle="round"/>
                <v:imagedata o:title=""/>
                <o:lock v:ext="edit" aspectratio="f"/>
                <v:textbox>
                  <w:txbxContent>
                    <w:p w14:paraId="5E0B9575">
                      <w:pPr>
                        <w:jc w:val="center"/>
                      </w:pPr>
                      <w:r>
                        <w:rPr>
                          <w:rFonts w:hint="eastAsia"/>
                        </w:rPr>
                        <w:t>代理人身份证</w:t>
                      </w:r>
                      <w:r>
                        <w:rPr>
                          <w:rFonts w:hint="eastAsia"/>
                          <w:lang w:eastAsia="zh-CN"/>
                        </w:rPr>
                        <w:t>国徽</w:t>
                      </w:r>
                      <w:r>
                        <w:rPr>
                          <w:rFonts w:hint="eastAsia"/>
                        </w:rPr>
                        <w:t>复印件粘贴处</w:t>
                      </w:r>
                    </w:p>
                  </w:txbxContent>
                </v:textbox>
              </v:shape>
            </w:pict>
          </mc:Fallback>
        </mc:AlternateContent>
      </w:r>
    </w:p>
    <w:p w14:paraId="341E2946">
      <w:pPr>
        <w:wordWrap w:val="0"/>
        <w:snapToGrid w:val="0"/>
        <w:ind w:firstLine="640" w:firstLineChars="200"/>
        <w:jc w:val="right"/>
        <w:rPr>
          <w:rFonts w:ascii="宋体" w:hAnsi="宋体"/>
          <w:bCs/>
          <w:sz w:val="32"/>
          <w:szCs w:val="32"/>
          <w:highlight w:val="none"/>
        </w:rPr>
      </w:pPr>
    </w:p>
    <w:p w14:paraId="7DD1B417">
      <w:pPr>
        <w:wordWrap w:val="0"/>
        <w:snapToGrid w:val="0"/>
        <w:ind w:firstLine="640" w:firstLineChars="200"/>
        <w:jc w:val="right"/>
        <w:rPr>
          <w:rFonts w:ascii="宋体" w:hAnsi="宋体"/>
          <w:bCs/>
          <w:sz w:val="32"/>
          <w:szCs w:val="32"/>
          <w:highlight w:val="none"/>
        </w:rPr>
      </w:pPr>
    </w:p>
    <w:p w14:paraId="4F3E44EB">
      <w:pPr>
        <w:wordWrap w:val="0"/>
        <w:snapToGrid w:val="0"/>
        <w:ind w:firstLine="640" w:firstLineChars="200"/>
        <w:jc w:val="right"/>
        <w:rPr>
          <w:rFonts w:ascii="宋体" w:hAnsi="宋体"/>
          <w:bCs/>
          <w:sz w:val="32"/>
          <w:szCs w:val="32"/>
          <w:highlight w:val="none"/>
        </w:rPr>
      </w:pPr>
    </w:p>
    <w:p w14:paraId="440CFEE8">
      <w:pPr>
        <w:snapToGrid w:val="0"/>
        <w:ind w:firstLine="640" w:firstLineChars="200"/>
        <w:jc w:val="right"/>
        <w:rPr>
          <w:rFonts w:ascii="宋体" w:hAnsi="宋体"/>
          <w:bCs/>
          <w:sz w:val="32"/>
          <w:szCs w:val="32"/>
          <w:highlight w:val="none"/>
        </w:rPr>
      </w:pPr>
    </w:p>
    <w:p w14:paraId="10690CA8">
      <w:pPr>
        <w:snapToGrid w:val="0"/>
        <w:jc w:val="both"/>
        <w:rPr>
          <w:rFonts w:ascii="宋体" w:hAnsi="宋体"/>
          <w:bCs/>
          <w:sz w:val="32"/>
          <w:szCs w:val="32"/>
          <w:highlight w:val="none"/>
        </w:rPr>
      </w:pPr>
    </w:p>
    <w:p w14:paraId="27C65FAF">
      <w:pPr>
        <w:snapToGrid w:val="0"/>
        <w:spacing w:line="360" w:lineRule="auto"/>
        <w:rPr>
          <w:rFonts w:ascii="宋体" w:hAnsi="宋体"/>
          <w:highlight w:val="none"/>
        </w:rPr>
      </w:pPr>
      <w:r>
        <w:rPr>
          <w:rFonts w:hint="eastAsia" w:ascii="宋体" w:hAnsi="宋体"/>
          <w:highlight w:val="none"/>
        </w:rPr>
        <w:t xml:space="preserve">投标人（单位盖章）：            </w:t>
      </w:r>
    </w:p>
    <w:p w14:paraId="32AA39DB">
      <w:pPr>
        <w:snapToGrid w:val="0"/>
        <w:spacing w:line="360" w:lineRule="auto"/>
        <w:rPr>
          <w:rFonts w:ascii="宋体" w:hAnsi="宋体"/>
          <w:highlight w:val="none"/>
        </w:rPr>
      </w:pPr>
      <w:r>
        <w:rPr>
          <w:rFonts w:hint="eastAsia" w:ascii="宋体" w:hAnsi="宋体"/>
          <w:highlight w:val="none"/>
        </w:rPr>
        <w:t xml:space="preserve">法定代表人（签字或者盖章）：    </w:t>
      </w:r>
    </w:p>
    <w:p w14:paraId="686C7DA1">
      <w:pPr>
        <w:snapToGrid w:val="0"/>
        <w:spacing w:line="360" w:lineRule="auto"/>
        <w:rPr>
          <w:rFonts w:ascii="宋体" w:hAnsi="宋体"/>
          <w:highlight w:val="none"/>
        </w:rPr>
      </w:pPr>
      <w:r>
        <w:rPr>
          <w:rFonts w:hint="eastAsia" w:ascii="宋体" w:hAnsi="宋体"/>
          <w:highlight w:val="none"/>
        </w:rPr>
        <w:t>日期：   年    月    日</w:t>
      </w:r>
    </w:p>
    <w:p w14:paraId="3095CD9B">
      <w:pPr>
        <w:pStyle w:val="27"/>
        <w:rPr>
          <w:szCs w:val="28"/>
          <w:highlight w:val="none"/>
        </w:rPr>
      </w:pPr>
      <w:r>
        <w:rPr>
          <w:rFonts w:ascii="黑体" w:hAnsi="黑体" w:cs="黑体"/>
          <w:b w:val="0"/>
          <w:szCs w:val="28"/>
          <w:highlight w:val="none"/>
        </w:rPr>
        <w:br w:type="page"/>
      </w:r>
      <w:bookmarkStart w:id="779" w:name="_Toc19435"/>
      <w:r>
        <w:rPr>
          <w:rFonts w:hint="eastAsia"/>
          <w:szCs w:val="28"/>
          <w:highlight w:val="none"/>
        </w:rPr>
        <w:t>九、台州市建设工程安全生产任职资格承诺书</w:t>
      </w:r>
      <w:bookmarkEnd w:id="779"/>
    </w:p>
    <w:p w14:paraId="13698902">
      <w:pPr>
        <w:snapToGrid w:val="0"/>
        <w:rPr>
          <w:rFonts w:ascii="宋体" w:hAnsi="宋体"/>
          <w:b/>
          <w:sz w:val="32"/>
          <w:szCs w:val="32"/>
          <w:highlight w:val="none"/>
        </w:rPr>
      </w:pPr>
    </w:p>
    <w:p w14:paraId="16BE6C5E">
      <w:pPr>
        <w:snapToGrid w:val="0"/>
        <w:jc w:val="center"/>
        <w:rPr>
          <w:rFonts w:ascii="宋体" w:hAnsi="宋体"/>
          <w:b/>
          <w:sz w:val="32"/>
          <w:szCs w:val="32"/>
          <w:highlight w:val="none"/>
        </w:rPr>
      </w:pPr>
      <w:r>
        <w:rPr>
          <w:rFonts w:hint="eastAsia" w:ascii="宋体" w:hAnsi="宋体"/>
          <w:b/>
          <w:sz w:val="32"/>
          <w:szCs w:val="32"/>
          <w:highlight w:val="none"/>
          <w:u w:val="single"/>
        </w:rPr>
        <w:t xml:space="preserve">                            </w:t>
      </w:r>
      <w:r>
        <w:rPr>
          <w:rFonts w:hint="eastAsia" w:ascii="宋体" w:hAnsi="宋体"/>
          <w:b/>
          <w:sz w:val="32"/>
          <w:szCs w:val="32"/>
          <w:highlight w:val="none"/>
        </w:rPr>
        <w:t>工程</w:t>
      </w:r>
    </w:p>
    <w:p w14:paraId="1258ED8A">
      <w:pPr>
        <w:snapToGrid w:val="0"/>
        <w:rPr>
          <w:rFonts w:ascii="宋体" w:hAnsi="宋体"/>
          <w:b/>
          <w:sz w:val="32"/>
          <w:szCs w:val="32"/>
          <w:highlight w:val="none"/>
        </w:rPr>
      </w:pPr>
    </w:p>
    <w:p w14:paraId="164B34E6">
      <w:pPr>
        <w:snapToGrid w:val="0"/>
        <w:jc w:val="center"/>
        <w:rPr>
          <w:b/>
          <w:sz w:val="32"/>
          <w:szCs w:val="32"/>
          <w:highlight w:val="none"/>
        </w:rPr>
      </w:pPr>
      <w:r>
        <w:rPr>
          <w:rFonts w:hint="eastAsia"/>
          <w:b/>
          <w:sz w:val="32"/>
          <w:szCs w:val="32"/>
          <w:highlight w:val="none"/>
        </w:rPr>
        <w:t>台州市建设工程安全生产任职资格承诺书</w:t>
      </w:r>
    </w:p>
    <w:p w14:paraId="406BDB2E">
      <w:pPr>
        <w:snapToGrid w:val="0"/>
        <w:jc w:val="center"/>
        <w:rPr>
          <w:rFonts w:ascii="宋体" w:hAnsi="宋体"/>
          <w:b/>
          <w:sz w:val="32"/>
          <w:szCs w:val="32"/>
          <w:highlight w:val="none"/>
        </w:rPr>
      </w:pPr>
    </w:p>
    <w:p w14:paraId="285DCA9F">
      <w:pPr>
        <w:ind w:firstLine="600" w:firstLineChars="200"/>
        <w:jc w:val="both"/>
        <w:rPr>
          <w:rFonts w:ascii="宋体" w:hAnsi="宋体"/>
          <w:sz w:val="30"/>
          <w:szCs w:val="30"/>
          <w:highlight w:val="none"/>
        </w:rPr>
      </w:pPr>
      <w:r>
        <w:rPr>
          <w:rFonts w:hint="eastAsia" w:ascii="宋体" w:hAnsi="宋体"/>
          <w:sz w:val="30"/>
          <w:szCs w:val="30"/>
          <w:highlight w:val="none"/>
        </w:rPr>
        <w:t>本人以企业法定代表人的身份郑重承诺：</w:t>
      </w:r>
    </w:p>
    <w:p w14:paraId="5404496C">
      <w:pPr>
        <w:snapToGrid w:val="0"/>
        <w:spacing w:before="156" w:beforeLines="50" w:line="360" w:lineRule="auto"/>
        <w:ind w:firstLine="600" w:firstLineChars="200"/>
        <w:jc w:val="both"/>
        <w:rPr>
          <w:rFonts w:ascii="宋体" w:hAnsi="宋体"/>
          <w:sz w:val="30"/>
          <w:szCs w:val="30"/>
          <w:highlight w:val="none"/>
        </w:rPr>
      </w:pPr>
      <w:r>
        <w:rPr>
          <w:rFonts w:hint="eastAsia" w:ascii="宋体" w:hAnsi="宋体"/>
          <w:sz w:val="30"/>
          <w:szCs w:val="30"/>
          <w:highlight w:val="none"/>
        </w:rPr>
        <w:t>本公司安全生产条件及相关管理人员（包括A类人员、拟派的项目负责人和施工现场专职安全生产管理人员）安全生产任职资格符合相关规定。</w:t>
      </w:r>
    </w:p>
    <w:p w14:paraId="05BA956F">
      <w:pPr>
        <w:snapToGrid w:val="0"/>
        <w:spacing w:before="156" w:beforeLines="50" w:line="360" w:lineRule="auto"/>
        <w:rPr>
          <w:rFonts w:ascii="宋体" w:hAnsi="宋体"/>
          <w:sz w:val="30"/>
          <w:szCs w:val="30"/>
          <w:highlight w:val="none"/>
        </w:rPr>
      </w:pPr>
    </w:p>
    <w:p w14:paraId="443E6417">
      <w:pPr>
        <w:snapToGrid w:val="0"/>
        <w:spacing w:line="360" w:lineRule="auto"/>
        <w:ind w:firstLine="480" w:firstLineChars="200"/>
        <w:rPr>
          <w:highlight w:val="none"/>
        </w:rPr>
      </w:pPr>
      <w:r>
        <w:rPr>
          <w:rFonts w:hint="eastAsia"/>
          <w:highlight w:val="none"/>
        </w:rPr>
        <w:t xml:space="preserve">法定代表人（签字或盖章）：                </w:t>
      </w:r>
    </w:p>
    <w:p w14:paraId="496115B6">
      <w:pPr>
        <w:snapToGrid w:val="0"/>
        <w:spacing w:line="586" w:lineRule="exact"/>
        <w:ind w:right="640" w:firstLine="480" w:firstLineChars="200"/>
        <w:rPr>
          <w:highlight w:val="none"/>
        </w:rPr>
      </w:pPr>
      <w:r>
        <w:rPr>
          <w:rFonts w:hint="eastAsia"/>
          <w:highlight w:val="none"/>
        </w:rPr>
        <w:t xml:space="preserve">投  标  人（盖章）：         </w:t>
      </w:r>
    </w:p>
    <w:p w14:paraId="6542B3F5">
      <w:pPr>
        <w:snapToGrid w:val="0"/>
        <w:spacing w:line="586" w:lineRule="exact"/>
        <w:ind w:right="640" w:firstLine="480" w:firstLineChars="200"/>
        <w:rPr>
          <w:highlight w:val="none"/>
        </w:rPr>
      </w:pPr>
      <w:r>
        <w:rPr>
          <w:rFonts w:hint="eastAsia" w:ascii="宋体" w:hAnsi="宋体"/>
          <w:highlight w:val="none"/>
        </w:rPr>
        <w:t xml:space="preserve">日 期：   </w:t>
      </w:r>
      <w:r>
        <w:rPr>
          <w:rFonts w:hint="eastAsia"/>
          <w:highlight w:val="none"/>
        </w:rPr>
        <w:t>年    月   日</w:t>
      </w:r>
    </w:p>
    <w:p w14:paraId="5C6DCBAD">
      <w:pPr>
        <w:widowControl/>
        <w:spacing w:line="360" w:lineRule="auto"/>
        <w:jc w:val="both"/>
        <w:rPr>
          <w:highlight w:val="none"/>
        </w:rPr>
      </w:pPr>
    </w:p>
    <w:p w14:paraId="0CF1EB4F">
      <w:pPr>
        <w:snapToGrid w:val="0"/>
        <w:spacing w:before="156" w:beforeLines="50" w:line="360" w:lineRule="auto"/>
        <w:rPr>
          <w:rFonts w:ascii="黑体" w:hAnsi="黑体" w:eastAsia="黑体" w:cs="黑体"/>
          <w:b/>
          <w:sz w:val="28"/>
          <w:szCs w:val="28"/>
          <w:highlight w:val="none"/>
        </w:rPr>
      </w:pPr>
    </w:p>
    <w:p w14:paraId="1248E5D4">
      <w:pPr>
        <w:snapToGrid w:val="0"/>
        <w:spacing w:before="156" w:beforeLines="50" w:line="360" w:lineRule="auto"/>
        <w:rPr>
          <w:rFonts w:ascii="黑体" w:hAnsi="黑体" w:eastAsia="黑体" w:cs="黑体"/>
          <w:b/>
          <w:sz w:val="28"/>
          <w:szCs w:val="28"/>
          <w:highlight w:val="none"/>
        </w:rPr>
      </w:pPr>
    </w:p>
    <w:p w14:paraId="56802B1A">
      <w:pPr>
        <w:snapToGrid w:val="0"/>
        <w:spacing w:before="156" w:beforeLines="50" w:line="360" w:lineRule="auto"/>
        <w:rPr>
          <w:rFonts w:ascii="黑体" w:hAnsi="黑体" w:eastAsia="黑体" w:cs="黑体"/>
          <w:b/>
          <w:sz w:val="28"/>
          <w:szCs w:val="28"/>
          <w:highlight w:val="none"/>
        </w:rPr>
      </w:pPr>
    </w:p>
    <w:p w14:paraId="6B65F471">
      <w:pPr>
        <w:snapToGrid w:val="0"/>
        <w:spacing w:before="156" w:beforeLines="50" w:line="360" w:lineRule="auto"/>
        <w:rPr>
          <w:rFonts w:ascii="黑体" w:hAnsi="黑体" w:eastAsia="黑体" w:cs="黑体"/>
          <w:b/>
          <w:sz w:val="28"/>
          <w:szCs w:val="28"/>
          <w:highlight w:val="none"/>
        </w:rPr>
      </w:pPr>
    </w:p>
    <w:p w14:paraId="3DDF8814">
      <w:pPr>
        <w:pStyle w:val="8"/>
        <w:rPr>
          <w:rFonts w:ascii="黑体" w:hAnsi="黑体" w:eastAsia="黑体" w:cs="黑体"/>
          <w:b/>
          <w:sz w:val="28"/>
          <w:szCs w:val="28"/>
          <w:highlight w:val="none"/>
        </w:rPr>
      </w:pPr>
    </w:p>
    <w:p w14:paraId="646F479A">
      <w:pPr>
        <w:pStyle w:val="20"/>
        <w:ind w:firstLine="281"/>
        <w:rPr>
          <w:rFonts w:ascii="黑体" w:hAnsi="黑体" w:eastAsia="黑体" w:cs="黑体"/>
          <w:b/>
          <w:sz w:val="28"/>
          <w:szCs w:val="28"/>
          <w:highlight w:val="none"/>
        </w:rPr>
      </w:pPr>
    </w:p>
    <w:p w14:paraId="3599AD7D">
      <w:pPr>
        <w:rPr>
          <w:rFonts w:ascii="黑体" w:hAnsi="黑体" w:eastAsia="黑体" w:cs="黑体"/>
          <w:b/>
          <w:sz w:val="28"/>
          <w:szCs w:val="28"/>
          <w:highlight w:val="none"/>
        </w:rPr>
      </w:pPr>
    </w:p>
    <w:p w14:paraId="0A890B9D">
      <w:pPr>
        <w:pStyle w:val="8"/>
        <w:rPr>
          <w:highlight w:val="none"/>
        </w:rPr>
      </w:pPr>
    </w:p>
    <w:p w14:paraId="407D3279">
      <w:pPr>
        <w:snapToGrid w:val="0"/>
        <w:spacing w:before="156" w:beforeLines="50" w:line="360" w:lineRule="auto"/>
        <w:rPr>
          <w:rFonts w:ascii="黑体" w:hAnsi="黑体" w:eastAsia="黑体" w:cs="黑体"/>
          <w:b/>
          <w:sz w:val="28"/>
          <w:szCs w:val="28"/>
          <w:highlight w:val="none"/>
        </w:rPr>
      </w:pPr>
    </w:p>
    <w:p w14:paraId="4D790BA1">
      <w:pPr>
        <w:widowControl/>
        <w:autoSpaceDE/>
        <w:autoSpaceDN/>
        <w:adjustRightInd/>
        <w:rPr>
          <w:highlight w:val="none"/>
        </w:rPr>
      </w:pPr>
      <w:r>
        <w:rPr>
          <w:rFonts w:ascii="黑体" w:hAnsi="黑体" w:eastAsia="黑体" w:cs="黑体"/>
          <w:b/>
          <w:sz w:val="28"/>
          <w:szCs w:val="28"/>
          <w:highlight w:val="none"/>
        </w:rPr>
        <w:br w:type="page"/>
      </w:r>
    </w:p>
    <w:p w14:paraId="78616364">
      <w:pPr>
        <w:spacing w:before="183" w:line="222" w:lineRule="auto"/>
        <w:ind w:left="127"/>
        <w:rPr>
          <w:rFonts w:ascii="黑体" w:hAnsi="黑体" w:eastAsia="黑体" w:cs="黑体"/>
          <w:sz w:val="28"/>
          <w:szCs w:val="28"/>
        </w:rPr>
      </w:pPr>
      <w:bookmarkStart w:id="780" w:name="_Toc9640"/>
      <w:r>
        <w:rPr>
          <w:rFonts w:ascii="黑体" w:hAnsi="黑体" w:eastAsia="黑体" w:cs="黑体"/>
          <w:b/>
          <w:bCs/>
          <w:spacing w:val="-3"/>
          <w:sz w:val="28"/>
          <w:szCs w:val="28"/>
        </w:rPr>
        <w:t>十、危大工程清单及安全管理措施表</w:t>
      </w:r>
    </w:p>
    <w:p w14:paraId="16FE5289">
      <w:pPr>
        <w:spacing w:line="245" w:lineRule="auto"/>
        <w:rPr>
          <w:rFonts w:ascii="Arial"/>
          <w:sz w:val="21"/>
        </w:rPr>
      </w:pPr>
    </w:p>
    <w:p w14:paraId="215A24F9">
      <w:pPr>
        <w:spacing w:line="245" w:lineRule="auto"/>
        <w:rPr>
          <w:rFonts w:ascii="Arial"/>
          <w:sz w:val="21"/>
        </w:rPr>
      </w:pPr>
    </w:p>
    <w:p w14:paraId="52BFA3FE">
      <w:pPr>
        <w:spacing w:line="246" w:lineRule="auto"/>
        <w:rPr>
          <w:rFonts w:ascii="Arial"/>
          <w:sz w:val="21"/>
        </w:rPr>
      </w:pPr>
    </w:p>
    <w:p w14:paraId="33F26F65">
      <w:pPr>
        <w:pStyle w:val="8"/>
        <w:spacing w:before="91" w:line="220" w:lineRule="auto"/>
        <w:ind w:left="2523"/>
      </w:pPr>
      <w:r>
        <w:rPr>
          <w:b/>
          <w:bCs/>
          <w:spacing w:val="-3"/>
        </w:rPr>
        <w:t>危大工程清单及安全管理措施表</w:t>
      </w:r>
    </w:p>
    <w:p w14:paraId="357010B7">
      <w:pPr>
        <w:pStyle w:val="8"/>
        <w:tabs>
          <w:tab w:val="left" w:pos="6484"/>
        </w:tabs>
        <w:spacing w:before="219" w:line="225" w:lineRule="auto"/>
        <w:ind w:left="1826"/>
        <w:rPr>
          <w:sz w:val="31"/>
          <w:szCs w:val="31"/>
        </w:rPr>
      </w:pPr>
      <w:r>
        <w:rPr>
          <w:sz w:val="31"/>
          <w:szCs w:val="31"/>
          <w:u w:val="single" w:color="auto"/>
        </w:rPr>
        <w:tab/>
      </w:r>
      <w:r>
        <w:rPr>
          <w:spacing w:val="-137"/>
          <w:sz w:val="31"/>
          <w:szCs w:val="31"/>
        </w:rPr>
        <w:t xml:space="preserve"> </w:t>
      </w:r>
      <w:r>
        <w:rPr>
          <w:b/>
          <w:bCs/>
          <w:spacing w:val="-2"/>
          <w:sz w:val="31"/>
          <w:szCs w:val="31"/>
        </w:rPr>
        <w:t>工程</w:t>
      </w:r>
    </w:p>
    <w:p w14:paraId="6E65270B">
      <w:pPr>
        <w:spacing w:line="348" w:lineRule="auto"/>
        <w:rPr>
          <w:rFonts w:ascii="Arial"/>
          <w:sz w:val="21"/>
        </w:rPr>
      </w:pPr>
    </w:p>
    <w:p w14:paraId="4DCBF814">
      <w:pPr>
        <w:pStyle w:val="8"/>
        <w:spacing w:before="101" w:line="225" w:lineRule="auto"/>
        <w:ind w:left="2244"/>
        <w:rPr>
          <w:sz w:val="31"/>
          <w:szCs w:val="31"/>
        </w:rPr>
      </w:pPr>
      <w:r>
        <w:rPr>
          <w:b/>
          <w:bCs/>
          <w:spacing w:val="6"/>
          <w:sz w:val="31"/>
          <w:szCs w:val="31"/>
        </w:rPr>
        <w:t>危大工程清单及安全管理措施表</w:t>
      </w:r>
    </w:p>
    <w:p w14:paraId="2E21C20B">
      <w:pPr>
        <w:spacing w:before="137"/>
      </w:pPr>
    </w:p>
    <w:tbl>
      <w:tblPr>
        <w:tblStyle w:val="39"/>
        <w:tblW w:w="84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3538"/>
        <w:gridCol w:w="3602"/>
      </w:tblGrid>
      <w:tr w14:paraId="0E099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87" w:type="dxa"/>
            <w:vAlign w:val="top"/>
          </w:tcPr>
          <w:p w14:paraId="6F5AADFD">
            <w:pPr>
              <w:pStyle w:val="42"/>
              <w:spacing w:before="203" w:line="221" w:lineRule="auto"/>
              <w:ind w:left="370"/>
              <w:rPr>
                <w:sz w:val="28"/>
                <w:szCs w:val="28"/>
              </w:rPr>
            </w:pPr>
            <w:r>
              <w:rPr>
                <w:b/>
                <w:bCs/>
                <w:spacing w:val="-7"/>
                <w:sz w:val="28"/>
                <w:szCs w:val="28"/>
              </w:rPr>
              <w:t>序号</w:t>
            </w:r>
          </w:p>
        </w:tc>
        <w:tc>
          <w:tcPr>
            <w:tcW w:w="3538" w:type="dxa"/>
            <w:vAlign w:val="top"/>
          </w:tcPr>
          <w:p w14:paraId="3B40F049">
            <w:pPr>
              <w:pStyle w:val="42"/>
              <w:spacing w:before="202" w:line="221" w:lineRule="auto"/>
              <w:ind w:left="935"/>
              <w:rPr>
                <w:sz w:val="28"/>
                <w:szCs w:val="28"/>
              </w:rPr>
            </w:pPr>
            <w:r>
              <w:rPr>
                <w:b/>
                <w:bCs/>
                <w:spacing w:val="-5"/>
                <w:sz w:val="28"/>
                <w:szCs w:val="28"/>
              </w:rPr>
              <w:t>危大工程清单</w:t>
            </w:r>
          </w:p>
        </w:tc>
        <w:tc>
          <w:tcPr>
            <w:tcW w:w="3602" w:type="dxa"/>
            <w:vAlign w:val="top"/>
          </w:tcPr>
          <w:p w14:paraId="0B4653BC">
            <w:pPr>
              <w:pStyle w:val="42"/>
              <w:spacing w:before="202" w:line="220" w:lineRule="auto"/>
              <w:ind w:left="543"/>
              <w:rPr>
                <w:sz w:val="28"/>
                <w:szCs w:val="28"/>
              </w:rPr>
            </w:pPr>
            <w:r>
              <w:rPr>
                <w:b/>
                <w:bCs/>
                <w:spacing w:val="-4"/>
                <w:sz w:val="28"/>
                <w:szCs w:val="28"/>
              </w:rPr>
              <w:t>相应的安全管理措施</w:t>
            </w:r>
          </w:p>
        </w:tc>
      </w:tr>
      <w:tr w14:paraId="4584A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287" w:type="dxa"/>
            <w:vAlign w:val="top"/>
          </w:tcPr>
          <w:p w14:paraId="4E7D3DE6">
            <w:pPr>
              <w:spacing w:before="242" w:line="180" w:lineRule="auto"/>
              <w:ind w:left="589"/>
              <w:rPr>
                <w:rFonts w:ascii="Calibri" w:hAnsi="Calibri" w:eastAsia="Calibri" w:cs="Calibri"/>
                <w:sz w:val="28"/>
                <w:szCs w:val="28"/>
              </w:rPr>
            </w:pPr>
            <w:r>
              <w:rPr>
                <w:rFonts w:ascii="Calibri" w:hAnsi="Calibri" w:eastAsia="Calibri" w:cs="Calibri"/>
                <w:b/>
                <w:bCs/>
                <w:sz w:val="28"/>
                <w:szCs w:val="28"/>
              </w:rPr>
              <w:t>1</w:t>
            </w:r>
          </w:p>
        </w:tc>
        <w:tc>
          <w:tcPr>
            <w:tcW w:w="3538" w:type="dxa"/>
            <w:vAlign w:val="center"/>
          </w:tcPr>
          <w:p w14:paraId="06977ED1">
            <w:pPr>
              <w:spacing w:line="360" w:lineRule="auto"/>
              <w:ind w:firstLine="560" w:firstLineChars="200"/>
              <w:jc w:val="both"/>
              <w:rPr>
                <w:rFonts w:hint="default"/>
                <w:sz w:val="28"/>
                <w:szCs w:val="28"/>
                <w:highlight w:val="none"/>
                <w:lang w:val="en-US" w:eastAsia="zh-CN"/>
              </w:rPr>
            </w:pPr>
            <w:r>
              <w:rPr>
                <w:rFonts w:hint="eastAsia"/>
                <w:sz w:val="28"/>
                <w:szCs w:val="28"/>
                <w:highlight w:val="none"/>
                <w:lang w:val="en-US" w:eastAsia="zh-CN"/>
              </w:rPr>
              <w:t>土方开挖、回填</w:t>
            </w:r>
          </w:p>
        </w:tc>
        <w:tc>
          <w:tcPr>
            <w:tcW w:w="3602" w:type="dxa"/>
            <w:vAlign w:val="center"/>
          </w:tcPr>
          <w:p w14:paraId="08EFA9D1">
            <w:pPr>
              <w:jc w:val="center"/>
              <w:rPr>
                <w:rFonts w:ascii="Arial"/>
                <w:sz w:val="21"/>
              </w:rPr>
            </w:pPr>
          </w:p>
        </w:tc>
      </w:tr>
      <w:tr w14:paraId="6E78B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287" w:type="dxa"/>
            <w:vAlign w:val="top"/>
          </w:tcPr>
          <w:p w14:paraId="766988CA">
            <w:pPr>
              <w:spacing w:before="241" w:line="182" w:lineRule="auto"/>
              <w:ind w:left="581"/>
              <w:rPr>
                <w:rFonts w:ascii="Calibri" w:hAnsi="Calibri" w:eastAsia="Calibri" w:cs="Calibri"/>
                <w:sz w:val="28"/>
                <w:szCs w:val="28"/>
              </w:rPr>
            </w:pPr>
            <w:r>
              <w:rPr>
                <w:rFonts w:ascii="Calibri" w:hAnsi="Calibri" w:eastAsia="Calibri" w:cs="Calibri"/>
                <w:b/>
                <w:bCs/>
                <w:sz w:val="28"/>
                <w:szCs w:val="28"/>
              </w:rPr>
              <w:t>2</w:t>
            </w:r>
          </w:p>
        </w:tc>
        <w:tc>
          <w:tcPr>
            <w:tcW w:w="3538" w:type="dxa"/>
            <w:vAlign w:val="top"/>
          </w:tcPr>
          <w:p w14:paraId="6AC00088">
            <w:pPr>
              <w:spacing w:line="360" w:lineRule="auto"/>
              <w:ind w:firstLine="560" w:firstLineChars="200"/>
              <w:jc w:val="both"/>
              <w:rPr>
                <w:rFonts w:hint="eastAsia"/>
                <w:sz w:val="28"/>
                <w:szCs w:val="28"/>
                <w:highlight w:val="none"/>
              </w:rPr>
            </w:pPr>
          </w:p>
        </w:tc>
        <w:tc>
          <w:tcPr>
            <w:tcW w:w="3602" w:type="dxa"/>
            <w:vAlign w:val="top"/>
          </w:tcPr>
          <w:p w14:paraId="72ECFD68">
            <w:pPr>
              <w:rPr>
                <w:rFonts w:ascii="Arial"/>
                <w:sz w:val="21"/>
              </w:rPr>
            </w:pPr>
          </w:p>
        </w:tc>
      </w:tr>
      <w:tr w14:paraId="6F5E1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287" w:type="dxa"/>
            <w:vAlign w:val="top"/>
          </w:tcPr>
          <w:p w14:paraId="4A914997">
            <w:pPr>
              <w:spacing w:before="244" w:line="181" w:lineRule="auto"/>
              <w:ind w:left="581"/>
              <w:rPr>
                <w:rFonts w:ascii="Calibri" w:hAnsi="Calibri" w:eastAsia="Calibri" w:cs="Calibri"/>
                <w:sz w:val="28"/>
                <w:szCs w:val="28"/>
              </w:rPr>
            </w:pPr>
            <w:r>
              <w:rPr>
                <w:rFonts w:ascii="Calibri" w:hAnsi="Calibri" w:eastAsia="Calibri" w:cs="Calibri"/>
                <w:b/>
                <w:bCs/>
                <w:sz w:val="28"/>
                <w:szCs w:val="28"/>
              </w:rPr>
              <w:t>3</w:t>
            </w:r>
          </w:p>
        </w:tc>
        <w:tc>
          <w:tcPr>
            <w:tcW w:w="3538" w:type="dxa"/>
            <w:vAlign w:val="top"/>
          </w:tcPr>
          <w:p w14:paraId="5D5E2859">
            <w:pPr>
              <w:rPr>
                <w:rFonts w:ascii="Arial"/>
                <w:sz w:val="21"/>
              </w:rPr>
            </w:pPr>
          </w:p>
        </w:tc>
        <w:tc>
          <w:tcPr>
            <w:tcW w:w="3602" w:type="dxa"/>
            <w:vAlign w:val="top"/>
          </w:tcPr>
          <w:p w14:paraId="4E8BBB46">
            <w:pPr>
              <w:rPr>
                <w:rFonts w:ascii="Arial"/>
                <w:sz w:val="21"/>
              </w:rPr>
            </w:pPr>
          </w:p>
        </w:tc>
      </w:tr>
      <w:tr w14:paraId="1B892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87" w:type="dxa"/>
            <w:vAlign w:val="top"/>
          </w:tcPr>
          <w:p w14:paraId="599313A2">
            <w:pPr>
              <w:pStyle w:val="42"/>
              <w:spacing w:before="201" w:line="442" w:lineRule="exact"/>
              <w:ind w:left="389"/>
              <w:rPr>
                <w:sz w:val="28"/>
                <w:szCs w:val="28"/>
              </w:rPr>
            </w:pPr>
            <w:r>
              <w:rPr>
                <w:b/>
                <w:bCs/>
                <w:spacing w:val="-17"/>
                <w:position w:val="3"/>
                <w:sz w:val="28"/>
                <w:szCs w:val="28"/>
              </w:rPr>
              <w:t>……</w:t>
            </w:r>
          </w:p>
        </w:tc>
        <w:tc>
          <w:tcPr>
            <w:tcW w:w="3538" w:type="dxa"/>
            <w:vAlign w:val="top"/>
          </w:tcPr>
          <w:p w14:paraId="0D25B33F">
            <w:pPr>
              <w:pStyle w:val="42"/>
              <w:spacing w:before="201" w:line="442" w:lineRule="exact"/>
              <w:ind w:left="1514"/>
              <w:rPr>
                <w:sz w:val="28"/>
                <w:szCs w:val="28"/>
              </w:rPr>
            </w:pPr>
            <w:r>
              <w:rPr>
                <w:b/>
                <w:bCs/>
                <w:spacing w:val="-17"/>
                <w:position w:val="3"/>
                <w:sz w:val="28"/>
                <w:szCs w:val="28"/>
              </w:rPr>
              <w:t>……</w:t>
            </w:r>
          </w:p>
        </w:tc>
        <w:tc>
          <w:tcPr>
            <w:tcW w:w="3602" w:type="dxa"/>
            <w:vAlign w:val="top"/>
          </w:tcPr>
          <w:p w14:paraId="689A03B3">
            <w:pPr>
              <w:pStyle w:val="42"/>
              <w:spacing w:before="201" w:line="442" w:lineRule="exact"/>
              <w:ind w:left="1545"/>
              <w:rPr>
                <w:sz w:val="28"/>
                <w:szCs w:val="28"/>
              </w:rPr>
            </w:pPr>
            <w:r>
              <w:rPr>
                <w:b/>
                <w:bCs/>
                <w:spacing w:val="-17"/>
                <w:position w:val="3"/>
                <w:sz w:val="28"/>
                <w:szCs w:val="28"/>
              </w:rPr>
              <w:t>……</w:t>
            </w:r>
          </w:p>
        </w:tc>
      </w:tr>
    </w:tbl>
    <w:p w14:paraId="1B4AE154">
      <w:pPr>
        <w:spacing w:line="272" w:lineRule="auto"/>
        <w:rPr>
          <w:rFonts w:ascii="Arial"/>
          <w:sz w:val="21"/>
        </w:rPr>
      </w:pPr>
    </w:p>
    <w:p w14:paraId="12967974">
      <w:pPr>
        <w:spacing w:line="272" w:lineRule="auto"/>
        <w:rPr>
          <w:rFonts w:ascii="Arial"/>
          <w:sz w:val="21"/>
        </w:rPr>
      </w:pPr>
    </w:p>
    <w:p w14:paraId="1F23C2DC">
      <w:pPr>
        <w:spacing w:line="272" w:lineRule="auto"/>
        <w:rPr>
          <w:rFonts w:ascii="Arial"/>
          <w:sz w:val="21"/>
        </w:rPr>
      </w:pPr>
    </w:p>
    <w:p w14:paraId="765DCC94">
      <w:pPr>
        <w:spacing w:line="272" w:lineRule="auto"/>
        <w:rPr>
          <w:rFonts w:ascii="Arial"/>
          <w:sz w:val="21"/>
        </w:rPr>
      </w:pPr>
    </w:p>
    <w:p w14:paraId="5A79E7F4">
      <w:pPr>
        <w:spacing w:line="272" w:lineRule="auto"/>
        <w:rPr>
          <w:rFonts w:ascii="Arial"/>
          <w:sz w:val="21"/>
        </w:rPr>
      </w:pPr>
    </w:p>
    <w:p w14:paraId="066793FE">
      <w:pPr>
        <w:pStyle w:val="8"/>
        <w:spacing w:before="79" w:line="220" w:lineRule="auto"/>
        <w:rPr>
          <w:color w:val="auto"/>
          <w:spacing w:val="-1"/>
          <w:sz w:val="24"/>
          <w:szCs w:val="24"/>
        </w:rPr>
      </w:pPr>
      <w:r>
        <w:rPr>
          <w:color w:val="auto"/>
          <w:spacing w:val="-1"/>
          <w:sz w:val="24"/>
          <w:szCs w:val="24"/>
        </w:rPr>
        <w:t>注：1</w:t>
      </w:r>
      <w:r>
        <w:rPr>
          <w:rFonts w:hint="eastAsia"/>
          <w:color w:val="auto"/>
          <w:spacing w:val="-1"/>
          <w:sz w:val="24"/>
          <w:szCs w:val="24"/>
          <w:lang w:eastAsia="zh-CN"/>
        </w:rPr>
        <w:t>、</w:t>
      </w:r>
      <w:r>
        <w:rPr>
          <w:color w:val="auto"/>
          <w:spacing w:val="-1"/>
          <w:sz w:val="24"/>
          <w:szCs w:val="24"/>
        </w:rPr>
        <w:t>以上危大工程清单由招标人列出。</w:t>
      </w:r>
    </w:p>
    <w:p w14:paraId="2F4C548E">
      <w:pPr>
        <w:pStyle w:val="8"/>
        <w:spacing w:before="79" w:line="220" w:lineRule="auto"/>
        <w:rPr>
          <w:color w:val="FF0000"/>
          <w:spacing w:val="-1"/>
          <w:sz w:val="24"/>
          <w:szCs w:val="24"/>
        </w:rPr>
      </w:pPr>
      <w:r>
        <w:rPr>
          <w:rFonts w:hint="eastAsia" w:cs="Times New Roman"/>
          <w:spacing w:val="-1"/>
          <w:sz w:val="24"/>
          <w:szCs w:val="24"/>
          <w:lang w:val="en-US" w:eastAsia="zh-CN" w:bidi="ar-SA"/>
        </w:rPr>
        <w:t>2、</w:t>
      </w:r>
      <w:r>
        <w:rPr>
          <w:rFonts w:ascii="Times New Roman" w:hAnsi="Times New Roman" w:eastAsia="宋体" w:cs="Times New Roman"/>
          <w:spacing w:val="-1"/>
          <w:sz w:val="24"/>
          <w:szCs w:val="24"/>
          <w:lang w:val="en-US" w:eastAsia="zh-CN" w:bidi="ar-SA"/>
        </w:rPr>
        <w:t>投标单位在投标时应补充完善危大工程清单并明确相应的安全管理措施。</w:t>
      </w:r>
    </w:p>
    <w:p w14:paraId="77D9C689">
      <w:pPr>
        <w:pStyle w:val="27"/>
        <w:rPr>
          <w:rFonts w:hint="eastAsia"/>
          <w:szCs w:val="28"/>
          <w:highlight w:val="none"/>
        </w:rPr>
      </w:pPr>
    </w:p>
    <w:p w14:paraId="0D6DE1A1">
      <w:pPr>
        <w:pStyle w:val="27"/>
        <w:rPr>
          <w:rFonts w:hint="eastAsia"/>
          <w:szCs w:val="28"/>
          <w:highlight w:val="none"/>
        </w:rPr>
      </w:pPr>
    </w:p>
    <w:p w14:paraId="2DF53BFE">
      <w:pPr>
        <w:pStyle w:val="27"/>
        <w:rPr>
          <w:rFonts w:hint="eastAsia"/>
          <w:szCs w:val="28"/>
          <w:highlight w:val="none"/>
        </w:rPr>
      </w:pPr>
    </w:p>
    <w:p w14:paraId="0EA3AF36">
      <w:pPr>
        <w:pStyle w:val="27"/>
        <w:rPr>
          <w:rFonts w:hint="eastAsia"/>
          <w:szCs w:val="28"/>
          <w:highlight w:val="none"/>
        </w:rPr>
      </w:pPr>
    </w:p>
    <w:p w14:paraId="5239901F">
      <w:pPr>
        <w:pStyle w:val="27"/>
        <w:rPr>
          <w:rFonts w:hint="eastAsia"/>
          <w:szCs w:val="28"/>
          <w:highlight w:val="none"/>
        </w:rPr>
      </w:pPr>
    </w:p>
    <w:p w14:paraId="5454B035">
      <w:pPr>
        <w:pStyle w:val="27"/>
        <w:rPr>
          <w:rFonts w:hint="eastAsia"/>
          <w:szCs w:val="28"/>
          <w:highlight w:val="none"/>
        </w:rPr>
      </w:pPr>
    </w:p>
    <w:bookmarkEnd w:id="780"/>
    <w:p w14:paraId="48F38E5A">
      <w:pPr>
        <w:rPr>
          <w:highlight w:val="none"/>
        </w:rPr>
      </w:pPr>
    </w:p>
    <w:p w14:paraId="7522DB84">
      <w:pPr>
        <w:spacing w:before="183" w:line="222" w:lineRule="auto"/>
        <w:ind w:left="127"/>
        <w:rPr>
          <w:rFonts w:hint="default" w:ascii="黑体" w:hAnsi="黑体" w:eastAsia="黑体" w:cs="黑体"/>
          <w:b/>
          <w:bCs/>
          <w:spacing w:val="-3"/>
          <w:sz w:val="28"/>
          <w:szCs w:val="28"/>
          <w:lang w:val="en-US" w:eastAsia="zh-CN"/>
        </w:rPr>
      </w:pPr>
      <w:r>
        <w:rPr>
          <w:rFonts w:hint="eastAsia" w:ascii="黑体" w:hAnsi="黑体" w:eastAsia="黑体" w:cs="黑体"/>
          <w:b/>
          <w:bCs/>
          <w:spacing w:val="-3"/>
          <w:sz w:val="28"/>
          <w:szCs w:val="28"/>
          <w:lang w:val="en-US" w:eastAsia="zh-CN"/>
        </w:rPr>
        <w:t>十一、停工证明</w:t>
      </w:r>
    </w:p>
    <w:p w14:paraId="24C9E13F">
      <w:pPr>
        <w:snapToGrid w:val="0"/>
        <w:spacing w:line="360" w:lineRule="auto"/>
        <w:ind w:firstLine="3659" w:firstLineChars="1139"/>
        <w:rPr>
          <w:rFonts w:ascii="宋体" w:hAnsi="宋体"/>
          <w:b/>
          <w:sz w:val="32"/>
          <w:szCs w:val="32"/>
          <w:highlight w:val="none"/>
        </w:rPr>
      </w:pPr>
      <w:r>
        <w:rPr>
          <w:rFonts w:hint="eastAsia" w:ascii="宋体" w:hAnsi="宋体"/>
          <w:b/>
          <w:sz w:val="32"/>
          <w:szCs w:val="32"/>
          <w:highlight w:val="none"/>
        </w:rPr>
        <w:t>停工证明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2691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14:paraId="716DAFC5">
            <w:pPr>
              <w:spacing w:line="360" w:lineRule="auto"/>
              <w:jc w:val="both"/>
              <w:rPr>
                <w:sz w:val="28"/>
                <w:szCs w:val="28"/>
                <w:highlight w:val="none"/>
              </w:rPr>
            </w:pPr>
            <w:r>
              <w:rPr>
                <w:rFonts w:hint="eastAsia"/>
                <w:sz w:val="28"/>
                <w:szCs w:val="28"/>
                <w:highlight w:val="none"/>
              </w:rPr>
              <w:t>____________(原建设单位）：</w:t>
            </w:r>
          </w:p>
          <w:p w14:paraId="5DF01710">
            <w:pPr>
              <w:spacing w:line="360" w:lineRule="auto"/>
              <w:ind w:firstLine="560" w:firstLineChars="200"/>
              <w:jc w:val="both"/>
              <w:rPr>
                <w:sz w:val="28"/>
                <w:szCs w:val="28"/>
                <w:highlight w:val="none"/>
              </w:rPr>
            </w:pPr>
            <w:r>
              <w:rPr>
                <w:rFonts w:hint="eastAsia"/>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6D1F737B">
            <w:pPr>
              <w:spacing w:line="360" w:lineRule="auto"/>
              <w:ind w:firstLine="560" w:firstLineChars="200"/>
              <w:jc w:val="both"/>
              <w:rPr>
                <w:sz w:val="28"/>
                <w:szCs w:val="28"/>
                <w:highlight w:val="none"/>
              </w:rPr>
            </w:pPr>
            <w:r>
              <w:rPr>
                <w:rFonts w:hint="eastAsia"/>
                <w:sz w:val="28"/>
                <w:szCs w:val="28"/>
                <w:highlight w:val="none"/>
              </w:rPr>
              <w:t>特此报告。</w:t>
            </w:r>
          </w:p>
          <w:p w14:paraId="283B614E">
            <w:pPr>
              <w:spacing w:line="360" w:lineRule="auto"/>
              <w:ind w:firstLine="560" w:firstLineChars="200"/>
              <w:jc w:val="right"/>
              <w:rPr>
                <w:sz w:val="28"/>
                <w:szCs w:val="28"/>
                <w:highlight w:val="none"/>
              </w:rPr>
            </w:pPr>
            <w:r>
              <w:rPr>
                <w:rFonts w:hint="eastAsia"/>
                <w:sz w:val="28"/>
                <w:szCs w:val="28"/>
                <w:highlight w:val="none"/>
              </w:rPr>
              <w:t>承包人（盖章）</w:t>
            </w:r>
          </w:p>
          <w:p w14:paraId="51E1826A">
            <w:pPr>
              <w:spacing w:line="360" w:lineRule="auto"/>
              <w:ind w:firstLine="560" w:firstLineChars="200"/>
              <w:jc w:val="right"/>
              <w:rPr>
                <w:highlight w:val="none"/>
              </w:rPr>
            </w:pPr>
            <w:r>
              <w:rPr>
                <w:rFonts w:hint="eastAsia"/>
                <w:sz w:val="28"/>
                <w:szCs w:val="28"/>
                <w:highlight w:val="none"/>
              </w:rPr>
              <w:t>___年___月___日</w:t>
            </w:r>
          </w:p>
        </w:tc>
      </w:tr>
      <w:tr w14:paraId="7C92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14:paraId="7C65DB56">
            <w:pPr>
              <w:spacing w:line="360" w:lineRule="auto"/>
              <w:rPr>
                <w:sz w:val="28"/>
                <w:szCs w:val="28"/>
                <w:highlight w:val="none"/>
              </w:rPr>
            </w:pPr>
            <w:r>
              <w:rPr>
                <w:rFonts w:hint="eastAsia"/>
                <w:sz w:val="28"/>
                <w:szCs w:val="28"/>
                <w:highlight w:val="none"/>
              </w:rPr>
              <w:t>原建设单位意见：</w:t>
            </w:r>
          </w:p>
          <w:p w14:paraId="300106FC">
            <w:pPr>
              <w:spacing w:line="360" w:lineRule="auto"/>
              <w:rPr>
                <w:sz w:val="28"/>
                <w:szCs w:val="28"/>
                <w:highlight w:val="none"/>
              </w:rPr>
            </w:pPr>
          </w:p>
          <w:p w14:paraId="13E2DC98">
            <w:pPr>
              <w:spacing w:line="360" w:lineRule="auto"/>
              <w:jc w:val="right"/>
              <w:rPr>
                <w:sz w:val="28"/>
                <w:szCs w:val="28"/>
                <w:highlight w:val="none"/>
              </w:rPr>
            </w:pPr>
            <w:r>
              <w:rPr>
                <w:rFonts w:hint="eastAsia"/>
                <w:sz w:val="28"/>
                <w:szCs w:val="28"/>
                <w:highlight w:val="none"/>
              </w:rPr>
              <w:t>原建设单位（盖章）：</w:t>
            </w:r>
          </w:p>
          <w:p w14:paraId="6C35C0DD">
            <w:pPr>
              <w:spacing w:line="360" w:lineRule="auto"/>
              <w:jc w:val="right"/>
              <w:rPr>
                <w:sz w:val="28"/>
                <w:szCs w:val="28"/>
                <w:highlight w:val="none"/>
              </w:rPr>
            </w:pPr>
            <w:r>
              <w:rPr>
                <w:rFonts w:hint="eastAsia"/>
                <w:sz w:val="28"/>
                <w:szCs w:val="28"/>
                <w:highlight w:val="none"/>
              </w:rPr>
              <w:t>___年___月___日</w:t>
            </w:r>
          </w:p>
          <w:p w14:paraId="1506C496">
            <w:pPr>
              <w:spacing w:line="360" w:lineRule="auto"/>
              <w:rPr>
                <w:highlight w:val="none"/>
              </w:rPr>
            </w:pPr>
          </w:p>
        </w:tc>
      </w:tr>
      <w:tr w14:paraId="0ED1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14:paraId="764AAC7F">
            <w:pPr>
              <w:spacing w:line="360" w:lineRule="auto"/>
              <w:rPr>
                <w:sz w:val="28"/>
                <w:szCs w:val="28"/>
                <w:highlight w:val="none"/>
              </w:rPr>
            </w:pPr>
            <w:r>
              <w:rPr>
                <w:rFonts w:hint="eastAsia"/>
                <w:sz w:val="28"/>
                <w:szCs w:val="28"/>
                <w:highlight w:val="none"/>
              </w:rPr>
              <w:t>行政主管部门证明：</w:t>
            </w:r>
          </w:p>
          <w:p w14:paraId="68D7D214">
            <w:pPr>
              <w:spacing w:line="360" w:lineRule="auto"/>
              <w:jc w:val="right"/>
              <w:rPr>
                <w:sz w:val="28"/>
                <w:szCs w:val="28"/>
                <w:highlight w:val="none"/>
              </w:rPr>
            </w:pPr>
            <w:r>
              <w:rPr>
                <w:rFonts w:hint="eastAsia"/>
                <w:sz w:val="28"/>
                <w:szCs w:val="28"/>
                <w:highlight w:val="none"/>
              </w:rPr>
              <w:t>自___年___月___日开始停工，至今已超过120天。情况属实。</w:t>
            </w:r>
          </w:p>
          <w:p w14:paraId="6851C4B0">
            <w:pPr>
              <w:spacing w:line="360" w:lineRule="auto"/>
              <w:jc w:val="right"/>
              <w:rPr>
                <w:sz w:val="28"/>
                <w:szCs w:val="28"/>
                <w:highlight w:val="none"/>
              </w:rPr>
            </w:pPr>
          </w:p>
          <w:p w14:paraId="3CEC8322">
            <w:pPr>
              <w:spacing w:line="360" w:lineRule="auto"/>
              <w:jc w:val="right"/>
              <w:rPr>
                <w:sz w:val="28"/>
                <w:szCs w:val="28"/>
                <w:highlight w:val="none"/>
              </w:rPr>
            </w:pPr>
            <w:r>
              <w:rPr>
                <w:rFonts w:hint="eastAsia"/>
                <w:sz w:val="28"/>
                <w:szCs w:val="28"/>
                <w:highlight w:val="none"/>
              </w:rPr>
              <w:t>行政主管部门（盖章）：</w:t>
            </w:r>
          </w:p>
          <w:p w14:paraId="7C900567">
            <w:pPr>
              <w:spacing w:line="360" w:lineRule="auto"/>
              <w:jc w:val="right"/>
              <w:rPr>
                <w:highlight w:val="none"/>
              </w:rPr>
            </w:pPr>
            <w:r>
              <w:rPr>
                <w:rFonts w:hint="eastAsia"/>
                <w:sz w:val="28"/>
                <w:szCs w:val="28"/>
                <w:highlight w:val="none"/>
              </w:rPr>
              <w:t>___年___月___日</w:t>
            </w:r>
          </w:p>
        </w:tc>
      </w:tr>
    </w:tbl>
    <w:p w14:paraId="34140294">
      <w:pPr>
        <w:spacing w:line="360" w:lineRule="auto"/>
        <w:rPr>
          <w:highlight w:val="none"/>
        </w:rPr>
      </w:pPr>
      <w:r>
        <w:rPr>
          <w:rFonts w:hint="eastAsia"/>
          <w:szCs w:val="21"/>
          <w:highlight w:val="none"/>
        </w:rPr>
        <w:t>注：在承接新项目时原承接的项目仍处于连续停工状态。若原承接项目已复工的本《证明》不得使用。</w:t>
      </w:r>
    </w:p>
    <w:p w14:paraId="547BF593">
      <w:pPr>
        <w:widowControl/>
        <w:autoSpaceDE/>
        <w:autoSpaceDN/>
        <w:adjustRightInd/>
        <w:rPr>
          <w:rFonts w:ascii="黑体" w:hAnsi="黑体" w:eastAsia="黑体" w:cs="黑体"/>
          <w:b/>
          <w:sz w:val="28"/>
          <w:szCs w:val="28"/>
          <w:highlight w:val="none"/>
        </w:rPr>
      </w:pPr>
      <w:r>
        <w:rPr>
          <w:rFonts w:ascii="黑体" w:hAnsi="黑体" w:eastAsia="黑体" w:cs="黑体"/>
          <w:b/>
          <w:sz w:val="28"/>
          <w:szCs w:val="28"/>
          <w:highlight w:val="none"/>
        </w:rPr>
        <w:br w:type="page"/>
      </w:r>
    </w:p>
    <w:p w14:paraId="26ADF24C">
      <w:pPr>
        <w:pStyle w:val="27"/>
        <w:rPr>
          <w:szCs w:val="28"/>
          <w:highlight w:val="none"/>
        </w:rPr>
      </w:pPr>
      <w:bookmarkStart w:id="781" w:name="_Toc32054"/>
      <w:r>
        <w:rPr>
          <w:rFonts w:hint="eastAsia"/>
          <w:szCs w:val="28"/>
          <w:highlight w:val="none"/>
        </w:rPr>
        <w:t>十</w:t>
      </w:r>
      <w:r>
        <w:rPr>
          <w:rFonts w:hint="eastAsia"/>
          <w:szCs w:val="28"/>
          <w:highlight w:val="none"/>
          <w:lang w:val="en-US" w:eastAsia="zh-CN"/>
        </w:rPr>
        <w:t>二</w:t>
      </w:r>
      <w:r>
        <w:rPr>
          <w:rFonts w:hint="eastAsia"/>
          <w:szCs w:val="28"/>
          <w:highlight w:val="none"/>
        </w:rPr>
        <w:t>．未验收证明</w:t>
      </w:r>
      <w:bookmarkEnd w:id="781"/>
    </w:p>
    <w:p w14:paraId="6F95F788">
      <w:pPr>
        <w:keepNext/>
        <w:keepLines/>
        <w:spacing w:line="360" w:lineRule="auto"/>
        <w:ind w:firstLine="3534" w:firstLineChars="1100"/>
        <w:rPr>
          <w:b/>
          <w:bCs/>
          <w:sz w:val="32"/>
          <w:szCs w:val="32"/>
          <w:highlight w:val="none"/>
        </w:rPr>
      </w:pPr>
      <w:r>
        <w:rPr>
          <w:rFonts w:hint="eastAsia"/>
          <w:b/>
          <w:bCs/>
          <w:sz w:val="32"/>
          <w:szCs w:val="32"/>
          <w:highlight w:val="none"/>
        </w:rPr>
        <w:t>未验收证明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700C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8897" w:type="dxa"/>
          </w:tcPr>
          <w:p w14:paraId="7E41836E">
            <w:pPr>
              <w:spacing w:line="360" w:lineRule="auto"/>
              <w:rPr>
                <w:sz w:val="28"/>
                <w:szCs w:val="28"/>
                <w:highlight w:val="none"/>
              </w:rPr>
            </w:pPr>
            <w:r>
              <w:rPr>
                <w:rFonts w:hint="eastAsia"/>
                <w:sz w:val="28"/>
                <w:szCs w:val="28"/>
                <w:highlight w:val="none"/>
              </w:rPr>
              <w:t>____________(原建设单位）：</w:t>
            </w:r>
          </w:p>
          <w:p w14:paraId="365C14F6">
            <w:pPr>
              <w:spacing w:line="360" w:lineRule="auto"/>
              <w:ind w:firstLine="560" w:firstLineChars="200"/>
              <w:jc w:val="both"/>
              <w:rPr>
                <w:sz w:val="28"/>
                <w:szCs w:val="28"/>
                <w:highlight w:val="none"/>
              </w:rPr>
            </w:pPr>
            <w:r>
              <w:rPr>
                <w:rFonts w:hint="eastAsia"/>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534D15A0">
            <w:pPr>
              <w:spacing w:line="360" w:lineRule="auto"/>
              <w:ind w:firstLine="560" w:firstLineChars="200"/>
              <w:jc w:val="both"/>
              <w:rPr>
                <w:sz w:val="28"/>
                <w:szCs w:val="28"/>
                <w:highlight w:val="none"/>
              </w:rPr>
            </w:pPr>
            <w:r>
              <w:rPr>
                <w:rFonts w:hint="eastAsia"/>
                <w:sz w:val="28"/>
                <w:szCs w:val="28"/>
                <w:highlight w:val="none"/>
              </w:rPr>
              <w:t>特此报告。</w:t>
            </w:r>
          </w:p>
          <w:p w14:paraId="4B4AA19F">
            <w:pPr>
              <w:spacing w:line="360" w:lineRule="auto"/>
              <w:ind w:firstLine="560" w:firstLineChars="200"/>
              <w:jc w:val="right"/>
              <w:rPr>
                <w:sz w:val="28"/>
                <w:szCs w:val="28"/>
                <w:highlight w:val="none"/>
              </w:rPr>
            </w:pPr>
            <w:r>
              <w:rPr>
                <w:rFonts w:hint="eastAsia"/>
                <w:sz w:val="28"/>
                <w:szCs w:val="28"/>
                <w:highlight w:val="none"/>
              </w:rPr>
              <w:t>承包人（盖章）</w:t>
            </w:r>
          </w:p>
          <w:p w14:paraId="2C858B6D">
            <w:pPr>
              <w:spacing w:line="360" w:lineRule="auto"/>
              <w:ind w:firstLine="560" w:firstLineChars="200"/>
              <w:jc w:val="right"/>
              <w:rPr>
                <w:highlight w:val="none"/>
              </w:rPr>
            </w:pPr>
            <w:r>
              <w:rPr>
                <w:rFonts w:hint="eastAsia"/>
                <w:sz w:val="28"/>
                <w:szCs w:val="28"/>
                <w:highlight w:val="none"/>
              </w:rPr>
              <w:t>___年___月___日</w:t>
            </w:r>
          </w:p>
        </w:tc>
      </w:tr>
      <w:tr w14:paraId="3F20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897" w:type="dxa"/>
          </w:tcPr>
          <w:p w14:paraId="21E09CAD">
            <w:pPr>
              <w:spacing w:line="360" w:lineRule="auto"/>
              <w:rPr>
                <w:sz w:val="28"/>
                <w:szCs w:val="28"/>
                <w:highlight w:val="none"/>
              </w:rPr>
            </w:pPr>
            <w:r>
              <w:rPr>
                <w:rFonts w:hint="eastAsia"/>
                <w:sz w:val="28"/>
                <w:szCs w:val="28"/>
                <w:highlight w:val="none"/>
              </w:rPr>
              <w:t>原建设单位意见：</w:t>
            </w:r>
          </w:p>
          <w:p w14:paraId="7A19F963">
            <w:pPr>
              <w:spacing w:line="360" w:lineRule="auto"/>
              <w:rPr>
                <w:sz w:val="28"/>
                <w:szCs w:val="28"/>
                <w:highlight w:val="none"/>
              </w:rPr>
            </w:pPr>
          </w:p>
          <w:p w14:paraId="3EF20E5E">
            <w:pPr>
              <w:spacing w:line="360" w:lineRule="auto"/>
              <w:jc w:val="right"/>
              <w:rPr>
                <w:sz w:val="28"/>
                <w:szCs w:val="28"/>
                <w:highlight w:val="none"/>
              </w:rPr>
            </w:pPr>
            <w:r>
              <w:rPr>
                <w:rFonts w:hint="eastAsia"/>
                <w:sz w:val="28"/>
                <w:szCs w:val="28"/>
                <w:highlight w:val="none"/>
              </w:rPr>
              <w:t>原建设单位（盖章）：</w:t>
            </w:r>
          </w:p>
          <w:p w14:paraId="40CE47C7">
            <w:pPr>
              <w:spacing w:line="360" w:lineRule="auto"/>
              <w:jc w:val="right"/>
              <w:rPr>
                <w:highlight w:val="none"/>
              </w:rPr>
            </w:pPr>
            <w:r>
              <w:rPr>
                <w:rFonts w:hint="eastAsia"/>
                <w:sz w:val="28"/>
                <w:szCs w:val="28"/>
                <w:highlight w:val="none"/>
              </w:rPr>
              <w:t>___年___月___日</w:t>
            </w:r>
          </w:p>
        </w:tc>
      </w:tr>
      <w:tr w14:paraId="31EF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5729FD65">
            <w:pPr>
              <w:spacing w:line="360" w:lineRule="auto"/>
              <w:rPr>
                <w:sz w:val="28"/>
                <w:szCs w:val="28"/>
                <w:highlight w:val="none"/>
              </w:rPr>
            </w:pPr>
            <w:r>
              <w:rPr>
                <w:rFonts w:hint="eastAsia"/>
                <w:sz w:val="28"/>
                <w:szCs w:val="28"/>
                <w:highlight w:val="none"/>
              </w:rPr>
              <w:t>行政主管部门证明：</w:t>
            </w:r>
          </w:p>
          <w:p w14:paraId="0F92DF88">
            <w:pPr>
              <w:spacing w:line="360" w:lineRule="auto"/>
              <w:ind w:firstLine="560" w:firstLineChars="200"/>
              <w:jc w:val="both"/>
              <w:rPr>
                <w:sz w:val="28"/>
                <w:szCs w:val="28"/>
                <w:highlight w:val="none"/>
              </w:rPr>
            </w:pPr>
            <w:r>
              <w:rPr>
                <w:rFonts w:hint="eastAsia"/>
                <w:sz w:val="28"/>
                <w:szCs w:val="28"/>
                <w:highlight w:val="none"/>
              </w:rPr>
              <w:t>承包人向原建设单位提交了竣工报告至今已超过120天。情况属实。</w:t>
            </w:r>
          </w:p>
          <w:p w14:paraId="0636AEB7">
            <w:pPr>
              <w:spacing w:line="360" w:lineRule="auto"/>
              <w:jc w:val="right"/>
              <w:rPr>
                <w:sz w:val="28"/>
                <w:szCs w:val="28"/>
                <w:highlight w:val="none"/>
              </w:rPr>
            </w:pPr>
            <w:r>
              <w:rPr>
                <w:rFonts w:hint="eastAsia"/>
                <w:sz w:val="28"/>
                <w:szCs w:val="28"/>
                <w:highlight w:val="none"/>
              </w:rPr>
              <w:t>行政主管部门（盖章）：</w:t>
            </w:r>
          </w:p>
          <w:p w14:paraId="4F727815">
            <w:pPr>
              <w:spacing w:line="360" w:lineRule="auto"/>
              <w:jc w:val="right"/>
              <w:rPr>
                <w:highlight w:val="none"/>
              </w:rPr>
            </w:pPr>
            <w:r>
              <w:rPr>
                <w:rFonts w:hint="eastAsia"/>
                <w:sz w:val="28"/>
                <w:szCs w:val="28"/>
                <w:highlight w:val="none"/>
              </w:rPr>
              <w:t>___年___月___日</w:t>
            </w:r>
          </w:p>
        </w:tc>
      </w:tr>
    </w:tbl>
    <w:p w14:paraId="7F205E08">
      <w:pPr>
        <w:spacing w:line="360" w:lineRule="auto"/>
        <w:rPr>
          <w:highlight w:val="none"/>
        </w:rPr>
        <w:sectPr>
          <w:pgSz w:w="11906" w:h="16838"/>
          <w:pgMar w:top="964" w:right="1588" w:bottom="907" w:left="1588" w:header="851" w:footer="992" w:gutter="0"/>
          <w:cols w:space="720" w:num="1"/>
          <w:docGrid w:type="lines" w:linePitch="312" w:charSpace="0"/>
        </w:sectPr>
      </w:pPr>
      <w:r>
        <w:rPr>
          <w:rFonts w:hint="eastAsia"/>
          <w:highlight w:val="none"/>
        </w:rPr>
        <w:t>注：在承接新项目时原承接的项目已经竣工验收的，本《证明》不得使用。</w:t>
      </w:r>
    </w:p>
    <w:p w14:paraId="61B0CB13">
      <w:pPr>
        <w:pStyle w:val="27"/>
        <w:spacing w:before="0"/>
        <w:jc w:val="left"/>
        <w:rPr>
          <w:szCs w:val="28"/>
          <w:highlight w:val="none"/>
        </w:rPr>
      </w:pPr>
      <w:bookmarkStart w:id="782" w:name="_Toc1254"/>
      <w:r>
        <w:rPr>
          <w:rFonts w:hint="eastAsia"/>
          <w:szCs w:val="28"/>
          <w:highlight w:val="none"/>
        </w:rPr>
        <w:t>十</w:t>
      </w:r>
      <w:r>
        <w:rPr>
          <w:rFonts w:hint="eastAsia"/>
          <w:szCs w:val="28"/>
          <w:highlight w:val="none"/>
          <w:lang w:val="en-US" w:eastAsia="zh-CN"/>
        </w:rPr>
        <w:t>三</w:t>
      </w:r>
      <w:r>
        <w:rPr>
          <w:rFonts w:hint="eastAsia"/>
          <w:szCs w:val="28"/>
          <w:highlight w:val="none"/>
        </w:rPr>
        <w:t>．法定代表人身份证明</w:t>
      </w:r>
      <w:bookmarkEnd w:id="782"/>
    </w:p>
    <w:p w14:paraId="4BE16A60">
      <w:pPr>
        <w:widowControl/>
        <w:spacing w:line="360" w:lineRule="auto"/>
        <w:jc w:val="both"/>
        <w:rPr>
          <w:highlight w:val="none"/>
        </w:rPr>
      </w:pPr>
    </w:p>
    <w:p w14:paraId="6B408D4D">
      <w:pPr>
        <w:widowControl/>
        <w:spacing w:line="360" w:lineRule="auto"/>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法定代表人身份证明</w:t>
      </w:r>
    </w:p>
    <w:p w14:paraId="44E9B817">
      <w:pPr>
        <w:widowControl/>
        <w:snapToGrid w:val="0"/>
        <w:spacing w:before="120" w:beforeLines="50" w:line="360" w:lineRule="auto"/>
        <w:jc w:val="center"/>
        <w:rPr>
          <w:rFonts w:ascii="方正小标宋简体" w:hAnsi="方正小标宋简体"/>
          <w:sz w:val="44"/>
          <w:szCs w:val="44"/>
          <w:highlight w:val="none"/>
        </w:rPr>
      </w:pPr>
      <w:r>
        <w:rPr>
          <w:rFonts w:hint="eastAsia"/>
          <w:sz w:val="28"/>
          <w:highlight w:val="none"/>
        </w:rPr>
        <w:t>（参考样张）</w:t>
      </w:r>
    </w:p>
    <w:p w14:paraId="570D15B7">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单位名称：</w:t>
      </w:r>
      <w:r>
        <w:rPr>
          <w:rFonts w:hint="eastAsia" w:ascii="宋体" w:hAnsi="宋体"/>
          <w:sz w:val="28"/>
          <w:szCs w:val="28"/>
          <w:highlight w:val="none"/>
          <w:u w:val="single"/>
        </w:rPr>
        <w:t xml:space="preserve">                              </w:t>
      </w:r>
    </w:p>
    <w:p w14:paraId="290FBF67">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地址：</w:t>
      </w:r>
      <w:r>
        <w:rPr>
          <w:rFonts w:hint="eastAsia" w:ascii="宋体" w:hAnsi="宋体"/>
          <w:sz w:val="28"/>
          <w:szCs w:val="28"/>
          <w:highlight w:val="none"/>
          <w:u w:val="single"/>
        </w:rPr>
        <w:t xml:space="preserve">                                  </w:t>
      </w:r>
    </w:p>
    <w:p w14:paraId="43E073CC">
      <w:pPr>
        <w:snapToGrid w:val="0"/>
        <w:spacing w:line="360" w:lineRule="auto"/>
        <w:ind w:firstLine="560" w:firstLineChars="200"/>
        <w:textAlignment w:val="baseline"/>
        <w:rPr>
          <w:rFonts w:ascii="宋体" w:hAnsi="宋体"/>
          <w:sz w:val="28"/>
          <w:szCs w:val="28"/>
          <w:highlight w:val="none"/>
        </w:rPr>
      </w:pPr>
      <w:r>
        <w:rPr>
          <w:rFonts w:hint="eastAsia" w:ascii="宋体" w:hAnsi="宋体"/>
          <w:sz w:val="28"/>
          <w:szCs w:val="28"/>
          <w:highlight w:val="none"/>
        </w:rPr>
        <w:t>姓名：</w:t>
      </w:r>
      <w:r>
        <w:rPr>
          <w:rFonts w:hint="eastAsia" w:ascii="宋体" w:hAnsi="宋体"/>
          <w:sz w:val="28"/>
          <w:szCs w:val="28"/>
          <w:highlight w:val="none"/>
          <w:u w:val="single"/>
        </w:rPr>
        <w:t xml:space="preserve">     </w:t>
      </w:r>
      <w:r>
        <w:rPr>
          <w:rFonts w:hint="eastAsia" w:ascii="宋体" w:hAnsi="宋体"/>
          <w:sz w:val="28"/>
          <w:szCs w:val="28"/>
          <w:highlight w:val="none"/>
        </w:rPr>
        <w:t>性别：</w:t>
      </w:r>
      <w:r>
        <w:rPr>
          <w:rFonts w:hint="eastAsia" w:ascii="宋体" w:hAnsi="宋体"/>
          <w:sz w:val="28"/>
          <w:szCs w:val="28"/>
          <w:highlight w:val="none"/>
          <w:u w:val="single"/>
        </w:rPr>
        <w:t xml:space="preserve">   </w:t>
      </w:r>
      <w:r>
        <w:rPr>
          <w:rFonts w:hint="eastAsia" w:ascii="宋体" w:hAnsi="宋体"/>
          <w:sz w:val="28"/>
          <w:szCs w:val="28"/>
          <w:highlight w:val="none"/>
        </w:rPr>
        <w:t>年龄：</w:t>
      </w:r>
      <w:r>
        <w:rPr>
          <w:rFonts w:hint="eastAsia" w:ascii="宋体" w:hAnsi="宋体"/>
          <w:sz w:val="28"/>
          <w:szCs w:val="28"/>
          <w:highlight w:val="none"/>
          <w:u w:val="single"/>
        </w:rPr>
        <w:t xml:space="preserve">   </w:t>
      </w:r>
      <w:r>
        <w:rPr>
          <w:rFonts w:hint="eastAsia" w:ascii="宋体" w:hAnsi="宋体"/>
          <w:sz w:val="28"/>
          <w:szCs w:val="28"/>
          <w:highlight w:val="none"/>
        </w:rPr>
        <w:t>职务：</w:t>
      </w:r>
      <w:r>
        <w:rPr>
          <w:rFonts w:hint="eastAsia" w:ascii="宋体" w:hAnsi="宋体"/>
          <w:sz w:val="28"/>
          <w:szCs w:val="28"/>
          <w:highlight w:val="none"/>
          <w:u w:val="single"/>
        </w:rPr>
        <w:t xml:space="preserve">    </w:t>
      </w:r>
      <w:r>
        <w:rPr>
          <w:rFonts w:hint="eastAsia" w:ascii="宋体" w:hAnsi="宋体"/>
          <w:sz w:val="28"/>
          <w:szCs w:val="28"/>
          <w:highlight w:val="none"/>
        </w:rPr>
        <w:t>系</w:t>
      </w:r>
      <w:r>
        <w:rPr>
          <w:rFonts w:hint="eastAsia" w:ascii="宋体" w:hAnsi="宋体"/>
          <w:sz w:val="28"/>
          <w:szCs w:val="28"/>
          <w:highlight w:val="none"/>
          <w:u w:val="single"/>
        </w:rPr>
        <w:t xml:space="preserve">     </w:t>
      </w:r>
      <w:r>
        <w:rPr>
          <w:rFonts w:hint="eastAsia" w:ascii="宋体" w:hAnsi="宋体"/>
          <w:sz w:val="28"/>
          <w:szCs w:val="28"/>
          <w:highlight w:val="none"/>
        </w:rPr>
        <w:t>的法定代表人</w:t>
      </w:r>
    </w:p>
    <w:p w14:paraId="5E8F179F">
      <w:pPr>
        <w:snapToGrid w:val="0"/>
        <w:spacing w:line="360" w:lineRule="auto"/>
        <w:ind w:firstLine="560" w:firstLineChars="200"/>
        <w:textAlignment w:val="baseline"/>
        <w:rPr>
          <w:rFonts w:ascii="宋体" w:hAnsi="宋体"/>
          <w:sz w:val="28"/>
          <w:szCs w:val="28"/>
          <w:highlight w:val="none"/>
        </w:rPr>
      </w:pPr>
      <w:r>
        <w:rPr>
          <w:rFonts w:ascii="宋体" w:hAnsi="宋体"/>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558800</wp:posOffset>
                </wp:positionH>
                <wp:positionV relativeFrom="paragraph">
                  <wp:posOffset>326390</wp:posOffset>
                </wp:positionV>
                <wp:extent cx="4781550" cy="4481195"/>
                <wp:effectExtent l="12700" t="12700" r="25400" b="20955"/>
                <wp:wrapNone/>
                <wp:docPr id="3" name="矩形 3"/>
                <wp:cNvGraphicFramePr/>
                <a:graphic xmlns:a="http://schemas.openxmlformats.org/drawingml/2006/main">
                  <a:graphicData uri="http://schemas.microsoft.com/office/word/2010/wordprocessingShape">
                    <wps:wsp>
                      <wps:cNvSpPr/>
                      <wps:spPr>
                        <a:xfrm>
                          <a:off x="0" y="0"/>
                          <a:ext cx="4781550" cy="47669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25.7pt;height:352.85pt;width:376.5pt;z-index:251663360;v-text-anchor:middle;mso-width-relative:page;mso-height-relative:page;" filled="f" stroked="t" coordsize="21600,21600" o:gfxdata="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r59g2AAAAAkBAAAPAAAAAAAAAAEAIAAAACIAAABkcnMvZG93bnJldi54bWxQSwECFAAU&#10;AAAACACHTuJA2VoPs2MCAADDBAAADgAAAAAAAAABACAAAAAnAQAAZHJzL2Uyb0RvYy54bWxQSwUG&#10;AAAAAAYABgBZAQAA/AUAAAAA&#10;">
                <v:fill on="f" focussize="0,0"/>
                <v:stroke weight="2pt" color="#000000" joinstyle="round"/>
                <v:imagedata o:title=""/>
                <o:lock v:ext="edit" aspectratio="f"/>
              </v:rect>
            </w:pict>
          </mc:Fallback>
        </mc:AlternateContent>
      </w:r>
      <w:r>
        <w:rPr>
          <w:rFonts w:hint="eastAsia" w:ascii="宋体" w:hAnsi="宋体"/>
          <w:sz w:val="28"/>
          <w:szCs w:val="28"/>
          <w:highlight w:val="none"/>
        </w:rPr>
        <w:t>法定代表人手机号码：</w:t>
      </w:r>
      <w:r>
        <w:rPr>
          <w:rFonts w:hint="eastAsia" w:ascii="宋体" w:hAnsi="宋体"/>
          <w:sz w:val="28"/>
          <w:szCs w:val="28"/>
          <w:highlight w:val="none"/>
          <w:u w:val="single"/>
        </w:rPr>
        <w:t xml:space="preserve">              </w:t>
      </w:r>
    </w:p>
    <w:p w14:paraId="1D56AE69">
      <w:pPr>
        <w:snapToGrid w:val="0"/>
        <w:spacing w:line="360" w:lineRule="auto"/>
        <w:ind w:firstLine="480" w:firstLineChars="200"/>
        <w:textAlignment w:val="baseline"/>
        <w:rPr>
          <w:rFonts w:ascii="宋体" w:hAnsi="宋体"/>
          <w:sz w:val="28"/>
          <w:szCs w:val="28"/>
          <w:highlight w:val="none"/>
        </w:rPr>
      </w:pPr>
      <w:r>
        <w:rPr>
          <w:rFonts w:hint="eastAsia" w:ascii="宋体" w:hAnsi="宋体" w:cs="宋体"/>
          <w:highlight w:val="none"/>
        </w:rPr>
        <w:t>附</w:t>
      </w:r>
      <w:r>
        <w:rPr>
          <w:rFonts w:hint="eastAsia" w:ascii="宋体" w:hAnsi="宋体"/>
          <w:sz w:val="28"/>
          <w:szCs w:val="28"/>
          <w:highlight w:val="none"/>
        </w:rPr>
        <w:t xml:space="preserve">                                      </w:t>
      </w:r>
    </w:p>
    <w:p w14:paraId="752B62EE">
      <w:pPr>
        <w:snapToGrid w:val="0"/>
        <w:spacing w:line="360" w:lineRule="auto"/>
        <w:ind w:firstLine="560" w:firstLineChars="200"/>
        <w:jc w:val="right"/>
        <w:textAlignment w:val="baseline"/>
        <w:rPr>
          <w:rFonts w:ascii="宋体" w:hAnsi="宋体"/>
          <w:sz w:val="28"/>
          <w:szCs w:val="28"/>
          <w:highlight w:val="none"/>
        </w:rPr>
      </w:pPr>
    </w:p>
    <w:p w14:paraId="1EB0ADF2">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1184910</wp:posOffset>
                </wp:positionH>
                <wp:positionV relativeFrom="paragraph">
                  <wp:posOffset>311150</wp:posOffset>
                </wp:positionV>
                <wp:extent cx="3476625" cy="324485"/>
                <wp:effectExtent l="4445" t="4445" r="5080" b="13970"/>
                <wp:wrapNone/>
                <wp:docPr id="8" name="文本框 8"/>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4D9E07EF">
                            <w:pPr>
                              <w:jc w:val="center"/>
                            </w:pPr>
                            <w:r>
                              <w:rPr>
                                <w:rFonts w:hint="eastAsia"/>
                              </w:rPr>
                              <w:t>法定代表人身份证</w:t>
                            </w:r>
                            <w:r>
                              <w:rPr>
                                <w:rFonts w:hint="eastAsia"/>
                                <w:lang w:eastAsia="zh-CN"/>
                              </w:rPr>
                              <w:t>人像</w:t>
                            </w:r>
                            <w:r>
                              <w:rPr>
                                <w:rFonts w:hint="eastAsia"/>
                              </w:rPr>
                              <w:t>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3pt;margin-top:24.5pt;height:25.55pt;width:273.75pt;z-index:251665408;mso-width-relative:page;mso-height-relative:page;" fillcolor="#FFFFFF" filled="t" stroked="t" coordsize="21600,21600" o:gfxdata="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hz3&#10;btUAAAAKAQAADwAAAAAAAAABACAAAAAiAAAAZHJzL2Rvd25yZXYueG1sUEsBAhQAFAAAAAgAh07i&#10;QOKJqR9eAgAAxQQAAA4AAAAAAAAAAQAgAAAAJAEAAGRycy9lMm9Eb2MueG1sUEsFBgAAAAAGAAYA&#10;WQEAAPQFAAAAAA==&#10;">
                <v:fill on="t" focussize="0,0"/>
                <v:stroke weight="0.5pt" color="#000000" joinstyle="round"/>
                <v:imagedata o:title=""/>
                <o:lock v:ext="edit" aspectratio="f"/>
                <v:textbox>
                  <w:txbxContent>
                    <w:p w14:paraId="4D9E07EF">
                      <w:pPr>
                        <w:jc w:val="center"/>
                      </w:pPr>
                      <w:r>
                        <w:rPr>
                          <w:rFonts w:hint="eastAsia"/>
                        </w:rPr>
                        <w:t>法定代表人身份证</w:t>
                      </w:r>
                      <w:r>
                        <w:rPr>
                          <w:rFonts w:hint="eastAsia"/>
                          <w:lang w:eastAsia="zh-CN"/>
                        </w:rPr>
                        <w:t>人像</w:t>
                      </w:r>
                      <w:r>
                        <w:rPr>
                          <w:rFonts w:hint="eastAsia"/>
                        </w:rPr>
                        <w:t>复印件粘贴处</w:t>
                      </w:r>
                    </w:p>
                  </w:txbxContent>
                </v:textbox>
              </v:shape>
            </w:pict>
          </mc:Fallback>
        </mc:AlternateContent>
      </w:r>
    </w:p>
    <w:p w14:paraId="0E1F22CE">
      <w:pPr>
        <w:snapToGrid w:val="0"/>
        <w:spacing w:line="360" w:lineRule="auto"/>
        <w:ind w:firstLine="560" w:firstLineChars="200"/>
        <w:jc w:val="right"/>
        <w:textAlignment w:val="baseline"/>
        <w:rPr>
          <w:rFonts w:ascii="宋体" w:hAnsi="宋体"/>
          <w:sz w:val="28"/>
          <w:szCs w:val="28"/>
          <w:highlight w:val="none"/>
        </w:rPr>
      </w:pPr>
    </w:p>
    <w:p w14:paraId="5F01145B">
      <w:pPr>
        <w:snapToGrid w:val="0"/>
        <w:spacing w:line="360" w:lineRule="auto"/>
        <w:ind w:firstLine="560" w:firstLineChars="200"/>
        <w:jc w:val="right"/>
        <w:textAlignment w:val="baseline"/>
        <w:rPr>
          <w:rFonts w:ascii="宋体" w:hAnsi="宋体"/>
          <w:sz w:val="28"/>
          <w:szCs w:val="28"/>
          <w:highlight w:val="none"/>
        </w:rPr>
      </w:pPr>
    </w:p>
    <w:p w14:paraId="75DC3414">
      <w:pPr>
        <w:snapToGrid w:val="0"/>
        <w:spacing w:line="360" w:lineRule="auto"/>
        <w:ind w:firstLine="560" w:firstLineChars="200"/>
        <w:jc w:val="right"/>
        <w:textAlignment w:val="baseline"/>
        <w:rPr>
          <w:rFonts w:ascii="宋体" w:hAnsi="宋体"/>
          <w:sz w:val="28"/>
          <w:szCs w:val="28"/>
          <w:highlight w:val="none"/>
        </w:rPr>
      </w:pPr>
    </w:p>
    <w:p w14:paraId="3C21ADE9">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674370</wp:posOffset>
                </wp:positionH>
                <wp:positionV relativeFrom="paragraph">
                  <wp:posOffset>-64853820</wp:posOffset>
                </wp:positionV>
                <wp:extent cx="4781550"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1pt;margin-top:-5106.6pt;height:0pt;width:376.5pt;z-index:251664384;mso-width-relative:page;mso-height-relative:page;" filled="f" stroked="t" coordsize="21600,21600" o:gfxdata="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ufRJ2AAAABEBAAAPAAAAAAAAAAEAIAAAACIAAABkcnMvZG93bnJl&#10;di54bWxQSwECFAAUAAAACACHTuJAe++iOv0BAADsAwAADgAAAAAAAAABACAAAAAnAQAAZHJzL2Uy&#10;b0RvYy54bWxQSwUGAAAAAAYABgBZAQAAlgUAAAAA&#10;">
                <v:fill on="f" focussize="0,0"/>
                <v:stroke color="#000000" joinstyle="round"/>
                <v:imagedata o:title=""/>
                <o:lock v:ext="edit" aspectratio="f"/>
              </v:shape>
            </w:pict>
          </mc:Fallback>
        </mc:AlternateContent>
      </w:r>
    </w:p>
    <w:p w14:paraId="466C52E2">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6432" behindDoc="0" locked="0" layoutInCell="1" allowOverlap="1">
                <wp:simplePos x="0" y="0"/>
                <wp:positionH relativeFrom="column">
                  <wp:posOffset>1206500</wp:posOffset>
                </wp:positionH>
                <wp:positionV relativeFrom="paragraph">
                  <wp:posOffset>284480</wp:posOffset>
                </wp:positionV>
                <wp:extent cx="3476625" cy="324485"/>
                <wp:effectExtent l="4445" t="4445" r="5080" b="13970"/>
                <wp:wrapNone/>
                <wp:docPr id="9" name="文本框 9"/>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7DF4B023">
                            <w:pPr>
                              <w:jc w:val="center"/>
                            </w:pPr>
                            <w:r>
                              <w:rPr>
                                <w:rFonts w:hint="eastAsia"/>
                              </w:rPr>
                              <w:t>法定代表人身份证</w:t>
                            </w:r>
                            <w:r>
                              <w:rPr>
                                <w:rFonts w:hint="eastAsia"/>
                                <w:lang w:eastAsia="zh-CN"/>
                              </w:rPr>
                              <w:t>国徽</w:t>
                            </w:r>
                            <w:r>
                              <w:rPr>
                                <w:rFonts w:hint="eastAsia"/>
                              </w:rPr>
                              <w:t>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22.4pt;height:25.55pt;width:273.75pt;z-index:251666432;mso-width-relative:page;mso-height-relative:page;" fillcolor="#FFFFFF" filled="t" stroked="t" coordsize="21600,21600" o:gfxdata="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kRTltcAAAAJAQAADwAAAAAAAAABACAAAAAiAAAAZHJzL2Rvd25yZXYueG1sUEsBAhQAFAAAAAgA&#10;h07iQP1+eoBfAgAAxQQAAA4AAAAAAAAAAQAgAAAAJgEAAGRycy9lMm9Eb2MueG1sUEsFBgAAAAAG&#10;AAYAWQEAAPcFAAAAAA==&#10;">
                <v:fill on="t" focussize="0,0"/>
                <v:stroke weight="0.5pt" color="#000000" joinstyle="round"/>
                <v:imagedata o:title=""/>
                <o:lock v:ext="edit" aspectratio="f"/>
                <v:textbox>
                  <w:txbxContent>
                    <w:p w14:paraId="7DF4B023">
                      <w:pPr>
                        <w:jc w:val="center"/>
                      </w:pPr>
                      <w:r>
                        <w:rPr>
                          <w:rFonts w:hint="eastAsia"/>
                        </w:rPr>
                        <w:t>法定代表人身份证</w:t>
                      </w:r>
                      <w:r>
                        <w:rPr>
                          <w:rFonts w:hint="eastAsia"/>
                          <w:lang w:eastAsia="zh-CN"/>
                        </w:rPr>
                        <w:t>国徽</w:t>
                      </w:r>
                      <w:r>
                        <w:rPr>
                          <w:rFonts w:hint="eastAsia"/>
                        </w:rPr>
                        <w:t>复印件粘贴处</w:t>
                      </w:r>
                    </w:p>
                  </w:txbxContent>
                </v:textbox>
              </v:shape>
            </w:pict>
          </mc:Fallback>
        </mc:AlternateContent>
      </w:r>
    </w:p>
    <w:p w14:paraId="3931A037">
      <w:pPr>
        <w:snapToGrid w:val="0"/>
        <w:spacing w:line="360" w:lineRule="auto"/>
        <w:ind w:firstLine="560" w:firstLineChars="200"/>
        <w:jc w:val="right"/>
        <w:textAlignment w:val="baseline"/>
        <w:rPr>
          <w:rFonts w:ascii="宋体" w:hAnsi="宋体"/>
          <w:sz w:val="28"/>
          <w:szCs w:val="28"/>
          <w:highlight w:val="none"/>
        </w:rPr>
      </w:pPr>
    </w:p>
    <w:p w14:paraId="499689E2">
      <w:pPr>
        <w:snapToGrid w:val="0"/>
        <w:spacing w:line="360" w:lineRule="auto"/>
        <w:ind w:firstLine="560" w:firstLineChars="200"/>
        <w:jc w:val="right"/>
        <w:textAlignment w:val="baseline"/>
        <w:rPr>
          <w:rFonts w:ascii="宋体" w:hAnsi="宋体"/>
          <w:sz w:val="28"/>
          <w:szCs w:val="28"/>
          <w:highlight w:val="none"/>
        </w:rPr>
      </w:pPr>
    </w:p>
    <w:p w14:paraId="793ACC85">
      <w:pPr>
        <w:snapToGrid w:val="0"/>
        <w:spacing w:line="360" w:lineRule="auto"/>
        <w:ind w:firstLine="560" w:firstLineChars="200"/>
        <w:jc w:val="right"/>
        <w:textAlignment w:val="baseline"/>
        <w:rPr>
          <w:rFonts w:ascii="宋体" w:hAnsi="宋体"/>
          <w:sz w:val="28"/>
          <w:szCs w:val="28"/>
          <w:highlight w:val="none"/>
        </w:rPr>
      </w:pPr>
    </w:p>
    <w:p w14:paraId="5F29EE4D">
      <w:pPr>
        <w:snapToGrid w:val="0"/>
        <w:spacing w:line="360" w:lineRule="auto"/>
        <w:ind w:firstLine="560" w:firstLineChars="200"/>
        <w:jc w:val="right"/>
        <w:textAlignment w:val="baseline"/>
        <w:rPr>
          <w:rFonts w:ascii="宋体" w:hAnsi="宋体"/>
          <w:sz w:val="28"/>
          <w:szCs w:val="28"/>
          <w:highlight w:val="none"/>
        </w:rPr>
      </w:pPr>
    </w:p>
    <w:p w14:paraId="79289DAB">
      <w:pPr>
        <w:snapToGrid w:val="0"/>
        <w:spacing w:line="360" w:lineRule="auto"/>
        <w:ind w:firstLine="560" w:firstLineChars="200"/>
        <w:jc w:val="right"/>
        <w:textAlignment w:val="baseline"/>
        <w:rPr>
          <w:rFonts w:ascii="宋体" w:hAnsi="宋体"/>
          <w:sz w:val="28"/>
          <w:szCs w:val="28"/>
          <w:highlight w:val="none"/>
        </w:rPr>
      </w:pPr>
    </w:p>
    <w:p w14:paraId="64686095">
      <w:pPr>
        <w:snapToGrid w:val="0"/>
        <w:spacing w:line="360" w:lineRule="auto"/>
        <w:ind w:firstLine="560" w:firstLineChars="200"/>
        <w:jc w:val="right"/>
        <w:textAlignment w:val="baseline"/>
        <w:rPr>
          <w:rFonts w:ascii="宋体" w:hAnsi="宋体"/>
          <w:sz w:val="28"/>
          <w:szCs w:val="28"/>
          <w:highlight w:val="none"/>
        </w:rPr>
      </w:pPr>
    </w:p>
    <w:p w14:paraId="50921334">
      <w:pPr>
        <w:snapToGrid w:val="0"/>
        <w:spacing w:line="360" w:lineRule="auto"/>
        <w:ind w:firstLine="560" w:firstLineChars="200"/>
        <w:jc w:val="both"/>
        <w:textAlignment w:val="baseline"/>
        <w:rPr>
          <w:rFonts w:ascii="宋体" w:hAnsi="宋体"/>
          <w:sz w:val="28"/>
          <w:szCs w:val="28"/>
          <w:highlight w:val="none"/>
          <w:u w:val="single"/>
        </w:rPr>
      </w:pPr>
      <w:r>
        <w:rPr>
          <w:rFonts w:hint="eastAsia" w:ascii="宋体" w:hAnsi="宋体"/>
          <w:sz w:val="28"/>
          <w:szCs w:val="28"/>
          <w:highlight w:val="none"/>
        </w:rPr>
        <w:t>投标人：（盖单位公章）</w:t>
      </w:r>
    </w:p>
    <w:p w14:paraId="6CBF0522">
      <w:pPr>
        <w:ind w:firstLine="560" w:firstLineChars="200"/>
        <w:jc w:val="both"/>
        <w:rPr>
          <w:highlight w:val="none"/>
        </w:rPr>
      </w:pPr>
      <w:r>
        <w:rPr>
          <w:rFonts w:hint="eastAsia" w:ascii="宋体" w:hAnsi="宋体"/>
          <w:sz w:val="28"/>
          <w:szCs w:val="28"/>
          <w:highlight w:val="none"/>
        </w:rPr>
        <w:t>日 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51FE96E1">
      <w:pPr>
        <w:snapToGrid w:val="0"/>
        <w:spacing w:line="360" w:lineRule="auto"/>
        <w:rPr>
          <w:highlight w:val="none"/>
        </w:rPr>
      </w:pPr>
    </w:p>
    <w:p w14:paraId="7AA00254">
      <w:pPr>
        <w:pStyle w:val="8"/>
        <w:keepNext w:val="0"/>
        <w:keepLines w:val="0"/>
        <w:pageBreakBefore w:val="0"/>
        <w:widowControl w:val="0"/>
        <w:kinsoku/>
        <w:wordWrap/>
        <w:overflowPunct/>
        <w:topLinePunct w:val="0"/>
        <w:autoSpaceDE w:val="0"/>
        <w:autoSpaceDN w:val="0"/>
        <w:bidi w:val="0"/>
        <w:adjustRightInd w:val="0"/>
        <w:snapToGrid/>
        <w:spacing w:line="360" w:lineRule="auto"/>
        <w:ind w:left="522"/>
        <w:textAlignment w:val="auto"/>
        <w:rPr>
          <w:szCs w:val="24"/>
          <w:highlight w:val="none"/>
        </w:rPr>
      </w:pPr>
      <w:r>
        <w:rPr>
          <w:rFonts w:hint="eastAsia"/>
          <w:b/>
          <w:position w:val="-4"/>
          <w:szCs w:val="24"/>
          <w:highlight w:val="none"/>
        </w:rPr>
        <w:t>附录1. 递交工程保函时出具的证明文件（线下）</w:t>
      </w:r>
    </w:p>
    <w:p w14:paraId="5438DF76">
      <w:pPr>
        <w:pStyle w:val="3"/>
        <w:spacing w:before="0"/>
        <w:rPr>
          <w:rFonts w:hint="eastAsia" w:ascii="黑体" w:hAnsi="黑体" w:cs="宋体"/>
          <w:b w:val="0"/>
          <w:bCs/>
          <w:sz w:val="28"/>
          <w:szCs w:val="28"/>
          <w:highlight w:val="none"/>
        </w:rPr>
      </w:pPr>
    </w:p>
    <w:p w14:paraId="13AA2F07">
      <w:pPr>
        <w:pStyle w:val="4"/>
        <w:rPr>
          <w:highlight w:val="none"/>
        </w:rPr>
      </w:pPr>
    </w:p>
    <w:p w14:paraId="1EC7761F">
      <w:pPr>
        <w:spacing w:line="460" w:lineRule="exact"/>
        <w:jc w:val="center"/>
        <w:rPr>
          <w:rFonts w:ascii="宋体" w:hAnsi="宋体"/>
          <w:sz w:val="36"/>
          <w:highlight w:val="none"/>
        </w:rPr>
      </w:pPr>
      <w:r>
        <w:rPr>
          <w:rFonts w:ascii="宋体" w:hAnsi="宋体"/>
          <w:b/>
          <w:sz w:val="36"/>
          <w:highlight w:val="none"/>
        </w:rPr>
        <w:t>法定代表人身份证明</w:t>
      </w:r>
    </w:p>
    <w:p w14:paraId="66710EC0">
      <w:pPr>
        <w:snapToGrid w:val="0"/>
        <w:spacing w:line="360" w:lineRule="auto"/>
        <w:ind w:firstLine="480"/>
        <w:rPr>
          <w:rFonts w:ascii="宋体" w:hAnsi="宋体"/>
          <w:b/>
          <w:szCs w:val="21"/>
          <w:highlight w:val="none"/>
        </w:rPr>
      </w:pPr>
    </w:p>
    <w:p w14:paraId="67F39E2F">
      <w:pPr>
        <w:snapToGrid w:val="0"/>
        <w:spacing w:line="360" w:lineRule="auto"/>
        <w:ind w:firstLine="480"/>
        <w:rPr>
          <w:rFonts w:hint="eastAsia" w:ascii="宋体" w:hAnsi="宋体"/>
          <w:highlight w:val="none"/>
        </w:rPr>
      </w:pPr>
      <w:r>
        <w:rPr>
          <w:rFonts w:ascii="宋体" w:hAnsi="宋体"/>
          <w:szCs w:val="24"/>
          <w:highlight w:val="none"/>
        </w:rPr>
        <w:t>投标人名称：</w:t>
      </w:r>
      <w:r>
        <w:rPr>
          <w:rFonts w:hint="eastAsia" w:ascii="宋体" w:hAnsi="宋体"/>
          <w:szCs w:val="24"/>
          <w:highlight w:val="none"/>
          <w:u w:val="single"/>
        </w:rPr>
        <w:t xml:space="preserve">                                        </w:t>
      </w:r>
      <w:r>
        <w:rPr>
          <w:rFonts w:hint="eastAsia" w:ascii="宋体" w:hAnsi="宋体"/>
          <w:szCs w:val="24"/>
          <w:highlight w:val="none"/>
        </w:rPr>
        <w:t xml:space="preserve">  </w:t>
      </w:r>
      <w:r>
        <w:rPr>
          <w:rFonts w:hint="eastAsia" w:ascii="宋体" w:hAnsi="宋体"/>
          <w:highlight w:val="none"/>
        </w:rPr>
        <w:t xml:space="preserve">         </w:t>
      </w:r>
    </w:p>
    <w:p w14:paraId="2F209FAF">
      <w:pPr>
        <w:snapToGrid w:val="0"/>
        <w:spacing w:line="360" w:lineRule="auto"/>
        <w:ind w:firstLine="480"/>
        <w:rPr>
          <w:rFonts w:hint="eastAsia" w:ascii="宋体" w:hAnsi="宋体"/>
          <w:highlight w:val="none"/>
          <w:u w:val="single"/>
        </w:rPr>
      </w:pPr>
      <w:r>
        <w:rPr>
          <w:rFonts w:ascii="宋体" w:hAnsi="宋体"/>
          <w:szCs w:val="24"/>
          <w:highlight w:val="none"/>
        </w:rPr>
        <w:t>单位性质：</w:t>
      </w:r>
      <w:r>
        <w:rPr>
          <w:rFonts w:hint="eastAsia" w:ascii="宋体" w:hAnsi="宋体"/>
          <w:highlight w:val="none"/>
          <w:u w:val="single"/>
        </w:rPr>
        <w:t xml:space="preserve">                                          </w:t>
      </w:r>
    </w:p>
    <w:p w14:paraId="2E61134F">
      <w:pPr>
        <w:snapToGrid w:val="0"/>
        <w:spacing w:line="360" w:lineRule="auto"/>
        <w:ind w:firstLine="480"/>
        <w:rPr>
          <w:rFonts w:ascii="宋体" w:hAnsi="宋体"/>
          <w:highlight w:val="none"/>
        </w:rPr>
      </w:pPr>
      <w:r>
        <w:rPr>
          <w:rFonts w:ascii="宋体" w:hAnsi="宋体"/>
          <w:szCs w:val="24"/>
          <w:highlight w:val="none"/>
        </w:rPr>
        <w:t>地址：</w:t>
      </w:r>
      <w:r>
        <w:rPr>
          <w:rFonts w:hint="eastAsia" w:ascii="宋体" w:hAnsi="宋体"/>
          <w:szCs w:val="24"/>
          <w:highlight w:val="none"/>
          <w:u w:val="single"/>
        </w:rPr>
        <w:t xml:space="preserve">                                              </w:t>
      </w:r>
    </w:p>
    <w:p w14:paraId="1FC158DC">
      <w:pPr>
        <w:snapToGrid w:val="0"/>
        <w:spacing w:line="360" w:lineRule="auto"/>
        <w:ind w:firstLine="480"/>
        <w:rPr>
          <w:rFonts w:ascii="宋体" w:hAnsi="宋体"/>
          <w:highlight w:val="none"/>
        </w:rPr>
      </w:pPr>
      <w:r>
        <w:rPr>
          <w:rFonts w:ascii="宋体" w:hAnsi="宋体"/>
          <w:szCs w:val="24"/>
          <w:highlight w:val="none"/>
        </w:rPr>
        <w:t>成立时间：</w:t>
      </w:r>
      <w:r>
        <w:rPr>
          <w:rFonts w:hint="eastAsia" w:ascii="宋体" w:hAnsi="宋体"/>
          <w:szCs w:val="24"/>
          <w:highlight w:val="none"/>
          <w:u w:val="single"/>
        </w:rPr>
        <w:t xml:space="preserve">      </w:t>
      </w:r>
      <w:r>
        <w:rPr>
          <w:rFonts w:ascii="宋体" w:hAnsi="宋体"/>
          <w:szCs w:val="24"/>
          <w:highlight w:val="none"/>
        </w:rPr>
        <w:t>年</w:t>
      </w:r>
      <w:r>
        <w:rPr>
          <w:rFonts w:hint="eastAsia" w:ascii="宋体" w:hAnsi="宋体"/>
          <w:szCs w:val="24"/>
          <w:highlight w:val="none"/>
          <w:u w:val="single"/>
        </w:rPr>
        <w:t xml:space="preserve">   </w:t>
      </w:r>
      <w:r>
        <w:rPr>
          <w:rFonts w:ascii="宋体" w:hAnsi="宋体"/>
          <w:szCs w:val="24"/>
          <w:highlight w:val="none"/>
        </w:rPr>
        <w:t>月</w:t>
      </w:r>
      <w:r>
        <w:rPr>
          <w:rFonts w:hint="eastAsia" w:ascii="宋体" w:hAnsi="宋体"/>
          <w:szCs w:val="24"/>
          <w:highlight w:val="none"/>
          <w:u w:val="single"/>
        </w:rPr>
        <w:t xml:space="preserve">   </w:t>
      </w:r>
      <w:r>
        <w:rPr>
          <w:rFonts w:ascii="宋体" w:hAnsi="宋体"/>
          <w:szCs w:val="24"/>
          <w:highlight w:val="none"/>
        </w:rPr>
        <w:t>日</w:t>
      </w:r>
    </w:p>
    <w:p w14:paraId="06BCA739">
      <w:pPr>
        <w:snapToGrid w:val="0"/>
        <w:spacing w:line="360" w:lineRule="auto"/>
        <w:ind w:firstLine="480"/>
        <w:rPr>
          <w:rFonts w:ascii="宋体" w:hAnsi="宋体"/>
          <w:highlight w:val="none"/>
        </w:rPr>
      </w:pPr>
      <w:r>
        <w:rPr>
          <w:rFonts w:ascii="宋体" w:hAnsi="宋体"/>
          <w:szCs w:val="24"/>
          <w:highlight w:val="none"/>
        </w:rPr>
        <w:t>经营期限：</w:t>
      </w:r>
      <w:r>
        <w:rPr>
          <w:rFonts w:hint="eastAsia" w:ascii="宋体" w:hAnsi="宋体"/>
          <w:szCs w:val="24"/>
          <w:highlight w:val="none"/>
          <w:u w:val="single"/>
        </w:rPr>
        <w:t xml:space="preserve">                                         </w:t>
      </w:r>
    </w:p>
    <w:p w14:paraId="71F77223">
      <w:pPr>
        <w:snapToGrid w:val="0"/>
        <w:spacing w:line="360" w:lineRule="auto"/>
        <w:ind w:firstLine="480"/>
        <w:rPr>
          <w:rFonts w:ascii="宋体" w:hAnsi="宋体"/>
          <w:highlight w:val="none"/>
          <w:u w:val="single"/>
        </w:rPr>
      </w:pPr>
      <w:r>
        <w:rPr>
          <w:rFonts w:ascii="宋体" w:hAnsi="宋体"/>
          <w:szCs w:val="24"/>
          <w:highlight w:val="none"/>
        </w:rPr>
        <w:t>姓名：</w:t>
      </w:r>
      <w:r>
        <w:rPr>
          <w:rFonts w:hint="eastAsia" w:ascii="宋体" w:hAnsi="宋体"/>
          <w:szCs w:val="24"/>
          <w:highlight w:val="none"/>
          <w:u w:val="single"/>
        </w:rPr>
        <w:t xml:space="preserve">             </w:t>
      </w:r>
      <w:r>
        <w:rPr>
          <w:rFonts w:ascii="宋体" w:hAnsi="宋体"/>
          <w:szCs w:val="24"/>
          <w:highlight w:val="none"/>
        </w:rPr>
        <w:t>性别：</w:t>
      </w:r>
      <w:r>
        <w:rPr>
          <w:rFonts w:hint="eastAsia" w:ascii="宋体" w:hAnsi="宋体"/>
          <w:szCs w:val="24"/>
          <w:highlight w:val="none"/>
          <w:u w:val="single"/>
        </w:rPr>
        <w:t xml:space="preserve">        </w:t>
      </w:r>
      <w:r>
        <w:rPr>
          <w:rFonts w:ascii="宋体" w:hAnsi="宋体"/>
          <w:szCs w:val="24"/>
          <w:highlight w:val="none"/>
        </w:rPr>
        <w:t>年龄：</w:t>
      </w:r>
      <w:r>
        <w:rPr>
          <w:rFonts w:hint="eastAsia" w:ascii="宋体" w:hAnsi="宋体"/>
          <w:szCs w:val="24"/>
          <w:highlight w:val="none"/>
          <w:u w:val="single"/>
        </w:rPr>
        <w:t xml:space="preserve">               </w:t>
      </w:r>
      <w:r>
        <w:rPr>
          <w:rFonts w:ascii="宋体" w:hAnsi="宋体"/>
          <w:szCs w:val="24"/>
          <w:highlight w:val="none"/>
        </w:rPr>
        <w:t>身份证号码</w:t>
      </w:r>
      <w:r>
        <w:rPr>
          <w:rFonts w:hint="eastAsia" w:ascii="宋体" w:hAnsi="宋体"/>
          <w:szCs w:val="24"/>
          <w:highlight w:val="none"/>
        </w:rPr>
        <w:t>：</w:t>
      </w:r>
      <w:r>
        <w:rPr>
          <w:rFonts w:hint="eastAsia" w:ascii="宋体" w:hAnsi="宋体"/>
          <w:szCs w:val="24"/>
          <w:highlight w:val="none"/>
          <w:u w:val="single"/>
        </w:rPr>
        <w:t xml:space="preserve">              </w:t>
      </w:r>
    </w:p>
    <w:p w14:paraId="76DD9878">
      <w:pPr>
        <w:snapToGrid w:val="0"/>
        <w:spacing w:line="360" w:lineRule="auto"/>
        <w:ind w:firstLine="480" w:firstLineChars="200"/>
        <w:rPr>
          <w:rFonts w:ascii="宋体" w:hAnsi="宋体"/>
          <w:highlight w:val="none"/>
        </w:rPr>
      </w:pPr>
      <w:r>
        <w:rPr>
          <w:rFonts w:hint="eastAsia" w:ascii="宋体" w:hAnsi="宋体"/>
          <w:szCs w:val="24"/>
          <w:highlight w:val="none"/>
        </w:rPr>
        <w:t>联系电话：</w:t>
      </w:r>
      <w:r>
        <w:rPr>
          <w:rFonts w:hint="eastAsia" w:ascii="宋体" w:hAnsi="宋体"/>
          <w:szCs w:val="24"/>
          <w:highlight w:val="none"/>
          <w:u w:val="single"/>
        </w:rPr>
        <w:t xml:space="preserve">         </w:t>
      </w:r>
      <w:r>
        <w:rPr>
          <w:rFonts w:ascii="宋体" w:hAnsi="宋体"/>
          <w:szCs w:val="24"/>
          <w:highlight w:val="none"/>
        </w:rPr>
        <w:t>职务：</w:t>
      </w:r>
      <w:r>
        <w:rPr>
          <w:rFonts w:hint="eastAsia" w:ascii="宋体" w:hAnsi="宋体"/>
          <w:szCs w:val="24"/>
          <w:highlight w:val="none"/>
          <w:u w:val="single"/>
        </w:rPr>
        <w:t xml:space="preserve"> </w:t>
      </w:r>
      <w:r>
        <w:rPr>
          <w:rFonts w:ascii="宋体" w:hAnsi="宋体"/>
          <w:szCs w:val="24"/>
          <w:highlight w:val="none"/>
          <w:u w:val="single"/>
        </w:rPr>
        <w:t xml:space="preserve">       </w:t>
      </w:r>
      <w:r>
        <w:rPr>
          <w:rFonts w:ascii="宋体" w:hAnsi="宋体"/>
          <w:szCs w:val="24"/>
          <w:highlight w:val="none"/>
        </w:rPr>
        <w:t>系</w:t>
      </w:r>
      <w:r>
        <w:rPr>
          <w:rFonts w:hint="eastAsia" w:ascii="宋体" w:hAnsi="宋体"/>
          <w:highlight w:val="none"/>
          <w:u w:val="single"/>
        </w:rPr>
        <w:t xml:space="preserve">                  </w:t>
      </w:r>
      <w:r>
        <w:rPr>
          <w:rFonts w:ascii="宋体" w:hAnsi="宋体"/>
          <w:szCs w:val="24"/>
          <w:highlight w:val="none"/>
        </w:rPr>
        <w:t>（投标人名称）的法定代表人。</w:t>
      </w:r>
    </w:p>
    <w:p w14:paraId="23EE9EB3">
      <w:pPr>
        <w:spacing w:line="360" w:lineRule="auto"/>
        <w:rPr>
          <w:rFonts w:hint="eastAsia" w:ascii="宋体" w:hAnsi="宋体"/>
          <w:szCs w:val="21"/>
          <w:highlight w:val="none"/>
        </w:rPr>
      </w:pPr>
    </w:p>
    <w:p w14:paraId="11029B71">
      <w:pPr>
        <w:spacing w:line="360" w:lineRule="auto"/>
        <w:rPr>
          <w:rFonts w:hint="eastAsia" w:ascii="宋体" w:hAnsi="宋体"/>
          <w:szCs w:val="21"/>
          <w:highlight w:val="none"/>
        </w:rPr>
      </w:pPr>
    </w:p>
    <w:p w14:paraId="3D1D30F5">
      <w:pPr>
        <w:spacing w:line="360" w:lineRule="auto"/>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特此证明。</w:t>
      </w:r>
    </w:p>
    <w:p w14:paraId="51534FD4">
      <w:pPr>
        <w:spacing w:line="360" w:lineRule="auto"/>
        <w:rPr>
          <w:rFonts w:hint="eastAsia" w:ascii="宋体" w:hAnsi="宋体"/>
          <w:szCs w:val="21"/>
          <w:highlight w:val="none"/>
        </w:rPr>
      </w:pPr>
    </w:p>
    <w:p w14:paraId="5E2779F7">
      <w:pPr>
        <w:spacing w:line="360" w:lineRule="auto"/>
        <w:rPr>
          <w:rFonts w:hint="eastAsia" w:ascii="宋体" w:hAnsi="宋体"/>
          <w:szCs w:val="21"/>
          <w:highlight w:val="none"/>
        </w:rPr>
      </w:pPr>
    </w:p>
    <w:p w14:paraId="59986177">
      <w:pPr>
        <w:spacing w:line="500" w:lineRule="exact"/>
        <w:ind w:firstLine="3840"/>
        <w:rPr>
          <w:rFonts w:ascii="宋体" w:hAnsi="宋体"/>
          <w:highlight w:val="none"/>
        </w:rPr>
      </w:pPr>
    </w:p>
    <w:p w14:paraId="30327A24">
      <w:pPr>
        <w:spacing w:line="500" w:lineRule="exact"/>
        <w:ind w:firstLine="3840"/>
        <w:rPr>
          <w:rFonts w:ascii="宋体" w:hAnsi="宋体"/>
          <w:highlight w:val="none"/>
        </w:rPr>
      </w:pPr>
      <w:r>
        <w:rPr>
          <w:rFonts w:ascii="宋体" w:hAnsi="宋体"/>
          <w:highlight w:val="none"/>
        </w:rPr>
        <w:t>投 标 人（</w:t>
      </w:r>
      <w:r>
        <w:rPr>
          <w:rFonts w:ascii="宋体" w:hAnsi="宋体"/>
          <w:szCs w:val="21"/>
          <w:highlight w:val="none"/>
        </w:rPr>
        <w:t>盖单位公章）</w:t>
      </w:r>
      <w:r>
        <w:rPr>
          <w:rFonts w:ascii="宋体" w:hAnsi="宋体"/>
          <w:highlight w:val="none"/>
        </w:rPr>
        <w:t>：</w:t>
      </w:r>
    </w:p>
    <w:p w14:paraId="4C861789">
      <w:pPr>
        <w:spacing w:line="360" w:lineRule="auto"/>
        <w:ind w:firstLine="5160"/>
        <w:rPr>
          <w:rFonts w:ascii="宋体" w:hAnsi="宋体"/>
          <w:highlight w:val="none"/>
        </w:rPr>
      </w:pPr>
    </w:p>
    <w:p w14:paraId="572AE948">
      <w:pPr>
        <w:spacing w:line="360" w:lineRule="auto"/>
        <w:jc w:val="right"/>
        <w:rPr>
          <w:rFonts w:ascii="宋体" w:hAnsi="宋体"/>
          <w:highlight w:val="none"/>
        </w:rPr>
      </w:pPr>
      <w:r>
        <w:rPr>
          <w:rFonts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5BE037C4">
      <w:pPr>
        <w:rPr>
          <w:rFonts w:ascii="宋体" w:hAnsi="宋体"/>
          <w:szCs w:val="21"/>
          <w:highlight w:val="none"/>
        </w:rPr>
      </w:pPr>
    </w:p>
    <w:p w14:paraId="36580EAF">
      <w:pPr>
        <w:spacing w:line="460" w:lineRule="exact"/>
        <w:rPr>
          <w:rFonts w:ascii="宋体" w:hAnsi="宋体"/>
          <w:b/>
          <w:highlight w:val="none"/>
        </w:rPr>
      </w:pPr>
    </w:p>
    <w:p w14:paraId="08C1486A">
      <w:pPr>
        <w:spacing w:line="460" w:lineRule="exact"/>
        <w:rPr>
          <w:rFonts w:ascii="宋体" w:hAnsi="宋体"/>
          <w:b/>
          <w:highlight w:val="none"/>
        </w:rPr>
      </w:pPr>
    </w:p>
    <w:p w14:paraId="625B997E">
      <w:pPr>
        <w:spacing w:line="460" w:lineRule="exact"/>
        <w:rPr>
          <w:rFonts w:ascii="宋体" w:hAnsi="宋体"/>
          <w:b/>
          <w:highlight w:val="none"/>
        </w:rPr>
      </w:pPr>
      <w:r>
        <w:rPr>
          <w:rFonts w:hint="eastAsia" w:ascii="宋体" w:hAnsi="宋体"/>
          <w:b/>
          <w:bCs/>
          <w:sz w:val="28"/>
          <w:szCs w:val="28"/>
          <w:highlight w:val="none"/>
        </w:rPr>
        <w:t>注：仅用于递交工程保函时出具，须采用线下盖章。</w:t>
      </w:r>
    </w:p>
    <w:p w14:paraId="5CB4F4CA">
      <w:pPr>
        <w:spacing w:line="460" w:lineRule="exact"/>
        <w:rPr>
          <w:rFonts w:ascii="宋体" w:hAnsi="宋体"/>
          <w:b/>
          <w:highlight w:val="none"/>
        </w:rPr>
      </w:pPr>
    </w:p>
    <w:p w14:paraId="6CA6C1BF">
      <w:pPr>
        <w:spacing w:line="460" w:lineRule="exact"/>
        <w:rPr>
          <w:rFonts w:ascii="宋体" w:hAnsi="宋体"/>
          <w:b/>
          <w:highlight w:val="none"/>
        </w:rPr>
      </w:pPr>
    </w:p>
    <w:p w14:paraId="3EA63C43">
      <w:pPr>
        <w:spacing w:line="460" w:lineRule="exact"/>
        <w:rPr>
          <w:rFonts w:ascii="宋体" w:hAnsi="宋体"/>
          <w:highlight w:val="none"/>
        </w:rPr>
      </w:pPr>
      <w:r>
        <w:rPr>
          <w:rFonts w:ascii="宋体" w:hAnsi="宋体"/>
          <w:b/>
          <w:highlight w:val="none"/>
        </w:rPr>
        <w:br w:type="page"/>
      </w:r>
      <w:r>
        <w:rPr>
          <w:rFonts w:ascii="宋体" w:hAnsi="宋体"/>
          <w:highlight w:val="none"/>
        </w:rPr>
        <w:t xml:space="preserve"> </w:t>
      </w:r>
    </w:p>
    <w:p w14:paraId="66272C15">
      <w:pPr>
        <w:spacing w:line="460" w:lineRule="exact"/>
        <w:jc w:val="center"/>
        <w:rPr>
          <w:rFonts w:ascii="宋体" w:hAnsi="宋体"/>
          <w:b/>
          <w:sz w:val="36"/>
          <w:highlight w:val="none"/>
        </w:rPr>
      </w:pPr>
      <w:r>
        <w:rPr>
          <w:rFonts w:ascii="宋体" w:hAnsi="宋体"/>
          <w:b/>
          <w:sz w:val="36"/>
          <w:highlight w:val="none"/>
        </w:rPr>
        <w:t>授权委托书</w:t>
      </w:r>
    </w:p>
    <w:p w14:paraId="084C086A">
      <w:pPr>
        <w:snapToGrid w:val="0"/>
        <w:spacing w:line="360" w:lineRule="auto"/>
        <w:ind w:firstLine="480"/>
        <w:rPr>
          <w:rFonts w:ascii="宋体" w:hAnsi="宋体"/>
          <w:b/>
          <w:szCs w:val="21"/>
          <w:highlight w:val="none"/>
        </w:rPr>
      </w:pPr>
    </w:p>
    <w:p w14:paraId="2BD49D57">
      <w:pPr>
        <w:snapToGrid w:val="0"/>
        <w:spacing w:line="360" w:lineRule="auto"/>
        <w:ind w:firstLine="480"/>
        <w:rPr>
          <w:rFonts w:ascii="宋体" w:hAnsi="宋体"/>
          <w:highlight w:val="none"/>
        </w:rPr>
      </w:pPr>
      <w:r>
        <w:rPr>
          <w:rFonts w:ascii="宋体" w:hAnsi="宋体"/>
          <w:szCs w:val="21"/>
          <w:highlight w:val="none"/>
        </w:rPr>
        <w:t>本人</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系</w:t>
      </w:r>
      <w:r>
        <w:rPr>
          <w:rFonts w:hint="eastAsia" w:ascii="宋体" w:hAnsi="宋体"/>
          <w:szCs w:val="21"/>
          <w:highlight w:val="none"/>
          <w:u w:val="single"/>
        </w:rPr>
        <w:t xml:space="preserve">       </w:t>
      </w:r>
      <w:r>
        <w:rPr>
          <w:rFonts w:ascii="宋体" w:hAnsi="宋体"/>
          <w:szCs w:val="21"/>
          <w:highlight w:val="none"/>
          <w:u w:val="single"/>
        </w:rPr>
        <w:t>（投标人名称）</w:t>
      </w:r>
      <w:r>
        <w:rPr>
          <w:rFonts w:ascii="宋体" w:hAnsi="宋体"/>
          <w:szCs w:val="21"/>
          <w:highlight w:val="none"/>
        </w:rPr>
        <w:t>的法定代表人，现委托</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为我方代理人。代理人根据授权，在投标有效期满前以我方名义签署、澄清、说明、补正、递交</w:t>
      </w:r>
      <w:r>
        <w:rPr>
          <w:rFonts w:ascii="宋体" w:hAnsi="宋体"/>
          <w:szCs w:val="24"/>
          <w:highlight w:val="none"/>
        </w:rPr>
        <w:t>、撤回、修改</w:t>
      </w:r>
      <w:r>
        <w:rPr>
          <w:rFonts w:hint="eastAsia" w:ascii="宋体" w:hAnsi="宋体"/>
          <w:szCs w:val="24"/>
          <w:highlight w:val="none"/>
          <w:u w:val="single"/>
        </w:rPr>
        <w:t xml:space="preserve">             </w:t>
      </w:r>
      <w:r>
        <w:rPr>
          <w:rFonts w:ascii="宋体" w:hAnsi="宋体"/>
          <w:szCs w:val="24"/>
          <w:highlight w:val="none"/>
        </w:rPr>
        <w:t>（项目名称）投标</w:t>
      </w:r>
      <w:r>
        <w:rPr>
          <w:rFonts w:ascii="宋体" w:hAnsi="宋体"/>
          <w:szCs w:val="21"/>
          <w:highlight w:val="none"/>
        </w:rPr>
        <w:t>文件、</w:t>
      </w:r>
      <w:r>
        <w:rPr>
          <w:rFonts w:hint="eastAsia" w:ascii="宋体" w:hAnsi="宋体"/>
          <w:szCs w:val="21"/>
          <w:highlight w:val="none"/>
        </w:rPr>
        <w:t>递交投标保证金保函等相关资料、</w:t>
      </w:r>
      <w:r>
        <w:rPr>
          <w:rFonts w:ascii="宋体" w:hAnsi="宋体"/>
          <w:szCs w:val="21"/>
          <w:highlight w:val="none"/>
        </w:rPr>
        <w:t>出席开标会议、签订合同和处理有关事宜，其法律后果由我方承担。</w:t>
      </w:r>
    </w:p>
    <w:p w14:paraId="55C49C99">
      <w:pPr>
        <w:snapToGrid w:val="0"/>
        <w:spacing w:line="360" w:lineRule="auto"/>
        <w:ind w:firstLine="480"/>
        <w:rPr>
          <w:rFonts w:ascii="宋体" w:hAnsi="宋体"/>
          <w:highlight w:val="none"/>
        </w:rPr>
      </w:pPr>
      <w:r>
        <w:rPr>
          <w:rFonts w:ascii="宋体" w:hAnsi="宋体"/>
          <w:szCs w:val="21"/>
          <w:highlight w:val="none"/>
        </w:rPr>
        <w:t>代理人无转委托权。</w:t>
      </w:r>
    </w:p>
    <w:p w14:paraId="6CF528B3">
      <w:pPr>
        <w:snapToGrid w:val="0"/>
        <w:spacing w:line="360" w:lineRule="auto"/>
        <w:ind w:firstLine="480"/>
        <w:rPr>
          <w:rFonts w:ascii="宋体" w:hAnsi="宋体"/>
          <w:highlight w:val="none"/>
        </w:rPr>
      </w:pPr>
      <w:r>
        <w:rPr>
          <w:rFonts w:ascii="宋体" w:hAnsi="宋体"/>
          <w:szCs w:val="21"/>
          <w:highlight w:val="none"/>
        </w:rPr>
        <w:t>附：</w:t>
      </w:r>
      <w:r>
        <w:rPr>
          <w:rFonts w:hint="eastAsia" w:ascii="宋体" w:hAnsi="宋体"/>
          <w:szCs w:val="21"/>
          <w:highlight w:val="none"/>
        </w:rPr>
        <w:t>法定代表人</w:t>
      </w:r>
      <w:r>
        <w:rPr>
          <w:rFonts w:ascii="宋体" w:hAnsi="宋体"/>
          <w:szCs w:val="21"/>
          <w:highlight w:val="none"/>
        </w:rPr>
        <w:t>身份证明</w:t>
      </w:r>
    </w:p>
    <w:p w14:paraId="5CD8C3C9">
      <w:pPr>
        <w:snapToGrid w:val="0"/>
        <w:spacing w:line="360" w:lineRule="auto"/>
        <w:ind w:firstLine="480"/>
        <w:rPr>
          <w:rFonts w:ascii="宋体" w:hAnsi="宋体"/>
          <w:szCs w:val="21"/>
          <w:highlight w:val="none"/>
        </w:rPr>
      </w:pPr>
    </w:p>
    <w:p w14:paraId="48C18386">
      <w:pPr>
        <w:snapToGrid w:val="0"/>
        <w:spacing w:line="360" w:lineRule="auto"/>
        <w:ind w:firstLine="3360" w:firstLineChars="1400"/>
        <w:rPr>
          <w:rFonts w:ascii="宋体" w:hAnsi="宋体"/>
          <w:highlight w:val="none"/>
        </w:rPr>
      </w:pPr>
      <w:r>
        <w:rPr>
          <w:rFonts w:ascii="宋体" w:hAnsi="宋体"/>
          <w:szCs w:val="21"/>
          <w:highlight w:val="none"/>
        </w:rPr>
        <w:t>投标人：</w:t>
      </w:r>
      <w:r>
        <w:rPr>
          <w:rFonts w:hint="eastAsia" w:ascii="宋体" w:hAnsi="宋体"/>
          <w:szCs w:val="21"/>
          <w:highlight w:val="none"/>
          <w:u w:val="single"/>
        </w:rPr>
        <w:t xml:space="preserve">              </w:t>
      </w:r>
      <w:r>
        <w:rPr>
          <w:rFonts w:ascii="宋体" w:hAnsi="宋体"/>
          <w:szCs w:val="21"/>
          <w:highlight w:val="none"/>
        </w:rPr>
        <w:t>（盖单位</w:t>
      </w:r>
      <w:r>
        <w:rPr>
          <w:rFonts w:ascii="宋体" w:hAnsi="宋体"/>
          <w:szCs w:val="24"/>
          <w:highlight w:val="none"/>
        </w:rPr>
        <w:t>公</w:t>
      </w:r>
      <w:r>
        <w:rPr>
          <w:rFonts w:ascii="宋体" w:hAnsi="宋体"/>
          <w:szCs w:val="21"/>
          <w:highlight w:val="none"/>
        </w:rPr>
        <w:t>章）</w:t>
      </w:r>
    </w:p>
    <w:p w14:paraId="3E1AB528">
      <w:pPr>
        <w:snapToGrid w:val="0"/>
        <w:spacing w:line="360" w:lineRule="auto"/>
        <w:ind w:firstLine="3360"/>
        <w:rPr>
          <w:rFonts w:ascii="宋体" w:hAnsi="宋体"/>
          <w:highlight w:val="none"/>
        </w:rPr>
      </w:pPr>
      <w:r>
        <w:rPr>
          <w:rFonts w:ascii="宋体" w:hAnsi="宋体"/>
          <w:szCs w:val="21"/>
          <w:highlight w:val="none"/>
        </w:rPr>
        <w:t>法定代表人：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606B3E1B">
      <w:pPr>
        <w:snapToGrid w:val="0"/>
        <w:spacing w:line="360" w:lineRule="auto"/>
        <w:ind w:firstLine="3360"/>
        <w:rPr>
          <w:rFonts w:ascii="宋体" w:hAnsi="宋体"/>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19D41270">
      <w:pPr>
        <w:snapToGrid w:val="0"/>
        <w:spacing w:line="360" w:lineRule="auto"/>
        <w:ind w:firstLine="3360"/>
        <w:rPr>
          <w:rFonts w:ascii="宋体" w:hAnsi="宋体"/>
          <w:highlight w:val="none"/>
        </w:rPr>
      </w:pPr>
      <w:r>
        <w:rPr>
          <w:rFonts w:ascii="宋体" w:hAnsi="宋体"/>
          <w:szCs w:val="21"/>
          <w:highlight w:val="none"/>
        </w:rPr>
        <w:t>委托代理人：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4BDB3361">
      <w:pPr>
        <w:snapToGrid w:val="0"/>
        <w:spacing w:line="360" w:lineRule="auto"/>
        <w:ind w:firstLine="3360"/>
        <w:rPr>
          <w:rFonts w:hint="eastAsia" w:ascii="宋体" w:hAnsi="宋体"/>
          <w:szCs w:val="21"/>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2293253D">
      <w:pPr>
        <w:pStyle w:val="40"/>
        <w:ind w:firstLine="2880" w:firstLineChars="1200"/>
        <w:rPr>
          <w:highlight w:val="none"/>
        </w:rPr>
      </w:pPr>
      <w:r>
        <w:rPr>
          <w:rFonts w:hint="eastAsia" w:ascii="宋体" w:hAnsi="宋体" w:eastAsia="宋体" w:cs="Times New Roman"/>
          <w:sz w:val="24"/>
          <w:szCs w:val="21"/>
          <w:highlight w:val="none"/>
          <w:lang w:val="en-US" w:eastAsia="zh-CN" w:bidi="ar-SA"/>
        </w:rPr>
        <w:t>联系电话：</w:t>
      </w:r>
      <w:r>
        <w:rPr>
          <w:rFonts w:hint="eastAsia" w:ascii="宋体" w:hAnsi="宋体"/>
          <w:szCs w:val="24"/>
          <w:highlight w:val="none"/>
          <w:u w:val="single"/>
        </w:rPr>
        <w:t xml:space="preserve">                       </w:t>
      </w:r>
    </w:p>
    <w:p w14:paraId="33334099">
      <w:pPr>
        <w:snapToGrid w:val="0"/>
        <w:spacing w:line="360" w:lineRule="auto"/>
        <w:ind w:firstLine="5040"/>
        <w:rPr>
          <w:rFonts w:ascii="宋体" w:hAnsi="宋体"/>
          <w:highlight w:val="none"/>
        </w:rPr>
      </w:pP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日</w:t>
      </w:r>
    </w:p>
    <w:p w14:paraId="1A3D86A7">
      <w:pPr>
        <w:snapToGrid w:val="0"/>
        <w:spacing w:line="360" w:lineRule="auto"/>
        <w:ind w:firstLine="210"/>
        <w:rPr>
          <w:rFonts w:hint="eastAsia" w:ascii="宋体" w:hAnsi="宋体"/>
          <w:highlight w:val="none"/>
        </w:rPr>
      </w:pPr>
    </w:p>
    <w:p w14:paraId="6030D26C">
      <w:pPr>
        <w:snapToGrid w:val="0"/>
        <w:spacing w:line="360" w:lineRule="auto"/>
        <w:ind w:firstLine="210"/>
        <w:rPr>
          <w:rFonts w:hint="eastAsia" w:ascii="宋体" w:hAnsi="宋体"/>
          <w:highlight w:val="none"/>
        </w:rPr>
      </w:pPr>
    </w:p>
    <w:p w14:paraId="79B624D2">
      <w:pPr>
        <w:snapToGrid w:val="0"/>
        <w:spacing w:line="360" w:lineRule="auto"/>
        <w:ind w:firstLine="210"/>
        <w:rPr>
          <w:rFonts w:hint="eastAsia" w:ascii="宋体" w:hAnsi="宋体"/>
          <w:highlight w:val="none"/>
        </w:rPr>
      </w:pPr>
    </w:p>
    <w:p w14:paraId="257AE36F">
      <w:pPr>
        <w:snapToGrid w:val="0"/>
        <w:spacing w:line="360" w:lineRule="auto"/>
        <w:ind w:firstLine="210"/>
        <w:rPr>
          <w:rFonts w:hint="eastAsia" w:ascii="宋体" w:hAnsi="宋体"/>
          <w:highlight w:val="none"/>
        </w:rPr>
      </w:pPr>
      <w:bookmarkStart w:id="783" w:name="_GoBack"/>
      <w:bookmarkEnd w:id="783"/>
    </w:p>
    <w:p w14:paraId="2FE11366">
      <w:pPr>
        <w:snapToGrid w:val="0"/>
        <w:spacing w:line="360" w:lineRule="auto"/>
        <w:ind w:firstLine="210"/>
        <w:rPr>
          <w:rFonts w:hint="eastAsia" w:ascii="宋体" w:hAnsi="宋体"/>
          <w:highlight w:val="none"/>
        </w:rPr>
      </w:pPr>
    </w:p>
    <w:p w14:paraId="28446175">
      <w:pPr>
        <w:pStyle w:val="40"/>
        <w:ind w:firstLine="240"/>
        <w:rPr>
          <w:rFonts w:hint="eastAsia" w:ascii="宋体" w:hAnsi="宋体"/>
          <w:highlight w:val="none"/>
        </w:rPr>
      </w:pPr>
      <w:r>
        <w:rPr>
          <w:rFonts w:ascii="宋体" w:hAnsi="宋体"/>
          <w:highlight w:val="none"/>
        </w:rPr>
        <w:t>注：1.法定代表人和委托代理人均应在本授权委托书上签字，不得使用印章、签名章或其他电子制版签名。</w:t>
      </w:r>
    </w:p>
    <w:p w14:paraId="55E8ECF5">
      <w:pPr>
        <w:pStyle w:val="40"/>
        <w:ind w:firstLine="240"/>
        <w:rPr>
          <w:rFonts w:ascii="宋体" w:hAnsi="宋体"/>
          <w:highlight w:val="none"/>
        </w:rPr>
      </w:pPr>
      <w:r>
        <w:rPr>
          <w:rFonts w:hint="eastAsia" w:ascii="宋体" w:hAnsi="宋体"/>
          <w:highlight w:val="none"/>
        </w:rPr>
        <w:t>2. 仅用于递交工程保函时出具，须采用线下盖章。</w:t>
      </w:r>
    </w:p>
    <w:p w14:paraId="08CB25A2">
      <w:pPr>
        <w:rPr>
          <w:rFonts w:hint="eastAsia"/>
          <w:highlight w:val="none"/>
        </w:rPr>
      </w:pPr>
    </w:p>
    <w:p w14:paraId="2C4F2B3A">
      <w:pPr>
        <w:spacing w:line="360" w:lineRule="auto"/>
        <w:rPr>
          <w:highlight w:val="none"/>
        </w:rPr>
      </w:pPr>
    </w:p>
    <w:p w14:paraId="7368480B">
      <w:pPr>
        <w:pStyle w:val="14"/>
        <w:rPr>
          <w:highlight w:val="none"/>
        </w:rPr>
      </w:pPr>
    </w:p>
    <w:sectPr>
      <w:pgSz w:w="12240" w:h="15840"/>
      <w:pgMar w:top="1400" w:right="1718" w:bottom="1123" w:left="1718" w:header="0" w:footer="919" w:gutter="0"/>
      <w:cols w:space="720" w:num="1"/>
    </w:sectPr>
  </w:body>
</w:document>
</file>

<file path=word/customizations.xml><?xml version="1.0" encoding="utf-8"?>
<wne:tcg xmlns:r="http://schemas.openxmlformats.org/officeDocument/2006/relationships" xmlns:wne="http://schemas.microsoft.com/office/word/2006/wordml">
  <wne:keymaps>
    <wne:keymap wne:kcmPrimary="04BC">
      <wne:acd wne:acdName="acd0"/>
    </wne:keymap>
  </wne:keymaps>
  <wne:acds>
    <wne:acd wne:argValue="AQAAABM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S?o｡ﾀ?">
    <w:altName w:val="Yu Gothic"/>
    <w:panose1 w:val="00000000000000000000"/>
    <w:charset w:val="80"/>
    <w:family w:val="modern"/>
    <w:pitch w:val="default"/>
    <w:sig w:usb0="00000000" w:usb1="00000000" w:usb2="00000010" w:usb3="00000000" w:csb0="00020000" w:csb1="00000000"/>
  </w:font>
  <w:font w:name="Microsoft JhengHei">
    <w:panose1 w:val="020B0604030504040204"/>
    <w:charset w:val="88"/>
    <w:family w:val="swiss"/>
    <w:pitch w:val="default"/>
    <w:sig w:usb0="000002A7" w:usb1="28CF4400" w:usb2="00000016" w:usb3="00000000" w:csb0="00100009"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12D3C">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14:paraId="675116E4">
                          <w:pPr>
                            <w:pStyle w:val="12"/>
                            <w:jc w:val="center"/>
                          </w:pPr>
                          <w:r>
                            <w:fldChar w:fldCharType="begin"/>
                          </w:r>
                          <w:r>
                            <w:instrText xml:space="preserve">PAGE   \* MERGEFORMAT</w:instrText>
                          </w:r>
                          <w:r>
                            <w:fldChar w:fldCharType="separate"/>
                          </w:r>
                          <w:r>
                            <w:rPr>
                              <w:lang w:val="zh-CN"/>
                            </w:rPr>
                            <w:t>11</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fknQAAAAAwEAAA8AAAAAAAAAAQAgAAAAIgAAAGRycy9kb3ducmV2LnhtbFBLAQIUABQAAAAI&#10;AIdO4kA/j8Km9QEAAOADAAAOAAAAAAAAAAEAIAAAAB8BAABkcnMvZTJvRG9jLnhtbFBLBQYAAAAA&#10;BgAGAFkBAACGBQAAAAA=&#10;">
              <v:fill on="f" focussize="0,0"/>
              <v:stroke on="f"/>
              <v:imagedata o:title=""/>
              <o:lock v:ext="edit" aspectratio="f"/>
              <v:textbox inset="0mm,0mm,0mm,0mm" style="mso-fit-shape-to-text:t;">
                <w:txbxContent>
                  <w:p w14:paraId="675116E4">
                    <w:pPr>
                      <w:pStyle w:val="12"/>
                      <w:jc w:val="center"/>
                    </w:pPr>
                    <w:r>
                      <w:fldChar w:fldCharType="begin"/>
                    </w:r>
                    <w:r>
                      <w:instrText xml:space="preserve">PAGE   \* MERGEFORMAT</w:instrText>
                    </w:r>
                    <w:r>
                      <w:fldChar w:fldCharType="separate"/>
                    </w:r>
                    <w:r>
                      <w:rPr>
                        <w:lang w:val="zh-CN"/>
                      </w:rPr>
                      <w:t>11</w:t>
                    </w:r>
                    <w:r>
                      <w:rPr>
                        <w:lang w:val="zh-CN"/>
                      </w:rPr>
                      <w:fldChar w:fldCharType="end"/>
                    </w:r>
                  </w:p>
                </w:txbxContent>
              </v:textbox>
            </v:shape>
          </w:pict>
        </mc:Fallback>
      </mc:AlternateContent>
    </w:r>
  </w:p>
  <w:p w14:paraId="6BF2A2EE">
    <w:pPr>
      <w:pStyle w:val="8"/>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14840">
    <w:pPr>
      <w:pStyle w:val="12"/>
      <w:jc w:val="center"/>
    </w:pPr>
    <w:r>
      <w:fldChar w:fldCharType="begin"/>
    </w:r>
    <w:r>
      <w:instrText xml:space="preserve">PAGE   \* MERGEFORMAT</w:instrText>
    </w:r>
    <w:r>
      <w:fldChar w:fldCharType="separate"/>
    </w:r>
    <w:r>
      <w:rPr>
        <w:lang w:val="zh-CN"/>
      </w:rPr>
      <w:t>34</w:t>
    </w:r>
    <w:r>
      <w:rPr>
        <w:lang w:val="zh-CN"/>
      </w:rPr>
      <w:fldChar w:fldCharType="end"/>
    </w:r>
  </w:p>
  <w:p w14:paraId="68FA0F9A">
    <w:pPr>
      <w:pStyle w:val="8"/>
      <w:kinsoku w:val="0"/>
      <w:overflowPunct w:val="0"/>
      <w:spacing w:line="14" w:lineRule="auto"/>
      <w:ind w:left="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2DAE6">
    <w:pPr>
      <w:pStyle w:val="12"/>
      <w:jc w:val="center"/>
    </w:pPr>
    <w:r>
      <w:fldChar w:fldCharType="begin"/>
    </w:r>
    <w:r>
      <w:rPr>
        <w:rStyle w:val="24"/>
      </w:rPr>
      <w:instrText xml:space="preserve"> PAGE </w:instrText>
    </w:r>
    <w:r>
      <w:fldChar w:fldCharType="separate"/>
    </w:r>
    <w:r>
      <w:rPr>
        <w:rStyle w:val="24"/>
      </w:rPr>
      <w:t>64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5D955">
    <w:pPr>
      <w:pStyle w:val="12"/>
      <w:jc w:val="center"/>
    </w:pPr>
    <w:r>
      <w:fldChar w:fldCharType="begin"/>
    </w:r>
    <w:r>
      <w:rPr>
        <w:rStyle w:val="24"/>
      </w:rPr>
      <w:instrText xml:space="preserve"> PAGE </w:instrText>
    </w:r>
    <w:r>
      <w:fldChar w:fldCharType="separate"/>
    </w:r>
    <w:r>
      <w:rPr>
        <w:rStyle w:val="24"/>
      </w:rPr>
      <w:t>95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54621"/>
    <w:multiLevelType w:val="singleLevel"/>
    <w:tmpl w:val="80F54621"/>
    <w:lvl w:ilvl="0" w:tentative="0">
      <w:start w:val="1"/>
      <w:numFmt w:val="decimal"/>
      <w:lvlText w:val="%1)"/>
      <w:lvlJc w:val="left"/>
      <w:pPr>
        <w:ind w:left="425" w:hanging="425"/>
      </w:pPr>
      <w:rPr>
        <w:rFonts w:hint="default"/>
      </w:rPr>
    </w:lvl>
  </w:abstractNum>
  <w:abstractNum w:abstractNumId="1">
    <w:nsid w:val="880824C8"/>
    <w:multiLevelType w:val="singleLevel"/>
    <w:tmpl w:val="880824C8"/>
    <w:lvl w:ilvl="0" w:tentative="0">
      <w:start w:val="1"/>
      <w:numFmt w:val="decimal"/>
      <w:suff w:val="nothing"/>
      <w:lvlText w:val="%1．"/>
      <w:lvlJc w:val="left"/>
      <w:pPr>
        <w:ind w:left="0" w:firstLine="400"/>
      </w:pPr>
      <w:rPr>
        <w:rFonts w:hint="default"/>
      </w:rPr>
    </w:lvl>
  </w:abstractNum>
  <w:abstractNum w:abstractNumId="2">
    <w:nsid w:val="8D3254E8"/>
    <w:multiLevelType w:val="multilevel"/>
    <w:tmpl w:val="8D3254E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8D579962"/>
    <w:multiLevelType w:val="singleLevel"/>
    <w:tmpl w:val="8D579962"/>
    <w:lvl w:ilvl="0" w:tentative="0">
      <w:start w:val="1"/>
      <w:numFmt w:val="decimal"/>
      <w:lvlText w:val="%1."/>
      <w:lvlJc w:val="left"/>
      <w:pPr>
        <w:tabs>
          <w:tab w:val="left" w:pos="312"/>
        </w:tabs>
      </w:pPr>
    </w:lvl>
  </w:abstractNum>
  <w:abstractNum w:abstractNumId="4">
    <w:nsid w:val="904D2753"/>
    <w:multiLevelType w:val="singleLevel"/>
    <w:tmpl w:val="904D2753"/>
    <w:lvl w:ilvl="0" w:tentative="0">
      <w:start w:val="1"/>
      <w:numFmt w:val="decimal"/>
      <w:suff w:val="nothing"/>
      <w:lvlText w:val="%1．"/>
      <w:lvlJc w:val="left"/>
      <w:pPr>
        <w:ind w:left="0" w:firstLine="400"/>
      </w:pPr>
      <w:rPr>
        <w:rFonts w:hint="default"/>
      </w:rPr>
    </w:lvl>
  </w:abstractNum>
  <w:abstractNum w:abstractNumId="5">
    <w:nsid w:val="90699196"/>
    <w:multiLevelType w:val="singleLevel"/>
    <w:tmpl w:val="90699196"/>
    <w:lvl w:ilvl="0" w:tentative="0">
      <w:start w:val="1"/>
      <w:numFmt w:val="decimal"/>
      <w:suff w:val="nothing"/>
      <w:lvlText w:val="%1．"/>
      <w:lvlJc w:val="left"/>
      <w:pPr>
        <w:ind w:left="0" w:firstLine="400"/>
      </w:pPr>
      <w:rPr>
        <w:rFonts w:hint="default"/>
      </w:rPr>
    </w:lvl>
  </w:abstractNum>
  <w:abstractNum w:abstractNumId="6">
    <w:nsid w:val="99E0897A"/>
    <w:multiLevelType w:val="singleLevel"/>
    <w:tmpl w:val="99E0897A"/>
    <w:lvl w:ilvl="0" w:tentative="0">
      <w:start w:val="1"/>
      <w:numFmt w:val="decimal"/>
      <w:lvlText w:val="%1)"/>
      <w:lvlJc w:val="left"/>
      <w:pPr>
        <w:ind w:left="425" w:hanging="425"/>
      </w:pPr>
      <w:rPr>
        <w:rFonts w:hint="default"/>
      </w:rPr>
    </w:lvl>
  </w:abstractNum>
  <w:abstractNum w:abstractNumId="7">
    <w:nsid w:val="A09D382C"/>
    <w:multiLevelType w:val="multilevel"/>
    <w:tmpl w:val="A09D382C"/>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A3F3A82F"/>
    <w:multiLevelType w:val="singleLevel"/>
    <w:tmpl w:val="A3F3A82F"/>
    <w:lvl w:ilvl="0" w:tentative="0">
      <w:start w:val="1"/>
      <w:numFmt w:val="decimal"/>
      <w:lvlText w:val="%1."/>
      <w:lvlJc w:val="left"/>
      <w:pPr>
        <w:ind w:left="425" w:hanging="425"/>
      </w:pPr>
      <w:rPr>
        <w:rFonts w:hint="default"/>
      </w:rPr>
    </w:lvl>
  </w:abstractNum>
  <w:abstractNum w:abstractNumId="9">
    <w:nsid w:val="A72E4FD2"/>
    <w:multiLevelType w:val="singleLevel"/>
    <w:tmpl w:val="A72E4FD2"/>
    <w:lvl w:ilvl="0" w:tentative="0">
      <w:start w:val="1"/>
      <w:numFmt w:val="decimal"/>
      <w:lvlText w:val="%1."/>
      <w:lvlJc w:val="left"/>
      <w:pPr>
        <w:ind w:left="425" w:hanging="425"/>
      </w:pPr>
      <w:rPr>
        <w:rFonts w:hint="default"/>
      </w:rPr>
    </w:lvl>
  </w:abstractNum>
  <w:abstractNum w:abstractNumId="10">
    <w:nsid w:val="AAB13C32"/>
    <w:multiLevelType w:val="singleLevel"/>
    <w:tmpl w:val="AAB13C32"/>
    <w:lvl w:ilvl="0" w:tentative="0">
      <w:start w:val="1"/>
      <w:numFmt w:val="decimal"/>
      <w:lvlText w:val="%1."/>
      <w:lvlJc w:val="left"/>
      <w:pPr>
        <w:ind w:left="425" w:hanging="425"/>
      </w:pPr>
      <w:rPr>
        <w:rFonts w:hint="default"/>
      </w:rPr>
    </w:lvl>
  </w:abstractNum>
  <w:abstractNum w:abstractNumId="11">
    <w:nsid w:val="AFCC745F"/>
    <w:multiLevelType w:val="singleLevel"/>
    <w:tmpl w:val="AFCC745F"/>
    <w:lvl w:ilvl="0" w:tentative="0">
      <w:start w:val="1"/>
      <w:numFmt w:val="decimalEnclosedCircleChinese"/>
      <w:suff w:val="nothing"/>
      <w:lvlText w:val="%1　"/>
      <w:lvlJc w:val="left"/>
      <w:pPr>
        <w:ind w:left="0" w:firstLine="400"/>
      </w:pPr>
      <w:rPr>
        <w:rFonts w:hint="eastAsia"/>
      </w:rPr>
    </w:lvl>
  </w:abstractNum>
  <w:abstractNum w:abstractNumId="12">
    <w:nsid w:val="B41A13A2"/>
    <w:multiLevelType w:val="singleLevel"/>
    <w:tmpl w:val="B41A13A2"/>
    <w:lvl w:ilvl="0" w:tentative="0">
      <w:start w:val="1"/>
      <w:numFmt w:val="decimalEnclosedCircleChinese"/>
      <w:suff w:val="nothing"/>
      <w:lvlText w:val="%1　"/>
      <w:lvlJc w:val="left"/>
      <w:pPr>
        <w:ind w:left="0" w:firstLine="400"/>
      </w:pPr>
      <w:rPr>
        <w:rFonts w:hint="eastAsia"/>
      </w:rPr>
    </w:lvl>
  </w:abstractNum>
  <w:abstractNum w:abstractNumId="13">
    <w:nsid w:val="B928BC53"/>
    <w:multiLevelType w:val="singleLevel"/>
    <w:tmpl w:val="B928BC53"/>
    <w:lvl w:ilvl="0" w:tentative="0">
      <w:start w:val="1"/>
      <w:numFmt w:val="decimal"/>
      <w:lvlText w:val="%1."/>
      <w:lvlJc w:val="left"/>
      <w:pPr>
        <w:ind w:left="425" w:hanging="425"/>
      </w:pPr>
      <w:rPr>
        <w:rFonts w:hint="default"/>
      </w:rPr>
    </w:lvl>
  </w:abstractNum>
  <w:abstractNum w:abstractNumId="14">
    <w:nsid w:val="B9CC46B1"/>
    <w:multiLevelType w:val="singleLevel"/>
    <w:tmpl w:val="B9CC46B1"/>
    <w:lvl w:ilvl="0" w:tentative="0">
      <w:start w:val="1"/>
      <w:numFmt w:val="decimal"/>
      <w:lvlText w:val="(%1)"/>
      <w:lvlJc w:val="left"/>
      <w:pPr>
        <w:ind w:left="425" w:hanging="425"/>
      </w:pPr>
      <w:rPr>
        <w:rFonts w:hint="default"/>
      </w:rPr>
    </w:lvl>
  </w:abstractNum>
  <w:abstractNum w:abstractNumId="15">
    <w:nsid w:val="CA998872"/>
    <w:multiLevelType w:val="singleLevel"/>
    <w:tmpl w:val="CA998872"/>
    <w:lvl w:ilvl="0" w:tentative="0">
      <w:start w:val="1"/>
      <w:numFmt w:val="decimalEnclosedCircleChinese"/>
      <w:suff w:val="nothing"/>
      <w:lvlText w:val="%1　"/>
      <w:lvlJc w:val="left"/>
      <w:pPr>
        <w:ind w:left="0" w:firstLine="400"/>
      </w:pPr>
      <w:rPr>
        <w:rFonts w:hint="eastAsia"/>
      </w:rPr>
    </w:lvl>
  </w:abstractNum>
  <w:abstractNum w:abstractNumId="16">
    <w:nsid w:val="CC29FB9A"/>
    <w:multiLevelType w:val="singleLevel"/>
    <w:tmpl w:val="CC29FB9A"/>
    <w:lvl w:ilvl="0" w:tentative="0">
      <w:start w:val="1"/>
      <w:numFmt w:val="decimal"/>
      <w:lvlText w:val="(%1)"/>
      <w:lvlJc w:val="left"/>
      <w:pPr>
        <w:ind w:left="425" w:hanging="425"/>
      </w:pPr>
      <w:rPr>
        <w:rFonts w:hint="default"/>
      </w:rPr>
    </w:lvl>
  </w:abstractNum>
  <w:abstractNum w:abstractNumId="17">
    <w:nsid w:val="CD0DDC5F"/>
    <w:multiLevelType w:val="singleLevel"/>
    <w:tmpl w:val="CD0DDC5F"/>
    <w:lvl w:ilvl="0" w:tentative="0">
      <w:start w:val="1"/>
      <w:numFmt w:val="lowerLetter"/>
      <w:lvlText w:val="%1."/>
      <w:lvlJc w:val="left"/>
      <w:pPr>
        <w:ind w:left="425" w:hanging="425"/>
      </w:pPr>
      <w:rPr>
        <w:rFonts w:hint="default"/>
      </w:rPr>
    </w:lvl>
  </w:abstractNum>
  <w:abstractNum w:abstractNumId="18">
    <w:nsid w:val="CF99C52F"/>
    <w:multiLevelType w:val="singleLevel"/>
    <w:tmpl w:val="CF99C52F"/>
    <w:lvl w:ilvl="0" w:tentative="0">
      <w:start w:val="1"/>
      <w:numFmt w:val="chineseCounting"/>
      <w:suff w:val="nothing"/>
      <w:lvlText w:val="（%1）"/>
      <w:lvlJc w:val="left"/>
      <w:pPr>
        <w:ind w:left="0" w:firstLine="420"/>
      </w:pPr>
      <w:rPr>
        <w:rFonts w:hint="eastAsia"/>
      </w:rPr>
    </w:lvl>
  </w:abstractNum>
  <w:abstractNum w:abstractNumId="19">
    <w:nsid w:val="CFB98F06"/>
    <w:multiLevelType w:val="singleLevel"/>
    <w:tmpl w:val="CFB98F06"/>
    <w:lvl w:ilvl="0" w:tentative="0">
      <w:start w:val="1"/>
      <w:numFmt w:val="lowerLetter"/>
      <w:lvlText w:val="%1."/>
      <w:lvlJc w:val="left"/>
      <w:pPr>
        <w:ind w:left="425" w:hanging="425"/>
      </w:pPr>
      <w:rPr>
        <w:rFonts w:hint="default"/>
      </w:rPr>
    </w:lvl>
  </w:abstractNum>
  <w:abstractNum w:abstractNumId="20">
    <w:nsid w:val="DB0F2ED7"/>
    <w:multiLevelType w:val="singleLevel"/>
    <w:tmpl w:val="DB0F2ED7"/>
    <w:lvl w:ilvl="0" w:tentative="0">
      <w:start w:val="1"/>
      <w:numFmt w:val="decimalEnclosedCircleChinese"/>
      <w:suff w:val="nothing"/>
      <w:lvlText w:val="%1　"/>
      <w:lvlJc w:val="left"/>
      <w:pPr>
        <w:ind w:left="0" w:firstLine="400"/>
      </w:pPr>
      <w:rPr>
        <w:rFonts w:hint="eastAsia"/>
      </w:rPr>
    </w:lvl>
  </w:abstractNum>
  <w:abstractNum w:abstractNumId="21">
    <w:nsid w:val="DF7749CF"/>
    <w:multiLevelType w:val="singleLevel"/>
    <w:tmpl w:val="DF7749CF"/>
    <w:lvl w:ilvl="0" w:tentative="0">
      <w:start w:val="1"/>
      <w:numFmt w:val="decimal"/>
      <w:lvlText w:val="%1."/>
      <w:lvlJc w:val="left"/>
      <w:pPr>
        <w:ind w:left="425" w:hanging="425"/>
      </w:pPr>
      <w:rPr>
        <w:rFonts w:hint="default"/>
      </w:rPr>
    </w:lvl>
  </w:abstractNum>
  <w:abstractNum w:abstractNumId="22">
    <w:nsid w:val="F2EBFA76"/>
    <w:multiLevelType w:val="singleLevel"/>
    <w:tmpl w:val="F2EBFA76"/>
    <w:lvl w:ilvl="0" w:tentative="0">
      <w:start w:val="1"/>
      <w:numFmt w:val="lowerLetter"/>
      <w:lvlText w:val="%1."/>
      <w:lvlJc w:val="left"/>
      <w:pPr>
        <w:ind w:left="425" w:hanging="425"/>
      </w:pPr>
      <w:rPr>
        <w:rFonts w:hint="default"/>
      </w:rPr>
    </w:lvl>
  </w:abstractNum>
  <w:abstractNum w:abstractNumId="23">
    <w:nsid w:val="F47F1BD2"/>
    <w:multiLevelType w:val="singleLevel"/>
    <w:tmpl w:val="F47F1BD2"/>
    <w:lvl w:ilvl="0" w:tentative="0">
      <w:start w:val="1"/>
      <w:numFmt w:val="decimal"/>
      <w:lvlText w:val="(%1)"/>
      <w:lvlJc w:val="left"/>
      <w:pPr>
        <w:ind w:left="425" w:hanging="425"/>
      </w:pPr>
      <w:rPr>
        <w:rFonts w:hint="default"/>
      </w:rPr>
    </w:lvl>
  </w:abstractNum>
  <w:abstractNum w:abstractNumId="24">
    <w:nsid w:val="F67FC90D"/>
    <w:multiLevelType w:val="singleLevel"/>
    <w:tmpl w:val="F67FC90D"/>
    <w:lvl w:ilvl="0" w:tentative="0">
      <w:start w:val="1"/>
      <w:numFmt w:val="decimal"/>
      <w:lvlText w:val="(%1)"/>
      <w:lvlJc w:val="left"/>
      <w:pPr>
        <w:ind w:left="425" w:hanging="425"/>
      </w:pPr>
      <w:rPr>
        <w:rFonts w:hint="default"/>
      </w:rPr>
    </w:lvl>
  </w:abstractNum>
  <w:abstractNum w:abstractNumId="25">
    <w:nsid w:val="F90A1046"/>
    <w:multiLevelType w:val="singleLevel"/>
    <w:tmpl w:val="F90A1046"/>
    <w:lvl w:ilvl="0" w:tentative="0">
      <w:start w:val="1"/>
      <w:numFmt w:val="chineseCounting"/>
      <w:suff w:val="nothing"/>
      <w:lvlText w:val="%1、"/>
      <w:lvlJc w:val="left"/>
      <w:pPr>
        <w:ind w:left="0" w:firstLine="420"/>
      </w:pPr>
      <w:rPr>
        <w:rFonts w:hint="eastAsia"/>
      </w:rPr>
    </w:lvl>
  </w:abstractNum>
  <w:abstractNum w:abstractNumId="26">
    <w:nsid w:val="FA913042"/>
    <w:multiLevelType w:val="singleLevel"/>
    <w:tmpl w:val="FA913042"/>
    <w:lvl w:ilvl="0" w:tentative="0">
      <w:start w:val="1"/>
      <w:numFmt w:val="decimal"/>
      <w:lvlText w:val="(%1)"/>
      <w:lvlJc w:val="left"/>
      <w:pPr>
        <w:ind w:left="425" w:hanging="425"/>
      </w:pPr>
      <w:rPr>
        <w:rFonts w:hint="default"/>
      </w:rPr>
    </w:lvl>
  </w:abstractNum>
  <w:abstractNum w:abstractNumId="27">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02F07FDC"/>
    <w:multiLevelType w:val="singleLevel"/>
    <w:tmpl w:val="02F07FDC"/>
    <w:lvl w:ilvl="0" w:tentative="0">
      <w:start w:val="1"/>
      <w:numFmt w:val="chineseCounting"/>
      <w:suff w:val="nothing"/>
      <w:lvlText w:val="（%1）"/>
      <w:lvlJc w:val="left"/>
      <w:pPr>
        <w:ind w:left="0" w:firstLine="420"/>
      </w:pPr>
      <w:rPr>
        <w:rFonts w:hint="eastAsia"/>
      </w:rPr>
    </w:lvl>
  </w:abstractNum>
  <w:abstractNum w:abstractNumId="29">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0">
    <w:nsid w:val="07998337"/>
    <w:multiLevelType w:val="multilevel"/>
    <w:tmpl w:val="07998337"/>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099377B6"/>
    <w:multiLevelType w:val="multilevel"/>
    <w:tmpl w:val="099377B6"/>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0AAC43DD"/>
    <w:multiLevelType w:val="singleLevel"/>
    <w:tmpl w:val="0AAC43DD"/>
    <w:lvl w:ilvl="0" w:tentative="0">
      <w:start w:val="1"/>
      <w:numFmt w:val="decimalEnclosedCircleChinese"/>
      <w:suff w:val="nothing"/>
      <w:lvlText w:val="%1　"/>
      <w:lvlJc w:val="left"/>
      <w:pPr>
        <w:ind w:left="0" w:firstLine="400"/>
      </w:pPr>
      <w:rPr>
        <w:rFonts w:hint="eastAsia"/>
      </w:rPr>
    </w:lvl>
  </w:abstractNum>
  <w:abstractNum w:abstractNumId="33">
    <w:nsid w:val="0AC8A8B7"/>
    <w:multiLevelType w:val="singleLevel"/>
    <w:tmpl w:val="0AC8A8B7"/>
    <w:lvl w:ilvl="0" w:tentative="0">
      <w:start w:val="1"/>
      <w:numFmt w:val="decimal"/>
      <w:lvlText w:val="(%1)"/>
      <w:lvlJc w:val="left"/>
      <w:pPr>
        <w:ind w:left="425" w:hanging="425"/>
      </w:pPr>
      <w:rPr>
        <w:rFonts w:hint="default"/>
      </w:rPr>
    </w:lvl>
  </w:abstractNum>
  <w:abstractNum w:abstractNumId="34">
    <w:nsid w:val="0E4B55F7"/>
    <w:multiLevelType w:val="singleLevel"/>
    <w:tmpl w:val="0E4B55F7"/>
    <w:lvl w:ilvl="0" w:tentative="0">
      <w:start w:val="1"/>
      <w:numFmt w:val="decimal"/>
      <w:lvlText w:val="(%1)"/>
      <w:lvlJc w:val="left"/>
      <w:pPr>
        <w:ind w:left="425" w:hanging="425"/>
      </w:pPr>
      <w:rPr>
        <w:rFonts w:hint="default"/>
      </w:rPr>
    </w:lvl>
  </w:abstractNum>
  <w:abstractNum w:abstractNumId="35">
    <w:nsid w:val="12655B51"/>
    <w:multiLevelType w:val="singleLevel"/>
    <w:tmpl w:val="12655B51"/>
    <w:lvl w:ilvl="0" w:tentative="0">
      <w:start w:val="1"/>
      <w:numFmt w:val="decimal"/>
      <w:suff w:val="nothing"/>
      <w:lvlText w:val="%1．"/>
      <w:lvlJc w:val="left"/>
      <w:pPr>
        <w:ind w:left="0" w:firstLine="400"/>
      </w:pPr>
      <w:rPr>
        <w:rFonts w:hint="default"/>
      </w:rPr>
    </w:lvl>
  </w:abstractNum>
  <w:abstractNum w:abstractNumId="36">
    <w:nsid w:val="143EA30B"/>
    <w:multiLevelType w:val="singleLevel"/>
    <w:tmpl w:val="143EA30B"/>
    <w:lvl w:ilvl="0" w:tentative="0">
      <w:start w:val="1"/>
      <w:numFmt w:val="lowerLetter"/>
      <w:lvlText w:val="%1."/>
      <w:lvlJc w:val="left"/>
      <w:pPr>
        <w:ind w:left="425" w:hanging="425"/>
      </w:pPr>
      <w:rPr>
        <w:rFonts w:hint="default"/>
      </w:rPr>
    </w:lvl>
  </w:abstractNum>
  <w:abstractNum w:abstractNumId="37">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8">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9">
    <w:nsid w:val="1BE3F323"/>
    <w:multiLevelType w:val="singleLevel"/>
    <w:tmpl w:val="1BE3F323"/>
    <w:lvl w:ilvl="0" w:tentative="0">
      <w:start w:val="1"/>
      <w:numFmt w:val="decimal"/>
      <w:lvlText w:val="(%1)"/>
      <w:lvlJc w:val="left"/>
      <w:pPr>
        <w:ind w:left="425" w:hanging="425"/>
      </w:pPr>
      <w:rPr>
        <w:rFonts w:hint="default"/>
      </w:rPr>
    </w:lvl>
  </w:abstractNum>
  <w:abstractNum w:abstractNumId="40">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1">
    <w:nsid w:val="2C3CAA59"/>
    <w:multiLevelType w:val="singleLevel"/>
    <w:tmpl w:val="2C3CAA59"/>
    <w:lvl w:ilvl="0" w:tentative="0">
      <w:start w:val="1"/>
      <w:numFmt w:val="decimal"/>
      <w:lvlText w:val="(%1)"/>
      <w:lvlJc w:val="left"/>
      <w:pPr>
        <w:ind w:left="425" w:hanging="425"/>
      </w:pPr>
      <w:rPr>
        <w:rFonts w:hint="default"/>
      </w:rPr>
    </w:lvl>
  </w:abstractNum>
  <w:abstractNum w:abstractNumId="42">
    <w:nsid w:val="2D24CBB7"/>
    <w:multiLevelType w:val="singleLevel"/>
    <w:tmpl w:val="2D24CBB7"/>
    <w:lvl w:ilvl="0" w:tentative="0">
      <w:start w:val="1"/>
      <w:numFmt w:val="decimal"/>
      <w:lvlText w:val="%1."/>
      <w:lvlJc w:val="left"/>
      <w:pPr>
        <w:ind w:left="425" w:hanging="425"/>
      </w:pPr>
      <w:rPr>
        <w:rFonts w:hint="default"/>
      </w:rPr>
    </w:lvl>
  </w:abstractNum>
  <w:abstractNum w:abstractNumId="43">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4">
    <w:nsid w:val="30423C68"/>
    <w:multiLevelType w:val="multilevel"/>
    <w:tmpl w:val="30423C68"/>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5">
    <w:nsid w:val="347E02ED"/>
    <w:multiLevelType w:val="multilevel"/>
    <w:tmpl w:val="347E02ED"/>
    <w:lvl w:ilvl="0" w:tentative="0">
      <w:start w:val="1"/>
      <w:numFmt w:val="decimal"/>
      <w:lvlText w:val="%1."/>
      <w:lvlJc w:val="left"/>
      <w:pPr>
        <w:tabs>
          <w:tab w:val="left" w:pos="420"/>
        </w:tabs>
        <w:ind w:left="425" w:hanging="425"/>
      </w:pPr>
      <w:rPr>
        <w:rFonts w:hint="default"/>
      </w:rPr>
    </w:lvl>
    <w:lvl w:ilvl="1" w:tentative="0">
      <w:start w:val="1"/>
      <w:numFmt w:val="decimal"/>
      <w:suff w:val="space"/>
      <w:lvlText w:val="%1.%2."/>
      <w:lvlJc w:val="left"/>
      <w:pPr>
        <w:tabs>
          <w:tab w:val="left" w:pos="420"/>
        </w:tabs>
        <w:ind w:left="-127" w:leftChars="0" w:firstLine="567"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6">
    <w:nsid w:val="381D6AF1"/>
    <w:multiLevelType w:val="multilevel"/>
    <w:tmpl w:val="381D6AF1"/>
    <w:lvl w:ilvl="0" w:tentative="0">
      <w:start w:val="1"/>
      <w:numFmt w:val="decimalEnclosedCircle"/>
      <w:pStyle w:val="41"/>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47">
    <w:nsid w:val="3A1F6E0F"/>
    <w:multiLevelType w:val="singleLevel"/>
    <w:tmpl w:val="3A1F6E0F"/>
    <w:lvl w:ilvl="0" w:tentative="0">
      <w:start w:val="1"/>
      <w:numFmt w:val="decimal"/>
      <w:lvlText w:val="%1."/>
      <w:lvlJc w:val="left"/>
      <w:pPr>
        <w:ind w:left="425" w:hanging="425"/>
      </w:pPr>
      <w:rPr>
        <w:rFonts w:hint="default"/>
      </w:rPr>
    </w:lvl>
  </w:abstractNum>
  <w:abstractNum w:abstractNumId="48">
    <w:nsid w:val="3CBADD21"/>
    <w:multiLevelType w:val="singleLevel"/>
    <w:tmpl w:val="3CBADD21"/>
    <w:lvl w:ilvl="0" w:tentative="0">
      <w:start w:val="1"/>
      <w:numFmt w:val="decimal"/>
      <w:lvlText w:val="%1."/>
      <w:lvlJc w:val="left"/>
      <w:pPr>
        <w:ind w:left="425" w:hanging="425"/>
      </w:pPr>
      <w:rPr>
        <w:rFonts w:hint="default"/>
      </w:rPr>
    </w:lvl>
  </w:abstractNum>
  <w:abstractNum w:abstractNumId="49">
    <w:nsid w:val="3E5A4FF6"/>
    <w:multiLevelType w:val="singleLevel"/>
    <w:tmpl w:val="3E5A4FF6"/>
    <w:lvl w:ilvl="0" w:tentative="0">
      <w:start w:val="1"/>
      <w:numFmt w:val="decimal"/>
      <w:lvlText w:val="%1."/>
      <w:lvlJc w:val="left"/>
      <w:pPr>
        <w:ind w:left="425" w:hanging="425"/>
      </w:pPr>
      <w:rPr>
        <w:rFonts w:hint="default"/>
      </w:rPr>
    </w:lvl>
  </w:abstractNum>
  <w:abstractNum w:abstractNumId="50">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1">
    <w:nsid w:val="4359DDA7"/>
    <w:multiLevelType w:val="singleLevel"/>
    <w:tmpl w:val="4359DDA7"/>
    <w:lvl w:ilvl="0" w:tentative="0">
      <w:start w:val="1"/>
      <w:numFmt w:val="decimal"/>
      <w:lvlText w:val="%1."/>
      <w:lvlJc w:val="left"/>
      <w:pPr>
        <w:ind w:left="425" w:hanging="425"/>
      </w:pPr>
      <w:rPr>
        <w:rFonts w:hint="default"/>
      </w:rPr>
    </w:lvl>
  </w:abstractNum>
  <w:abstractNum w:abstractNumId="52">
    <w:nsid w:val="502F5755"/>
    <w:multiLevelType w:val="multilevel"/>
    <w:tmpl w:val="502F575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3">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4">
    <w:nsid w:val="5257194D"/>
    <w:multiLevelType w:val="singleLevel"/>
    <w:tmpl w:val="5257194D"/>
    <w:lvl w:ilvl="0" w:tentative="0">
      <w:start w:val="1"/>
      <w:numFmt w:val="decimal"/>
      <w:lvlText w:val="%1."/>
      <w:lvlJc w:val="left"/>
      <w:pPr>
        <w:ind w:left="425" w:hanging="425"/>
      </w:pPr>
      <w:rPr>
        <w:rFonts w:hint="default"/>
      </w:rPr>
    </w:lvl>
  </w:abstractNum>
  <w:abstractNum w:abstractNumId="55">
    <w:nsid w:val="558F575F"/>
    <w:multiLevelType w:val="singleLevel"/>
    <w:tmpl w:val="558F575F"/>
    <w:lvl w:ilvl="0" w:tentative="0">
      <w:start w:val="1"/>
      <w:numFmt w:val="decimalEnclosedCircleChinese"/>
      <w:suff w:val="nothing"/>
      <w:lvlText w:val="%1　"/>
      <w:lvlJc w:val="left"/>
      <w:pPr>
        <w:ind w:left="0" w:firstLine="400"/>
      </w:pPr>
      <w:rPr>
        <w:rFonts w:hint="eastAsia"/>
      </w:rPr>
    </w:lvl>
  </w:abstractNum>
  <w:abstractNum w:abstractNumId="56">
    <w:nsid w:val="5967276B"/>
    <w:multiLevelType w:val="singleLevel"/>
    <w:tmpl w:val="5967276B"/>
    <w:lvl w:ilvl="0" w:tentative="0">
      <w:start w:val="1"/>
      <w:numFmt w:val="decimal"/>
      <w:lvlText w:val="%1."/>
      <w:lvlJc w:val="left"/>
      <w:pPr>
        <w:ind w:left="425" w:hanging="425"/>
      </w:pPr>
      <w:rPr>
        <w:rFonts w:hint="default"/>
      </w:rPr>
    </w:lvl>
  </w:abstractNum>
  <w:abstractNum w:abstractNumId="57">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8">
    <w:nsid w:val="5B66ABA9"/>
    <w:multiLevelType w:val="singleLevel"/>
    <w:tmpl w:val="5B66ABA9"/>
    <w:lvl w:ilvl="0" w:tentative="0">
      <w:start w:val="1"/>
      <w:numFmt w:val="decimal"/>
      <w:lvlText w:val="(%1)"/>
      <w:lvlJc w:val="left"/>
      <w:pPr>
        <w:ind w:left="425" w:hanging="425"/>
      </w:pPr>
      <w:rPr>
        <w:rFonts w:hint="default"/>
      </w:rPr>
    </w:lvl>
  </w:abstractNum>
  <w:abstractNum w:abstractNumId="59">
    <w:nsid w:val="5C4F0C05"/>
    <w:multiLevelType w:val="singleLevel"/>
    <w:tmpl w:val="5C4F0C05"/>
    <w:lvl w:ilvl="0" w:tentative="0">
      <w:start w:val="1"/>
      <w:numFmt w:val="decimalEnclosedCircleChinese"/>
      <w:suff w:val="nothing"/>
      <w:lvlText w:val="%1　"/>
      <w:lvlJc w:val="left"/>
      <w:pPr>
        <w:ind w:left="0" w:firstLine="400"/>
      </w:pPr>
      <w:rPr>
        <w:rFonts w:hint="eastAsia"/>
      </w:rPr>
    </w:lvl>
  </w:abstractNum>
  <w:abstractNum w:abstractNumId="60">
    <w:nsid w:val="5D9ACF37"/>
    <w:multiLevelType w:val="singleLevel"/>
    <w:tmpl w:val="5D9ACF37"/>
    <w:lvl w:ilvl="0" w:tentative="0">
      <w:start w:val="1"/>
      <w:numFmt w:val="decimal"/>
      <w:suff w:val="nothing"/>
      <w:lvlText w:val="%1．"/>
      <w:lvlJc w:val="left"/>
      <w:pPr>
        <w:ind w:left="0" w:firstLine="400"/>
      </w:pPr>
      <w:rPr>
        <w:rFonts w:hint="default"/>
      </w:rPr>
    </w:lvl>
  </w:abstractNum>
  <w:abstractNum w:abstractNumId="61">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2">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63">
    <w:nsid w:val="62F110DF"/>
    <w:multiLevelType w:val="multilevel"/>
    <w:tmpl w:val="62F110DF"/>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64">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5">
    <w:nsid w:val="698FE049"/>
    <w:multiLevelType w:val="singleLevel"/>
    <w:tmpl w:val="698FE049"/>
    <w:lvl w:ilvl="0" w:tentative="0">
      <w:start w:val="1"/>
      <w:numFmt w:val="decimalEnclosedCircleChinese"/>
      <w:suff w:val="nothing"/>
      <w:lvlText w:val="%1　"/>
      <w:lvlJc w:val="left"/>
      <w:pPr>
        <w:ind w:left="0" w:firstLine="400"/>
      </w:pPr>
      <w:rPr>
        <w:rFonts w:hint="eastAsia"/>
      </w:rPr>
    </w:lvl>
  </w:abstractNum>
  <w:abstractNum w:abstractNumId="66">
    <w:nsid w:val="6A6226C8"/>
    <w:multiLevelType w:val="singleLevel"/>
    <w:tmpl w:val="6A6226C8"/>
    <w:lvl w:ilvl="0" w:tentative="0">
      <w:start w:val="1"/>
      <w:numFmt w:val="decimal"/>
      <w:lvlText w:val="%1."/>
      <w:lvlJc w:val="left"/>
      <w:pPr>
        <w:ind w:left="425" w:hanging="425"/>
      </w:pPr>
      <w:rPr>
        <w:rFonts w:hint="default"/>
      </w:rPr>
    </w:lvl>
  </w:abstractNum>
  <w:abstractNum w:abstractNumId="67">
    <w:nsid w:val="6BE21C11"/>
    <w:multiLevelType w:val="singleLevel"/>
    <w:tmpl w:val="6BE21C11"/>
    <w:lvl w:ilvl="0" w:tentative="0">
      <w:start w:val="1"/>
      <w:numFmt w:val="decimalEnclosedCircleChinese"/>
      <w:suff w:val="nothing"/>
      <w:lvlText w:val="%1　"/>
      <w:lvlJc w:val="left"/>
      <w:pPr>
        <w:ind w:left="0" w:firstLine="400"/>
      </w:pPr>
      <w:rPr>
        <w:rFonts w:hint="eastAsia"/>
      </w:rPr>
    </w:lvl>
  </w:abstractNum>
  <w:abstractNum w:abstractNumId="68">
    <w:nsid w:val="716540A2"/>
    <w:multiLevelType w:val="singleLevel"/>
    <w:tmpl w:val="716540A2"/>
    <w:lvl w:ilvl="0" w:tentative="0">
      <w:start w:val="1"/>
      <w:numFmt w:val="decimal"/>
      <w:lvlText w:val="%1."/>
      <w:lvlJc w:val="left"/>
      <w:pPr>
        <w:ind w:left="425" w:hanging="425"/>
      </w:pPr>
      <w:rPr>
        <w:rFonts w:hint="default"/>
      </w:rPr>
    </w:lvl>
  </w:abstractNum>
  <w:abstractNum w:abstractNumId="69">
    <w:nsid w:val="74082A2B"/>
    <w:multiLevelType w:val="multilevel"/>
    <w:tmpl w:val="74082A2B"/>
    <w:lvl w:ilvl="0" w:tentative="0">
      <w:start w:val="1"/>
      <w:numFmt w:val="decimal"/>
      <w:lvlText w:val="%1."/>
      <w:lvlJc w:val="left"/>
      <w:pPr>
        <w:ind w:left="425" w:hanging="425"/>
      </w:pPr>
      <w:rPr>
        <w:rFonts w:hint="default"/>
        <w:sz w:val="32"/>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0">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1">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2">
    <w:nsid w:val="7A7A5B24"/>
    <w:multiLevelType w:val="multilevel"/>
    <w:tmpl w:val="7A7A5B24"/>
    <w:lvl w:ilvl="0" w:tentative="0">
      <w:start w:val="1"/>
      <w:numFmt w:val="decimal"/>
      <w:suff w:val="nothing"/>
      <w:lvlText w:val="（%1）"/>
      <w:lvlJc w:val="left"/>
      <w:pPr>
        <w:ind w:left="1712" w:hanging="720"/>
      </w:pPr>
      <w:rPr>
        <w:rFonts w:hint="default"/>
        <w:color w:val="auto"/>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73">
    <w:nsid w:val="7CDDE7FD"/>
    <w:multiLevelType w:val="singleLevel"/>
    <w:tmpl w:val="7CDDE7FD"/>
    <w:lvl w:ilvl="0" w:tentative="0">
      <w:start w:val="1"/>
      <w:numFmt w:val="decimal"/>
      <w:lvlText w:val="%1."/>
      <w:lvlJc w:val="left"/>
      <w:pPr>
        <w:ind w:left="425" w:hanging="425"/>
      </w:pPr>
      <w:rPr>
        <w:rFonts w:hint="default"/>
      </w:rPr>
    </w:lvl>
  </w:abstractNum>
  <w:abstractNum w:abstractNumId="74">
    <w:nsid w:val="7E58AC57"/>
    <w:multiLevelType w:val="singleLevel"/>
    <w:tmpl w:val="7E58AC57"/>
    <w:lvl w:ilvl="0" w:tentative="0">
      <w:start w:val="1"/>
      <w:numFmt w:val="decimal"/>
      <w:lvlText w:val="%1."/>
      <w:lvlJc w:val="left"/>
      <w:pPr>
        <w:ind w:left="425" w:hanging="425"/>
      </w:pPr>
      <w:rPr>
        <w:rFonts w:hint="default"/>
      </w:rPr>
    </w:lvl>
  </w:abstractNum>
  <w:abstractNum w:abstractNumId="75">
    <w:nsid w:val="7E6A38CB"/>
    <w:multiLevelType w:val="singleLevel"/>
    <w:tmpl w:val="7E6A38CB"/>
    <w:lvl w:ilvl="0" w:tentative="0">
      <w:start w:val="1"/>
      <w:numFmt w:val="chineseCounting"/>
      <w:suff w:val="nothing"/>
      <w:lvlText w:val="%1、"/>
      <w:lvlJc w:val="left"/>
      <w:pPr>
        <w:ind w:left="0" w:firstLine="420"/>
      </w:pPr>
      <w:rPr>
        <w:rFonts w:hint="eastAsia"/>
      </w:rPr>
    </w:lvl>
  </w:abstractNum>
  <w:abstractNum w:abstractNumId="76">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6"/>
  </w:num>
  <w:num w:numId="2">
    <w:abstractNumId w:val="60"/>
  </w:num>
  <w:num w:numId="3">
    <w:abstractNumId w:val="33"/>
  </w:num>
  <w:num w:numId="4">
    <w:abstractNumId w:val="2"/>
  </w:num>
  <w:num w:numId="5">
    <w:abstractNumId w:val="45"/>
  </w:num>
  <w:num w:numId="6">
    <w:abstractNumId w:val="18"/>
  </w:num>
  <w:num w:numId="7">
    <w:abstractNumId w:val="68"/>
  </w:num>
  <w:num w:numId="8">
    <w:abstractNumId w:val="42"/>
  </w:num>
  <w:num w:numId="9">
    <w:abstractNumId w:val="14"/>
  </w:num>
  <w:num w:numId="10">
    <w:abstractNumId w:val="58"/>
  </w:num>
  <w:num w:numId="11">
    <w:abstractNumId w:val="16"/>
  </w:num>
  <w:num w:numId="12">
    <w:abstractNumId w:val="9"/>
  </w:num>
  <w:num w:numId="13">
    <w:abstractNumId w:val="23"/>
  </w:num>
  <w:num w:numId="14">
    <w:abstractNumId w:val="12"/>
  </w:num>
  <w:num w:numId="15">
    <w:abstractNumId w:val="11"/>
  </w:num>
  <w:num w:numId="16">
    <w:abstractNumId w:val="67"/>
  </w:num>
  <w:num w:numId="17">
    <w:abstractNumId w:val="59"/>
  </w:num>
  <w:num w:numId="18">
    <w:abstractNumId w:val="51"/>
  </w:num>
  <w:num w:numId="19">
    <w:abstractNumId w:val="73"/>
  </w:num>
  <w:num w:numId="20">
    <w:abstractNumId w:val="6"/>
  </w:num>
  <w:num w:numId="21">
    <w:abstractNumId w:val="10"/>
  </w:num>
  <w:num w:numId="22">
    <w:abstractNumId w:val="21"/>
  </w:num>
  <w:num w:numId="23">
    <w:abstractNumId w:val="13"/>
  </w:num>
  <w:num w:numId="24">
    <w:abstractNumId w:val="54"/>
  </w:num>
  <w:num w:numId="25">
    <w:abstractNumId w:val="56"/>
  </w:num>
  <w:num w:numId="26">
    <w:abstractNumId w:val="74"/>
  </w:num>
  <w:num w:numId="27">
    <w:abstractNumId w:val="47"/>
  </w:num>
  <w:num w:numId="28">
    <w:abstractNumId w:val="26"/>
  </w:num>
  <w:num w:numId="29">
    <w:abstractNumId w:val="55"/>
  </w:num>
  <w:num w:numId="30">
    <w:abstractNumId w:val="15"/>
  </w:num>
  <w:num w:numId="31">
    <w:abstractNumId w:val="32"/>
  </w:num>
  <w:num w:numId="32">
    <w:abstractNumId w:val="20"/>
  </w:num>
  <w:num w:numId="33">
    <w:abstractNumId w:val="65"/>
  </w:num>
  <w:num w:numId="34">
    <w:abstractNumId w:val="48"/>
  </w:num>
  <w:num w:numId="35">
    <w:abstractNumId w:val="0"/>
  </w:num>
  <w:num w:numId="36">
    <w:abstractNumId w:val="19"/>
  </w:num>
  <w:num w:numId="37">
    <w:abstractNumId w:val="8"/>
  </w:num>
  <w:num w:numId="38">
    <w:abstractNumId w:val="66"/>
  </w:num>
  <w:num w:numId="39">
    <w:abstractNumId w:val="3"/>
  </w:num>
  <w:num w:numId="40">
    <w:abstractNumId w:val="49"/>
  </w:num>
  <w:num w:numId="41">
    <w:abstractNumId w:val="69"/>
  </w:num>
  <w:num w:numId="42">
    <w:abstractNumId w:val="64"/>
  </w:num>
  <w:num w:numId="43">
    <w:abstractNumId w:val="29"/>
  </w:num>
  <w:num w:numId="44">
    <w:abstractNumId w:val="70"/>
  </w:num>
  <w:num w:numId="45">
    <w:abstractNumId w:val="37"/>
  </w:num>
  <w:num w:numId="46">
    <w:abstractNumId w:val="52"/>
  </w:num>
  <w:num w:numId="47">
    <w:abstractNumId w:val="72"/>
  </w:num>
  <w:num w:numId="48">
    <w:abstractNumId w:val="63"/>
  </w:num>
  <w:num w:numId="49">
    <w:abstractNumId w:val="61"/>
  </w:num>
  <w:num w:numId="50">
    <w:abstractNumId w:val="43"/>
  </w:num>
  <w:num w:numId="51">
    <w:abstractNumId w:val="50"/>
  </w:num>
  <w:num w:numId="52">
    <w:abstractNumId w:val="62"/>
  </w:num>
  <w:num w:numId="53">
    <w:abstractNumId w:val="38"/>
  </w:num>
  <w:num w:numId="54">
    <w:abstractNumId w:val="27"/>
  </w:num>
  <w:num w:numId="55">
    <w:abstractNumId w:val="71"/>
  </w:num>
  <w:num w:numId="56">
    <w:abstractNumId w:val="76"/>
  </w:num>
  <w:num w:numId="57">
    <w:abstractNumId w:val="53"/>
  </w:num>
  <w:num w:numId="58">
    <w:abstractNumId w:val="57"/>
  </w:num>
  <w:num w:numId="59">
    <w:abstractNumId w:val="40"/>
  </w:num>
  <w:num w:numId="60">
    <w:abstractNumId w:val="7"/>
  </w:num>
  <w:num w:numId="61">
    <w:abstractNumId w:val="44"/>
  </w:num>
  <w:num w:numId="62">
    <w:abstractNumId w:val="30"/>
  </w:num>
  <w:num w:numId="63">
    <w:abstractNumId w:val="31"/>
  </w:num>
  <w:num w:numId="64">
    <w:abstractNumId w:val="28"/>
  </w:num>
  <w:num w:numId="65">
    <w:abstractNumId w:val="41"/>
  </w:num>
  <w:num w:numId="66">
    <w:abstractNumId w:val="24"/>
  </w:num>
  <w:num w:numId="67">
    <w:abstractNumId w:val="17"/>
  </w:num>
  <w:num w:numId="68">
    <w:abstractNumId w:val="34"/>
  </w:num>
  <w:num w:numId="69">
    <w:abstractNumId w:val="36"/>
  </w:num>
  <w:num w:numId="70">
    <w:abstractNumId w:val="39"/>
  </w:num>
  <w:num w:numId="71">
    <w:abstractNumId w:val="22"/>
  </w:num>
  <w:num w:numId="72">
    <w:abstractNumId w:val="25"/>
  </w:num>
  <w:num w:numId="73">
    <w:abstractNumId w:val="1"/>
  </w:num>
  <w:num w:numId="74">
    <w:abstractNumId w:val="4"/>
  </w:num>
  <w:num w:numId="75">
    <w:abstractNumId w:val="35"/>
  </w:num>
  <w:num w:numId="76">
    <w:abstractNumId w:val="5"/>
  </w:num>
  <w:num w:numId="77">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NWRiZTE1ZGQ5OGJiYzhjYmViODg5MDAxZTIyNTMifQ=="/>
    <w:docVar w:name="KSO_WPS_MARK_KEY" w:val="9c28a67c-ee5a-44be-9ea9-a5c0fe262a2f"/>
  </w:docVars>
  <w:rsids>
    <w:rsidRoot w:val="1E067226"/>
    <w:rsid w:val="000009C7"/>
    <w:rsid w:val="000C7D1B"/>
    <w:rsid w:val="000F108A"/>
    <w:rsid w:val="00137B6D"/>
    <w:rsid w:val="001B38FD"/>
    <w:rsid w:val="001D4ACF"/>
    <w:rsid w:val="001D6DE0"/>
    <w:rsid w:val="00233706"/>
    <w:rsid w:val="00252144"/>
    <w:rsid w:val="00280555"/>
    <w:rsid w:val="0029024D"/>
    <w:rsid w:val="003343AF"/>
    <w:rsid w:val="00361A03"/>
    <w:rsid w:val="003762F5"/>
    <w:rsid w:val="00386BBE"/>
    <w:rsid w:val="003A1B54"/>
    <w:rsid w:val="003A6FB5"/>
    <w:rsid w:val="003C0242"/>
    <w:rsid w:val="003F5FE2"/>
    <w:rsid w:val="003F724C"/>
    <w:rsid w:val="00445611"/>
    <w:rsid w:val="004D3E56"/>
    <w:rsid w:val="004F6D13"/>
    <w:rsid w:val="00523A0C"/>
    <w:rsid w:val="005327B4"/>
    <w:rsid w:val="00561BED"/>
    <w:rsid w:val="00575016"/>
    <w:rsid w:val="005A5497"/>
    <w:rsid w:val="005C4608"/>
    <w:rsid w:val="005C509E"/>
    <w:rsid w:val="005D7465"/>
    <w:rsid w:val="005F7048"/>
    <w:rsid w:val="00620911"/>
    <w:rsid w:val="00645991"/>
    <w:rsid w:val="006A6C59"/>
    <w:rsid w:val="006E581D"/>
    <w:rsid w:val="006E7F7F"/>
    <w:rsid w:val="00701643"/>
    <w:rsid w:val="0075060A"/>
    <w:rsid w:val="0075767F"/>
    <w:rsid w:val="007B37E0"/>
    <w:rsid w:val="0082211C"/>
    <w:rsid w:val="00823B42"/>
    <w:rsid w:val="00861C6C"/>
    <w:rsid w:val="00872294"/>
    <w:rsid w:val="00875840"/>
    <w:rsid w:val="00881E97"/>
    <w:rsid w:val="008A5E26"/>
    <w:rsid w:val="0090763D"/>
    <w:rsid w:val="009420C9"/>
    <w:rsid w:val="00992D08"/>
    <w:rsid w:val="009C4BD1"/>
    <w:rsid w:val="009D0484"/>
    <w:rsid w:val="009D44BC"/>
    <w:rsid w:val="00A359FC"/>
    <w:rsid w:val="00A51D09"/>
    <w:rsid w:val="00A57E37"/>
    <w:rsid w:val="00A87892"/>
    <w:rsid w:val="00AD7DBA"/>
    <w:rsid w:val="00AF1F42"/>
    <w:rsid w:val="00AF6BCE"/>
    <w:rsid w:val="00B057D1"/>
    <w:rsid w:val="00BC6F4B"/>
    <w:rsid w:val="00BD45E6"/>
    <w:rsid w:val="00C21728"/>
    <w:rsid w:val="00C43B8F"/>
    <w:rsid w:val="00C54C3C"/>
    <w:rsid w:val="00C61D3C"/>
    <w:rsid w:val="00CB6FF3"/>
    <w:rsid w:val="00CE7E67"/>
    <w:rsid w:val="00D4579E"/>
    <w:rsid w:val="00D875BE"/>
    <w:rsid w:val="00DB27E0"/>
    <w:rsid w:val="00DC5367"/>
    <w:rsid w:val="00DC5FDB"/>
    <w:rsid w:val="00E30749"/>
    <w:rsid w:val="00E57A7C"/>
    <w:rsid w:val="00EA5305"/>
    <w:rsid w:val="00EB0027"/>
    <w:rsid w:val="00F855B5"/>
    <w:rsid w:val="00F86F41"/>
    <w:rsid w:val="00F96D15"/>
    <w:rsid w:val="00FF189C"/>
    <w:rsid w:val="00FF439A"/>
    <w:rsid w:val="011473B7"/>
    <w:rsid w:val="019D55FE"/>
    <w:rsid w:val="024113D5"/>
    <w:rsid w:val="02E01C47"/>
    <w:rsid w:val="036D72A9"/>
    <w:rsid w:val="03822CFE"/>
    <w:rsid w:val="038841A5"/>
    <w:rsid w:val="03A17523"/>
    <w:rsid w:val="04602913"/>
    <w:rsid w:val="04BD30CA"/>
    <w:rsid w:val="050B79A4"/>
    <w:rsid w:val="05D45367"/>
    <w:rsid w:val="06071298"/>
    <w:rsid w:val="06DA71AE"/>
    <w:rsid w:val="07593D76"/>
    <w:rsid w:val="07702E6D"/>
    <w:rsid w:val="07F8752D"/>
    <w:rsid w:val="0878647D"/>
    <w:rsid w:val="08BA4CE8"/>
    <w:rsid w:val="08E776DC"/>
    <w:rsid w:val="09436A8B"/>
    <w:rsid w:val="09B907C2"/>
    <w:rsid w:val="0A611779"/>
    <w:rsid w:val="0A84735B"/>
    <w:rsid w:val="0A87732E"/>
    <w:rsid w:val="0B422D0F"/>
    <w:rsid w:val="0B8D432E"/>
    <w:rsid w:val="0C225742"/>
    <w:rsid w:val="0CF660B0"/>
    <w:rsid w:val="0CFB142B"/>
    <w:rsid w:val="0D24702A"/>
    <w:rsid w:val="0DB13997"/>
    <w:rsid w:val="0DEC40AD"/>
    <w:rsid w:val="0E1E226B"/>
    <w:rsid w:val="0E72396F"/>
    <w:rsid w:val="0F7B0F31"/>
    <w:rsid w:val="0F9314B7"/>
    <w:rsid w:val="10120F66"/>
    <w:rsid w:val="106B3EB1"/>
    <w:rsid w:val="10D26947"/>
    <w:rsid w:val="112C24FB"/>
    <w:rsid w:val="11560D51"/>
    <w:rsid w:val="1182211B"/>
    <w:rsid w:val="12413D84"/>
    <w:rsid w:val="12D13F8C"/>
    <w:rsid w:val="135426E8"/>
    <w:rsid w:val="13B41CD4"/>
    <w:rsid w:val="140E7C96"/>
    <w:rsid w:val="14395539"/>
    <w:rsid w:val="14757D15"/>
    <w:rsid w:val="14881128"/>
    <w:rsid w:val="16073465"/>
    <w:rsid w:val="16873D30"/>
    <w:rsid w:val="17045380"/>
    <w:rsid w:val="17640CCC"/>
    <w:rsid w:val="17F35B20"/>
    <w:rsid w:val="180B77E6"/>
    <w:rsid w:val="191D5E20"/>
    <w:rsid w:val="193B777F"/>
    <w:rsid w:val="197113F3"/>
    <w:rsid w:val="19C46BB2"/>
    <w:rsid w:val="1A2C356C"/>
    <w:rsid w:val="1A554870"/>
    <w:rsid w:val="1A68680D"/>
    <w:rsid w:val="1ADA4D76"/>
    <w:rsid w:val="1AF35E37"/>
    <w:rsid w:val="1CAD1EF7"/>
    <w:rsid w:val="1CCF3A1D"/>
    <w:rsid w:val="1CF06C6A"/>
    <w:rsid w:val="1D721295"/>
    <w:rsid w:val="1D833C3B"/>
    <w:rsid w:val="1D9C4564"/>
    <w:rsid w:val="1DB21FDA"/>
    <w:rsid w:val="1DF95848"/>
    <w:rsid w:val="1E067226"/>
    <w:rsid w:val="1F2677BD"/>
    <w:rsid w:val="1F444B1B"/>
    <w:rsid w:val="1F5E5F16"/>
    <w:rsid w:val="1F77033E"/>
    <w:rsid w:val="1FBF6AB4"/>
    <w:rsid w:val="206A094A"/>
    <w:rsid w:val="20855325"/>
    <w:rsid w:val="20A0436C"/>
    <w:rsid w:val="20BA2413"/>
    <w:rsid w:val="21D65D10"/>
    <w:rsid w:val="220D5A31"/>
    <w:rsid w:val="220F79FB"/>
    <w:rsid w:val="22582EC6"/>
    <w:rsid w:val="22A85759"/>
    <w:rsid w:val="22F95FB5"/>
    <w:rsid w:val="2378262C"/>
    <w:rsid w:val="23B24AE2"/>
    <w:rsid w:val="24294678"/>
    <w:rsid w:val="24362564"/>
    <w:rsid w:val="24831FDA"/>
    <w:rsid w:val="255A5461"/>
    <w:rsid w:val="2593624D"/>
    <w:rsid w:val="25C10EBD"/>
    <w:rsid w:val="25C32FD6"/>
    <w:rsid w:val="25DB1219"/>
    <w:rsid w:val="26B60E7B"/>
    <w:rsid w:val="27071FFF"/>
    <w:rsid w:val="2719175A"/>
    <w:rsid w:val="27FA0805"/>
    <w:rsid w:val="280C1715"/>
    <w:rsid w:val="296740C8"/>
    <w:rsid w:val="2A2102CB"/>
    <w:rsid w:val="2AC46EA9"/>
    <w:rsid w:val="2AE01F34"/>
    <w:rsid w:val="2B960416"/>
    <w:rsid w:val="2BDC52A4"/>
    <w:rsid w:val="2BEA0B91"/>
    <w:rsid w:val="2C7A1F15"/>
    <w:rsid w:val="2C9E20A7"/>
    <w:rsid w:val="2D2500D2"/>
    <w:rsid w:val="2D796670"/>
    <w:rsid w:val="2D7C1CBC"/>
    <w:rsid w:val="2D9E7E85"/>
    <w:rsid w:val="2E813A2E"/>
    <w:rsid w:val="2EA27501"/>
    <w:rsid w:val="303F6897"/>
    <w:rsid w:val="30CE4078"/>
    <w:rsid w:val="31BB2DB3"/>
    <w:rsid w:val="31F77B64"/>
    <w:rsid w:val="326213B5"/>
    <w:rsid w:val="32C71E0E"/>
    <w:rsid w:val="331F55C4"/>
    <w:rsid w:val="33501C21"/>
    <w:rsid w:val="34311A53"/>
    <w:rsid w:val="34496D9C"/>
    <w:rsid w:val="34D81ECE"/>
    <w:rsid w:val="357B288D"/>
    <w:rsid w:val="360F1920"/>
    <w:rsid w:val="363B4A32"/>
    <w:rsid w:val="36EB6A98"/>
    <w:rsid w:val="375F3F38"/>
    <w:rsid w:val="379522F8"/>
    <w:rsid w:val="379A1A9D"/>
    <w:rsid w:val="38211DDE"/>
    <w:rsid w:val="384E32D5"/>
    <w:rsid w:val="39095FE3"/>
    <w:rsid w:val="39D215E2"/>
    <w:rsid w:val="39F942E5"/>
    <w:rsid w:val="3A461688"/>
    <w:rsid w:val="3A52002D"/>
    <w:rsid w:val="3ABF721B"/>
    <w:rsid w:val="3AEC66D3"/>
    <w:rsid w:val="3BE178BA"/>
    <w:rsid w:val="3C5430A6"/>
    <w:rsid w:val="3C642299"/>
    <w:rsid w:val="3CA97EC6"/>
    <w:rsid w:val="3CC44D40"/>
    <w:rsid w:val="3CEF4259"/>
    <w:rsid w:val="3D7776CD"/>
    <w:rsid w:val="3D8C5F4C"/>
    <w:rsid w:val="3DBD010D"/>
    <w:rsid w:val="3DFC6C2D"/>
    <w:rsid w:val="3ECB0721"/>
    <w:rsid w:val="3F08368B"/>
    <w:rsid w:val="3F446ADE"/>
    <w:rsid w:val="3F6E5909"/>
    <w:rsid w:val="3F7B2ECB"/>
    <w:rsid w:val="405A7C3B"/>
    <w:rsid w:val="40777598"/>
    <w:rsid w:val="4159388A"/>
    <w:rsid w:val="415B1EBD"/>
    <w:rsid w:val="41AC2C22"/>
    <w:rsid w:val="41C44DF2"/>
    <w:rsid w:val="42972499"/>
    <w:rsid w:val="42EF6D61"/>
    <w:rsid w:val="432B1D63"/>
    <w:rsid w:val="43B0337D"/>
    <w:rsid w:val="43B835F7"/>
    <w:rsid w:val="43E443EC"/>
    <w:rsid w:val="43E8694C"/>
    <w:rsid w:val="45F4468E"/>
    <w:rsid w:val="464A4E09"/>
    <w:rsid w:val="464D6F18"/>
    <w:rsid w:val="46732CA2"/>
    <w:rsid w:val="46A2058E"/>
    <w:rsid w:val="46F30DEA"/>
    <w:rsid w:val="473A4323"/>
    <w:rsid w:val="4780267D"/>
    <w:rsid w:val="47E349BA"/>
    <w:rsid w:val="47F866B8"/>
    <w:rsid w:val="48B02852"/>
    <w:rsid w:val="48DF22EC"/>
    <w:rsid w:val="49366D6C"/>
    <w:rsid w:val="494E0559"/>
    <w:rsid w:val="49531BD2"/>
    <w:rsid w:val="49890F34"/>
    <w:rsid w:val="498B3013"/>
    <w:rsid w:val="49CF46F0"/>
    <w:rsid w:val="49E60792"/>
    <w:rsid w:val="4B3D6AD7"/>
    <w:rsid w:val="4C6476C3"/>
    <w:rsid w:val="4C7F7875"/>
    <w:rsid w:val="4DB841F3"/>
    <w:rsid w:val="4DD74341"/>
    <w:rsid w:val="4F100D86"/>
    <w:rsid w:val="4F575A91"/>
    <w:rsid w:val="4FCD667C"/>
    <w:rsid w:val="4FE308C7"/>
    <w:rsid w:val="50740CF9"/>
    <w:rsid w:val="512A30B9"/>
    <w:rsid w:val="51432163"/>
    <w:rsid w:val="521B32CF"/>
    <w:rsid w:val="5244074B"/>
    <w:rsid w:val="525E2AB0"/>
    <w:rsid w:val="526861E8"/>
    <w:rsid w:val="52950FA7"/>
    <w:rsid w:val="52A82B52"/>
    <w:rsid w:val="54104D89"/>
    <w:rsid w:val="54D45DB6"/>
    <w:rsid w:val="55231F90"/>
    <w:rsid w:val="55EE36DA"/>
    <w:rsid w:val="564927D4"/>
    <w:rsid w:val="56B31C4E"/>
    <w:rsid w:val="585B490D"/>
    <w:rsid w:val="58DC348C"/>
    <w:rsid w:val="59050C34"/>
    <w:rsid w:val="590F3861"/>
    <w:rsid w:val="598051A6"/>
    <w:rsid w:val="59DB7BE7"/>
    <w:rsid w:val="5A074538"/>
    <w:rsid w:val="5A6424C2"/>
    <w:rsid w:val="5AE96334"/>
    <w:rsid w:val="5BC70423"/>
    <w:rsid w:val="5C4D24BD"/>
    <w:rsid w:val="5C9A78E6"/>
    <w:rsid w:val="5CC826A5"/>
    <w:rsid w:val="5D102E8E"/>
    <w:rsid w:val="5DA36C10"/>
    <w:rsid w:val="5EAE58CA"/>
    <w:rsid w:val="5F447FDD"/>
    <w:rsid w:val="602F33AA"/>
    <w:rsid w:val="60AA20C1"/>
    <w:rsid w:val="60FC47C6"/>
    <w:rsid w:val="61A67C66"/>
    <w:rsid w:val="61B07526"/>
    <w:rsid w:val="62E73159"/>
    <w:rsid w:val="63A64DC2"/>
    <w:rsid w:val="64406FC4"/>
    <w:rsid w:val="649B069F"/>
    <w:rsid w:val="65515201"/>
    <w:rsid w:val="6554596A"/>
    <w:rsid w:val="659D21F5"/>
    <w:rsid w:val="65B80DDC"/>
    <w:rsid w:val="66157FDD"/>
    <w:rsid w:val="662B15AE"/>
    <w:rsid w:val="6666618F"/>
    <w:rsid w:val="67140294"/>
    <w:rsid w:val="678C42CF"/>
    <w:rsid w:val="681A7B2C"/>
    <w:rsid w:val="68945B31"/>
    <w:rsid w:val="697C158B"/>
    <w:rsid w:val="69F12B0F"/>
    <w:rsid w:val="6AE12B83"/>
    <w:rsid w:val="6B4078AA"/>
    <w:rsid w:val="6BF56E08"/>
    <w:rsid w:val="6C541536"/>
    <w:rsid w:val="6CDE381E"/>
    <w:rsid w:val="6CE16E6B"/>
    <w:rsid w:val="6D487913"/>
    <w:rsid w:val="6D723F67"/>
    <w:rsid w:val="6D747CDF"/>
    <w:rsid w:val="6DFA4688"/>
    <w:rsid w:val="6DFF3A4C"/>
    <w:rsid w:val="6E0307C8"/>
    <w:rsid w:val="6E773DF6"/>
    <w:rsid w:val="6E7E7825"/>
    <w:rsid w:val="6F2F210F"/>
    <w:rsid w:val="6FFD0124"/>
    <w:rsid w:val="708F7F54"/>
    <w:rsid w:val="70CE3BAA"/>
    <w:rsid w:val="70F813D5"/>
    <w:rsid w:val="710F044A"/>
    <w:rsid w:val="711E01CF"/>
    <w:rsid w:val="71A46EE4"/>
    <w:rsid w:val="73245D03"/>
    <w:rsid w:val="7399049F"/>
    <w:rsid w:val="749D3FBF"/>
    <w:rsid w:val="75CA11B6"/>
    <w:rsid w:val="770B16B4"/>
    <w:rsid w:val="773A73E7"/>
    <w:rsid w:val="77D27033"/>
    <w:rsid w:val="7800586F"/>
    <w:rsid w:val="782D7408"/>
    <w:rsid w:val="793D367B"/>
    <w:rsid w:val="795C4159"/>
    <w:rsid w:val="799534B7"/>
    <w:rsid w:val="79AD6A52"/>
    <w:rsid w:val="7A0D63E1"/>
    <w:rsid w:val="7A763A9A"/>
    <w:rsid w:val="7AC176CD"/>
    <w:rsid w:val="7B294552"/>
    <w:rsid w:val="7B3A4896"/>
    <w:rsid w:val="7B8657AD"/>
    <w:rsid w:val="7B91002B"/>
    <w:rsid w:val="7BA01B0D"/>
    <w:rsid w:val="7C4A77F6"/>
    <w:rsid w:val="7C896BD7"/>
    <w:rsid w:val="7D563147"/>
    <w:rsid w:val="7E1626EC"/>
    <w:rsid w:val="7E3C2153"/>
    <w:rsid w:val="7EC82D6D"/>
    <w:rsid w:val="7F180E13"/>
    <w:rsid w:val="7F5E434B"/>
    <w:rsid w:val="7FC543CA"/>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2">
    <w:name w:val="heading 1"/>
    <w:basedOn w:val="1"/>
    <w:next w:val="1"/>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4"/>
    <w:autoRedefine/>
    <w:qFormat/>
    <w:uiPriority w:val="0"/>
    <w:pPr>
      <w:ind w:left="3"/>
      <w:outlineLvl w:val="1"/>
    </w:pPr>
    <w:rPr>
      <w:rFonts w:ascii="Cambria" w:hAnsi="Cambria"/>
      <w:b/>
      <w:bCs/>
      <w:sz w:val="32"/>
      <w:szCs w:val="32"/>
    </w:rPr>
  </w:style>
  <w:style w:type="paragraph" w:styleId="5">
    <w:name w:val="heading 3"/>
    <w:basedOn w:val="1"/>
    <w:next w:val="1"/>
    <w:qFormat/>
    <w:uiPriority w:val="0"/>
    <w:pPr>
      <w:ind w:left="100"/>
      <w:outlineLvl w:val="2"/>
    </w:pPr>
    <w:rPr>
      <w:rFonts w:ascii="Times New Roman" w:hAnsi="Times New Roman"/>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r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qFormat/>
    <w:uiPriority w:val="0"/>
    <w:pPr>
      <w:ind w:left="520"/>
    </w:pPr>
    <w:rPr>
      <w:rFonts w:ascii="Times New Roman" w:hAnsi="Times New Roman"/>
    </w:rPr>
  </w:style>
  <w:style w:type="paragraph" w:styleId="9">
    <w:name w:val="Body Text Indent"/>
    <w:basedOn w:val="1"/>
    <w:next w:val="1"/>
    <w:qFormat/>
    <w:uiPriority w:val="0"/>
    <w:pPr>
      <w:spacing w:after="120"/>
      <w:ind w:left="420" w:leftChars="200"/>
    </w:pPr>
  </w:style>
  <w:style w:type="paragraph" w:styleId="10">
    <w:name w:val="toc 3"/>
    <w:basedOn w:val="1"/>
    <w:next w:val="1"/>
    <w:qFormat/>
    <w:uiPriority w:val="39"/>
    <w:pPr>
      <w:ind w:left="840" w:leftChars="400"/>
    </w:pPr>
  </w:style>
  <w:style w:type="paragraph" w:styleId="11">
    <w:name w:val="Plain Text"/>
    <w:basedOn w:val="1"/>
    <w:qFormat/>
    <w:uiPriority w:val="0"/>
    <w:pPr>
      <w:autoSpaceDE/>
      <w:autoSpaceDN/>
      <w:adjustRightInd/>
      <w:jc w:val="both"/>
    </w:pPr>
    <w:rPr>
      <w:rFonts w:ascii="宋体" w:hAnsi="Courier New"/>
      <w:sz w:val="20"/>
      <w:szCs w:val="20"/>
    </w:rPr>
  </w:style>
  <w:style w:type="paragraph" w:styleId="12">
    <w:name w:val="footer"/>
    <w:basedOn w:val="1"/>
    <w:unhideWhenUsed/>
    <w:qFormat/>
    <w:uiPriority w:val="99"/>
    <w:pPr>
      <w:tabs>
        <w:tab w:val="center" w:pos="4153"/>
        <w:tab w:val="right" w:pos="8306"/>
      </w:tabs>
      <w:snapToGrid w:val="0"/>
    </w:pPr>
    <w:rPr>
      <w:rFonts w:ascii="Times New Roman" w:hAnsi="Times New Roman"/>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unhideWhenUsed/>
    <w:qFormat/>
    <w:uiPriority w:val="39"/>
    <w:pPr>
      <w:widowControl/>
      <w:autoSpaceDE/>
      <w:autoSpaceDN/>
      <w:adjustRightInd/>
      <w:spacing w:line="360" w:lineRule="auto"/>
    </w:pPr>
    <w:rPr>
      <w:rFonts w:ascii="等线" w:hAnsi="等线" w:eastAsia="宋体"/>
      <w:b/>
      <w:sz w:val="24"/>
      <w:szCs w:val="22"/>
    </w:rPr>
  </w:style>
  <w:style w:type="paragraph" w:styleId="15">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pPr>
    <w:rPr>
      <w:rFonts w:eastAsia="仿宋_GB2312"/>
      <w:sz w:val="18"/>
      <w:szCs w:val="20"/>
    </w:rPr>
  </w:style>
  <w:style w:type="paragraph" w:styleId="17">
    <w:name w:val="toc 6"/>
    <w:basedOn w:val="1"/>
    <w:next w:val="1"/>
    <w:qFormat/>
    <w:uiPriority w:val="0"/>
    <w:pPr>
      <w:autoSpaceDE/>
      <w:autoSpaceDN/>
      <w:adjustRightInd/>
      <w:ind w:left="2100" w:leftChars="1000"/>
      <w:jc w:val="both"/>
    </w:pPr>
    <w:rPr>
      <w:kern w:val="2"/>
      <w:sz w:val="21"/>
      <w:szCs w:val="22"/>
    </w:rPr>
  </w:style>
  <w:style w:type="paragraph" w:styleId="18">
    <w:name w:val="toc 2"/>
    <w:basedOn w:val="1"/>
    <w:next w:val="1"/>
    <w:qFormat/>
    <w:uiPriority w:val="39"/>
    <w:pPr>
      <w:ind w:left="420" w:leftChars="200"/>
    </w:pPr>
  </w:style>
  <w:style w:type="paragraph" w:styleId="19">
    <w:name w:val="Title"/>
    <w:basedOn w:val="1"/>
    <w:next w:val="1"/>
    <w:qFormat/>
    <w:uiPriority w:val="0"/>
    <w:pPr>
      <w:spacing w:before="240" w:after="60"/>
      <w:jc w:val="center"/>
      <w:outlineLvl w:val="0"/>
    </w:pPr>
    <w:rPr>
      <w:b/>
      <w:sz w:val="32"/>
    </w:rPr>
  </w:style>
  <w:style w:type="paragraph" w:styleId="20">
    <w:name w:val="Body Text First Indent"/>
    <w:basedOn w:val="8"/>
    <w:next w:val="1"/>
    <w:qFormat/>
    <w:uiPriority w:val="0"/>
    <w:pPr>
      <w:tabs>
        <w:tab w:val="left" w:pos="9360"/>
      </w:tabs>
      <w:adjustRightInd/>
      <w:ind w:firstLine="420" w:firstLineChars="100"/>
    </w:pPr>
    <w:rPr>
      <w:sz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footnote reference"/>
    <w:semiHidden/>
    <w:qFormat/>
    <w:uiPriority w:val="0"/>
    <w:rPr>
      <w:vertAlign w:val="superscript"/>
    </w:rPr>
  </w:style>
  <w:style w:type="paragraph" w:customStyle="1" w:styleId="27">
    <w:name w:val="样式 标题 2 + Times New Roman 四号 非加粗 段前: 5 磅 段后: 0 磅 行距: 固定值 20..."/>
    <w:basedOn w:val="3"/>
    <w:autoRedefine/>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styleId="28">
    <w:name w:val="List Paragraph"/>
    <w:basedOn w:val="1"/>
    <w:autoRedefine/>
    <w:qFormat/>
    <w:uiPriority w:val="0"/>
  </w:style>
  <w:style w:type="paragraph" w:customStyle="1" w:styleId="29">
    <w:name w:val="TOC 标题2"/>
    <w:basedOn w:val="2"/>
    <w:next w:val="1"/>
    <w:autoRedefine/>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30">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Table Paragraph"/>
    <w:basedOn w:val="1"/>
    <w:autoRedefine/>
    <w:qFormat/>
    <w:uiPriority w:val="1"/>
  </w:style>
  <w:style w:type="paragraph" w:customStyle="1" w:styleId="33">
    <w:name w:val="[Normal]"/>
    <w:autoRedefine/>
    <w:qFormat/>
    <w:uiPriority w:val="0"/>
    <w:rPr>
      <w:rFonts w:ascii="宋体" w:hAnsi="宋体" w:eastAsia="宋体" w:cs="Times New Roman"/>
      <w:sz w:val="24"/>
      <w:szCs w:val="22"/>
      <w:lang w:val="zh-CN" w:eastAsia="zh-CN" w:bidi="ar-SA"/>
    </w:rPr>
  </w:style>
  <w:style w:type="paragraph" w:customStyle="1" w:styleId="34">
    <w:name w:val="正文，首行缩进:"/>
    <w:basedOn w:val="1"/>
    <w:qFormat/>
    <w:uiPriority w:val="0"/>
    <w:pPr>
      <w:tabs>
        <w:tab w:val="left" w:pos="3376"/>
      </w:tabs>
      <w:spacing w:line="460" w:lineRule="exact"/>
      <w:ind w:firstLine="480" w:firstLineChars="200"/>
    </w:pPr>
    <w:rPr>
      <w:rFonts w:ascii="宋体" w:hAnsi="宋体" w:cs="宋体"/>
      <w:szCs w:val="20"/>
    </w:rPr>
  </w:style>
  <w:style w:type="paragraph" w:customStyle="1" w:styleId="35">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6">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7">
    <w:name w:val="样式 标题 3 + Arial"/>
    <w:basedOn w:val="5"/>
    <w:qFormat/>
    <w:uiPriority w:val="0"/>
    <w:pPr>
      <w:spacing w:before="100" w:beforeLines="100" w:line="360" w:lineRule="auto"/>
    </w:pPr>
    <w:rPr>
      <w:rFonts w:ascii="Arial" w:hAnsi="Arial"/>
      <w:sz w:val="24"/>
    </w:rPr>
  </w:style>
  <w:style w:type="paragraph" w:customStyle="1" w:styleId="38">
    <w:name w:val="正文_21"/>
    <w:qFormat/>
    <w:uiPriority w:val="0"/>
    <w:pPr>
      <w:widowControl w:val="0"/>
      <w:jc w:val="both"/>
    </w:pPr>
    <w:rPr>
      <w:rFonts w:ascii="Calibri" w:hAnsi="Calibri" w:eastAsia="宋体" w:cs="Times New Roman"/>
      <w:kern w:val="2"/>
      <w:sz w:val="21"/>
      <w:szCs w:val="22"/>
      <w:lang w:val="en-US" w:eastAsia="zh-CN" w:bidi="ar-SA"/>
    </w:rPr>
  </w:style>
  <w:style w:type="table" w:customStyle="1" w:styleId="39">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40">
    <w:name w:val="正文文本首行缩进"/>
    <w:basedOn w:val="8"/>
    <w:qFormat/>
    <w:uiPriority w:val="0"/>
    <w:pPr>
      <w:ind w:firstLine="420" w:firstLineChars="100"/>
    </w:pPr>
  </w:style>
  <w:style w:type="paragraph" w:customStyle="1" w:styleId="41">
    <w:name w:val="样式3"/>
    <w:basedOn w:val="1"/>
    <w:autoRedefine/>
    <w:qFormat/>
    <w:uiPriority w:val="0"/>
    <w:pPr>
      <w:numPr>
        <w:ilvl w:val="0"/>
        <w:numId w:val="1"/>
      </w:numPr>
      <w:spacing w:line="360" w:lineRule="auto"/>
    </w:pPr>
    <w:rPr>
      <w:rFonts w:ascii="宋体" w:hAnsi="Times New Roman"/>
      <w:sz w:val="24"/>
      <w:szCs w:val="24"/>
    </w:rPr>
  </w:style>
  <w:style w:type="paragraph" w:customStyle="1" w:styleId="4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08CD3-C35A-45E3-88E3-6B35EC334EB2}">
  <ds:schemaRefs/>
</ds:datastoreItem>
</file>

<file path=docProps/app.xml><?xml version="1.0" encoding="utf-8"?>
<Properties xmlns="http://schemas.openxmlformats.org/officeDocument/2006/extended-properties" xmlns:vt="http://schemas.openxmlformats.org/officeDocument/2006/docPropsVTypes">
  <Template>Normal</Template>
  <Pages>100</Pages>
  <Words>55853</Words>
  <Characters>59272</Characters>
  <Lines>494</Lines>
  <Paragraphs>139</Paragraphs>
  <TotalTime>14</TotalTime>
  <ScaleCrop>false</ScaleCrop>
  <LinksUpToDate>false</LinksUpToDate>
  <CharactersWithSpaces>65378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可什么爱</cp:lastModifiedBy>
  <cp:lastPrinted>2024-11-01T00:58:00Z</cp:lastPrinted>
  <dcterms:modified xsi:type="dcterms:W3CDTF">2024-11-01T08:28:32Z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C2551F9AE7FC457D91C36F68EFA9B658_13</vt:lpwstr>
  </property>
</Properties>
</file>